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5E" w:rsidRPr="00F63F72" w:rsidRDefault="008D3E5E" w:rsidP="008D3E5E">
      <w:pPr>
        <w:rPr>
          <w:rFonts w:ascii="Garamond" w:hAnsi="Garamond"/>
        </w:rPr>
      </w:pPr>
    </w:p>
    <w:p w:rsidR="008D3E5E" w:rsidRPr="00F63F72" w:rsidRDefault="008D3E5E" w:rsidP="008D3E5E">
      <w:pPr>
        <w:rPr>
          <w:rFonts w:ascii="Garamond" w:hAnsi="Garamond"/>
        </w:rPr>
      </w:pPr>
    </w:p>
    <w:p w:rsidR="008D3E5E" w:rsidRPr="00F63F72" w:rsidRDefault="008D3E5E" w:rsidP="008D3E5E">
      <w:pPr>
        <w:rPr>
          <w:rFonts w:ascii="Garamond" w:hAnsi="Garamond"/>
        </w:rPr>
      </w:pPr>
    </w:p>
    <w:p w:rsidR="008D3E5E" w:rsidRPr="00F63F72" w:rsidRDefault="008D3E5E" w:rsidP="008D3E5E">
      <w:pPr>
        <w:rPr>
          <w:rFonts w:ascii="Garamond" w:hAnsi="Garamond"/>
        </w:rPr>
      </w:pPr>
    </w:p>
    <w:p w:rsidR="008D3E5E" w:rsidRPr="00F63F72" w:rsidRDefault="008D3E5E" w:rsidP="008D3E5E">
      <w:pPr>
        <w:rPr>
          <w:rFonts w:ascii="Garamond" w:hAnsi="Garamond"/>
        </w:rPr>
      </w:pPr>
    </w:p>
    <w:p w:rsidR="008D3E5E" w:rsidRPr="00F63F72" w:rsidRDefault="008D3E5E" w:rsidP="008D3E5E">
      <w:pPr>
        <w:rPr>
          <w:rFonts w:ascii="Garamond" w:hAnsi="Garamond"/>
        </w:rPr>
      </w:pPr>
    </w:p>
    <w:p w:rsidR="008D3E5E" w:rsidRPr="00F63F72" w:rsidRDefault="008D3E5E" w:rsidP="008D3E5E">
      <w:pPr>
        <w:rPr>
          <w:rFonts w:ascii="Calibri" w:hAnsi="Calibri" w:cs="Calibri"/>
          <w:b/>
          <w:sz w:val="22"/>
          <w:szCs w:val="22"/>
        </w:rPr>
      </w:pPr>
    </w:p>
    <w:p w:rsidR="008D3E5E" w:rsidRPr="00F63F72" w:rsidRDefault="008D3E5E" w:rsidP="008D3E5E">
      <w:pPr>
        <w:jc w:val="center"/>
        <w:rPr>
          <w:rFonts w:ascii="Calibri" w:hAnsi="Calibri" w:cs="Calibri"/>
          <w:szCs w:val="20"/>
        </w:rPr>
      </w:pPr>
      <w:r w:rsidRPr="00F63F72">
        <w:rPr>
          <w:rFonts w:ascii="Calibri" w:hAnsi="Calibri" w:cs="Calibri"/>
          <w:noProof/>
          <w:sz w:val="22"/>
          <w:szCs w:val="22"/>
        </w:rPr>
        <w:drawing>
          <wp:inline distT="0" distB="0" distL="0" distR="0">
            <wp:extent cx="821690" cy="894715"/>
            <wp:effectExtent l="19050" t="0" r="0" b="0"/>
            <wp:docPr id="2" name="Picture 42"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dministrator/Desktop/1095339371.jpg"/>
                    <pic:cNvPicPr>
                      <a:picLocks noChangeAspect="1" noChangeArrowheads="1"/>
                    </pic:cNvPicPr>
                  </pic:nvPicPr>
                  <pic:blipFill>
                    <a:blip r:embed="rId7" cstate="print"/>
                    <a:srcRect/>
                    <a:stretch>
                      <a:fillRect/>
                    </a:stretch>
                  </pic:blipFill>
                  <pic:spPr bwMode="auto">
                    <a:xfrm>
                      <a:off x="0" y="0"/>
                      <a:ext cx="821690" cy="894715"/>
                    </a:xfrm>
                    <a:prstGeom prst="rect">
                      <a:avLst/>
                    </a:prstGeom>
                    <a:noFill/>
                    <a:ln w="9525">
                      <a:noFill/>
                      <a:miter lim="800000"/>
                      <a:headEnd/>
                      <a:tailEnd/>
                    </a:ln>
                  </pic:spPr>
                </pic:pic>
              </a:graphicData>
            </a:graphic>
          </wp:inline>
        </w:drawing>
      </w:r>
    </w:p>
    <w:p w:rsidR="008D3E5E" w:rsidRPr="00F63F72" w:rsidRDefault="008D3E5E" w:rsidP="008D3E5E">
      <w:pPr>
        <w:jc w:val="center"/>
        <w:outlineLvl w:val="0"/>
        <w:rPr>
          <w:rFonts w:ascii="Calibri" w:hAnsi="Calibri" w:cs="Calibri"/>
          <w:b/>
          <w:bCs/>
          <w:sz w:val="28"/>
          <w:szCs w:val="28"/>
        </w:rPr>
      </w:pPr>
      <w:r w:rsidRPr="00F63F72">
        <w:rPr>
          <w:rFonts w:ascii="Calibri" w:hAnsi="Calibri" w:cs="Calibri"/>
          <w:b/>
          <w:bCs/>
          <w:sz w:val="28"/>
          <w:szCs w:val="28"/>
        </w:rPr>
        <w:t>MONTENEGRO</w:t>
      </w:r>
    </w:p>
    <w:p w:rsidR="008D3E5E" w:rsidRPr="00F63F72" w:rsidRDefault="008D3E5E" w:rsidP="008D3E5E">
      <w:pPr>
        <w:jc w:val="center"/>
        <w:outlineLvl w:val="0"/>
        <w:rPr>
          <w:rFonts w:ascii="Calibri" w:hAnsi="Calibri" w:cs="Calibri"/>
          <w:b/>
          <w:bCs/>
          <w:sz w:val="28"/>
          <w:szCs w:val="28"/>
        </w:rPr>
      </w:pPr>
      <w:r w:rsidRPr="00F63F72">
        <w:rPr>
          <w:rFonts w:ascii="Calibri" w:hAnsi="Calibri" w:cs="Calibri"/>
          <w:b/>
          <w:bCs/>
          <w:sz w:val="28"/>
          <w:szCs w:val="28"/>
        </w:rPr>
        <w:t>MINISTRY OF FINANCE</w:t>
      </w:r>
    </w:p>
    <w:p w:rsidR="008D3E5E" w:rsidRPr="00F63F72" w:rsidRDefault="008D3E5E" w:rsidP="008D3E5E">
      <w:pPr>
        <w:spacing w:after="200"/>
        <w:jc w:val="center"/>
        <w:rPr>
          <w:rFonts w:ascii="Calibri" w:hAnsi="Calibri" w:cs="Calibri"/>
          <w:b/>
          <w:bCs/>
        </w:rPr>
      </w:pPr>
    </w:p>
    <w:p w:rsidR="008D3E5E" w:rsidRPr="00F63F72" w:rsidRDefault="008D3E5E" w:rsidP="008D3E5E">
      <w:pPr>
        <w:spacing w:after="200"/>
        <w:jc w:val="center"/>
        <w:rPr>
          <w:rFonts w:ascii="Calibri" w:hAnsi="Calibri" w:cs="Calibri"/>
          <w:b/>
          <w:bCs/>
        </w:rPr>
      </w:pPr>
    </w:p>
    <w:p w:rsidR="008D3E5E" w:rsidRPr="00F63F72" w:rsidRDefault="008D3E5E" w:rsidP="008D3E5E">
      <w:pPr>
        <w:spacing w:after="200"/>
        <w:jc w:val="center"/>
        <w:rPr>
          <w:rFonts w:ascii="Calibri" w:hAnsi="Calibri" w:cs="Calibri"/>
          <w:b/>
          <w:bCs/>
        </w:rPr>
      </w:pPr>
    </w:p>
    <w:p w:rsidR="008D3E5E" w:rsidRPr="00F63F72" w:rsidRDefault="008D3E5E" w:rsidP="008D3E5E">
      <w:pPr>
        <w:spacing w:after="200"/>
        <w:jc w:val="center"/>
        <w:rPr>
          <w:rFonts w:ascii="Calibri" w:hAnsi="Calibri" w:cs="Calibri"/>
          <w:b/>
          <w:bCs/>
        </w:rPr>
      </w:pPr>
    </w:p>
    <w:p w:rsidR="008D3E5E" w:rsidRPr="00F63F72" w:rsidRDefault="008D3E5E" w:rsidP="008D3E5E">
      <w:pPr>
        <w:spacing w:after="200"/>
        <w:jc w:val="center"/>
        <w:rPr>
          <w:rFonts w:ascii="Calibri" w:hAnsi="Calibri" w:cs="Calibri"/>
          <w:b/>
          <w:bCs/>
        </w:rPr>
      </w:pPr>
    </w:p>
    <w:p w:rsidR="008D3E5E" w:rsidRPr="00F63F72" w:rsidRDefault="008D3E5E" w:rsidP="008D3E5E">
      <w:pPr>
        <w:spacing w:after="200"/>
        <w:rPr>
          <w:rFonts w:ascii="Calibri" w:hAnsi="Calibri" w:cs="Calibri"/>
          <w:b/>
          <w:bCs/>
        </w:rPr>
      </w:pPr>
    </w:p>
    <w:p w:rsidR="008D3E5E" w:rsidRPr="00F63F72" w:rsidRDefault="008D3E5E" w:rsidP="008D3E5E">
      <w:pPr>
        <w:spacing w:after="200"/>
        <w:jc w:val="center"/>
        <w:rPr>
          <w:rFonts w:ascii="Calibri" w:hAnsi="Calibri" w:cs="Calibri"/>
          <w:b/>
          <w:bCs/>
          <w:sz w:val="28"/>
          <w:szCs w:val="28"/>
        </w:rPr>
      </w:pPr>
      <w:r w:rsidRPr="00F63F72">
        <w:rPr>
          <w:rFonts w:ascii="Calibri" w:hAnsi="Calibri" w:cs="Calibri"/>
          <w:b/>
          <w:bCs/>
          <w:sz w:val="28"/>
          <w:szCs w:val="28"/>
        </w:rPr>
        <w:t>Econo</w:t>
      </w:r>
      <w:r>
        <w:rPr>
          <w:rFonts w:ascii="Calibri" w:hAnsi="Calibri" w:cs="Calibri"/>
          <w:b/>
          <w:bCs/>
          <w:sz w:val="28"/>
          <w:szCs w:val="28"/>
        </w:rPr>
        <w:t>m</w:t>
      </w:r>
      <w:r w:rsidRPr="00F63F72">
        <w:rPr>
          <w:rFonts w:ascii="Calibri" w:hAnsi="Calibri" w:cs="Calibri"/>
          <w:b/>
          <w:bCs/>
          <w:sz w:val="28"/>
          <w:szCs w:val="28"/>
        </w:rPr>
        <w:t>ic policy and development sector</w:t>
      </w:r>
    </w:p>
    <w:p w:rsidR="008D3E5E" w:rsidRPr="00F63F72" w:rsidRDefault="008D3E5E" w:rsidP="008D3E5E">
      <w:pPr>
        <w:spacing w:after="200"/>
        <w:jc w:val="center"/>
        <w:rPr>
          <w:rFonts w:ascii="Calibri" w:hAnsi="Calibri" w:cs="Calibri"/>
          <w:b/>
          <w:bCs/>
          <w:sz w:val="44"/>
          <w:szCs w:val="44"/>
        </w:rPr>
      </w:pPr>
      <w:r w:rsidRPr="00F63F72">
        <w:rPr>
          <w:rFonts w:ascii="Calibri" w:hAnsi="Calibri" w:cs="Calibri"/>
          <w:b/>
          <w:sz w:val="44"/>
          <w:szCs w:val="44"/>
        </w:rPr>
        <w:t>Directives of macro-economic and fiscal policy for the period 2013-2016</w:t>
      </w:r>
    </w:p>
    <w:p w:rsidR="008D3E5E" w:rsidRPr="00F63F72" w:rsidRDefault="008D3E5E" w:rsidP="008D3E5E">
      <w:pPr>
        <w:spacing w:after="200"/>
        <w:rPr>
          <w:rFonts w:ascii="Calibri" w:hAnsi="Calibri" w:cs="Calibri"/>
          <w:b/>
          <w:bCs/>
          <w:sz w:val="28"/>
          <w:szCs w:val="28"/>
        </w:rPr>
      </w:pPr>
    </w:p>
    <w:p w:rsidR="008D3E5E" w:rsidRPr="00F63F72" w:rsidRDefault="008D3E5E" w:rsidP="008D3E5E">
      <w:pPr>
        <w:spacing w:after="200"/>
        <w:jc w:val="center"/>
        <w:rPr>
          <w:rFonts w:ascii="Calibri" w:hAnsi="Calibri" w:cs="Calibri"/>
          <w:b/>
          <w:bCs/>
          <w:sz w:val="28"/>
          <w:szCs w:val="28"/>
        </w:rPr>
      </w:pPr>
    </w:p>
    <w:p w:rsidR="008D3E5E" w:rsidRPr="00F63F72" w:rsidRDefault="008D3E5E" w:rsidP="008D3E5E">
      <w:pPr>
        <w:spacing w:after="200"/>
        <w:rPr>
          <w:rFonts w:ascii="Calibri" w:hAnsi="Calibri" w:cs="Calibri"/>
          <w:b/>
          <w:bCs/>
          <w:sz w:val="28"/>
          <w:szCs w:val="28"/>
        </w:rPr>
      </w:pPr>
    </w:p>
    <w:p w:rsidR="008D3E5E" w:rsidRPr="00F63F72" w:rsidRDefault="008D3E5E" w:rsidP="008D3E5E">
      <w:pPr>
        <w:spacing w:after="200"/>
        <w:rPr>
          <w:rFonts w:ascii="Calibri" w:hAnsi="Calibri" w:cs="Calibri"/>
          <w:b/>
          <w:bCs/>
          <w:sz w:val="28"/>
          <w:szCs w:val="28"/>
        </w:rPr>
      </w:pPr>
    </w:p>
    <w:p w:rsidR="008D3E5E" w:rsidRPr="00F63F72" w:rsidRDefault="008D3E5E" w:rsidP="008D3E5E">
      <w:pPr>
        <w:spacing w:after="200"/>
        <w:rPr>
          <w:rFonts w:ascii="Calibri" w:hAnsi="Calibri" w:cs="Calibri"/>
          <w:b/>
          <w:bCs/>
          <w:sz w:val="28"/>
          <w:szCs w:val="28"/>
        </w:rPr>
      </w:pPr>
    </w:p>
    <w:p w:rsidR="0002734E" w:rsidRDefault="0002734E" w:rsidP="008D3E5E">
      <w:pPr>
        <w:spacing w:after="200"/>
        <w:rPr>
          <w:rFonts w:ascii="Calibri" w:hAnsi="Calibri" w:cs="Calibri"/>
          <w:b/>
          <w:bCs/>
          <w:sz w:val="28"/>
          <w:szCs w:val="28"/>
        </w:rPr>
      </w:pPr>
    </w:p>
    <w:p w:rsidR="0002734E" w:rsidRPr="00F63F72" w:rsidRDefault="0002734E" w:rsidP="008D3E5E">
      <w:pPr>
        <w:spacing w:after="200"/>
        <w:rPr>
          <w:rFonts w:ascii="Calibri" w:hAnsi="Calibri" w:cs="Calibri"/>
          <w:b/>
          <w:bCs/>
          <w:sz w:val="28"/>
          <w:szCs w:val="28"/>
        </w:rPr>
      </w:pPr>
    </w:p>
    <w:p w:rsidR="008D3E5E" w:rsidRPr="00F63F72" w:rsidRDefault="008D3E5E" w:rsidP="008D3E5E">
      <w:pPr>
        <w:spacing w:after="200"/>
        <w:rPr>
          <w:rFonts w:ascii="Calibri" w:hAnsi="Calibri" w:cs="Calibri"/>
          <w:b/>
          <w:bCs/>
          <w:sz w:val="28"/>
          <w:szCs w:val="28"/>
        </w:rPr>
      </w:pPr>
    </w:p>
    <w:p w:rsidR="008D3E5E" w:rsidRPr="00F63F72" w:rsidRDefault="008D3E5E" w:rsidP="008D3E5E">
      <w:pPr>
        <w:spacing w:after="200"/>
        <w:jc w:val="center"/>
        <w:rPr>
          <w:rFonts w:ascii="Calibri" w:hAnsi="Calibri" w:cs="Calibri"/>
          <w:b/>
          <w:bCs/>
          <w:sz w:val="28"/>
          <w:szCs w:val="28"/>
        </w:rPr>
      </w:pPr>
      <w:r w:rsidRPr="00F63F72">
        <w:rPr>
          <w:rFonts w:ascii="Calibri" w:hAnsi="Calibri" w:cs="Calibri"/>
          <w:b/>
          <w:bCs/>
          <w:sz w:val="28"/>
          <w:szCs w:val="28"/>
        </w:rPr>
        <w:t>May, 2013</w:t>
      </w:r>
    </w:p>
    <w:p w:rsidR="008D3E5E" w:rsidRPr="00F63F72" w:rsidRDefault="008D3E5E" w:rsidP="008D3E5E">
      <w:pPr>
        <w:spacing w:after="200"/>
        <w:jc w:val="center"/>
        <w:rPr>
          <w:rFonts w:ascii="Calibri" w:hAnsi="Calibri" w:cs="Calibri"/>
          <w:b/>
          <w:bCs/>
          <w:sz w:val="28"/>
          <w:szCs w:val="28"/>
        </w:rPr>
      </w:pPr>
    </w:p>
    <w:p w:rsidR="008D3E5E" w:rsidRPr="00F63F72" w:rsidRDefault="008D3E5E" w:rsidP="008D3E5E">
      <w:pPr>
        <w:spacing w:after="200"/>
        <w:jc w:val="center"/>
        <w:rPr>
          <w:rFonts w:ascii="Calibri" w:hAnsi="Calibri" w:cs="Calibri"/>
          <w:b/>
          <w:bCs/>
          <w:sz w:val="28"/>
          <w:szCs w:val="28"/>
        </w:rPr>
      </w:pPr>
    </w:p>
    <w:p w:rsidR="008D3E5E" w:rsidRPr="00F63F72" w:rsidRDefault="008D3E5E" w:rsidP="008D3E5E">
      <w:pPr>
        <w:spacing w:after="200"/>
        <w:jc w:val="center"/>
        <w:rPr>
          <w:rFonts w:ascii="Calibri" w:hAnsi="Calibri" w:cs="Calibri"/>
          <w:b/>
          <w:bCs/>
          <w:sz w:val="28"/>
          <w:szCs w:val="28"/>
        </w:rPr>
      </w:pPr>
    </w:p>
    <w:p w:rsidR="008D3E5E" w:rsidRPr="00F63F72" w:rsidRDefault="008D3E5E" w:rsidP="008D3E5E">
      <w:pPr>
        <w:spacing w:after="200" w:line="276" w:lineRule="auto"/>
        <w:jc w:val="center"/>
        <w:rPr>
          <w:rFonts w:ascii="Calibri" w:hAnsi="Calibri" w:cs="Calibri"/>
          <w:b/>
          <w:sz w:val="22"/>
          <w:szCs w:val="22"/>
        </w:rPr>
      </w:pPr>
      <w:r w:rsidRPr="00F63F72">
        <w:rPr>
          <w:rFonts w:ascii="Calibri" w:hAnsi="Calibri" w:cs="Calibri"/>
          <w:b/>
          <w:sz w:val="22"/>
          <w:szCs w:val="22"/>
        </w:rPr>
        <w:t>CONTENTS</w:t>
      </w:r>
    </w:p>
    <w:p w:rsidR="008D3E5E" w:rsidRPr="00F63F72" w:rsidRDefault="008D3E5E" w:rsidP="008D3E5E">
      <w:pPr>
        <w:spacing w:after="200" w:line="276" w:lineRule="auto"/>
        <w:jc w:val="center"/>
        <w:rPr>
          <w:rFonts w:ascii="Calibri" w:hAnsi="Calibri" w:cs="Calibri"/>
          <w:b/>
          <w:bCs/>
          <w:sz w:val="28"/>
          <w:szCs w:val="28"/>
        </w:rPr>
      </w:pPr>
    </w:p>
    <w:p w:rsidR="008D3E5E" w:rsidRPr="00F63F72" w:rsidRDefault="008D3E5E" w:rsidP="008D3E5E">
      <w:pPr>
        <w:spacing w:after="200"/>
        <w:jc w:val="center"/>
        <w:rPr>
          <w:rFonts w:ascii="Calibri" w:hAnsi="Calibri" w:cs="Calibri"/>
          <w:b/>
          <w:sz w:val="22"/>
          <w:szCs w:val="22"/>
        </w:rPr>
      </w:pPr>
    </w:p>
    <w:tbl>
      <w:tblPr>
        <w:tblW w:w="9865" w:type="dxa"/>
        <w:tblLook w:val="00A0"/>
      </w:tblPr>
      <w:tblGrid>
        <w:gridCol w:w="1135"/>
        <w:gridCol w:w="6203"/>
        <w:gridCol w:w="868"/>
        <w:gridCol w:w="1659"/>
      </w:tblGrid>
      <w:tr w:rsidR="008D3E5E" w:rsidRPr="00F63F72" w:rsidTr="004C45D3">
        <w:trPr>
          <w:trHeight w:hRule="exact" w:val="455"/>
        </w:trPr>
        <w:tc>
          <w:tcPr>
            <w:tcW w:w="1135" w:type="dxa"/>
          </w:tcPr>
          <w:p w:rsidR="008D3E5E" w:rsidRPr="00F63F72" w:rsidRDefault="008D3E5E" w:rsidP="004C45D3">
            <w:pPr>
              <w:jc w:val="right"/>
              <w:rPr>
                <w:rFonts w:ascii="Calibri" w:hAnsi="Calibri" w:cs="Calibri"/>
                <w:bCs/>
              </w:rPr>
            </w:pP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SUMMARY</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3</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bCs/>
              </w:rPr>
            </w:pPr>
            <w:r w:rsidRPr="00F63F72">
              <w:rPr>
                <w:rFonts w:ascii="Calibri" w:hAnsi="Calibri" w:cs="Calibri"/>
                <w:bCs/>
                <w:sz w:val="22"/>
                <w:szCs w:val="22"/>
              </w:rPr>
              <w:t>1</w:t>
            </w: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INTERNATIONAL ENVIRONMENT</w:t>
            </w:r>
          </w:p>
          <w:p w:rsidR="008D3E5E" w:rsidRPr="00F63F72" w:rsidRDefault="008D3E5E" w:rsidP="004C45D3">
            <w:pPr>
              <w:rPr>
                <w:rFonts w:ascii="Calibri" w:hAnsi="Calibri" w:cs="Calibri"/>
                <w:bCs/>
              </w:rPr>
            </w:pP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4</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bCs/>
              </w:rPr>
            </w:pPr>
            <w:r w:rsidRPr="00F63F72">
              <w:rPr>
                <w:rFonts w:ascii="Calibri" w:hAnsi="Calibri" w:cs="Calibri"/>
                <w:bCs/>
                <w:sz w:val="22"/>
                <w:szCs w:val="22"/>
              </w:rPr>
              <w:t>2</w:t>
            </w:r>
          </w:p>
        </w:tc>
        <w:tc>
          <w:tcPr>
            <w:tcW w:w="6203" w:type="dxa"/>
          </w:tcPr>
          <w:p w:rsidR="008D3E5E" w:rsidRPr="00F63F72" w:rsidRDefault="008D3E5E" w:rsidP="004C45D3">
            <w:pPr>
              <w:rPr>
                <w:rFonts w:ascii="Calibri" w:hAnsi="Calibri" w:cs="Calibri"/>
                <w:bCs/>
              </w:rPr>
            </w:pPr>
            <w:r w:rsidRPr="00F63F72">
              <w:rPr>
                <w:rFonts w:ascii="Calibri" w:hAnsi="Calibri" w:cs="Calibri"/>
                <w:sz w:val="22"/>
                <w:szCs w:val="22"/>
              </w:rPr>
              <w:t>MACRO-ECONOMIC FRAMEWORK 2012-2016</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5</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bCs/>
              </w:rPr>
            </w:pPr>
            <w:r w:rsidRPr="00F63F72">
              <w:rPr>
                <w:rFonts w:ascii="Calibri" w:hAnsi="Calibri" w:cs="Calibri"/>
                <w:bCs/>
                <w:sz w:val="22"/>
                <w:szCs w:val="22"/>
              </w:rPr>
              <w:t>2.1.</w:t>
            </w:r>
          </w:p>
        </w:tc>
        <w:tc>
          <w:tcPr>
            <w:tcW w:w="7071" w:type="dxa"/>
            <w:gridSpan w:val="2"/>
          </w:tcPr>
          <w:p w:rsidR="008D3E5E" w:rsidRPr="00F63F72" w:rsidRDefault="008D3E5E" w:rsidP="004C45D3">
            <w:pPr>
              <w:pStyle w:val="Default"/>
              <w:jc w:val="both"/>
              <w:rPr>
                <w:rFonts w:ascii="Calibri" w:hAnsi="Calibri" w:cs="Calibri"/>
                <w:sz w:val="22"/>
                <w:szCs w:val="22"/>
              </w:rPr>
            </w:pPr>
            <w:r w:rsidRPr="00F63F72">
              <w:rPr>
                <w:rFonts w:ascii="Calibri" w:hAnsi="Calibri" w:cs="Calibri"/>
                <w:sz w:val="22"/>
                <w:szCs w:val="22"/>
              </w:rPr>
              <w:t>Macro-economic trends in 2012 and first quarter of 2013</w:t>
            </w:r>
          </w:p>
          <w:p w:rsidR="008D3E5E" w:rsidRPr="00F63F72" w:rsidRDefault="008D3E5E" w:rsidP="004C45D3">
            <w:pPr>
              <w:rPr>
                <w:rFonts w:ascii="Calibri" w:hAnsi="Calibri" w:cs="Calibri"/>
                <w:bCs/>
              </w:rPr>
            </w:pPr>
          </w:p>
        </w:tc>
        <w:tc>
          <w:tcPr>
            <w:tcW w:w="1659" w:type="dxa"/>
          </w:tcPr>
          <w:p w:rsidR="008D3E5E" w:rsidRPr="00F63F72" w:rsidRDefault="008D3E5E" w:rsidP="004C45D3">
            <w:pPr>
              <w:jc w:val="right"/>
              <w:rPr>
                <w:rFonts w:ascii="Calibri" w:hAnsi="Calibri" w:cs="Calibri"/>
              </w:rPr>
            </w:pPr>
            <w:r w:rsidRPr="00F63F72">
              <w:rPr>
                <w:rFonts w:ascii="Calibri" w:hAnsi="Calibri" w:cs="Calibri"/>
                <w:sz w:val="22"/>
                <w:szCs w:val="22"/>
              </w:rPr>
              <w:t>6</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2.1.1.</w:t>
            </w:r>
          </w:p>
        </w:tc>
        <w:tc>
          <w:tcPr>
            <w:tcW w:w="6203" w:type="dxa"/>
          </w:tcPr>
          <w:p w:rsidR="008D3E5E" w:rsidRPr="00F63F72" w:rsidRDefault="008D3E5E" w:rsidP="004C45D3">
            <w:pPr>
              <w:pStyle w:val="Default"/>
              <w:jc w:val="both"/>
              <w:rPr>
                <w:rFonts w:ascii="Calibri" w:hAnsi="Calibri" w:cs="Calibri"/>
                <w:sz w:val="22"/>
                <w:szCs w:val="22"/>
              </w:rPr>
            </w:pPr>
            <w:r w:rsidRPr="00F63F72">
              <w:rPr>
                <w:rFonts w:ascii="Calibri" w:hAnsi="Calibri" w:cs="Calibri"/>
                <w:sz w:val="22"/>
                <w:szCs w:val="22"/>
              </w:rPr>
              <w:t xml:space="preserve">Gross domestic product in 2012 </w:t>
            </w:r>
          </w:p>
          <w:p w:rsidR="008D3E5E" w:rsidRPr="00F63F72" w:rsidRDefault="008D3E5E" w:rsidP="004C45D3">
            <w:pPr>
              <w:rPr>
                <w:rFonts w:ascii="Calibri" w:hAnsi="Calibri" w:cs="Calibri"/>
              </w:rPr>
            </w:pP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6</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2.1.2.</w:t>
            </w: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Inflation</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7</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2.1.3.</w:t>
            </w: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Investments</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7</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2.1.4.</w:t>
            </w:r>
          </w:p>
        </w:tc>
        <w:tc>
          <w:tcPr>
            <w:tcW w:w="6203" w:type="dxa"/>
          </w:tcPr>
          <w:p w:rsidR="008D3E5E" w:rsidRPr="00F63F72" w:rsidRDefault="008D3E5E" w:rsidP="004C45D3">
            <w:pPr>
              <w:pStyle w:val="Default"/>
              <w:rPr>
                <w:rFonts w:ascii="Calibri" w:hAnsi="Calibri" w:cs="Calibri"/>
                <w:sz w:val="22"/>
                <w:szCs w:val="22"/>
              </w:rPr>
            </w:pPr>
            <w:r w:rsidRPr="00F63F72">
              <w:rPr>
                <w:rFonts w:ascii="Calibri" w:hAnsi="Calibri" w:cs="Calibri"/>
                <w:sz w:val="22"/>
                <w:szCs w:val="22"/>
              </w:rPr>
              <w:t>Labor market</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8</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2.1.5.</w:t>
            </w: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Monetary aggregates and loans</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8</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2.1.6.</w:t>
            </w:r>
          </w:p>
        </w:tc>
        <w:tc>
          <w:tcPr>
            <w:tcW w:w="6203" w:type="dxa"/>
          </w:tcPr>
          <w:p w:rsidR="008D3E5E" w:rsidRPr="00F63F72" w:rsidRDefault="008D3E5E" w:rsidP="004C45D3">
            <w:pPr>
              <w:pStyle w:val="Default"/>
              <w:rPr>
                <w:rFonts w:ascii="Calibri" w:hAnsi="Calibri" w:cs="Calibri"/>
                <w:sz w:val="22"/>
                <w:szCs w:val="22"/>
              </w:rPr>
            </w:pPr>
            <w:r w:rsidRPr="00F63F72">
              <w:rPr>
                <w:rFonts w:ascii="Calibri" w:hAnsi="Calibri" w:cs="Calibri"/>
                <w:sz w:val="22"/>
                <w:szCs w:val="22"/>
              </w:rPr>
              <w:t>External sector</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9</w:t>
            </w:r>
          </w:p>
        </w:tc>
      </w:tr>
      <w:tr w:rsidR="008D3E5E" w:rsidRPr="00F63F72" w:rsidTr="004C45D3">
        <w:trPr>
          <w:trHeight w:hRule="exact" w:val="656"/>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2.2.</w:t>
            </w:r>
          </w:p>
        </w:tc>
        <w:tc>
          <w:tcPr>
            <w:tcW w:w="6203" w:type="dxa"/>
          </w:tcPr>
          <w:p w:rsidR="008D3E5E" w:rsidRPr="00F63F72" w:rsidRDefault="008D3E5E" w:rsidP="004C45D3">
            <w:pPr>
              <w:pStyle w:val="Default"/>
              <w:jc w:val="both"/>
              <w:rPr>
                <w:rFonts w:ascii="Calibri" w:hAnsi="Calibri" w:cs="Calibri"/>
                <w:sz w:val="22"/>
                <w:szCs w:val="22"/>
              </w:rPr>
            </w:pPr>
            <w:r w:rsidRPr="00F63F72">
              <w:rPr>
                <w:rFonts w:ascii="Calibri" w:hAnsi="Calibri" w:cs="Calibri"/>
                <w:sz w:val="22"/>
                <w:szCs w:val="22"/>
              </w:rPr>
              <w:t>Macro-economic scenario for the period 2013-2016</w:t>
            </w:r>
          </w:p>
          <w:p w:rsidR="008D3E5E" w:rsidRPr="00F63F72" w:rsidRDefault="008D3E5E" w:rsidP="004C45D3">
            <w:pPr>
              <w:rPr>
                <w:rFonts w:ascii="Calibri" w:hAnsi="Calibri" w:cs="Calibri"/>
              </w:rPr>
            </w:pP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10</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3.</w:t>
            </w: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PUBLIC FINANCES 2012-2016</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12</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3.1.</w:t>
            </w: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Public finances and public debt</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12</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3.1.1.</w:t>
            </w:r>
          </w:p>
        </w:tc>
        <w:tc>
          <w:tcPr>
            <w:tcW w:w="6203" w:type="dxa"/>
          </w:tcPr>
          <w:p w:rsidR="008D3E5E" w:rsidRPr="00F63F72" w:rsidRDefault="008D3E5E" w:rsidP="004C45D3">
            <w:pPr>
              <w:ind w:right="34"/>
              <w:rPr>
                <w:rFonts w:ascii="Calibri" w:hAnsi="Calibri" w:cs="Calibri"/>
              </w:rPr>
            </w:pPr>
            <w:r w:rsidRPr="00F63F72">
              <w:rPr>
                <w:rFonts w:ascii="Calibri" w:hAnsi="Calibri" w:cs="Calibri"/>
                <w:sz w:val="22"/>
                <w:szCs w:val="22"/>
              </w:rPr>
              <w:t>Strategy and medium-term objectives of the public finance policy</w:t>
            </w:r>
          </w:p>
          <w:p w:rsidR="008D3E5E" w:rsidRPr="00F63F72" w:rsidRDefault="008D3E5E" w:rsidP="004C45D3">
            <w:pPr>
              <w:rPr>
                <w:rFonts w:ascii="Calibri" w:hAnsi="Calibri" w:cs="Calibri"/>
              </w:rPr>
            </w:pP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12</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3.1.2.</w:t>
            </w:r>
          </w:p>
        </w:tc>
        <w:tc>
          <w:tcPr>
            <w:tcW w:w="6203" w:type="dxa"/>
          </w:tcPr>
          <w:p w:rsidR="008D3E5E" w:rsidRPr="00F63F72" w:rsidRDefault="008D3E5E" w:rsidP="004C45D3">
            <w:pPr>
              <w:spacing w:after="240"/>
              <w:rPr>
                <w:rFonts w:ascii="Calibri" w:hAnsi="Calibri" w:cs="Calibri"/>
              </w:rPr>
            </w:pPr>
            <w:r w:rsidRPr="00F63F72">
              <w:rPr>
                <w:rFonts w:ascii="Calibri" w:hAnsi="Calibri" w:cs="Calibri"/>
                <w:sz w:val="22"/>
                <w:szCs w:val="22"/>
              </w:rPr>
              <w:t>Public finance trends in 2012 and first quarter of 2013</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14</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3.1.3.</w:t>
            </w: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Public finance projections for the period 2013-2016.</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16</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3.1.4.</w:t>
            </w: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Fiscal risks for the period 2013-2016</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21</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3.1.5.</w:t>
            </w: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Public debt and guarantees</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21</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3.2.</w:t>
            </w:r>
          </w:p>
        </w:tc>
        <w:tc>
          <w:tcPr>
            <w:tcW w:w="6203" w:type="dxa"/>
          </w:tcPr>
          <w:p w:rsidR="008D3E5E" w:rsidRPr="00F63F72" w:rsidRDefault="008D3E5E" w:rsidP="004C45D3">
            <w:pPr>
              <w:spacing w:after="240"/>
              <w:rPr>
                <w:rFonts w:ascii="Calibri" w:hAnsi="Calibri" w:cs="Calibri"/>
              </w:rPr>
            </w:pPr>
            <w:r w:rsidRPr="00F63F72">
              <w:rPr>
                <w:rFonts w:ascii="Calibri" w:hAnsi="Calibri" w:cs="Calibri"/>
                <w:sz w:val="22"/>
                <w:szCs w:val="22"/>
              </w:rPr>
              <w:t>Public finances quality</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23</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3.3.</w:t>
            </w:r>
          </w:p>
        </w:tc>
        <w:tc>
          <w:tcPr>
            <w:tcW w:w="6203" w:type="dxa"/>
          </w:tcPr>
          <w:p w:rsidR="008D3E5E" w:rsidRPr="00F63F72" w:rsidRDefault="008D3E5E" w:rsidP="004C45D3">
            <w:pPr>
              <w:rPr>
                <w:rFonts w:ascii="Calibri" w:hAnsi="Calibri" w:cs="Calibri"/>
              </w:rPr>
            </w:pPr>
            <w:r w:rsidRPr="00F63F72">
              <w:rPr>
                <w:rFonts w:ascii="Calibri" w:hAnsi="Calibri" w:cs="Calibri"/>
                <w:sz w:val="22"/>
                <w:szCs w:val="22"/>
              </w:rPr>
              <w:t>Institutional framework of public finances</w:t>
            </w: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25</w:t>
            </w:r>
          </w:p>
        </w:tc>
      </w:tr>
      <w:tr w:rsidR="008D3E5E" w:rsidRPr="00F63F72" w:rsidTr="004C45D3">
        <w:trPr>
          <w:trHeight w:hRule="exact" w:val="455"/>
        </w:trPr>
        <w:tc>
          <w:tcPr>
            <w:tcW w:w="1135" w:type="dxa"/>
          </w:tcPr>
          <w:p w:rsidR="008D3E5E" w:rsidRPr="00F63F72" w:rsidRDefault="008D3E5E" w:rsidP="004C45D3">
            <w:pPr>
              <w:jc w:val="right"/>
              <w:rPr>
                <w:rFonts w:ascii="Calibri" w:hAnsi="Calibri" w:cs="Calibri"/>
              </w:rPr>
            </w:pPr>
            <w:r w:rsidRPr="00F63F72">
              <w:rPr>
                <w:rFonts w:ascii="Calibri" w:hAnsi="Calibri" w:cs="Calibri"/>
                <w:sz w:val="22"/>
                <w:szCs w:val="22"/>
              </w:rPr>
              <w:t>APPENDIX</w:t>
            </w:r>
          </w:p>
        </w:tc>
        <w:tc>
          <w:tcPr>
            <w:tcW w:w="6203" w:type="dxa"/>
          </w:tcPr>
          <w:p w:rsidR="008D3E5E" w:rsidRPr="00F63F72" w:rsidRDefault="008D3E5E" w:rsidP="004C45D3">
            <w:pPr>
              <w:spacing w:after="200" w:line="276" w:lineRule="auto"/>
              <w:rPr>
                <w:rFonts w:ascii="Calibri" w:hAnsi="Calibri" w:cs="Calibri"/>
              </w:rPr>
            </w:pPr>
            <w:r w:rsidRPr="00F63F72">
              <w:rPr>
                <w:rFonts w:ascii="Calibri" w:hAnsi="Calibri" w:cs="Calibri"/>
                <w:sz w:val="22"/>
                <w:szCs w:val="22"/>
              </w:rPr>
              <w:t>Tables with pubic revenues and expenditures 2012-2016</w:t>
            </w:r>
          </w:p>
          <w:p w:rsidR="008D3E5E" w:rsidRPr="00F63F72" w:rsidRDefault="008D3E5E" w:rsidP="004C45D3">
            <w:pPr>
              <w:spacing w:after="200" w:line="276" w:lineRule="auto"/>
              <w:rPr>
                <w:rFonts w:ascii="Calibri" w:hAnsi="Calibri" w:cs="Calibri"/>
              </w:rPr>
            </w:pPr>
          </w:p>
          <w:p w:rsidR="008D3E5E" w:rsidRPr="00F63F72" w:rsidRDefault="008D3E5E" w:rsidP="004C45D3">
            <w:pPr>
              <w:spacing w:after="200" w:line="276" w:lineRule="auto"/>
              <w:rPr>
                <w:rFonts w:ascii="Calibri" w:hAnsi="Calibri" w:cs="Calibri"/>
              </w:rPr>
            </w:pPr>
          </w:p>
          <w:p w:rsidR="008D3E5E" w:rsidRPr="00F63F72" w:rsidRDefault="008D3E5E" w:rsidP="004C45D3">
            <w:pPr>
              <w:spacing w:after="200" w:line="276" w:lineRule="auto"/>
              <w:rPr>
                <w:rFonts w:ascii="Calibri" w:hAnsi="Calibri" w:cs="Calibri"/>
              </w:rPr>
            </w:pPr>
          </w:p>
          <w:p w:rsidR="008D3E5E" w:rsidRPr="00F63F72" w:rsidRDefault="008D3E5E" w:rsidP="004C45D3">
            <w:pPr>
              <w:spacing w:after="200" w:line="276" w:lineRule="auto"/>
              <w:rPr>
                <w:rFonts w:ascii="Calibri" w:hAnsi="Calibri" w:cs="Calibri"/>
              </w:rPr>
            </w:pPr>
          </w:p>
        </w:tc>
        <w:tc>
          <w:tcPr>
            <w:tcW w:w="2527" w:type="dxa"/>
            <w:gridSpan w:val="2"/>
          </w:tcPr>
          <w:p w:rsidR="008D3E5E" w:rsidRPr="00F63F72" w:rsidRDefault="008D3E5E" w:rsidP="004C45D3">
            <w:pPr>
              <w:jc w:val="right"/>
              <w:rPr>
                <w:rFonts w:ascii="Calibri" w:hAnsi="Calibri" w:cs="Calibri"/>
              </w:rPr>
            </w:pPr>
            <w:r w:rsidRPr="00F63F72">
              <w:rPr>
                <w:rFonts w:ascii="Calibri" w:hAnsi="Calibri" w:cs="Calibri"/>
                <w:sz w:val="22"/>
                <w:szCs w:val="22"/>
              </w:rPr>
              <w:t>27</w:t>
            </w:r>
          </w:p>
        </w:tc>
      </w:tr>
    </w:tbl>
    <w:p w:rsidR="008D3E5E" w:rsidRPr="00F63F72" w:rsidRDefault="008D3E5E" w:rsidP="008D3E5E">
      <w:pPr>
        <w:spacing w:after="200"/>
        <w:rPr>
          <w:rFonts w:ascii="Calibri" w:hAnsi="Calibri" w:cs="Calibri"/>
          <w:sz w:val="22"/>
          <w:szCs w:val="22"/>
        </w:rPr>
      </w:pPr>
      <w:r w:rsidRPr="00F63F72">
        <w:rPr>
          <w:rFonts w:ascii="Calibri" w:hAnsi="Calibri" w:cs="Calibri"/>
          <w:b/>
          <w:sz w:val="22"/>
          <w:szCs w:val="22"/>
        </w:rPr>
        <w:t xml:space="preserve"> </w:t>
      </w:r>
      <w:r w:rsidRPr="00F63F72">
        <w:rPr>
          <w:rFonts w:ascii="Calibri" w:hAnsi="Calibri" w:cs="Calibri"/>
          <w:b/>
          <w:sz w:val="22"/>
          <w:szCs w:val="22"/>
        </w:rPr>
        <w:tab/>
      </w:r>
      <w:r w:rsidRPr="00F63F72">
        <w:rPr>
          <w:rFonts w:ascii="Calibri" w:hAnsi="Calibri" w:cs="Calibri"/>
          <w:sz w:val="22"/>
          <w:szCs w:val="22"/>
        </w:rPr>
        <w:t xml:space="preserve">        Expected investments 2013-2016</w:t>
      </w:r>
      <w:r w:rsidRPr="00F63F72">
        <w:rPr>
          <w:rFonts w:ascii="Calibri" w:hAnsi="Calibri" w:cs="Calibri"/>
          <w:sz w:val="22"/>
          <w:szCs w:val="22"/>
        </w:rPr>
        <w:tab/>
      </w:r>
      <w:r w:rsidRPr="00F63F72">
        <w:rPr>
          <w:rFonts w:ascii="Calibri" w:hAnsi="Calibri" w:cs="Calibri"/>
          <w:sz w:val="22"/>
          <w:szCs w:val="22"/>
        </w:rPr>
        <w:tab/>
      </w:r>
      <w:r w:rsidRPr="00F63F72">
        <w:rPr>
          <w:rFonts w:ascii="Calibri" w:hAnsi="Calibri" w:cs="Calibri"/>
          <w:sz w:val="22"/>
          <w:szCs w:val="22"/>
        </w:rPr>
        <w:tab/>
      </w:r>
      <w:r w:rsidRPr="00F63F72">
        <w:rPr>
          <w:rFonts w:ascii="Calibri" w:hAnsi="Calibri" w:cs="Calibri"/>
          <w:sz w:val="22"/>
          <w:szCs w:val="22"/>
        </w:rPr>
        <w:tab/>
      </w:r>
      <w:r w:rsidRPr="00F63F72">
        <w:rPr>
          <w:rFonts w:ascii="Calibri" w:hAnsi="Calibri" w:cs="Calibri"/>
          <w:sz w:val="22"/>
          <w:szCs w:val="22"/>
        </w:rPr>
        <w:tab/>
      </w:r>
      <w:r w:rsidRPr="00F63F72">
        <w:rPr>
          <w:rFonts w:ascii="Calibri" w:hAnsi="Calibri" w:cs="Calibri"/>
          <w:sz w:val="22"/>
          <w:szCs w:val="22"/>
        </w:rPr>
        <w:tab/>
      </w:r>
      <w:r w:rsidRPr="00F63F72">
        <w:rPr>
          <w:rFonts w:ascii="Calibri" w:hAnsi="Calibri" w:cs="Calibri"/>
          <w:sz w:val="22"/>
          <w:szCs w:val="22"/>
        </w:rPr>
        <w:tab/>
        <w:t xml:space="preserve">         31</w:t>
      </w:r>
    </w:p>
    <w:p w:rsidR="008D3E5E" w:rsidRPr="00F63F72" w:rsidRDefault="008D3E5E" w:rsidP="008D3E5E">
      <w:pPr>
        <w:spacing w:after="200"/>
        <w:jc w:val="center"/>
        <w:rPr>
          <w:rFonts w:ascii="Calibri" w:hAnsi="Calibri" w:cs="Calibri"/>
          <w:b/>
          <w:sz w:val="22"/>
          <w:szCs w:val="22"/>
        </w:rPr>
      </w:pPr>
    </w:p>
    <w:p w:rsidR="008D3E5E" w:rsidRPr="00F63F72" w:rsidRDefault="008D3E5E" w:rsidP="008D3E5E">
      <w:pPr>
        <w:spacing w:after="200"/>
        <w:jc w:val="center"/>
        <w:rPr>
          <w:rFonts w:ascii="Calibri" w:hAnsi="Calibri" w:cs="Calibri"/>
          <w:b/>
          <w:sz w:val="22"/>
          <w:szCs w:val="22"/>
        </w:rPr>
      </w:pPr>
    </w:p>
    <w:p w:rsidR="008D3E5E" w:rsidRPr="00F63F72" w:rsidRDefault="008D3E5E" w:rsidP="008D3E5E">
      <w:pPr>
        <w:spacing w:after="200"/>
        <w:jc w:val="center"/>
        <w:rPr>
          <w:rFonts w:ascii="Calibri" w:hAnsi="Calibri" w:cs="Calibri"/>
          <w:b/>
          <w:sz w:val="22"/>
          <w:szCs w:val="22"/>
        </w:rPr>
      </w:pPr>
    </w:p>
    <w:p w:rsidR="008D3E5E" w:rsidRPr="00F63F72" w:rsidRDefault="008D3E5E" w:rsidP="008D3E5E">
      <w:pPr>
        <w:spacing w:after="200"/>
        <w:jc w:val="center"/>
        <w:rPr>
          <w:rFonts w:ascii="Calibri" w:hAnsi="Calibri" w:cs="Calibri"/>
          <w:b/>
          <w:sz w:val="22"/>
          <w:szCs w:val="22"/>
        </w:rPr>
      </w:pPr>
    </w:p>
    <w:p w:rsidR="008D3E5E" w:rsidRPr="00F63F72" w:rsidRDefault="008D3E5E" w:rsidP="008D3E5E">
      <w:pPr>
        <w:spacing w:after="200"/>
        <w:jc w:val="center"/>
        <w:rPr>
          <w:rFonts w:ascii="Calibri" w:hAnsi="Calibri" w:cs="Calibri"/>
          <w:b/>
          <w:sz w:val="22"/>
          <w:szCs w:val="22"/>
        </w:rPr>
      </w:pPr>
    </w:p>
    <w:p w:rsidR="008D3E5E" w:rsidRPr="00F63F72" w:rsidRDefault="008D3E5E" w:rsidP="008D3E5E">
      <w:pPr>
        <w:rPr>
          <w:rFonts w:ascii="Calibri" w:hAnsi="Calibri" w:cs="Calibri"/>
          <w:b/>
          <w:i/>
          <w:sz w:val="22"/>
        </w:rPr>
      </w:pPr>
      <w:r w:rsidRPr="00F63F72">
        <w:rPr>
          <w:rFonts w:ascii="Calibri" w:hAnsi="Calibri" w:cs="Calibri"/>
          <w:b/>
          <w:i/>
          <w:sz w:val="22"/>
        </w:rPr>
        <w:t>Summary</w:t>
      </w:r>
    </w:p>
    <w:p w:rsidR="008D3E5E" w:rsidRPr="00F63F72" w:rsidRDefault="008D3E5E" w:rsidP="008D3E5E">
      <w:pPr>
        <w:rPr>
          <w:rFonts w:ascii="Calibri" w:hAnsi="Calibri" w:cs="Calibri"/>
          <w:sz w:val="22"/>
        </w:rPr>
      </w:pPr>
    </w:p>
    <w:p w:rsidR="008D3E5E" w:rsidRPr="00F63F72" w:rsidRDefault="008D3E5E" w:rsidP="008D3E5E">
      <w:pPr>
        <w:spacing w:after="240"/>
        <w:jc w:val="both"/>
        <w:rPr>
          <w:rFonts w:ascii="Calibri" w:hAnsi="Calibri" w:cs="Calibri"/>
          <w:sz w:val="22"/>
        </w:rPr>
      </w:pPr>
      <w:r w:rsidRPr="00F63F72">
        <w:rPr>
          <w:rFonts w:ascii="Calibri" w:hAnsi="Calibri" w:cs="Calibri"/>
          <w:sz w:val="22"/>
        </w:rPr>
        <w:t>In 2012 there was a decline in economic activity in the Euro</w:t>
      </w:r>
      <w:r>
        <w:rPr>
          <w:rFonts w:ascii="Calibri" w:hAnsi="Calibri" w:cs="Calibri"/>
          <w:sz w:val="22"/>
        </w:rPr>
        <w:t xml:space="preserve"> </w:t>
      </w:r>
      <w:r w:rsidRPr="00F63F72">
        <w:rPr>
          <w:rFonts w:ascii="Calibri" w:hAnsi="Calibri" w:cs="Calibri"/>
          <w:sz w:val="22"/>
        </w:rPr>
        <w:t xml:space="preserve">zone and the EU and that trend </w:t>
      </w:r>
      <w:r>
        <w:rPr>
          <w:rFonts w:ascii="Calibri" w:hAnsi="Calibri" w:cs="Calibri"/>
          <w:sz w:val="22"/>
        </w:rPr>
        <w:t>further spread</w:t>
      </w:r>
      <w:r w:rsidRPr="00F63F72">
        <w:rPr>
          <w:rFonts w:ascii="Calibri" w:hAnsi="Calibri" w:cs="Calibri"/>
          <w:sz w:val="22"/>
        </w:rPr>
        <w:t xml:space="preserve"> to the periphery of Europe which also affected the economies of central Europe. The forecasts of the EC and the IMF for 2013 envisage further decline in economic activity in the countries of the European Union and its growth starting to take place in the second half of 2013 and in 2014. For 2014, a </w:t>
      </w:r>
      <w:r w:rsidRPr="008D3E5E">
        <w:rPr>
          <w:rFonts w:ascii="Calibri" w:hAnsi="Calibri" w:cs="Calibri"/>
          <w:sz w:val="22"/>
        </w:rPr>
        <w:t>weak growth</w:t>
      </w:r>
      <w:r w:rsidRPr="00F63F72">
        <w:rPr>
          <w:rFonts w:ascii="Calibri" w:hAnsi="Calibri" w:cs="Calibri"/>
          <w:sz w:val="22"/>
        </w:rPr>
        <w:t xml:space="preserve"> of 1.2% is projected </w:t>
      </w:r>
      <w:r w:rsidR="007D345D">
        <w:rPr>
          <w:rFonts w:ascii="Calibri" w:hAnsi="Calibri" w:cs="Calibri"/>
          <w:sz w:val="22"/>
        </w:rPr>
        <w:t>and it</w:t>
      </w:r>
      <w:r w:rsidRPr="00F63F72">
        <w:rPr>
          <w:rFonts w:ascii="Calibri" w:hAnsi="Calibri" w:cs="Calibri"/>
          <w:sz w:val="22"/>
        </w:rPr>
        <w:t xml:space="preserve"> would be primarily driven by increased export demand, which is a consequence of strengthening of the demand of the world economy, while domestic demand remains depressed under the influence of saving measures. Bad weather conditions in the first quarter, as well as the crisis in the business of KAP, led to the Montenegrin economy recording a negative growth rate of 0.5% in 2012. </w:t>
      </w:r>
      <w:r w:rsidR="00F40570">
        <w:rPr>
          <w:rFonts w:ascii="Calibri" w:hAnsi="Calibri" w:cs="Calibri"/>
          <w:sz w:val="22"/>
        </w:rPr>
        <w:t>Such an</w:t>
      </w:r>
      <w:r w:rsidRPr="00F63F72">
        <w:rPr>
          <w:rFonts w:ascii="Calibri" w:hAnsi="Calibri" w:cs="Calibri"/>
          <w:sz w:val="22"/>
        </w:rPr>
        <w:t xml:space="preserve"> environment with uncertain fate of KAP caused growth projections of economic activity in the medium term in Montenegro to be 3.6%</w:t>
      </w:r>
      <w:r w:rsidR="00F40570">
        <w:rPr>
          <w:rFonts w:ascii="Calibri" w:hAnsi="Calibri" w:cs="Calibri"/>
          <w:sz w:val="22"/>
        </w:rPr>
        <w:t xml:space="preserve"> </w:t>
      </w:r>
      <w:r w:rsidRPr="00F63F72">
        <w:rPr>
          <w:rFonts w:ascii="Calibri" w:hAnsi="Calibri" w:cs="Calibri"/>
          <w:sz w:val="22"/>
        </w:rPr>
        <w:t>on</w:t>
      </w:r>
      <w:r w:rsidR="00F40570">
        <w:rPr>
          <w:rFonts w:ascii="Calibri" w:hAnsi="Calibri" w:cs="Calibri"/>
          <w:sz w:val="22"/>
        </w:rPr>
        <w:t xml:space="preserve"> average</w:t>
      </w:r>
      <w:r w:rsidRPr="00F63F72">
        <w:rPr>
          <w:rFonts w:ascii="Calibri" w:hAnsi="Calibri" w:cs="Calibri"/>
          <w:sz w:val="22"/>
        </w:rPr>
        <w:t xml:space="preserve">, which is slightly above the potential growth rate of the Montenegrin economy. The main impulses for the projected rate of growth in the medium term, are the slight increase in household consumption and strong growth in investment activities in the sectors of tourism, energy, transport, agriculture and rural development. Medium-term fiscal goals of deficit reduction and debt stabilization and reduction have negative impact on economic activity through a decline in the share of </w:t>
      </w:r>
      <w:r w:rsidR="00F40570">
        <w:rPr>
          <w:rFonts w:ascii="Calibri" w:hAnsi="Calibri" w:cs="Calibri"/>
          <w:sz w:val="22"/>
        </w:rPr>
        <w:t>public</w:t>
      </w:r>
      <w:r w:rsidRPr="00F63F72">
        <w:rPr>
          <w:rFonts w:ascii="Calibri" w:hAnsi="Calibri" w:cs="Calibri"/>
          <w:sz w:val="22"/>
        </w:rPr>
        <w:t xml:space="preserve"> spending in GDP and</w:t>
      </w:r>
      <w:r w:rsidR="00F40570">
        <w:rPr>
          <w:rFonts w:ascii="Calibri" w:hAnsi="Calibri" w:cs="Calibri"/>
          <w:sz w:val="22"/>
        </w:rPr>
        <w:t>,</w:t>
      </w:r>
      <w:r w:rsidRPr="00F63F72">
        <w:rPr>
          <w:rFonts w:ascii="Calibri" w:hAnsi="Calibri" w:cs="Calibri"/>
          <w:sz w:val="22"/>
        </w:rPr>
        <w:t xml:space="preserve"> with that</w:t>
      </w:r>
      <w:r w:rsidR="00F40570">
        <w:rPr>
          <w:rFonts w:ascii="Calibri" w:hAnsi="Calibri" w:cs="Calibri"/>
          <w:sz w:val="22"/>
        </w:rPr>
        <w:t>,</w:t>
      </w:r>
      <w:r w:rsidRPr="00F63F72">
        <w:rPr>
          <w:rFonts w:ascii="Calibri" w:hAnsi="Calibri" w:cs="Calibri"/>
          <w:sz w:val="22"/>
        </w:rPr>
        <w:t xml:space="preserve"> reduction of aggregate demand, but on the other hand, </w:t>
      </w:r>
      <w:r w:rsidR="00F40570">
        <w:rPr>
          <w:rFonts w:ascii="Calibri" w:hAnsi="Calibri" w:cs="Calibri"/>
          <w:sz w:val="22"/>
        </w:rPr>
        <w:t xml:space="preserve">they have </w:t>
      </w:r>
      <w:r w:rsidRPr="00F63F72">
        <w:rPr>
          <w:rFonts w:ascii="Calibri" w:hAnsi="Calibri" w:cs="Calibri"/>
          <w:sz w:val="22"/>
        </w:rPr>
        <w:t xml:space="preserve">a positive impact through strengthening of macroeconomic stability. Net exports would have a neutral impact on GDP in 2013 through reduced export and reduced import, so in the medium term, its contribution would be positive through strengthening of export and import. This macroeconomic scenario assumes that in the medium term a stable level of FDI will be kept while strengthening of credit activity should be the necessary support to the projected growth. Inflation projections anticipate stable prices of energy and food, but they take into account the announced increase in VAT rates, so in  2013 a slightly higher inflation rate of 3% is envisaged, which would be stabilized at 2.5% in the medium term. Under the influence of negative growth rate in 2012 and problems in aluminum production, a slight increase in the unemployment rate is projected in 2013, while by strengthening the economic activity in the medium term, it would </w:t>
      </w:r>
      <w:r w:rsidR="001A0A0A">
        <w:rPr>
          <w:rFonts w:ascii="Calibri" w:hAnsi="Calibri" w:cs="Calibri"/>
          <w:sz w:val="22"/>
        </w:rPr>
        <w:t>gradually fa</w:t>
      </w:r>
      <w:r w:rsidRPr="00F63F72">
        <w:rPr>
          <w:rFonts w:ascii="Calibri" w:hAnsi="Calibri" w:cs="Calibri"/>
          <w:sz w:val="22"/>
        </w:rPr>
        <w:t>ll below 13%.</w:t>
      </w:r>
    </w:p>
    <w:p w:rsidR="008D3E5E" w:rsidRPr="00F63F72" w:rsidRDefault="008D3E5E" w:rsidP="008D3E5E">
      <w:pPr>
        <w:spacing w:after="240"/>
        <w:jc w:val="both"/>
        <w:rPr>
          <w:rFonts w:ascii="Calibri" w:hAnsi="Calibri" w:cs="Calibri"/>
          <w:sz w:val="22"/>
        </w:rPr>
      </w:pPr>
    </w:p>
    <w:p w:rsidR="008D3E5E" w:rsidRPr="00F63F72" w:rsidRDefault="008D3E5E" w:rsidP="008D3E5E">
      <w:pPr>
        <w:spacing w:after="240"/>
        <w:jc w:val="both"/>
        <w:rPr>
          <w:rFonts w:ascii="Calibri" w:hAnsi="Calibri" w:cs="Calibri"/>
          <w:color w:val="000000"/>
          <w:sz w:val="22"/>
          <w:szCs w:val="22"/>
        </w:rPr>
      </w:pPr>
      <w:r w:rsidRPr="00F63F72">
        <w:rPr>
          <w:rFonts w:ascii="Calibri" w:hAnsi="Calibri" w:cs="Calibri"/>
          <w:sz w:val="22"/>
        </w:rPr>
        <w:t xml:space="preserve">Budget deficit at the end of 2012, according to preliminary data, reached the level of 4.87% of GDP. These developments have highlighted the urgent need for adaptation and the need for stabilization of the deficit. Following the establishment of the new government, the problem of gray economy </w:t>
      </w:r>
      <w:r w:rsidR="00F40570">
        <w:rPr>
          <w:rFonts w:ascii="Calibri" w:hAnsi="Calibri" w:cs="Calibri"/>
          <w:sz w:val="22"/>
        </w:rPr>
        <w:t>was actively addressed;</w:t>
      </w:r>
      <w:r w:rsidRPr="00F63F72">
        <w:rPr>
          <w:rFonts w:ascii="Calibri" w:hAnsi="Calibri" w:cs="Calibri"/>
          <w:sz w:val="22"/>
        </w:rPr>
        <w:t xml:space="preserve"> temporary measures were introduced of which the most important are: the introduction of the crisis tax on earnings above the average wage</w:t>
      </w:r>
      <w:r w:rsidRPr="008D3E5E">
        <w:rPr>
          <w:rFonts w:ascii="Calibri" w:hAnsi="Calibri" w:cs="Calibri"/>
          <w:sz w:val="22"/>
        </w:rPr>
        <w:t xml:space="preserve">, freeze on harmonization of pensions increase. </w:t>
      </w:r>
      <w:r w:rsidRPr="00F63F72">
        <w:rPr>
          <w:rFonts w:ascii="Calibri" w:hAnsi="Calibri" w:cs="Calibri"/>
          <w:sz w:val="22"/>
        </w:rPr>
        <w:t xml:space="preserve">In addition, the increase of the upper tax rate of VAT from 17 to </w:t>
      </w:r>
      <w:r w:rsidR="001A0A0A">
        <w:rPr>
          <w:rFonts w:ascii="Calibri" w:hAnsi="Calibri" w:cs="Calibri"/>
          <w:sz w:val="22"/>
        </w:rPr>
        <w:t>19%. The results of implementation of</w:t>
      </w:r>
      <w:r w:rsidRPr="00F63F72">
        <w:rPr>
          <w:rFonts w:ascii="Calibri" w:hAnsi="Calibri" w:cs="Calibri"/>
          <w:sz w:val="22"/>
        </w:rPr>
        <w:t xml:space="preserve"> these measures are visible through the collection of revenues in the first quarter of 2013, when budget revenues achieved were over the plan by 3.3% and above last quarter by 13.3%. Particularly positive </w:t>
      </w:r>
      <w:r w:rsidR="001A0A0A">
        <w:rPr>
          <w:rFonts w:ascii="Calibri" w:hAnsi="Calibri" w:cs="Calibri"/>
          <w:sz w:val="22"/>
        </w:rPr>
        <w:t>deviation has been recorded</w:t>
      </w:r>
      <w:r w:rsidRPr="00F63F72">
        <w:rPr>
          <w:rFonts w:ascii="Calibri" w:hAnsi="Calibri" w:cs="Calibri"/>
          <w:sz w:val="22"/>
        </w:rPr>
        <w:t xml:space="preserve"> regarding collection of VAT, which records an increase of 13.9% compared to the plan, and 19.3% compared to the first quarter of 2012. </w:t>
      </w:r>
      <w:r w:rsidRPr="00F63F72">
        <w:rPr>
          <w:rFonts w:ascii="Calibri" w:hAnsi="Calibri" w:cs="Calibri"/>
          <w:b/>
          <w:sz w:val="22"/>
        </w:rPr>
        <w:t>The projections of growth of public revenues in the medium term</w:t>
      </w:r>
      <w:r w:rsidRPr="00F63F72">
        <w:rPr>
          <w:rFonts w:ascii="Calibri" w:hAnsi="Calibri" w:cs="Calibri"/>
          <w:sz w:val="22"/>
        </w:rPr>
        <w:t xml:space="preserve"> are made in accordance with the projected rates of economic recovery and inflation trends during this period. Public revenues for 2013, taking into consideration the measures related to the budget, were estimated in absolute amount of 1,318.9, or 37.5% of GDP, which is </w:t>
      </w:r>
      <w:r w:rsidRPr="008D3E5E">
        <w:rPr>
          <w:rFonts w:ascii="Calibri" w:hAnsi="Calibri" w:cs="Calibri"/>
          <w:sz w:val="22"/>
        </w:rPr>
        <w:t>0.7 GDP percentage points</w:t>
      </w:r>
      <w:r w:rsidRPr="00F63F72">
        <w:rPr>
          <w:rFonts w:ascii="Calibri" w:hAnsi="Calibri" w:cs="Calibri"/>
          <w:sz w:val="22"/>
        </w:rPr>
        <w:t xml:space="preserve"> higher than planned for 2013. The overall financial impact of the measures undertaken to increase revenue collection in 2013 shall according to the conservative calculation, amount to EUR 45-55 million (excluding grey economy). Compared to 2012, revenues in the 2013 will increase by EUR 62,7 million. In order to create a system of sustainable public finances in the medium term, it is planned that public spending declines as a percentage of share in GDP, from 37% of GDP in 2014 to 34.1% of GDP in the 2016</w:t>
      </w:r>
      <w:r w:rsidRPr="008D3E5E">
        <w:rPr>
          <w:rFonts w:ascii="Calibri" w:hAnsi="Calibri" w:cs="Calibri"/>
          <w:sz w:val="22"/>
        </w:rPr>
        <w:t>, while in absolute terms</w:t>
      </w:r>
      <w:r w:rsidR="001649F5">
        <w:rPr>
          <w:rFonts w:ascii="Calibri" w:hAnsi="Calibri" w:cs="Calibri"/>
          <w:sz w:val="22"/>
        </w:rPr>
        <w:t>,</w:t>
      </w:r>
      <w:r w:rsidRPr="00F63F72">
        <w:rPr>
          <w:rFonts w:ascii="Calibri" w:hAnsi="Calibri" w:cs="Calibri"/>
          <w:sz w:val="22"/>
        </w:rPr>
        <w:t xml:space="preserve"> gradual increase in public spending is expected, from EUR 1,380.4 million in 2014 to EUR 1,455.1 million in 2016. It is necessary to keep overhead expenses on a lower level than current income and take measures to </w:t>
      </w:r>
      <w:r w:rsidRPr="00F63F72">
        <w:rPr>
          <w:rFonts w:ascii="Calibri" w:hAnsi="Calibri" w:cs="Calibri"/>
          <w:sz w:val="22"/>
        </w:rPr>
        <w:lastRenderedPageBreak/>
        <w:t xml:space="preserve">reduce the share of public spending as a percentage share in gross domestic product. In the medium term 2014-2016, due to the restrictive policies of expenditure management, it is estimated that the public sector deficit shall be reduced from 1.9% of GDP in the 2013 to 1% of GDP in 2014, while in 2015 it will fall to 0.8% of GDP, and in 2016 it is planned to achieve public finance deficit of 0.6% of GDP. </w:t>
      </w:r>
      <w:r w:rsidRPr="008D3E5E">
        <w:rPr>
          <w:rFonts w:ascii="Calibri" w:hAnsi="Calibri" w:cs="Calibri"/>
          <w:sz w:val="22"/>
        </w:rPr>
        <w:t>Public debt at</w:t>
      </w:r>
      <w:r w:rsidRPr="00F63F72">
        <w:rPr>
          <w:rFonts w:ascii="Calibri" w:hAnsi="Calibri" w:cs="Calibri"/>
          <w:sz w:val="22"/>
        </w:rPr>
        <w:t xml:space="preserve"> </w:t>
      </w:r>
      <w:r w:rsidR="001649F5">
        <w:rPr>
          <w:rFonts w:ascii="Calibri" w:hAnsi="Calibri" w:cs="Calibri"/>
          <w:sz w:val="22"/>
        </w:rPr>
        <w:t xml:space="preserve">the </w:t>
      </w:r>
      <w:r w:rsidRPr="00F63F72">
        <w:rPr>
          <w:rFonts w:ascii="Calibri" w:hAnsi="Calibri" w:cs="Calibri"/>
          <w:sz w:val="22"/>
        </w:rPr>
        <w:t>end of 2012 amounted to EUR 1,699.5 million or 50.9% of the estimated GDP for 2012. In the medium-term, the plan is to gradually increase the debt to about 53.8% of G</w:t>
      </w:r>
      <w:r w:rsidR="001649F5">
        <w:rPr>
          <w:rFonts w:ascii="Calibri" w:hAnsi="Calibri" w:cs="Calibri"/>
          <w:sz w:val="22"/>
        </w:rPr>
        <w:t>DP, and then gradually decrease</w:t>
      </w:r>
      <w:r w:rsidRPr="00F63F72">
        <w:rPr>
          <w:rFonts w:ascii="Calibri" w:hAnsi="Calibri" w:cs="Calibri"/>
          <w:sz w:val="22"/>
        </w:rPr>
        <w:t xml:space="preserve"> it to 52.8% of GDP in 2015, and in 2016, it would fall to 50.1% of GDP</w:t>
      </w:r>
      <w:r w:rsidRPr="00F63F72">
        <w:rPr>
          <w:rFonts w:ascii="Calibri" w:hAnsi="Calibri" w:cs="Calibri"/>
          <w:color w:val="000000"/>
          <w:sz w:val="22"/>
          <w:szCs w:val="22"/>
        </w:rPr>
        <w:t>.</w:t>
      </w:r>
    </w:p>
    <w:p w:rsidR="008D3E5E" w:rsidRPr="00F63F72" w:rsidRDefault="008D3E5E" w:rsidP="008D3E5E">
      <w:pPr>
        <w:pStyle w:val="Caption"/>
        <w:keepNext/>
        <w:rPr>
          <w:rFonts w:ascii="Calibri" w:hAnsi="Calibri" w:cs="Calibri"/>
          <w:sz w:val="18"/>
          <w:lang w:val="en-US"/>
        </w:rPr>
      </w:pPr>
      <w:r w:rsidRPr="00F63F72">
        <w:rPr>
          <w:rFonts w:ascii="Calibri" w:hAnsi="Calibri" w:cs="Calibri"/>
          <w:sz w:val="18"/>
          <w:lang w:val="en-US"/>
        </w:rPr>
        <w:t xml:space="preserve">Table </w:t>
      </w:r>
      <w:r w:rsidR="00033B25" w:rsidRPr="00F63F72">
        <w:rPr>
          <w:rFonts w:ascii="Calibri" w:hAnsi="Calibri" w:cs="Calibri"/>
          <w:sz w:val="18"/>
          <w:lang w:val="en-US"/>
        </w:rPr>
        <w:fldChar w:fldCharType="begin"/>
      </w:r>
      <w:r w:rsidRPr="00F63F72">
        <w:rPr>
          <w:rFonts w:ascii="Calibri" w:hAnsi="Calibri" w:cs="Calibri"/>
          <w:sz w:val="18"/>
          <w:lang w:val="en-US"/>
        </w:rPr>
        <w:instrText xml:space="preserve"> SEQ Tabela \* ARABIC </w:instrText>
      </w:r>
      <w:r w:rsidR="00033B25" w:rsidRPr="00F63F72">
        <w:rPr>
          <w:rFonts w:ascii="Calibri" w:hAnsi="Calibri" w:cs="Calibri"/>
          <w:sz w:val="18"/>
          <w:lang w:val="en-US"/>
        </w:rPr>
        <w:fldChar w:fldCharType="separate"/>
      </w:r>
      <w:r w:rsidR="005669F0">
        <w:rPr>
          <w:rFonts w:ascii="Calibri" w:hAnsi="Calibri" w:cs="Calibri"/>
          <w:noProof/>
          <w:sz w:val="18"/>
          <w:lang w:val="en-US"/>
        </w:rPr>
        <w:t>1</w:t>
      </w:r>
      <w:r w:rsidR="00033B25" w:rsidRPr="00F63F72">
        <w:rPr>
          <w:rFonts w:ascii="Calibri" w:hAnsi="Calibri" w:cs="Calibri"/>
          <w:sz w:val="18"/>
          <w:lang w:val="en-US"/>
        </w:rPr>
        <w:fldChar w:fldCharType="end"/>
      </w:r>
      <w:r w:rsidRPr="00F63F72">
        <w:rPr>
          <w:rFonts w:ascii="Calibri" w:hAnsi="Calibri" w:cs="Calibri"/>
          <w:sz w:val="18"/>
          <w:lang w:val="en-US"/>
        </w:rPr>
        <w:t xml:space="preserve">  </w:t>
      </w:r>
    </w:p>
    <w:tbl>
      <w:tblPr>
        <w:tblW w:w="5000" w:type="pct"/>
        <w:tblCellMar>
          <w:left w:w="70" w:type="dxa"/>
          <w:right w:w="70" w:type="dxa"/>
        </w:tblCellMar>
        <w:tblLook w:val="04A0"/>
      </w:tblPr>
      <w:tblGrid>
        <w:gridCol w:w="2281"/>
        <w:gridCol w:w="2431"/>
        <w:gridCol w:w="1025"/>
        <w:gridCol w:w="752"/>
        <w:gridCol w:w="752"/>
        <w:gridCol w:w="752"/>
        <w:gridCol w:w="754"/>
        <w:gridCol w:w="748"/>
      </w:tblGrid>
      <w:tr w:rsidR="008D3E5E" w:rsidRPr="00F63F72" w:rsidTr="004C45D3">
        <w:trPr>
          <w:trHeight w:val="290"/>
        </w:trPr>
        <w:tc>
          <w:tcPr>
            <w:tcW w:w="2481" w:type="pct"/>
            <w:gridSpan w:val="2"/>
            <w:vMerge w:val="restart"/>
            <w:tcBorders>
              <w:top w:val="single" w:sz="4" w:space="0" w:color="auto"/>
              <w:left w:val="single" w:sz="4" w:space="0" w:color="auto"/>
              <w:bottom w:val="single" w:sz="4" w:space="0" w:color="auto"/>
              <w:right w:val="single" w:sz="4" w:space="0" w:color="auto"/>
            </w:tcBorders>
            <w:shd w:val="clear" w:color="000000" w:fill="910000"/>
            <w:vAlign w:val="center"/>
            <w:hideMark/>
          </w:tcPr>
          <w:p w:rsidR="008D3E5E" w:rsidRPr="00F63F72" w:rsidRDefault="008D3E5E" w:rsidP="004C45D3">
            <w:pPr>
              <w:jc w:val="center"/>
              <w:rPr>
                <w:rFonts w:ascii="Calibri" w:hAnsi="Calibri" w:cs="Calibri"/>
                <w:color w:val="FFFFFF"/>
                <w:lang w:eastAsia="sr-Latn-CS"/>
              </w:rPr>
            </w:pPr>
            <w:r w:rsidRPr="00F63F72">
              <w:rPr>
                <w:rFonts w:ascii="Calibri" w:hAnsi="Calibri" w:cs="Calibri"/>
                <w:color w:val="FFFFFF"/>
                <w:sz w:val="22"/>
                <w:szCs w:val="22"/>
                <w:lang w:eastAsia="sr-Latn-CS"/>
              </w:rPr>
              <w:t>Macro-economic fiscal framework  (in % of GDP)</w:t>
            </w:r>
          </w:p>
        </w:tc>
        <w:tc>
          <w:tcPr>
            <w:tcW w:w="540" w:type="pct"/>
            <w:tcBorders>
              <w:top w:val="single" w:sz="4" w:space="0" w:color="auto"/>
              <w:left w:val="nil"/>
              <w:bottom w:val="single" w:sz="4" w:space="0" w:color="auto"/>
              <w:right w:val="single" w:sz="4" w:space="0" w:color="auto"/>
            </w:tcBorders>
            <w:shd w:val="clear" w:color="000000" w:fill="910000"/>
            <w:noWrap/>
            <w:vAlign w:val="bottom"/>
            <w:hideMark/>
          </w:tcPr>
          <w:p w:rsidR="008D3E5E" w:rsidRPr="00F63F72" w:rsidRDefault="008D3E5E" w:rsidP="004C45D3">
            <w:pPr>
              <w:rPr>
                <w:rFonts w:ascii="Calibri" w:hAnsi="Calibri" w:cs="Calibri"/>
                <w:color w:val="FFFFFF"/>
                <w:sz w:val="20"/>
                <w:lang w:eastAsia="sr-Latn-CS"/>
              </w:rPr>
            </w:pPr>
            <w:r w:rsidRPr="00F63F72">
              <w:rPr>
                <w:rFonts w:ascii="Calibri" w:hAnsi="Calibri" w:cs="Calibri"/>
                <w:color w:val="FFFFFF"/>
                <w:sz w:val="20"/>
                <w:szCs w:val="22"/>
                <w:lang w:eastAsia="sr-Latn-CS"/>
              </w:rPr>
              <w:t>Actual</w:t>
            </w:r>
          </w:p>
        </w:tc>
        <w:tc>
          <w:tcPr>
            <w:tcW w:w="396" w:type="pct"/>
            <w:tcBorders>
              <w:top w:val="single" w:sz="4" w:space="0" w:color="auto"/>
              <w:left w:val="nil"/>
              <w:bottom w:val="single" w:sz="4" w:space="0" w:color="auto"/>
              <w:right w:val="single" w:sz="4" w:space="0" w:color="auto"/>
            </w:tcBorders>
            <w:shd w:val="clear" w:color="000000" w:fill="910000"/>
            <w:noWrap/>
            <w:vAlign w:val="bottom"/>
            <w:hideMark/>
          </w:tcPr>
          <w:p w:rsidR="008D3E5E" w:rsidRPr="00F63F72" w:rsidRDefault="008D3E5E" w:rsidP="004C45D3">
            <w:pPr>
              <w:jc w:val="center"/>
              <w:rPr>
                <w:rFonts w:ascii="Calibri" w:hAnsi="Calibri" w:cs="Calibri"/>
                <w:color w:val="FFFFFF"/>
                <w:sz w:val="20"/>
                <w:lang w:eastAsia="sr-Latn-CS"/>
              </w:rPr>
            </w:pPr>
            <w:r w:rsidRPr="00F63F72">
              <w:rPr>
                <w:rFonts w:ascii="Calibri" w:hAnsi="Calibri" w:cs="Calibri"/>
                <w:color w:val="FFFFFF"/>
                <w:sz w:val="20"/>
                <w:szCs w:val="22"/>
                <w:lang w:eastAsia="sr-Latn-CS"/>
              </w:rPr>
              <w:t>Plan</w:t>
            </w:r>
          </w:p>
        </w:tc>
        <w:tc>
          <w:tcPr>
            <w:tcW w:w="1583" w:type="pct"/>
            <w:gridSpan w:val="4"/>
            <w:tcBorders>
              <w:top w:val="single" w:sz="4" w:space="0" w:color="auto"/>
              <w:left w:val="nil"/>
              <w:bottom w:val="single" w:sz="4" w:space="0" w:color="auto"/>
              <w:right w:val="single" w:sz="4" w:space="0" w:color="auto"/>
            </w:tcBorders>
            <w:shd w:val="clear" w:color="000000" w:fill="910000"/>
            <w:noWrap/>
            <w:vAlign w:val="bottom"/>
            <w:hideMark/>
          </w:tcPr>
          <w:p w:rsidR="008D3E5E" w:rsidRPr="00F63F72" w:rsidRDefault="008D3E5E" w:rsidP="004C45D3">
            <w:pPr>
              <w:jc w:val="center"/>
              <w:rPr>
                <w:rFonts w:ascii="Calibri" w:hAnsi="Calibri" w:cs="Calibri"/>
                <w:color w:val="FFFFFF"/>
                <w:sz w:val="20"/>
                <w:lang w:eastAsia="sr-Latn-CS"/>
              </w:rPr>
            </w:pPr>
            <w:r w:rsidRPr="00F63F72">
              <w:rPr>
                <w:rFonts w:ascii="Calibri" w:hAnsi="Calibri" w:cs="Calibri"/>
                <w:color w:val="FFFFFF"/>
                <w:sz w:val="20"/>
                <w:szCs w:val="22"/>
                <w:lang w:eastAsia="sr-Latn-CS"/>
              </w:rPr>
              <w:t>Projections</w:t>
            </w:r>
          </w:p>
        </w:tc>
      </w:tr>
      <w:tr w:rsidR="008D3E5E" w:rsidRPr="00F63F72" w:rsidTr="004C45D3">
        <w:trPr>
          <w:trHeight w:val="290"/>
        </w:trPr>
        <w:tc>
          <w:tcPr>
            <w:tcW w:w="2481" w:type="pct"/>
            <w:gridSpan w:val="2"/>
            <w:vMerge/>
            <w:tcBorders>
              <w:top w:val="single" w:sz="4" w:space="0" w:color="auto"/>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540" w:type="pct"/>
            <w:tcBorders>
              <w:top w:val="nil"/>
              <w:left w:val="nil"/>
              <w:bottom w:val="single" w:sz="4" w:space="0" w:color="auto"/>
              <w:right w:val="single" w:sz="4" w:space="0" w:color="auto"/>
            </w:tcBorders>
            <w:shd w:val="clear" w:color="000000" w:fill="910000"/>
            <w:noWrap/>
            <w:vAlign w:val="bottom"/>
            <w:hideMark/>
          </w:tcPr>
          <w:p w:rsidR="008D3E5E" w:rsidRPr="00F63F72" w:rsidRDefault="008D3E5E" w:rsidP="004C45D3">
            <w:pPr>
              <w:jc w:val="center"/>
              <w:rPr>
                <w:rFonts w:ascii="Calibri" w:hAnsi="Calibri" w:cs="Calibri"/>
                <w:color w:val="FFFFFF"/>
                <w:sz w:val="20"/>
                <w:lang w:eastAsia="sr-Latn-CS"/>
              </w:rPr>
            </w:pPr>
            <w:r w:rsidRPr="00F63F72">
              <w:rPr>
                <w:rFonts w:ascii="Calibri" w:hAnsi="Calibri" w:cs="Calibri"/>
                <w:color w:val="FFFFFF"/>
                <w:sz w:val="20"/>
                <w:szCs w:val="22"/>
                <w:lang w:eastAsia="sr-Latn-CS"/>
              </w:rPr>
              <w:t>2012.</w:t>
            </w:r>
          </w:p>
        </w:tc>
        <w:tc>
          <w:tcPr>
            <w:tcW w:w="396" w:type="pct"/>
            <w:tcBorders>
              <w:top w:val="nil"/>
              <w:left w:val="nil"/>
              <w:bottom w:val="single" w:sz="4" w:space="0" w:color="auto"/>
              <w:right w:val="single" w:sz="4" w:space="0" w:color="auto"/>
            </w:tcBorders>
            <w:shd w:val="clear" w:color="000000" w:fill="910000"/>
            <w:noWrap/>
            <w:vAlign w:val="bottom"/>
            <w:hideMark/>
          </w:tcPr>
          <w:p w:rsidR="008D3E5E" w:rsidRPr="00F63F72" w:rsidRDefault="008D3E5E" w:rsidP="004C45D3">
            <w:pPr>
              <w:jc w:val="center"/>
              <w:rPr>
                <w:rFonts w:ascii="Calibri" w:hAnsi="Calibri" w:cs="Calibri"/>
                <w:color w:val="FFFFFF"/>
                <w:sz w:val="20"/>
                <w:lang w:eastAsia="sr-Latn-CS"/>
              </w:rPr>
            </w:pPr>
            <w:r w:rsidRPr="00F63F72">
              <w:rPr>
                <w:rFonts w:ascii="Calibri" w:hAnsi="Calibri" w:cs="Calibri"/>
                <w:color w:val="FFFFFF"/>
                <w:sz w:val="20"/>
                <w:szCs w:val="22"/>
                <w:lang w:eastAsia="sr-Latn-CS"/>
              </w:rPr>
              <w:t>2013.</w:t>
            </w:r>
          </w:p>
        </w:tc>
        <w:tc>
          <w:tcPr>
            <w:tcW w:w="396" w:type="pct"/>
            <w:tcBorders>
              <w:top w:val="nil"/>
              <w:left w:val="nil"/>
              <w:bottom w:val="single" w:sz="4" w:space="0" w:color="auto"/>
              <w:right w:val="single" w:sz="4" w:space="0" w:color="auto"/>
            </w:tcBorders>
            <w:shd w:val="clear" w:color="000000" w:fill="910000"/>
            <w:noWrap/>
            <w:vAlign w:val="bottom"/>
            <w:hideMark/>
          </w:tcPr>
          <w:p w:rsidR="008D3E5E" w:rsidRPr="00F63F72" w:rsidRDefault="008D3E5E" w:rsidP="004C45D3">
            <w:pPr>
              <w:jc w:val="center"/>
              <w:rPr>
                <w:rFonts w:ascii="Calibri" w:hAnsi="Calibri" w:cs="Calibri"/>
                <w:color w:val="FFFFFF"/>
                <w:sz w:val="20"/>
                <w:lang w:eastAsia="sr-Latn-CS"/>
              </w:rPr>
            </w:pPr>
            <w:r w:rsidRPr="00F63F72">
              <w:rPr>
                <w:rFonts w:ascii="Calibri" w:hAnsi="Calibri" w:cs="Calibri"/>
                <w:color w:val="FFFFFF"/>
                <w:sz w:val="20"/>
                <w:szCs w:val="22"/>
                <w:lang w:eastAsia="sr-Latn-CS"/>
              </w:rPr>
              <w:t>2013.P</w:t>
            </w:r>
          </w:p>
        </w:tc>
        <w:tc>
          <w:tcPr>
            <w:tcW w:w="396" w:type="pct"/>
            <w:tcBorders>
              <w:top w:val="nil"/>
              <w:left w:val="nil"/>
              <w:bottom w:val="single" w:sz="4" w:space="0" w:color="auto"/>
              <w:right w:val="single" w:sz="4" w:space="0" w:color="auto"/>
            </w:tcBorders>
            <w:shd w:val="clear" w:color="000000" w:fill="910000"/>
            <w:noWrap/>
            <w:vAlign w:val="bottom"/>
            <w:hideMark/>
          </w:tcPr>
          <w:p w:rsidR="008D3E5E" w:rsidRPr="00F63F72" w:rsidRDefault="008D3E5E" w:rsidP="004C45D3">
            <w:pPr>
              <w:jc w:val="center"/>
              <w:rPr>
                <w:rFonts w:ascii="Calibri" w:hAnsi="Calibri" w:cs="Calibri"/>
                <w:color w:val="FFFFFF"/>
                <w:sz w:val="20"/>
                <w:lang w:eastAsia="sr-Latn-CS"/>
              </w:rPr>
            </w:pPr>
            <w:r w:rsidRPr="00F63F72">
              <w:rPr>
                <w:rFonts w:ascii="Calibri" w:hAnsi="Calibri" w:cs="Calibri"/>
                <w:color w:val="FFFFFF"/>
                <w:sz w:val="20"/>
                <w:szCs w:val="22"/>
                <w:lang w:eastAsia="sr-Latn-CS"/>
              </w:rPr>
              <w:t>2014</w:t>
            </w:r>
          </w:p>
        </w:tc>
        <w:tc>
          <w:tcPr>
            <w:tcW w:w="397" w:type="pct"/>
            <w:tcBorders>
              <w:top w:val="nil"/>
              <w:left w:val="nil"/>
              <w:bottom w:val="single" w:sz="4" w:space="0" w:color="auto"/>
              <w:right w:val="single" w:sz="4" w:space="0" w:color="auto"/>
            </w:tcBorders>
            <w:shd w:val="clear" w:color="000000" w:fill="910000"/>
            <w:noWrap/>
            <w:vAlign w:val="bottom"/>
            <w:hideMark/>
          </w:tcPr>
          <w:p w:rsidR="008D3E5E" w:rsidRPr="00F63F72" w:rsidRDefault="008D3E5E" w:rsidP="004C45D3">
            <w:pPr>
              <w:jc w:val="center"/>
              <w:rPr>
                <w:rFonts w:ascii="Calibri" w:hAnsi="Calibri" w:cs="Calibri"/>
                <w:color w:val="FFFFFF"/>
                <w:sz w:val="20"/>
                <w:lang w:eastAsia="sr-Latn-CS"/>
              </w:rPr>
            </w:pPr>
            <w:r w:rsidRPr="00F63F72">
              <w:rPr>
                <w:rFonts w:ascii="Calibri" w:hAnsi="Calibri" w:cs="Calibri"/>
                <w:color w:val="FFFFFF"/>
                <w:sz w:val="20"/>
                <w:szCs w:val="22"/>
                <w:lang w:eastAsia="sr-Latn-CS"/>
              </w:rPr>
              <w:t>2015</w:t>
            </w:r>
          </w:p>
        </w:tc>
        <w:tc>
          <w:tcPr>
            <w:tcW w:w="394" w:type="pct"/>
            <w:tcBorders>
              <w:top w:val="nil"/>
              <w:left w:val="nil"/>
              <w:bottom w:val="single" w:sz="4" w:space="0" w:color="auto"/>
              <w:right w:val="single" w:sz="4" w:space="0" w:color="auto"/>
            </w:tcBorders>
            <w:shd w:val="clear" w:color="000000" w:fill="910000"/>
            <w:noWrap/>
            <w:vAlign w:val="bottom"/>
            <w:hideMark/>
          </w:tcPr>
          <w:p w:rsidR="008D3E5E" w:rsidRPr="00F63F72" w:rsidRDefault="008D3E5E" w:rsidP="004C45D3">
            <w:pPr>
              <w:jc w:val="center"/>
              <w:rPr>
                <w:rFonts w:ascii="Calibri" w:hAnsi="Calibri" w:cs="Calibri"/>
                <w:color w:val="FFFFFF"/>
                <w:sz w:val="20"/>
                <w:lang w:eastAsia="sr-Latn-CS"/>
              </w:rPr>
            </w:pPr>
            <w:r w:rsidRPr="00F63F72">
              <w:rPr>
                <w:rFonts w:ascii="Calibri" w:hAnsi="Calibri" w:cs="Calibri"/>
                <w:color w:val="FFFFFF"/>
                <w:sz w:val="20"/>
                <w:szCs w:val="22"/>
                <w:lang w:eastAsia="sr-Latn-CS"/>
              </w:rPr>
              <w:t>2016</w:t>
            </w:r>
          </w:p>
        </w:tc>
      </w:tr>
      <w:tr w:rsidR="008D3E5E" w:rsidRPr="00F63F72" w:rsidTr="004C45D3">
        <w:trPr>
          <w:trHeight w:val="290"/>
        </w:trPr>
        <w:tc>
          <w:tcPr>
            <w:tcW w:w="1201" w:type="pct"/>
            <w:vMerge w:val="restart"/>
            <w:tcBorders>
              <w:top w:val="nil"/>
              <w:left w:val="single" w:sz="4" w:space="0" w:color="auto"/>
              <w:bottom w:val="single" w:sz="4" w:space="0" w:color="auto"/>
              <w:right w:val="single" w:sz="4" w:space="0" w:color="auto"/>
            </w:tcBorders>
            <w:shd w:val="clear" w:color="000000" w:fill="910000"/>
            <w:vAlign w:val="center"/>
            <w:hideMark/>
          </w:tcPr>
          <w:p w:rsidR="008D3E5E" w:rsidRPr="00F63F72" w:rsidRDefault="00465E87" w:rsidP="004C45D3">
            <w:pPr>
              <w:jc w:val="center"/>
              <w:rPr>
                <w:rFonts w:ascii="Calibri" w:hAnsi="Calibri" w:cs="Calibri"/>
                <w:color w:val="FFFFFF"/>
                <w:lang w:eastAsia="sr-Latn-CS"/>
              </w:rPr>
            </w:pPr>
            <w:r>
              <w:rPr>
                <w:rFonts w:ascii="Calibri" w:hAnsi="Calibri" w:cs="Calibri"/>
                <w:color w:val="FFFFFF"/>
                <w:sz w:val="22"/>
                <w:szCs w:val="22"/>
                <w:lang w:eastAsia="sr-Latn-CS"/>
              </w:rPr>
              <w:t>M</w:t>
            </w:r>
            <w:r w:rsidR="008D3E5E" w:rsidRPr="00F63F72">
              <w:rPr>
                <w:rFonts w:ascii="Calibri" w:hAnsi="Calibri" w:cs="Calibri"/>
                <w:color w:val="FFFFFF"/>
                <w:sz w:val="22"/>
                <w:szCs w:val="22"/>
                <w:lang w:eastAsia="sr-Latn-CS"/>
              </w:rPr>
              <w:t>acro-economic indicators</w:t>
            </w: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GDP nominal growth</w:t>
            </w:r>
          </w:p>
        </w:tc>
        <w:tc>
          <w:tcPr>
            <w:tcW w:w="540"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1,3</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5,4</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5,4</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6,2</w:t>
            </w:r>
          </w:p>
        </w:tc>
        <w:tc>
          <w:tcPr>
            <w:tcW w:w="397"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6,6</w:t>
            </w:r>
          </w:p>
        </w:tc>
        <w:tc>
          <w:tcPr>
            <w:tcW w:w="394"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7,1</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GDP real growth</w:t>
            </w:r>
          </w:p>
        </w:tc>
        <w:tc>
          <w:tcPr>
            <w:tcW w:w="54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-0,5</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2,5</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2,5</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3,5</w:t>
            </w:r>
          </w:p>
        </w:tc>
        <w:tc>
          <w:tcPr>
            <w:tcW w:w="397"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4,0</w:t>
            </w:r>
          </w:p>
        </w:tc>
        <w:tc>
          <w:tcPr>
            <w:tcW w:w="394"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4,5</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Inflation</w:t>
            </w:r>
          </w:p>
        </w:tc>
        <w:tc>
          <w:tcPr>
            <w:tcW w:w="54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4,1</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3,0</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3,0</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2,9</w:t>
            </w:r>
          </w:p>
        </w:tc>
        <w:tc>
          <w:tcPr>
            <w:tcW w:w="397"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2,7</w:t>
            </w:r>
          </w:p>
        </w:tc>
        <w:tc>
          <w:tcPr>
            <w:tcW w:w="394"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2,5</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Import</w:t>
            </w:r>
          </w:p>
        </w:tc>
        <w:tc>
          <w:tcPr>
            <w:tcW w:w="54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-64,9</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-61,1</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-61,1</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-60,5</w:t>
            </w:r>
          </w:p>
        </w:tc>
        <w:tc>
          <w:tcPr>
            <w:tcW w:w="397"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-60,2</w:t>
            </w:r>
          </w:p>
        </w:tc>
        <w:tc>
          <w:tcPr>
            <w:tcW w:w="394"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-59,6</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Export</w:t>
            </w:r>
          </w:p>
        </w:tc>
        <w:tc>
          <w:tcPr>
            <w:tcW w:w="540"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41,6</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39,6</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39,6</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39,2</w:t>
            </w:r>
          </w:p>
        </w:tc>
        <w:tc>
          <w:tcPr>
            <w:tcW w:w="397"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38,9</w:t>
            </w:r>
          </w:p>
        </w:tc>
        <w:tc>
          <w:tcPr>
            <w:tcW w:w="394"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38,6</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Other</w:t>
            </w:r>
          </w:p>
        </w:tc>
        <w:tc>
          <w:tcPr>
            <w:tcW w:w="540"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5,7</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5,3</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5,3</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4,6</w:t>
            </w:r>
          </w:p>
        </w:tc>
        <w:tc>
          <w:tcPr>
            <w:tcW w:w="397"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4,3</w:t>
            </w:r>
          </w:p>
        </w:tc>
        <w:tc>
          <w:tcPr>
            <w:tcW w:w="394"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4,0</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1649F5" w:rsidP="004C45D3">
            <w:pPr>
              <w:rPr>
                <w:rFonts w:ascii="Calibri" w:hAnsi="Calibri" w:cs="Calibri"/>
                <w:sz w:val="18"/>
                <w:szCs w:val="18"/>
                <w:lang w:eastAsia="sr-Latn-CS"/>
              </w:rPr>
            </w:pPr>
            <w:r>
              <w:rPr>
                <w:rFonts w:ascii="Calibri" w:hAnsi="Calibri" w:cs="Calibri"/>
                <w:sz w:val="18"/>
                <w:szCs w:val="18"/>
                <w:lang w:eastAsia="sr-Latn-CS"/>
              </w:rPr>
              <w:t>Curren</w:t>
            </w:r>
            <w:r w:rsidR="008D3E5E" w:rsidRPr="00F63F72">
              <w:rPr>
                <w:rFonts w:ascii="Calibri" w:hAnsi="Calibri" w:cs="Calibri"/>
                <w:sz w:val="18"/>
                <w:szCs w:val="18"/>
                <w:lang w:eastAsia="sr-Latn-CS"/>
              </w:rPr>
              <w:t>t account deficit</w:t>
            </w:r>
          </w:p>
        </w:tc>
        <w:tc>
          <w:tcPr>
            <w:tcW w:w="540"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-17,6</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-16,3</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-16,3</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-16,7</w:t>
            </w:r>
          </w:p>
        </w:tc>
        <w:tc>
          <w:tcPr>
            <w:tcW w:w="397"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-17,0</w:t>
            </w:r>
          </w:p>
        </w:tc>
        <w:tc>
          <w:tcPr>
            <w:tcW w:w="394"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-17,0</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Net FDIs</w:t>
            </w:r>
          </w:p>
        </w:tc>
        <w:tc>
          <w:tcPr>
            <w:tcW w:w="54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13,6</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11,5</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11,5</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11,5</w:t>
            </w:r>
          </w:p>
        </w:tc>
        <w:tc>
          <w:tcPr>
            <w:tcW w:w="397"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11,5</w:t>
            </w:r>
          </w:p>
        </w:tc>
        <w:tc>
          <w:tcPr>
            <w:tcW w:w="394"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11,0</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Domestic loans</w:t>
            </w:r>
          </w:p>
        </w:tc>
        <w:tc>
          <w:tcPr>
            <w:tcW w:w="540"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55,8</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54,6</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54,6</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55,9</w:t>
            </w:r>
          </w:p>
        </w:tc>
        <w:tc>
          <w:tcPr>
            <w:tcW w:w="397"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56,2</w:t>
            </w:r>
          </w:p>
        </w:tc>
        <w:tc>
          <w:tcPr>
            <w:tcW w:w="394"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56,5</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Banking deposits (domestic)</w:t>
            </w:r>
          </w:p>
        </w:tc>
        <w:tc>
          <w:tcPr>
            <w:tcW w:w="54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49,2</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50,0</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50,0</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50,4</w:t>
            </w:r>
          </w:p>
        </w:tc>
        <w:tc>
          <w:tcPr>
            <w:tcW w:w="397"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51,1</w:t>
            </w:r>
          </w:p>
        </w:tc>
        <w:tc>
          <w:tcPr>
            <w:tcW w:w="394"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51,9</w:t>
            </w:r>
          </w:p>
        </w:tc>
      </w:tr>
      <w:tr w:rsidR="008D3E5E" w:rsidRPr="00F63F72" w:rsidTr="004C45D3">
        <w:trPr>
          <w:trHeight w:val="290"/>
        </w:trPr>
        <w:tc>
          <w:tcPr>
            <w:tcW w:w="1201" w:type="pct"/>
            <w:vMerge w:val="restart"/>
            <w:tcBorders>
              <w:top w:val="nil"/>
              <w:left w:val="single" w:sz="4" w:space="0" w:color="auto"/>
              <w:bottom w:val="single" w:sz="4" w:space="0" w:color="auto"/>
              <w:right w:val="single" w:sz="4" w:space="0" w:color="auto"/>
            </w:tcBorders>
            <w:shd w:val="clear" w:color="000000" w:fill="910000"/>
            <w:vAlign w:val="center"/>
            <w:hideMark/>
          </w:tcPr>
          <w:p w:rsidR="008D3E5E" w:rsidRPr="00F63F72" w:rsidRDefault="008D3E5E" w:rsidP="004C45D3">
            <w:pPr>
              <w:jc w:val="center"/>
              <w:rPr>
                <w:rFonts w:ascii="Calibri" w:hAnsi="Calibri" w:cs="Calibri"/>
                <w:color w:val="FFFFFF"/>
                <w:lang w:eastAsia="sr-Latn-CS"/>
              </w:rPr>
            </w:pPr>
            <w:r w:rsidRPr="00F63F72">
              <w:rPr>
                <w:rFonts w:ascii="Calibri" w:hAnsi="Calibri" w:cs="Calibri"/>
                <w:color w:val="FFFFFF"/>
                <w:sz w:val="22"/>
                <w:szCs w:val="22"/>
                <w:lang w:eastAsia="sr-Latn-CS"/>
              </w:rPr>
              <w:t>Fiscal indicators</w:t>
            </w: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1649F5" w:rsidRDefault="008D3E5E" w:rsidP="004C45D3">
            <w:pPr>
              <w:rPr>
                <w:rFonts w:ascii="Calibri" w:hAnsi="Calibri" w:cs="Calibri"/>
                <w:sz w:val="18"/>
                <w:szCs w:val="18"/>
                <w:lang w:eastAsia="sr-Latn-CS"/>
              </w:rPr>
            </w:pPr>
            <w:r w:rsidRPr="001649F5">
              <w:rPr>
                <w:rFonts w:ascii="Calibri" w:hAnsi="Calibri" w:cs="Calibri"/>
                <w:sz w:val="18"/>
                <w:szCs w:val="18"/>
                <w:lang w:eastAsia="sr-Latn-CS"/>
              </w:rPr>
              <w:t>Original public revenues</w:t>
            </w:r>
          </w:p>
        </w:tc>
        <w:tc>
          <w:tcPr>
            <w:tcW w:w="540"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38,9</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36,8</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37,5</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35,9</w:t>
            </w:r>
          </w:p>
        </w:tc>
        <w:tc>
          <w:tcPr>
            <w:tcW w:w="397"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34,6</w:t>
            </w:r>
          </w:p>
        </w:tc>
        <w:tc>
          <w:tcPr>
            <w:tcW w:w="394"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33,5</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Public expenditure</w:t>
            </w:r>
          </w:p>
        </w:tc>
        <w:tc>
          <w:tcPr>
            <w:tcW w:w="540"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42,9</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39,1</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39,4</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37,0</w:t>
            </w:r>
          </w:p>
        </w:tc>
        <w:tc>
          <w:tcPr>
            <w:tcW w:w="397"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35,5</w:t>
            </w:r>
          </w:p>
        </w:tc>
        <w:tc>
          <w:tcPr>
            <w:tcW w:w="394"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34,1</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Deficit/Surplus</w:t>
            </w:r>
          </w:p>
        </w:tc>
        <w:tc>
          <w:tcPr>
            <w:tcW w:w="540"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-4,0</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-2,3</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-1,9</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-1,0</w:t>
            </w:r>
          </w:p>
        </w:tc>
        <w:tc>
          <w:tcPr>
            <w:tcW w:w="397"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-0,8</w:t>
            </w:r>
          </w:p>
        </w:tc>
        <w:tc>
          <w:tcPr>
            <w:tcW w:w="394"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-0,6</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Interest</w:t>
            </w:r>
          </w:p>
        </w:tc>
        <w:tc>
          <w:tcPr>
            <w:tcW w:w="540"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1,8</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2,1</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2,1</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2,4</w:t>
            </w:r>
          </w:p>
        </w:tc>
        <w:tc>
          <w:tcPr>
            <w:tcW w:w="397"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2,7</w:t>
            </w:r>
          </w:p>
        </w:tc>
        <w:tc>
          <w:tcPr>
            <w:tcW w:w="394"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3,0</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rPr>
                <w:rFonts w:ascii="Calibri" w:hAnsi="Calibri" w:cs="Calibri"/>
                <w:sz w:val="18"/>
                <w:szCs w:val="18"/>
                <w:lang w:eastAsia="sr-Latn-CS"/>
              </w:rPr>
            </w:pPr>
            <w:r w:rsidRPr="00F63F72">
              <w:rPr>
                <w:rFonts w:ascii="Calibri" w:hAnsi="Calibri" w:cs="Calibri"/>
                <w:sz w:val="18"/>
                <w:szCs w:val="18"/>
                <w:lang w:eastAsia="sr-Latn-CS"/>
              </w:rPr>
              <w:t>Primary deficit/surplus</w:t>
            </w:r>
          </w:p>
        </w:tc>
        <w:tc>
          <w:tcPr>
            <w:tcW w:w="540"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-2,2</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-0,2</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0,2</w:t>
            </w:r>
          </w:p>
        </w:tc>
        <w:tc>
          <w:tcPr>
            <w:tcW w:w="396"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1,4</w:t>
            </w:r>
          </w:p>
        </w:tc>
        <w:tc>
          <w:tcPr>
            <w:tcW w:w="397"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1,9</w:t>
            </w:r>
          </w:p>
        </w:tc>
        <w:tc>
          <w:tcPr>
            <w:tcW w:w="394" w:type="pct"/>
            <w:tcBorders>
              <w:top w:val="nil"/>
              <w:left w:val="nil"/>
              <w:bottom w:val="single" w:sz="4" w:space="0" w:color="auto"/>
              <w:right w:val="single" w:sz="4" w:space="0" w:color="auto"/>
            </w:tcBorders>
            <w:shd w:val="clear" w:color="auto" w:fill="auto"/>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2,4</w:t>
            </w:r>
          </w:p>
        </w:tc>
      </w:tr>
      <w:tr w:rsidR="008D3E5E" w:rsidRPr="00F63F72" w:rsidTr="004C45D3">
        <w:trPr>
          <w:trHeight w:val="290"/>
        </w:trPr>
        <w:tc>
          <w:tcPr>
            <w:tcW w:w="1201" w:type="pct"/>
            <w:vMerge/>
            <w:tcBorders>
              <w:top w:val="nil"/>
              <w:left w:val="single" w:sz="4" w:space="0" w:color="auto"/>
              <w:bottom w:val="single" w:sz="4" w:space="0" w:color="auto"/>
              <w:right w:val="single" w:sz="4" w:space="0" w:color="auto"/>
            </w:tcBorders>
            <w:vAlign w:val="center"/>
            <w:hideMark/>
          </w:tcPr>
          <w:p w:rsidR="008D3E5E" w:rsidRPr="00F63F72" w:rsidRDefault="008D3E5E" w:rsidP="004C45D3">
            <w:pPr>
              <w:rPr>
                <w:rFonts w:ascii="Calibri" w:hAnsi="Calibri" w:cs="Calibri"/>
                <w:color w:val="FFFFFF"/>
                <w:lang w:eastAsia="sr-Latn-CS"/>
              </w:rPr>
            </w:pPr>
          </w:p>
        </w:tc>
        <w:tc>
          <w:tcPr>
            <w:tcW w:w="1280" w:type="pct"/>
            <w:tcBorders>
              <w:top w:val="nil"/>
              <w:left w:val="nil"/>
              <w:bottom w:val="single" w:sz="4" w:space="0" w:color="auto"/>
              <w:right w:val="single" w:sz="4" w:space="0" w:color="auto"/>
            </w:tcBorders>
            <w:shd w:val="clear" w:color="auto" w:fill="auto"/>
            <w:noWrap/>
            <w:vAlign w:val="bottom"/>
            <w:hideMark/>
          </w:tcPr>
          <w:p w:rsidR="008D3E5E" w:rsidRPr="001649F5" w:rsidRDefault="001649F5" w:rsidP="004C45D3">
            <w:pPr>
              <w:rPr>
                <w:rFonts w:ascii="Calibri" w:hAnsi="Calibri" w:cs="Calibri"/>
                <w:sz w:val="18"/>
                <w:szCs w:val="18"/>
                <w:lang w:eastAsia="sr-Latn-CS"/>
              </w:rPr>
            </w:pPr>
            <w:r w:rsidRPr="001649F5">
              <w:rPr>
                <w:rFonts w:ascii="Calibri" w:hAnsi="Calibri" w:cs="Calibri"/>
                <w:sz w:val="18"/>
                <w:szCs w:val="18"/>
                <w:lang w:eastAsia="sr-Latn-CS"/>
              </w:rPr>
              <w:t>Public debt</w:t>
            </w:r>
          </w:p>
        </w:tc>
        <w:tc>
          <w:tcPr>
            <w:tcW w:w="540"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50,9</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54,4</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54,1</w:t>
            </w:r>
          </w:p>
        </w:tc>
        <w:tc>
          <w:tcPr>
            <w:tcW w:w="396"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53,9</w:t>
            </w:r>
          </w:p>
        </w:tc>
        <w:tc>
          <w:tcPr>
            <w:tcW w:w="397"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53,6</w:t>
            </w:r>
          </w:p>
        </w:tc>
        <w:tc>
          <w:tcPr>
            <w:tcW w:w="394" w:type="pct"/>
            <w:tcBorders>
              <w:top w:val="nil"/>
              <w:left w:val="nil"/>
              <w:bottom w:val="single" w:sz="4" w:space="0" w:color="auto"/>
              <w:right w:val="single" w:sz="4" w:space="0" w:color="auto"/>
            </w:tcBorders>
            <w:shd w:val="clear" w:color="auto" w:fill="auto"/>
            <w:noWrap/>
            <w:vAlign w:val="bottom"/>
            <w:hideMark/>
          </w:tcPr>
          <w:p w:rsidR="008D3E5E" w:rsidRPr="00F63F72" w:rsidRDefault="008D3E5E" w:rsidP="004C45D3">
            <w:pPr>
              <w:ind w:firstLineChars="100" w:firstLine="180"/>
              <w:jc w:val="right"/>
              <w:rPr>
                <w:rFonts w:ascii="Calibri" w:hAnsi="Calibri" w:cs="Calibri"/>
                <w:sz w:val="18"/>
                <w:szCs w:val="18"/>
                <w:lang w:eastAsia="sr-Latn-CS"/>
              </w:rPr>
            </w:pPr>
            <w:r w:rsidRPr="00F63F72">
              <w:rPr>
                <w:rFonts w:ascii="Calibri" w:hAnsi="Calibri" w:cs="Calibri"/>
                <w:sz w:val="18"/>
                <w:szCs w:val="18"/>
                <w:lang w:eastAsia="sr-Latn-CS"/>
              </w:rPr>
              <w:t>52,1</w:t>
            </w:r>
          </w:p>
        </w:tc>
      </w:tr>
    </w:tbl>
    <w:p w:rsidR="008D3E5E" w:rsidRPr="00F63F72" w:rsidRDefault="008D3E5E" w:rsidP="008D3E5E">
      <w:pPr>
        <w:spacing w:after="240"/>
        <w:rPr>
          <w:rFonts w:ascii="Calibri" w:hAnsi="Calibri" w:cs="Calibri"/>
          <w:color w:val="000000"/>
          <w:sz w:val="22"/>
          <w:szCs w:val="22"/>
        </w:rPr>
      </w:pPr>
    </w:p>
    <w:p w:rsidR="008D3E5E" w:rsidRPr="00F63F72" w:rsidRDefault="008D3E5E" w:rsidP="008D3E5E">
      <w:pPr>
        <w:pStyle w:val="ListParagraph"/>
        <w:numPr>
          <w:ilvl w:val="0"/>
          <w:numId w:val="16"/>
        </w:numPr>
        <w:ind w:left="714" w:hanging="357"/>
        <w:contextualSpacing/>
        <w:jc w:val="both"/>
        <w:rPr>
          <w:rFonts w:ascii="Calibri" w:hAnsi="Calibri" w:cs="Calibri"/>
          <w:b/>
          <w:sz w:val="22"/>
          <w:szCs w:val="22"/>
        </w:rPr>
      </w:pPr>
      <w:r w:rsidRPr="00F63F72">
        <w:rPr>
          <w:rFonts w:ascii="Calibri" w:hAnsi="Calibri" w:cs="Calibri"/>
          <w:b/>
          <w:sz w:val="22"/>
          <w:szCs w:val="22"/>
        </w:rPr>
        <w:t>INTERNATIONAL ENVIRONMENT</w:t>
      </w:r>
    </w:p>
    <w:p w:rsidR="008D3E5E" w:rsidRPr="00F63F72" w:rsidRDefault="008D3E5E" w:rsidP="008D3E5E">
      <w:pPr>
        <w:pStyle w:val="ListParagraph"/>
        <w:ind w:left="714"/>
        <w:rPr>
          <w:rFonts w:ascii="Calibri" w:hAnsi="Calibri" w:cs="Calibri"/>
          <w:b/>
          <w:sz w:val="22"/>
          <w:szCs w:val="22"/>
        </w:rPr>
      </w:pP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After the decline in economic activity in Euro</w:t>
      </w:r>
      <w:r>
        <w:rPr>
          <w:rFonts w:ascii="Calibri" w:hAnsi="Calibri" w:cs="Calibri"/>
          <w:sz w:val="22"/>
          <w:szCs w:val="22"/>
        </w:rPr>
        <w:t xml:space="preserve"> </w:t>
      </w:r>
      <w:r w:rsidRPr="00F63F72">
        <w:rPr>
          <w:rFonts w:ascii="Calibri" w:hAnsi="Calibri" w:cs="Calibri"/>
          <w:sz w:val="22"/>
          <w:szCs w:val="22"/>
        </w:rPr>
        <w:t>zone in 2012 of 0.6%, the EC projected further decline in activity in 2013 (0.4%) and slight recovery in 2014 (1.2%). For the EU, the decline in 2012 was 0.3%, for 2013 a decline of 0.1% is envisaged and in 2014, 1.4% of GDP growth. The recovery is envisaged for the second half of 2013 and in 2014 and it should be dominant consequence of the strengthening of external demand (export) caused by the projected growth of the world economy, while measures aimed at structural and fiscal adjustments produce adverse effects on domestic demand. Further negative impuls</w:t>
      </w:r>
      <w:r>
        <w:rPr>
          <w:rFonts w:ascii="Calibri" w:hAnsi="Calibri" w:cs="Calibri"/>
          <w:sz w:val="22"/>
          <w:szCs w:val="22"/>
        </w:rPr>
        <w:t>e</w:t>
      </w:r>
      <w:r w:rsidRPr="00F63F72">
        <w:rPr>
          <w:rFonts w:ascii="Calibri" w:hAnsi="Calibri" w:cs="Calibri"/>
          <w:sz w:val="22"/>
          <w:szCs w:val="22"/>
        </w:rPr>
        <w:t xml:space="preserve"> to the domestic demand comes from adjustment of private sector balance and the retail sector. High level of instability and unpredictability makes forecasts of growth unreliable in the long term.</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The financial situation of the Euro</w:t>
      </w:r>
      <w:r>
        <w:rPr>
          <w:rFonts w:ascii="Calibri" w:hAnsi="Calibri" w:cs="Calibri"/>
          <w:sz w:val="22"/>
          <w:szCs w:val="22"/>
        </w:rPr>
        <w:t xml:space="preserve"> </w:t>
      </w:r>
      <w:r w:rsidRPr="00F63F72">
        <w:rPr>
          <w:rFonts w:ascii="Calibri" w:hAnsi="Calibri" w:cs="Calibri"/>
          <w:sz w:val="22"/>
          <w:szCs w:val="22"/>
        </w:rPr>
        <w:t xml:space="preserve">zone is currently stable because there was a significant decrease in the rates on bonds by which state finances sovereign debt (250 points, </w:t>
      </w:r>
      <w:r w:rsidRPr="008D3E5E">
        <w:rPr>
          <w:rFonts w:ascii="Calibri" w:hAnsi="Calibri" w:cs="Calibri"/>
          <w:sz w:val="22"/>
          <w:szCs w:val="22"/>
        </w:rPr>
        <w:t>or 2.5 percentage points on 10-year bonds). However, such favorable developments on the financial market have not fully transmitted</w:t>
      </w:r>
      <w:r w:rsidRPr="00F63F72">
        <w:rPr>
          <w:rFonts w:ascii="Calibri" w:hAnsi="Calibri" w:cs="Calibri"/>
          <w:sz w:val="22"/>
          <w:szCs w:val="22"/>
        </w:rPr>
        <w:t xml:space="preserve"> to the real sector, therefore indicators of companies’ and consumers’ confidence remain in the zone that indicates stagnation. Particularly pronounced problem is a decline in lending activity to small and medium size companies and insignificant increase of loans to the household sector.</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xml:space="preserve">As a result of stabilization and decline in energy prices, stabilization of food prices </w:t>
      </w:r>
      <w:r w:rsidRPr="008D3E5E">
        <w:rPr>
          <w:rFonts w:ascii="Calibri" w:hAnsi="Calibri" w:cs="Calibri"/>
          <w:sz w:val="22"/>
          <w:szCs w:val="22"/>
        </w:rPr>
        <w:t>and weak</w:t>
      </w:r>
      <w:r w:rsidRPr="00F63F72">
        <w:rPr>
          <w:rFonts w:ascii="Calibri" w:hAnsi="Calibri" w:cs="Calibri"/>
          <w:sz w:val="22"/>
          <w:szCs w:val="22"/>
        </w:rPr>
        <w:t xml:space="preserve"> demand, the projected inflation rate in 2013 significantly falls by 1.6% and in 2014, 1.5%.</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lastRenderedPageBreak/>
        <w:t>The unemployment rate in the EU has steadily grown in the last two years, so it reached the level of 12% at end of 2012. The indicators of confidence point to further increase in unemployment, which usually lags behind developments in economic activity of GDP. Further growth of unemployment has been projected, so that the average rate will reach 12.2% in 2013 and 12.1% in 2014.</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The aforementioned indicators hide different and divergent trends by individual countries, but generally, the central and northern European countries have positive indicators (economic activity and unemployment), while those on the periphery are negative.</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The forecasts of economic activities of the candidate countries in the region are either negative or with very low projected growth. These forecasts predict depressed household consumption in all three countries in the region and its real decline. This will certainly will be a negative impulse on demand for tourist services from Serbia and Macedonia, that are important emitting tourist markets for Montenegro.</w:t>
      </w:r>
    </w:p>
    <w:p w:rsidR="008D3E5E" w:rsidRPr="00F63F72" w:rsidRDefault="008D3E5E" w:rsidP="008D3E5E">
      <w:pPr>
        <w:pStyle w:val="Caption"/>
        <w:keepNext/>
        <w:rPr>
          <w:rFonts w:ascii="Calibri" w:hAnsi="Calibri" w:cs="Calibri"/>
          <w:lang w:val="en-US"/>
        </w:rPr>
      </w:pPr>
      <w:r w:rsidRPr="00F63F72">
        <w:rPr>
          <w:rFonts w:ascii="Calibri" w:hAnsi="Calibri" w:cs="Calibri"/>
          <w:lang w:val="en-US"/>
        </w:rPr>
        <w:t xml:space="preserve">Table </w:t>
      </w:r>
      <w:r w:rsidR="00033B25" w:rsidRPr="00F63F72">
        <w:rPr>
          <w:rFonts w:ascii="Calibri" w:hAnsi="Calibri" w:cs="Calibri"/>
          <w:lang w:val="en-US"/>
        </w:rPr>
        <w:fldChar w:fldCharType="begin"/>
      </w:r>
      <w:r w:rsidRPr="00F63F72">
        <w:rPr>
          <w:rFonts w:ascii="Calibri" w:hAnsi="Calibri" w:cs="Calibri"/>
          <w:lang w:val="en-US"/>
        </w:rPr>
        <w:instrText xml:space="preserve"> SEQ Tabela \* ARABIC </w:instrText>
      </w:r>
      <w:r w:rsidR="00033B25" w:rsidRPr="00F63F72">
        <w:rPr>
          <w:rFonts w:ascii="Calibri" w:hAnsi="Calibri" w:cs="Calibri"/>
          <w:lang w:val="en-US"/>
        </w:rPr>
        <w:fldChar w:fldCharType="separate"/>
      </w:r>
      <w:r w:rsidR="005669F0">
        <w:rPr>
          <w:rFonts w:ascii="Calibri" w:hAnsi="Calibri" w:cs="Calibri"/>
          <w:noProof/>
          <w:lang w:val="en-US"/>
        </w:rPr>
        <w:t>2</w:t>
      </w:r>
      <w:r w:rsidR="00033B25" w:rsidRPr="00F63F72">
        <w:rPr>
          <w:rFonts w:ascii="Calibri" w:hAnsi="Calibri" w:cs="Calibri"/>
          <w:lang w:val="en-US"/>
        </w:rPr>
        <w:fldChar w:fldCharType="end"/>
      </w:r>
    </w:p>
    <w:tbl>
      <w:tblPr>
        <w:tblW w:w="5000" w:type="pct"/>
        <w:tblBorders>
          <w:top w:val="single" w:sz="8" w:space="0" w:color="4F81BD"/>
          <w:bottom w:val="single" w:sz="8" w:space="0" w:color="4F81BD"/>
        </w:tblBorders>
        <w:tblLook w:val="04A0"/>
      </w:tblPr>
      <w:tblGrid>
        <w:gridCol w:w="4166"/>
        <w:gridCol w:w="1801"/>
        <w:gridCol w:w="1801"/>
        <w:gridCol w:w="1803"/>
      </w:tblGrid>
      <w:tr w:rsidR="008D3E5E" w:rsidRPr="00F63F72" w:rsidTr="004C45D3">
        <w:trPr>
          <w:trHeight w:val="290"/>
        </w:trPr>
        <w:tc>
          <w:tcPr>
            <w:tcW w:w="5000" w:type="pct"/>
            <w:gridSpan w:val="4"/>
            <w:tcBorders>
              <w:top w:val="single" w:sz="8" w:space="0" w:color="4F81BD"/>
              <w:left w:val="nil"/>
              <w:bottom w:val="single" w:sz="8" w:space="0" w:color="4F81BD"/>
              <w:right w:val="nil"/>
            </w:tcBorders>
            <w:noWrap/>
            <w:hideMark/>
          </w:tcPr>
          <w:p w:rsidR="008D3E5E" w:rsidRPr="00F63F72" w:rsidRDefault="008D3E5E" w:rsidP="004C45D3">
            <w:pPr>
              <w:jc w:val="center"/>
              <w:rPr>
                <w:rFonts w:ascii="Calibri" w:eastAsia="Calibri" w:hAnsi="Calibri" w:cs="Calibri"/>
                <w:b/>
                <w:bCs/>
                <w:color w:val="365F91"/>
                <w:lang w:eastAsia="sr-Latn-CS"/>
              </w:rPr>
            </w:pPr>
            <w:r w:rsidRPr="00F63F72">
              <w:rPr>
                <w:rFonts w:ascii="Calibri" w:eastAsia="Calibri" w:hAnsi="Calibri" w:cs="Calibri"/>
                <w:b/>
                <w:bCs/>
                <w:color w:val="365F91"/>
                <w:sz w:val="22"/>
                <w:szCs w:val="22"/>
                <w:lang w:eastAsia="sr-Latn-CS"/>
              </w:rPr>
              <w:t>EC- Growth prospects of the candidate countries in the region</w:t>
            </w:r>
          </w:p>
        </w:tc>
      </w:tr>
      <w:tr w:rsidR="008D3E5E" w:rsidRPr="00F63F72" w:rsidTr="004C45D3">
        <w:trPr>
          <w:trHeight w:val="290"/>
        </w:trPr>
        <w:tc>
          <w:tcPr>
            <w:tcW w:w="2176" w:type="pct"/>
            <w:tcBorders>
              <w:left w:val="nil"/>
              <w:right w:val="nil"/>
            </w:tcBorders>
            <w:shd w:val="clear" w:color="auto" w:fill="D3DFEE"/>
            <w:noWrap/>
            <w:hideMark/>
          </w:tcPr>
          <w:p w:rsidR="008D3E5E" w:rsidRPr="00F63F72" w:rsidRDefault="008D3E5E" w:rsidP="004C45D3">
            <w:pPr>
              <w:rPr>
                <w:rFonts w:ascii="Calibri" w:eastAsia="Calibri" w:hAnsi="Calibri" w:cs="Calibri"/>
                <w:b/>
                <w:bCs/>
                <w:color w:val="365F91"/>
                <w:lang w:eastAsia="sr-Latn-CS"/>
              </w:rPr>
            </w:pPr>
          </w:p>
        </w:tc>
        <w:tc>
          <w:tcPr>
            <w:tcW w:w="941" w:type="pct"/>
            <w:tcBorders>
              <w:left w:val="nil"/>
              <w:right w:val="nil"/>
            </w:tcBorders>
            <w:shd w:val="clear" w:color="auto" w:fill="D3DFEE"/>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2012</w:t>
            </w:r>
          </w:p>
        </w:tc>
        <w:tc>
          <w:tcPr>
            <w:tcW w:w="941" w:type="pct"/>
            <w:tcBorders>
              <w:left w:val="nil"/>
              <w:right w:val="nil"/>
            </w:tcBorders>
            <w:shd w:val="clear" w:color="auto" w:fill="D3DFEE"/>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2013</w:t>
            </w:r>
          </w:p>
        </w:tc>
        <w:tc>
          <w:tcPr>
            <w:tcW w:w="942" w:type="pct"/>
            <w:tcBorders>
              <w:left w:val="nil"/>
              <w:right w:val="nil"/>
            </w:tcBorders>
            <w:shd w:val="clear" w:color="auto" w:fill="D3DFEE"/>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2014</w:t>
            </w:r>
          </w:p>
        </w:tc>
      </w:tr>
      <w:tr w:rsidR="008D3E5E" w:rsidRPr="00F63F72" w:rsidTr="004C45D3">
        <w:trPr>
          <w:trHeight w:val="290"/>
        </w:trPr>
        <w:tc>
          <w:tcPr>
            <w:tcW w:w="2176" w:type="pct"/>
            <w:noWrap/>
            <w:hideMark/>
          </w:tcPr>
          <w:p w:rsidR="008D3E5E" w:rsidRPr="00F63F72" w:rsidRDefault="008D3E5E" w:rsidP="004C45D3">
            <w:pPr>
              <w:rPr>
                <w:rFonts w:ascii="Calibri" w:eastAsia="Calibri" w:hAnsi="Calibri" w:cs="Calibri"/>
                <w:b/>
                <w:bCs/>
                <w:color w:val="365F91"/>
                <w:lang w:eastAsia="sr-Latn-CS"/>
              </w:rPr>
            </w:pPr>
            <w:r w:rsidRPr="00F63F72">
              <w:rPr>
                <w:rFonts w:ascii="Calibri" w:eastAsia="Calibri" w:hAnsi="Calibri" w:cs="Calibri"/>
                <w:b/>
                <w:bCs/>
                <w:color w:val="365F91"/>
                <w:sz w:val="22"/>
                <w:szCs w:val="22"/>
                <w:lang w:eastAsia="sr-Latn-CS"/>
              </w:rPr>
              <w:t>Croatia</w:t>
            </w:r>
          </w:p>
        </w:tc>
        <w:tc>
          <w:tcPr>
            <w:tcW w:w="941" w:type="pct"/>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-2,0</w:t>
            </w:r>
          </w:p>
        </w:tc>
        <w:tc>
          <w:tcPr>
            <w:tcW w:w="941" w:type="pct"/>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-1,0</w:t>
            </w:r>
          </w:p>
        </w:tc>
        <w:tc>
          <w:tcPr>
            <w:tcW w:w="942" w:type="pct"/>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0,2</w:t>
            </w:r>
          </w:p>
        </w:tc>
      </w:tr>
      <w:tr w:rsidR="008D3E5E" w:rsidRPr="00F63F72" w:rsidTr="004C45D3">
        <w:trPr>
          <w:trHeight w:val="290"/>
        </w:trPr>
        <w:tc>
          <w:tcPr>
            <w:tcW w:w="2176" w:type="pct"/>
            <w:tcBorders>
              <w:left w:val="nil"/>
              <w:right w:val="nil"/>
            </w:tcBorders>
            <w:shd w:val="clear" w:color="auto" w:fill="D3DFEE"/>
            <w:noWrap/>
            <w:hideMark/>
          </w:tcPr>
          <w:p w:rsidR="008D3E5E" w:rsidRPr="00F63F72" w:rsidRDefault="008D3E5E" w:rsidP="004C45D3">
            <w:pPr>
              <w:rPr>
                <w:rFonts w:ascii="Calibri" w:eastAsia="Calibri" w:hAnsi="Calibri" w:cs="Calibri"/>
                <w:b/>
                <w:bCs/>
                <w:color w:val="365F91"/>
                <w:lang w:eastAsia="sr-Latn-CS"/>
              </w:rPr>
            </w:pPr>
            <w:r w:rsidRPr="00F63F72">
              <w:rPr>
                <w:rFonts w:ascii="Calibri" w:eastAsia="Calibri" w:hAnsi="Calibri" w:cs="Calibri"/>
                <w:b/>
                <w:bCs/>
                <w:color w:val="365F91"/>
                <w:sz w:val="22"/>
                <w:szCs w:val="22"/>
                <w:lang w:eastAsia="sr-Latn-CS"/>
              </w:rPr>
              <w:t>Serbia</w:t>
            </w:r>
          </w:p>
        </w:tc>
        <w:tc>
          <w:tcPr>
            <w:tcW w:w="941" w:type="pct"/>
            <w:tcBorders>
              <w:left w:val="nil"/>
              <w:right w:val="nil"/>
            </w:tcBorders>
            <w:shd w:val="clear" w:color="auto" w:fill="D3DFEE"/>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-1,7</w:t>
            </w:r>
          </w:p>
        </w:tc>
        <w:tc>
          <w:tcPr>
            <w:tcW w:w="941" w:type="pct"/>
            <w:tcBorders>
              <w:left w:val="nil"/>
              <w:right w:val="nil"/>
            </w:tcBorders>
            <w:shd w:val="clear" w:color="auto" w:fill="D3DFEE"/>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1,7</w:t>
            </w:r>
          </w:p>
        </w:tc>
        <w:tc>
          <w:tcPr>
            <w:tcW w:w="942" w:type="pct"/>
            <w:tcBorders>
              <w:left w:val="nil"/>
              <w:right w:val="nil"/>
            </w:tcBorders>
            <w:shd w:val="clear" w:color="auto" w:fill="D3DFEE"/>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1,9</w:t>
            </w:r>
          </w:p>
        </w:tc>
      </w:tr>
      <w:tr w:rsidR="008D3E5E" w:rsidRPr="00F63F72" w:rsidTr="004C45D3">
        <w:trPr>
          <w:trHeight w:val="290"/>
        </w:trPr>
        <w:tc>
          <w:tcPr>
            <w:tcW w:w="2176" w:type="pct"/>
            <w:noWrap/>
            <w:hideMark/>
          </w:tcPr>
          <w:p w:rsidR="008D3E5E" w:rsidRPr="00F63F72" w:rsidRDefault="008D3E5E" w:rsidP="004C45D3">
            <w:pPr>
              <w:rPr>
                <w:rFonts w:ascii="Calibri" w:eastAsia="Calibri" w:hAnsi="Calibri" w:cs="Calibri"/>
                <w:b/>
                <w:bCs/>
                <w:color w:val="365F91"/>
                <w:lang w:eastAsia="sr-Latn-CS"/>
              </w:rPr>
            </w:pPr>
            <w:r w:rsidRPr="00F63F72">
              <w:rPr>
                <w:rFonts w:ascii="Calibri" w:eastAsia="Calibri" w:hAnsi="Calibri" w:cs="Calibri"/>
                <w:b/>
                <w:bCs/>
                <w:color w:val="365F91"/>
                <w:sz w:val="22"/>
                <w:szCs w:val="22"/>
                <w:lang w:eastAsia="sr-Latn-CS"/>
              </w:rPr>
              <w:t>Macedonia</w:t>
            </w:r>
          </w:p>
        </w:tc>
        <w:tc>
          <w:tcPr>
            <w:tcW w:w="941" w:type="pct"/>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-0,3</w:t>
            </w:r>
          </w:p>
        </w:tc>
        <w:tc>
          <w:tcPr>
            <w:tcW w:w="941" w:type="pct"/>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1,5</w:t>
            </w:r>
          </w:p>
        </w:tc>
        <w:tc>
          <w:tcPr>
            <w:tcW w:w="942" w:type="pct"/>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2,0</w:t>
            </w:r>
          </w:p>
        </w:tc>
      </w:tr>
      <w:tr w:rsidR="008D3E5E" w:rsidRPr="00F63F72" w:rsidTr="004C45D3">
        <w:trPr>
          <w:trHeight w:val="290"/>
        </w:trPr>
        <w:tc>
          <w:tcPr>
            <w:tcW w:w="2176" w:type="pct"/>
            <w:tcBorders>
              <w:left w:val="nil"/>
              <w:right w:val="nil"/>
            </w:tcBorders>
            <w:shd w:val="clear" w:color="auto" w:fill="D3DFEE"/>
            <w:noWrap/>
            <w:hideMark/>
          </w:tcPr>
          <w:p w:rsidR="008D3E5E" w:rsidRPr="00F63F72" w:rsidRDefault="008D3E5E" w:rsidP="004C45D3">
            <w:pPr>
              <w:rPr>
                <w:rFonts w:ascii="Calibri" w:eastAsia="Calibri" w:hAnsi="Calibri" w:cs="Calibri"/>
                <w:b/>
                <w:bCs/>
                <w:color w:val="365F91"/>
                <w:lang w:eastAsia="sr-Latn-CS"/>
              </w:rPr>
            </w:pPr>
            <w:r w:rsidRPr="00F63F72">
              <w:rPr>
                <w:rFonts w:ascii="Calibri" w:eastAsia="Calibri" w:hAnsi="Calibri" w:cs="Calibri"/>
                <w:b/>
                <w:bCs/>
                <w:color w:val="365F91"/>
                <w:sz w:val="22"/>
                <w:szCs w:val="22"/>
                <w:lang w:eastAsia="sr-Latn-CS"/>
              </w:rPr>
              <w:t>Montenegro</w:t>
            </w:r>
          </w:p>
        </w:tc>
        <w:tc>
          <w:tcPr>
            <w:tcW w:w="941" w:type="pct"/>
            <w:tcBorders>
              <w:left w:val="nil"/>
              <w:right w:val="nil"/>
            </w:tcBorders>
            <w:shd w:val="clear" w:color="auto" w:fill="D3DFEE"/>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-0,5</w:t>
            </w:r>
          </w:p>
        </w:tc>
        <w:tc>
          <w:tcPr>
            <w:tcW w:w="941" w:type="pct"/>
            <w:tcBorders>
              <w:left w:val="nil"/>
              <w:right w:val="nil"/>
            </w:tcBorders>
            <w:shd w:val="clear" w:color="auto" w:fill="D3DFEE"/>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1,8</w:t>
            </w:r>
          </w:p>
        </w:tc>
        <w:tc>
          <w:tcPr>
            <w:tcW w:w="942" w:type="pct"/>
            <w:tcBorders>
              <w:left w:val="nil"/>
              <w:right w:val="nil"/>
            </w:tcBorders>
            <w:shd w:val="clear" w:color="auto" w:fill="D3DFEE"/>
            <w:noWrap/>
            <w:hideMark/>
          </w:tcPr>
          <w:p w:rsidR="008D3E5E" w:rsidRPr="00F63F72" w:rsidRDefault="008D3E5E" w:rsidP="004C45D3">
            <w:pPr>
              <w:jc w:val="right"/>
              <w:rPr>
                <w:rFonts w:ascii="Calibri" w:eastAsia="Calibri" w:hAnsi="Calibri" w:cs="Calibri"/>
                <w:color w:val="365F91"/>
                <w:lang w:eastAsia="sr-Latn-CS"/>
              </w:rPr>
            </w:pPr>
            <w:r w:rsidRPr="00F63F72">
              <w:rPr>
                <w:rFonts w:ascii="Calibri" w:eastAsia="Calibri" w:hAnsi="Calibri" w:cs="Calibri"/>
                <w:color w:val="365F91"/>
                <w:sz w:val="22"/>
                <w:szCs w:val="22"/>
                <w:lang w:eastAsia="sr-Latn-CS"/>
              </w:rPr>
              <w:t>2,6</w:t>
            </w:r>
          </w:p>
        </w:tc>
      </w:tr>
    </w:tbl>
    <w:p w:rsidR="008D3E5E" w:rsidRPr="00F63F72" w:rsidRDefault="008D3E5E" w:rsidP="008D3E5E">
      <w:pPr>
        <w:rPr>
          <w:rFonts w:ascii="Calibri" w:hAnsi="Calibri" w:cs="Calibri"/>
          <w:bCs/>
          <w:i/>
          <w:sz w:val="16"/>
          <w:szCs w:val="20"/>
        </w:rPr>
      </w:pPr>
      <w:r w:rsidRPr="00F63F72">
        <w:rPr>
          <w:rFonts w:ascii="Calibri" w:hAnsi="Calibri" w:cs="Calibri"/>
          <w:bCs/>
          <w:i/>
          <w:sz w:val="16"/>
          <w:szCs w:val="20"/>
        </w:rPr>
        <w:t>Source: European Commission</w:t>
      </w:r>
    </w:p>
    <w:p w:rsidR="008D3E5E" w:rsidRPr="00F63F72" w:rsidRDefault="008D3E5E" w:rsidP="008D3E5E">
      <w:pPr>
        <w:rPr>
          <w:rFonts w:ascii="Calibri" w:hAnsi="Calibri" w:cs="Calibri"/>
          <w:b/>
          <w:bCs/>
          <w:color w:val="FF0000"/>
          <w:sz w:val="20"/>
          <w:szCs w:val="20"/>
        </w:rPr>
      </w:pPr>
    </w:p>
    <w:p w:rsidR="008D3E5E" w:rsidRPr="00F63F72" w:rsidRDefault="008D3E5E" w:rsidP="008D3E5E">
      <w:pPr>
        <w:rPr>
          <w:rFonts w:ascii="Calibri" w:hAnsi="Calibri" w:cs="Calibri"/>
          <w:b/>
          <w:bCs/>
          <w:color w:val="FF0000"/>
          <w:sz w:val="20"/>
          <w:szCs w:val="20"/>
        </w:rPr>
      </w:pPr>
    </w:p>
    <w:p w:rsidR="008D3E5E" w:rsidRPr="00F63F72" w:rsidRDefault="008D3E5E" w:rsidP="008D3E5E">
      <w:pPr>
        <w:pStyle w:val="Default"/>
        <w:numPr>
          <w:ilvl w:val="0"/>
          <w:numId w:val="20"/>
        </w:numPr>
        <w:rPr>
          <w:rFonts w:ascii="Calibri" w:hAnsi="Calibri" w:cs="Calibri"/>
          <w:b/>
          <w:sz w:val="22"/>
          <w:szCs w:val="22"/>
        </w:rPr>
      </w:pPr>
      <w:r w:rsidRPr="00F63F72">
        <w:rPr>
          <w:rFonts w:ascii="Calibri" w:hAnsi="Calibri" w:cs="Calibri"/>
          <w:b/>
          <w:sz w:val="22"/>
          <w:szCs w:val="22"/>
        </w:rPr>
        <w:t>MACRO-ECONOMIC FRAMEWORK 2012-2016</w:t>
      </w:r>
    </w:p>
    <w:p w:rsidR="008D3E5E" w:rsidRPr="00F63F72" w:rsidRDefault="008D3E5E" w:rsidP="008D3E5E">
      <w:pPr>
        <w:pStyle w:val="Default"/>
        <w:rPr>
          <w:rFonts w:ascii="Calibri" w:hAnsi="Calibri" w:cs="Calibri"/>
          <w:b/>
          <w:sz w:val="22"/>
          <w:szCs w:val="22"/>
        </w:rPr>
      </w:pP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xml:space="preserve">In such an unfavorable international environment, the Montenegrin economy, with internal systemic weaknesses, has no </w:t>
      </w:r>
      <w:r w:rsidR="001649F5">
        <w:rPr>
          <w:rFonts w:ascii="Calibri" w:hAnsi="Calibri" w:cs="Calibri"/>
          <w:sz w:val="22"/>
          <w:szCs w:val="22"/>
        </w:rPr>
        <w:t xml:space="preserve">real </w:t>
      </w:r>
      <w:r w:rsidRPr="00F63F72">
        <w:rPr>
          <w:rFonts w:ascii="Calibri" w:hAnsi="Calibri" w:cs="Calibri"/>
          <w:sz w:val="22"/>
          <w:szCs w:val="22"/>
        </w:rPr>
        <w:t>chance for strong growth, so the Ministry of Finance is projecting real growth of 2.5% till the end of 2013, which is on the level of projections adopted by the Government in late October 2012.</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Meanwhile, significant changes</w:t>
      </w:r>
      <w:r>
        <w:rPr>
          <w:rFonts w:ascii="Calibri" w:hAnsi="Calibri" w:cs="Calibri"/>
          <w:sz w:val="22"/>
          <w:szCs w:val="22"/>
        </w:rPr>
        <w:t xml:space="preserve"> </w:t>
      </w:r>
      <w:r w:rsidRPr="00F63F72">
        <w:rPr>
          <w:rFonts w:ascii="Calibri" w:hAnsi="Calibri" w:cs="Calibri"/>
          <w:sz w:val="22"/>
          <w:szCs w:val="22"/>
        </w:rPr>
        <w:t>that slightly alter</w:t>
      </w:r>
      <w:r>
        <w:rPr>
          <w:rFonts w:ascii="Calibri" w:hAnsi="Calibri" w:cs="Calibri"/>
          <w:sz w:val="22"/>
          <w:szCs w:val="22"/>
        </w:rPr>
        <w:t>ed</w:t>
      </w:r>
      <w:r w:rsidRPr="00F63F72">
        <w:rPr>
          <w:rFonts w:ascii="Calibri" w:hAnsi="Calibri" w:cs="Calibri"/>
          <w:sz w:val="22"/>
          <w:szCs w:val="22"/>
        </w:rPr>
        <w:t xml:space="preserve"> macroeconomic parameters have taken place, and they refer to the following:</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The Government of Montenegro, at the end of December 2012, adopted a package of fiscal measures, and the most important are: freeze on pensions and a tax on earnings above average gross earnings of EUR 720.</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Announcements of solutions for KAP differ from the assumptions underlying the previous macroeconomic projections; the price of aluminum is around 1800 $ / T which is at the level of annual minimum.</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Government program related to employment of trainees was implemented and within it 4,200 trainees will complete their traineeship, and the plan is to continue the program, but on a smaller scale.</w:t>
      </w:r>
    </w:p>
    <w:p w:rsidR="008D3E5E" w:rsidRPr="008D3E5E" w:rsidRDefault="008D3E5E" w:rsidP="008D3E5E">
      <w:pPr>
        <w:spacing w:after="240"/>
        <w:jc w:val="both"/>
        <w:rPr>
          <w:rFonts w:ascii="Calibri" w:hAnsi="Calibri" w:cs="Calibri"/>
          <w:sz w:val="22"/>
          <w:szCs w:val="22"/>
        </w:rPr>
      </w:pPr>
      <w:r w:rsidRPr="00F63F72">
        <w:rPr>
          <w:rFonts w:ascii="Calibri" w:hAnsi="Calibri" w:cs="Calibri"/>
          <w:sz w:val="22"/>
          <w:szCs w:val="22"/>
        </w:rPr>
        <w:t xml:space="preserve">• The Central Bank of Montenegro, in November 2012, announced the changes in the balance </w:t>
      </w:r>
      <w:r w:rsidR="001649F5">
        <w:rPr>
          <w:rFonts w:ascii="Calibri" w:hAnsi="Calibri" w:cs="Calibri"/>
          <w:sz w:val="22"/>
          <w:szCs w:val="22"/>
        </w:rPr>
        <w:t xml:space="preserve">of payments </w:t>
      </w:r>
      <w:r w:rsidRPr="00F63F72">
        <w:rPr>
          <w:rFonts w:ascii="Calibri" w:hAnsi="Calibri" w:cs="Calibri"/>
          <w:sz w:val="22"/>
          <w:szCs w:val="22"/>
        </w:rPr>
        <w:t xml:space="preserve">for the period 2008-2011, and changes on the current account (related to increased revenues from tourism) necessitate the revision of data on nominal and real GDP and change completely the relations on </w:t>
      </w:r>
      <w:r w:rsidRPr="008D3E5E">
        <w:rPr>
          <w:rFonts w:ascii="Calibri" w:hAnsi="Calibri" w:cs="Calibri"/>
          <w:sz w:val="22"/>
          <w:szCs w:val="22"/>
        </w:rPr>
        <w:t>the expenditure side.</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xml:space="preserve">• The Government of Montenegro has decided to increase the </w:t>
      </w:r>
      <w:r w:rsidR="001649F5">
        <w:rPr>
          <w:rFonts w:ascii="Calibri" w:hAnsi="Calibri" w:cs="Calibri"/>
          <w:sz w:val="22"/>
          <w:szCs w:val="22"/>
        </w:rPr>
        <w:t>upper</w:t>
      </w:r>
      <w:r w:rsidRPr="00F63F72">
        <w:rPr>
          <w:rFonts w:ascii="Calibri" w:hAnsi="Calibri" w:cs="Calibri"/>
          <w:sz w:val="22"/>
          <w:szCs w:val="22"/>
        </w:rPr>
        <w:t xml:space="preserve"> rate of VAT from the existing 17 to 19%, while retaining lower or zero rate of this tax on the same level.</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lastRenderedPageBreak/>
        <w:t>Basic assumptions for the projections are:</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stop the negative trend of lending activity and its growth,</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Implementation of planned investments and a stable level of net inflows of foreign investment,</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Resolution of accumulated problems in KAP. The basic projection predicts reduced production (about 40.000T) and stabilization of price at about 2100 $ / T with a dollar exchange rate of about 1 EUR = 1.30 USD</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increase the collection of tax revenues.</w:t>
      </w:r>
    </w:p>
    <w:p w:rsidR="008D3E5E" w:rsidRPr="00F63F72" w:rsidRDefault="008D3E5E" w:rsidP="008D3E5E">
      <w:pPr>
        <w:spacing w:after="240"/>
        <w:jc w:val="both"/>
        <w:rPr>
          <w:rFonts w:ascii="Calibri" w:hAnsi="Calibri" w:cs="Calibri"/>
          <w:sz w:val="22"/>
          <w:szCs w:val="22"/>
        </w:rPr>
      </w:pP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xml:space="preserve">For the period from 2013 to 2016, average growth of GDP of 3.6% is predicted and in 2014 (3.5%) and slightly higher in 2015 and 2016 (4.0% and 4.5%). The predicted rates are slightly higher than potential growth rates of GDP (long-term trend). After a significant drop in the unemployment rate in 2013 (estimated at 1.7 measured using the ILO methodology) as a result of the program for professional education of trainees. In the period 2014-2016 the continuation of the program for employment of trainees is expected, but on a smaller scale than this year, so the unemployment rate would be stabilized at 18.8%. The projections of unemployment take as assumption that a part of young university students will be retained after the end of the traineeship period (ILO methodology). Taking into account the data of the official statistics of the Employment </w:t>
      </w:r>
      <w:r w:rsidR="001649F5">
        <w:rPr>
          <w:rFonts w:ascii="Calibri" w:hAnsi="Calibri" w:cs="Calibri"/>
          <w:sz w:val="22"/>
          <w:szCs w:val="22"/>
        </w:rPr>
        <w:t>Agency</w:t>
      </w:r>
      <w:r w:rsidRPr="00F63F72">
        <w:rPr>
          <w:rFonts w:ascii="Calibri" w:hAnsi="Calibri" w:cs="Calibri"/>
          <w:sz w:val="22"/>
          <w:szCs w:val="22"/>
        </w:rPr>
        <w:t xml:space="preserve"> of Montenegro, the unemployment rate should rise slightly in the 2013 and reach 13.3%, so that by strengthening of the economic activity at the end of the medium term to 2016, it would fall to 12.5%.</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xml:space="preserve">In the period 2013-2016, the projected average growth of prices is 2.7%, and that is the result of stable prices of food and energy, but also of fiscal measures. This projection has been updated by adopted change of the basic VAT rate, so for 2013 somewhat higher inflation rate of about 3%  is planned and in the medium term, gradual stabilization and decline in the rate to 2.5% will take place in 2015-2016. </w:t>
      </w:r>
    </w:p>
    <w:p w:rsidR="008D3E5E" w:rsidRPr="00F63F72" w:rsidRDefault="008D3E5E" w:rsidP="008D3E5E">
      <w:pPr>
        <w:pStyle w:val="Default"/>
        <w:jc w:val="both"/>
        <w:rPr>
          <w:rFonts w:ascii="Calibri" w:hAnsi="Calibri" w:cs="Calibri"/>
          <w:sz w:val="22"/>
          <w:szCs w:val="22"/>
        </w:rPr>
      </w:pPr>
    </w:p>
    <w:p w:rsidR="008D3E5E" w:rsidRPr="00F63F72" w:rsidRDefault="008D3E5E" w:rsidP="008D3E5E">
      <w:pPr>
        <w:pStyle w:val="Default"/>
        <w:numPr>
          <w:ilvl w:val="1"/>
          <w:numId w:val="20"/>
        </w:numPr>
        <w:jc w:val="both"/>
        <w:rPr>
          <w:rFonts w:ascii="Calibri" w:hAnsi="Calibri" w:cs="Calibri"/>
          <w:b/>
          <w:sz w:val="22"/>
          <w:szCs w:val="22"/>
        </w:rPr>
      </w:pPr>
      <w:r w:rsidRPr="00F63F72">
        <w:rPr>
          <w:rFonts w:ascii="Calibri" w:hAnsi="Calibri" w:cs="Calibri"/>
          <w:b/>
          <w:sz w:val="22"/>
          <w:szCs w:val="22"/>
        </w:rPr>
        <w:t>Macro-economic developmen</w:t>
      </w:r>
      <w:r>
        <w:rPr>
          <w:rFonts w:ascii="Calibri" w:hAnsi="Calibri" w:cs="Calibri"/>
          <w:b/>
          <w:sz w:val="22"/>
          <w:szCs w:val="22"/>
        </w:rPr>
        <w:t>t</w:t>
      </w:r>
      <w:r w:rsidRPr="00F63F72">
        <w:rPr>
          <w:rFonts w:ascii="Calibri" w:hAnsi="Calibri" w:cs="Calibri"/>
          <w:b/>
          <w:sz w:val="22"/>
          <w:szCs w:val="22"/>
        </w:rPr>
        <w:t>s in 2012 and first quarter of 2013</w:t>
      </w:r>
    </w:p>
    <w:p w:rsidR="008D3E5E" w:rsidRPr="00F63F72" w:rsidRDefault="008D3E5E" w:rsidP="008D3E5E">
      <w:pPr>
        <w:pStyle w:val="Default"/>
        <w:jc w:val="both"/>
        <w:rPr>
          <w:rFonts w:ascii="Calibri" w:hAnsi="Calibri" w:cs="Calibri"/>
          <w:b/>
          <w:sz w:val="22"/>
          <w:szCs w:val="22"/>
        </w:rPr>
      </w:pPr>
    </w:p>
    <w:p w:rsidR="008D3E5E" w:rsidRPr="00F63F72" w:rsidRDefault="008D3E5E" w:rsidP="008D3E5E">
      <w:pPr>
        <w:pStyle w:val="Default"/>
        <w:numPr>
          <w:ilvl w:val="2"/>
          <w:numId w:val="21"/>
        </w:numPr>
        <w:jc w:val="both"/>
        <w:rPr>
          <w:rFonts w:ascii="Calibri" w:hAnsi="Calibri" w:cs="Calibri"/>
          <w:b/>
          <w:sz w:val="22"/>
          <w:szCs w:val="22"/>
        </w:rPr>
      </w:pPr>
      <w:r w:rsidRPr="00F63F72">
        <w:rPr>
          <w:rFonts w:ascii="Calibri" w:hAnsi="Calibri" w:cs="Calibri"/>
          <w:b/>
          <w:sz w:val="22"/>
          <w:szCs w:val="22"/>
        </w:rPr>
        <w:t xml:space="preserve">Gross domestic product in 2012 </w:t>
      </w:r>
    </w:p>
    <w:p w:rsidR="008D3E5E" w:rsidRPr="00F63F72" w:rsidRDefault="008D3E5E" w:rsidP="008D3E5E">
      <w:pPr>
        <w:pStyle w:val="Default"/>
        <w:rPr>
          <w:rFonts w:ascii="Calibri" w:hAnsi="Calibri" w:cs="Calibri"/>
          <w:b/>
          <w:sz w:val="22"/>
          <w:szCs w:val="22"/>
        </w:rPr>
      </w:pP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 xml:space="preserve">According to the preliminary data of Monstat on GDP for 2012, </w:t>
      </w:r>
      <w:r>
        <w:rPr>
          <w:rFonts w:ascii="Calibri" w:hAnsi="Calibri" w:cs="Calibri"/>
          <w:sz w:val="22"/>
          <w:szCs w:val="22"/>
        </w:rPr>
        <w:t>Mont</w:t>
      </w:r>
      <w:r w:rsidRPr="00F63F72">
        <w:rPr>
          <w:rFonts w:ascii="Calibri" w:hAnsi="Calibri" w:cs="Calibri"/>
          <w:sz w:val="22"/>
          <w:szCs w:val="22"/>
        </w:rPr>
        <w:t>en</w:t>
      </w:r>
      <w:r>
        <w:rPr>
          <w:rFonts w:ascii="Calibri" w:hAnsi="Calibri" w:cs="Calibri"/>
          <w:sz w:val="22"/>
          <w:szCs w:val="22"/>
        </w:rPr>
        <w:t>e</w:t>
      </w:r>
      <w:r w:rsidRPr="00F63F72">
        <w:rPr>
          <w:rFonts w:ascii="Calibri" w:hAnsi="Calibri" w:cs="Calibri"/>
          <w:sz w:val="22"/>
          <w:szCs w:val="22"/>
        </w:rPr>
        <w:t xml:space="preserve">grin economy recorded downturn of 0.5% as a result of a sharp decline in economic activity in the first quarter (bad weather conditions) and stagnation and weak growth in other quarters. The negative contribution is a result of the decline in industrial production (a decline in production of KAP) and the decline in the sector that </w:t>
      </w:r>
      <w:r w:rsidRPr="008D3E5E">
        <w:rPr>
          <w:rFonts w:ascii="Calibri" w:hAnsi="Calibri" w:cs="Calibri"/>
          <w:sz w:val="22"/>
          <w:szCs w:val="22"/>
        </w:rPr>
        <w:t>covers budget spending</w:t>
      </w:r>
      <w:r w:rsidRPr="00F63F72">
        <w:rPr>
          <w:rFonts w:ascii="Calibri" w:hAnsi="Calibri" w:cs="Calibri"/>
          <w:sz w:val="22"/>
          <w:szCs w:val="22"/>
        </w:rPr>
        <w:t xml:space="preserve"> and the part that refers to the net taxes on goods. Growth was recorded in tourism and retail, but it was not enough to cover the above mentioned negative effects.</w:t>
      </w:r>
    </w:p>
    <w:p w:rsidR="008D3E5E" w:rsidRPr="00F63F72" w:rsidRDefault="008D3E5E" w:rsidP="008D3E5E">
      <w:pPr>
        <w:jc w:val="both"/>
        <w:rPr>
          <w:rFonts w:ascii="Calibri" w:hAnsi="Calibri" w:cs="Calibri"/>
          <w:sz w:val="22"/>
          <w:szCs w:val="22"/>
        </w:rPr>
      </w:pP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 xml:space="preserve">The following table presents the achieved GDP by quarters with real and nominal growth, as well as the </w:t>
      </w:r>
      <w:r w:rsidRPr="008D3E5E">
        <w:rPr>
          <w:rFonts w:ascii="Calibri" w:hAnsi="Calibri" w:cs="Calibri"/>
          <w:sz w:val="22"/>
          <w:szCs w:val="22"/>
        </w:rPr>
        <w:t>percentage share</w:t>
      </w:r>
      <w:r w:rsidRPr="00F63F72">
        <w:rPr>
          <w:rFonts w:ascii="Calibri" w:hAnsi="Calibri" w:cs="Calibri"/>
          <w:sz w:val="22"/>
          <w:szCs w:val="22"/>
        </w:rPr>
        <w:t xml:space="preserve"> of certain quarters in annual GDP.</w:t>
      </w:r>
    </w:p>
    <w:p w:rsidR="008D3E5E" w:rsidRPr="00F63F72" w:rsidRDefault="008D3E5E" w:rsidP="008D3E5E">
      <w:pPr>
        <w:rPr>
          <w:rFonts w:ascii="Calibri" w:hAnsi="Calibri" w:cs="Calibri"/>
          <w:sz w:val="22"/>
          <w:szCs w:val="22"/>
        </w:rPr>
      </w:pPr>
    </w:p>
    <w:p w:rsidR="008D3E5E" w:rsidRPr="00F63F72" w:rsidRDefault="008D3E5E" w:rsidP="008D3E5E">
      <w:pPr>
        <w:rPr>
          <w:rFonts w:ascii="Calibri" w:hAnsi="Calibri" w:cs="Calibri"/>
          <w:sz w:val="22"/>
          <w:szCs w:val="22"/>
        </w:rPr>
      </w:pPr>
    </w:p>
    <w:p w:rsidR="008D3E5E" w:rsidRPr="00F63F72" w:rsidRDefault="008D3E5E" w:rsidP="008D3E5E">
      <w:pPr>
        <w:pStyle w:val="Caption"/>
        <w:keepNext/>
        <w:rPr>
          <w:rFonts w:ascii="Calibri" w:hAnsi="Calibri" w:cs="Calibri"/>
          <w:lang w:val="en-US"/>
        </w:rPr>
      </w:pPr>
      <w:r w:rsidRPr="00F63F72">
        <w:rPr>
          <w:rFonts w:ascii="Calibri" w:hAnsi="Calibri" w:cs="Calibri"/>
          <w:lang w:val="en-US"/>
        </w:rPr>
        <w:t xml:space="preserve">Table </w:t>
      </w:r>
      <w:r w:rsidR="00033B25" w:rsidRPr="00F63F72">
        <w:rPr>
          <w:rFonts w:ascii="Calibri" w:hAnsi="Calibri" w:cs="Calibri"/>
          <w:lang w:val="en-US"/>
        </w:rPr>
        <w:fldChar w:fldCharType="begin"/>
      </w:r>
      <w:r w:rsidRPr="00F63F72">
        <w:rPr>
          <w:rFonts w:ascii="Calibri" w:hAnsi="Calibri" w:cs="Calibri"/>
          <w:lang w:val="en-US"/>
        </w:rPr>
        <w:instrText xml:space="preserve"> SEQ Tabela \* ARABIC </w:instrText>
      </w:r>
      <w:r w:rsidR="00033B25" w:rsidRPr="00F63F72">
        <w:rPr>
          <w:rFonts w:ascii="Calibri" w:hAnsi="Calibri" w:cs="Calibri"/>
          <w:lang w:val="en-US"/>
        </w:rPr>
        <w:fldChar w:fldCharType="separate"/>
      </w:r>
      <w:r w:rsidR="005669F0">
        <w:rPr>
          <w:rFonts w:ascii="Calibri" w:hAnsi="Calibri" w:cs="Calibri"/>
          <w:noProof/>
          <w:lang w:val="en-US"/>
        </w:rPr>
        <w:t>3</w:t>
      </w:r>
      <w:r w:rsidR="00033B25" w:rsidRPr="00F63F72">
        <w:rPr>
          <w:rFonts w:ascii="Calibri" w:hAnsi="Calibri" w:cs="Calibri"/>
          <w:lang w:val="en-US"/>
        </w:rPr>
        <w:fldChar w:fldCharType="end"/>
      </w:r>
    </w:p>
    <w:tbl>
      <w:tblPr>
        <w:tblW w:w="5000" w:type="pct"/>
        <w:jc w:val="center"/>
        <w:tblBorders>
          <w:top w:val="single" w:sz="8" w:space="0" w:color="4F81BD"/>
          <w:bottom w:val="single" w:sz="8" w:space="0" w:color="4F81BD"/>
        </w:tblBorders>
        <w:tblLook w:val="04A0"/>
      </w:tblPr>
      <w:tblGrid>
        <w:gridCol w:w="1003"/>
        <w:gridCol w:w="3239"/>
        <w:gridCol w:w="1568"/>
        <w:gridCol w:w="1568"/>
        <w:gridCol w:w="1129"/>
        <w:gridCol w:w="1064"/>
      </w:tblGrid>
      <w:tr w:rsidR="008D3E5E" w:rsidRPr="00F63F72" w:rsidTr="004C45D3">
        <w:trPr>
          <w:trHeight w:hRule="exact" w:val="227"/>
          <w:jc w:val="center"/>
        </w:trPr>
        <w:tc>
          <w:tcPr>
            <w:tcW w:w="524" w:type="pct"/>
            <w:tcBorders>
              <w:top w:val="single" w:sz="8" w:space="0" w:color="4F81BD"/>
              <w:left w:val="nil"/>
              <w:bottom w:val="single" w:sz="8" w:space="0" w:color="4F81BD"/>
              <w:right w:val="nil"/>
            </w:tcBorders>
            <w:noWrap/>
            <w:vAlign w:val="center"/>
            <w:hideMark/>
          </w:tcPr>
          <w:p w:rsidR="008D3E5E" w:rsidRPr="00F63F72" w:rsidRDefault="008D3E5E" w:rsidP="004C45D3">
            <w:pPr>
              <w:rPr>
                <w:rFonts w:ascii="Calibri" w:eastAsia="Calibri" w:hAnsi="Calibri" w:cs="Calibri"/>
                <w:b/>
                <w:bCs/>
                <w:color w:val="365F91"/>
              </w:rPr>
            </w:pPr>
          </w:p>
        </w:tc>
        <w:tc>
          <w:tcPr>
            <w:tcW w:w="4476" w:type="pct"/>
            <w:gridSpan w:val="5"/>
            <w:tcBorders>
              <w:top w:val="single" w:sz="8" w:space="0" w:color="4F81BD"/>
              <w:left w:val="nil"/>
              <w:bottom w:val="single" w:sz="8" w:space="0" w:color="4F81BD"/>
              <w:right w:val="nil"/>
            </w:tcBorders>
            <w:noWrap/>
            <w:vAlign w:val="center"/>
            <w:hideMark/>
          </w:tcPr>
          <w:p w:rsidR="008D3E5E" w:rsidRPr="00F63F72" w:rsidRDefault="008D3E5E" w:rsidP="004C45D3">
            <w:pPr>
              <w:jc w:val="center"/>
              <w:rPr>
                <w:rFonts w:ascii="Calibri" w:eastAsia="Calibri" w:hAnsi="Calibri" w:cs="Calibri"/>
                <w:b/>
                <w:bCs/>
                <w:sz w:val="16"/>
                <w:szCs w:val="16"/>
              </w:rPr>
            </w:pPr>
            <w:r>
              <w:rPr>
                <w:rFonts w:ascii="Calibri" w:eastAsia="Calibri" w:hAnsi="Calibri" w:cs="Calibri"/>
                <w:b/>
                <w:bCs/>
                <w:sz w:val="16"/>
                <w:szCs w:val="16"/>
              </w:rPr>
              <w:t>Quar</w:t>
            </w:r>
            <w:r w:rsidRPr="00F63F72">
              <w:rPr>
                <w:rFonts w:ascii="Calibri" w:eastAsia="Calibri" w:hAnsi="Calibri" w:cs="Calibri"/>
                <w:b/>
                <w:bCs/>
                <w:sz w:val="16"/>
                <w:szCs w:val="16"/>
              </w:rPr>
              <w:t xml:space="preserve">terly national accounts, basic aggregates </w:t>
            </w:r>
          </w:p>
        </w:tc>
      </w:tr>
      <w:tr w:rsidR="008D3E5E" w:rsidRPr="00F63F72" w:rsidTr="004C45D3">
        <w:trPr>
          <w:trHeight w:hRule="exact" w:val="387"/>
          <w:jc w:val="center"/>
        </w:trPr>
        <w:tc>
          <w:tcPr>
            <w:tcW w:w="524" w:type="pct"/>
            <w:tcBorders>
              <w:left w:val="nil"/>
              <w:right w:val="nil"/>
            </w:tcBorders>
            <w:shd w:val="clear" w:color="auto" w:fill="D3DFEE"/>
            <w:vAlign w:val="center"/>
            <w:hideMark/>
          </w:tcPr>
          <w:p w:rsidR="008D3E5E" w:rsidRPr="00F63F72" w:rsidRDefault="008D3E5E" w:rsidP="004C45D3">
            <w:pPr>
              <w:jc w:val="center"/>
              <w:rPr>
                <w:rFonts w:ascii="Calibri" w:eastAsia="Calibri" w:hAnsi="Calibri" w:cs="Calibri"/>
                <w:b/>
                <w:bCs/>
                <w:color w:val="365F91"/>
                <w:sz w:val="16"/>
                <w:szCs w:val="16"/>
              </w:rPr>
            </w:pPr>
            <w:r w:rsidRPr="00F63F72">
              <w:rPr>
                <w:rFonts w:ascii="Calibri" w:eastAsia="Calibri" w:hAnsi="Calibri" w:cs="Calibri"/>
                <w:b/>
                <w:bCs/>
                <w:color w:val="365F91"/>
                <w:sz w:val="16"/>
                <w:szCs w:val="16"/>
              </w:rPr>
              <w:t>Year</w:t>
            </w:r>
          </w:p>
        </w:tc>
        <w:tc>
          <w:tcPr>
            <w:tcW w:w="1692" w:type="pct"/>
            <w:tcBorders>
              <w:left w:val="nil"/>
              <w:right w:val="nil"/>
            </w:tcBorders>
            <w:shd w:val="clear" w:color="auto" w:fill="D3DFEE"/>
            <w:vAlign w:val="center"/>
            <w:hideMark/>
          </w:tcPr>
          <w:p w:rsidR="008D3E5E" w:rsidRPr="00F63F72" w:rsidRDefault="008D3E5E" w:rsidP="004C45D3">
            <w:pPr>
              <w:jc w:val="center"/>
              <w:rPr>
                <w:rFonts w:ascii="Calibri" w:eastAsia="Calibri" w:hAnsi="Calibri" w:cs="Calibri"/>
                <w:color w:val="365F91"/>
                <w:sz w:val="16"/>
                <w:szCs w:val="16"/>
              </w:rPr>
            </w:pPr>
            <w:r w:rsidRPr="00F63F72">
              <w:rPr>
                <w:rFonts w:ascii="Calibri" w:eastAsia="Calibri" w:hAnsi="Calibri" w:cs="Calibri"/>
                <w:color w:val="365F91"/>
                <w:sz w:val="16"/>
                <w:szCs w:val="16"/>
              </w:rPr>
              <w:t>Quarters</w:t>
            </w:r>
          </w:p>
        </w:tc>
        <w:tc>
          <w:tcPr>
            <w:tcW w:w="819" w:type="pct"/>
            <w:tcBorders>
              <w:left w:val="nil"/>
              <w:right w:val="nil"/>
            </w:tcBorders>
            <w:shd w:val="clear" w:color="auto" w:fill="D3DFEE"/>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GDP in current prices</w:t>
            </w:r>
          </w:p>
        </w:tc>
        <w:tc>
          <w:tcPr>
            <w:tcW w:w="819" w:type="pct"/>
            <w:tcBorders>
              <w:left w:val="nil"/>
              <w:right w:val="nil"/>
            </w:tcBorders>
            <w:shd w:val="clear" w:color="auto" w:fill="D3DFEE"/>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GDP in constant prices</w:t>
            </w:r>
          </w:p>
        </w:tc>
        <w:tc>
          <w:tcPr>
            <w:tcW w:w="590" w:type="pct"/>
            <w:tcBorders>
              <w:left w:val="nil"/>
              <w:right w:val="nil"/>
            </w:tcBorders>
            <w:shd w:val="clear" w:color="auto" w:fill="D3DFEE"/>
            <w:vAlign w:val="center"/>
            <w:hideMark/>
          </w:tcPr>
          <w:p w:rsidR="008D3E5E" w:rsidRPr="00F63F72" w:rsidRDefault="008D3E5E" w:rsidP="004C45D3">
            <w:pPr>
              <w:jc w:val="center"/>
              <w:rPr>
                <w:rFonts w:ascii="Calibri" w:eastAsia="Calibri" w:hAnsi="Calibri" w:cs="Calibri"/>
                <w:color w:val="365F91"/>
                <w:sz w:val="16"/>
                <w:szCs w:val="16"/>
              </w:rPr>
            </w:pPr>
            <w:r w:rsidRPr="00F63F72">
              <w:rPr>
                <w:rFonts w:ascii="Calibri" w:eastAsia="Calibri" w:hAnsi="Calibri" w:cs="Calibri"/>
                <w:color w:val="365F91"/>
                <w:sz w:val="16"/>
                <w:szCs w:val="16"/>
              </w:rPr>
              <w:t xml:space="preserve">Nominal growth </w:t>
            </w:r>
          </w:p>
        </w:tc>
        <w:tc>
          <w:tcPr>
            <w:tcW w:w="557" w:type="pct"/>
            <w:tcBorders>
              <w:left w:val="nil"/>
              <w:right w:val="nil"/>
            </w:tcBorders>
            <w:shd w:val="clear" w:color="auto" w:fill="D3DFEE"/>
            <w:vAlign w:val="center"/>
            <w:hideMark/>
          </w:tcPr>
          <w:p w:rsidR="008D3E5E" w:rsidRPr="00F63F72" w:rsidRDefault="008D3E5E" w:rsidP="004C45D3">
            <w:pPr>
              <w:jc w:val="center"/>
              <w:rPr>
                <w:rFonts w:ascii="Calibri" w:eastAsia="Calibri" w:hAnsi="Calibri" w:cs="Calibri"/>
                <w:color w:val="365F91"/>
                <w:sz w:val="16"/>
                <w:szCs w:val="16"/>
              </w:rPr>
            </w:pPr>
            <w:r w:rsidRPr="00F63F72">
              <w:rPr>
                <w:rFonts w:ascii="Calibri" w:eastAsia="Calibri" w:hAnsi="Calibri" w:cs="Calibri"/>
                <w:color w:val="365F91"/>
                <w:sz w:val="16"/>
                <w:szCs w:val="16"/>
              </w:rPr>
              <w:t>Real growth</w:t>
            </w:r>
          </w:p>
        </w:tc>
      </w:tr>
      <w:tr w:rsidR="008D3E5E" w:rsidRPr="00F63F72" w:rsidTr="004C45D3">
        <w:trPr>
          <w:trHeight w:hRule="exact" w:val="227"/>
          <w:jc w:val="center"/>
        </w:trPr>
        <w:tc>
          <w:tcPr>
            <w:tcW w:w="524" w:type="pct"/>
            <w:noWrap/>
            <w:vAlign w:val="center"/>
            <w:hideMark/>
          </w:tcPr>
          <w:p w:rsidR="008D3E5E" w:rsidRPr="00F63F72" w:rsidRDefault="008D3E5E" w:rsidP="004C45D3">
            <w:pPr>
              <w:rPr>
                <w:rFonts w:ascii="Calibri" w:eastAsia="Calibri" w:hAnsi="Calibri" w:cs="Calibri"/>
                <w:b/>
                <w:bCs/>
                <w:color w:val="365F91"/>
              </w:rPr>
            </w:pPr>
          </w:p>
        </w:tc>
        <w:tc>
          <w:tcPr>
            <w:tcW w:w="1692" w:type="pct"/>
            <w:noWrap/>
            <w:vAlign w:val="center"/>
            <w:hideMark/>
          </w:tcPr>
          <w:p w:rsidR="008D3E5E" w:rsidRPr="00F63F72" w:rsidRDefault="008D3E5E" w:rsidP="004C45D3">
            <w:pPr>
              <w:rPr>
                <w:rFonts w:ascii="Calibri" w:eastAsia="Calibri" w:hAnsi="Calibri" w:cs="Calibri"/>
                <w:color w:val="365F91"/>
              </w:rPr>
            </w:pPr>
          </w:p>
        </w:tc>
        <w:tc>
          <w:tcPr>
            <w:tcW w:w="1638" w:type="pct"/>
            <w:gridSpan w:val="2"/>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 of annual GDP</w:t>
            </w:r>
          </w:p>
        </w:tc>
        <w:tc>
          <w:tcPr>
            <w:tcW w:w="1146" w:type="pct"/>
            <w:gridSpan w:val="2"/>
            <w:noWrap/>
            <w:vAlign w:val="center"/>
            <w:hideMark/>
          </w:tcPr>
          <w:p w:rsidR="008D3E5E" w:rsidRPr="00F63F72" w:rsidRDefault="008D3E5E" w:rsidP="004C45D3">
            <w:pPr>
              <w:jc w:val="center"/>
              <w:rPr>
                <w:rFonts w:ascii="Calibri" w:eastAsia="Calibri" w:hAnsi="Calibri" w:cs="Calibri"/>
                <w:color w:val="365F91"/>
              </w:rPr>
            </w:pPr>
            <w:r w:rsidRPr="00F63F72">
              <w:rPr>
                <w:rFonts w:ascii="Calibri" w:eastAsia="Calibri" w:hAnsi="Calibri" w:cs="Calibri"/>
                <w:color w:val="365F91"/>
                <w:sz w:val="22"/>
                <w:szCs w:val="22"/>
              </w:rPr>
              <w:t>%</w:t>
            </w:r>
          </w:p>
        </w:tc>
      </w:tr>
      <w:tr w:rsidR="008D3E5E" w:rsidRPr="00F63F72" w:rsidTr="004C45D3">
        <w:trPr>
          <w:trHeight w:hRule="exact" w:val="227"/>
          <w:jc w:val="center"/>
        </w:trPr>
        <w:tc>
          <w:tcPr>
            <w:tcW w:w="524" w:type="pct"/>
            <w:vMerge w:val="restart"/>
            <w:tcBorders>
              <w:left w:val="nil"/>
              <w:right w:val="nil"/>
            </w:tcBorders>
            <w:shd w:val="clear" w:color="auto" w:fill="D3DFEE"/>
            <w:vAlign w:val="center"/>
            <w:hideMark/>
          </w:tcPr>
          <w:p w:rsidR="008D3E5E" w:rsidRPr="00F63F72" w:rsidRDefault="008D3E5E" w:rsidP="004C45D3">
            <w:pPr>
              <w:jc w:val="center"/>
              <w:rPr>
                <w:rFonts w:ascii="Calibri" w:eastAsia="Calibri" w:hAnsi="Calibri" w:cs="Calibri"/>
                <w:b/>
                <w:bCs/>
                <w:sz w:val="16"/>
                <w:szCs w:val="16"/>
              </w:rPr>
            </w:pPr>
            <w:r w:rsidRPr="00F63F72">
              <w:rPr>
                <w:rFonts w:ascii="Calibri" w:eastAsia="Calibri" w:hAnsi="Calibri" w:cs="Calibri"/>
                <w:b/>
                <w:bCs/>
                <w:sz w:val="16"/>
                <w:szCs w:val="16"/>
              </w:rPr>
              <w:t>2011</w:t>
            </w:r>
          </w:p>
        </w:tc>
        <w:tc>
          <w:tcPr>
            <w:tcW w:w="1692" w:type="pct"/>
            <w:tcBorders>
              <w:left w:val="nil"/>
              <w:right w:val="nil"/>
            </w:tcBorders>
            <w:shd w:val="clear" w:color="auto" w:fill="D3DFEE"/>
            <w:noWrap/>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 xml:space="preserve">Q1 </w:t>
            </w:r>
          </w:p>
        </w:tc>
        <w:tc>
          <w:tcPr>
            <w:tcW w:w="819"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19,6</w:t>
            </w:r>
          </w:p>
        </w:tc>
        <w:tc>
          <w:tcPr>
            <w:tcW w:w="819"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19,4</w:t>
            </w:r>
          </w:p>
        </w:tc>
        <w:tc>
          <w:tcPr>
            <w:tcW w:w="590"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1,8</w:t>
            </w:r>
          </w:p>
        </w:tc>
        <w:tc>
          <w:tcPr>
            <w:tcW w:w="557"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-0,5</w:t>
            </w:r>
          </w:p>
        </w:tc>
      </w:tr>
      <w:tr w:rsidR="008D3E5E" w:rsidRPr="00F63F72" w:rsidTr="004C45D3">
        <w:trPr>
          <w:trHeight w:hRule="exact" w:val="227"/>
          <w:jc w:val="center"/>
        </w:trPr>
        <w:tc>
          <w:tcPr>
            <w:tcW w:w="524" w:type="pct"/>
            <w:vMerge/>
            <w:vAlign w:val="center"/>
            <w:hideMark/>
          </w:tcPr>
          <w:p w:rsidR="008D3E5E" w:rsidRPr="00F63F72" w:rsidRDefault="008D3E5E" w:rsidP="004C45D3">
            <w:pPr>
              <w:rPr>
                <w:rFonts w:ascii="Calibri" w:eastAsia="Calibri" w:hAnsi="Calibri" w:cs="Calibri"/>
                <w:b/>
                <w:bCs/>
                <w:sz w:val="16"/>
                <w:szCs w:val="16"/>
              </w:rPr>
            </w:pPr>
          </w:p>
        </w:tc>
        <w:tc>
          <w:tcPr>
            <w:tcW w:w="1692" w:type="pct"/>
            <w:noWrap/>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 xml:space="preserve">Q2 </w:t>
            </w:r>
          </w:p>
        </w:tc>
        <w:tc>
          <w:tcPr>
            <w:tcW w:w="819"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23,7</w:t>
            </w:r>
          </w:p>
        </w:tc>
        <w:tc>
          <w:tcPr>
            <w:tcW w:w="819"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23,3</w:t>
            </w:r>
          </w:p>
        </w:tc>
        <w:tc>
          <w:tcPr>
            <w:tcW w:w="590"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6,1</w:t>
            </w:r>
          </w:p>
        </w:tc>
        <w:tc>
          <w:tcPr>
            <w:tcW w:w="557"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3,6</w:t>
            </w:r>
          </w:p>
        </w:tc>
      </w:tr>
      <w:tr w:rsidR="008D3E5E" w:rsidRPr="00F63F72" w:rsidTr="004C45D3">
        <w:trPr>
          <w:trHeight w:hRule="exact" w:val="227"/>
          <w:jc w:val="center"/>
        </w:trPr>
        <w:tc>
          <w:tcPr>
            <w:tcW w:w="524" w:type="pct"/>
            <w:vMerge/>
            <w:tcBorders>
              <w:left w:val="nil"/>
              <w:right w:val="nil"/>
            </w:tcBorders>
            <w:shd w:val="clear" w:color="auto" w:fill="D3DFEE"/>
            <w:vAlign w:val="center"/>
            <w:hideMark/>
          </w:tcPr>
          <w:p w:rsidR="008D3E5E" w:rsidRPr="00F63F72" w:rsidRDefault="008D3E5E" w:rsidP="004C45D3">
            <w:pPr>
              <w:rPr>
                <w:rFonts w:ascii="Calibri" w:eastAsia="Calibri" w:hAnsi="Calibri" w:cs="Calibri"/>
                <w:b/>
                <w:bCs/>
                <w:sz w:val="16"/>
                <w:szCs w:val="16"/>
              </w:rPr>
            </w:pPr>
          </w:p>
        </w:tc>
        <w:tc>
          <w:tcPr>
            <w:tcW w:w="1692" w:type="pct"/>
            <w:tcBorders>
              <w:left w:val="nil"/>
              <w:right w:val="nil"/>
            </w:tcBorders>
            <w:shd w:val="clear" w:color="auto" w:fill="D3DFEE"/>
            <w:noWrap/>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 xml:space="preserve">Q3 </w:t>
            </w:r>
          </w:p>
        </w:tc>
        <w:tc>
          <w:tcPr>
            <w:tcW w:w="819"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31,5</w:t>
            </w:r>
          </w:p>
        </w:tc>
        <w:tc>
          <w:tcPr>
            <w:tcW w:w="819"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31,6</w:t>
            </w:r>
          </w:p>
        </w:tc>
        <w:tc>
          <w:tcPr>
            <w:tcW w:w="590"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6,7</w:t>
            </w:r>
          </w:p>
        </w:tc>
        <w:tc>
          <w:tcPr>
            <w:tcW w:w="557"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5,9</w:t>
            </w:r>
          </w:p>
        </w:tc>
      </w:tr>
      <w:tr w:rsidR="008D3E5E" w:rsidRPr="00F63F72" w:rsidTr="004C45D3">
        <w:trPr>
          <w:trHeight w:hRule="exact" w:val="227"/>
          <w:jc w:val="center"/>
        </w:trPr>
        <w:tc>
          <w:tcPr>
            <w:tcW w:w="524" w:type="pct"/>
            <w:vMerge/>
            <w:vAlign w:val="center"/>
            <w:hideMark/>
          </w:tcPr>
          <w:p w:rsidR="008D3E5E" w:rsidRPr="00F63F72" w:rsidRDefault="008D3E5E" w:rsidP="004C45D3">
            <w:pPr>
              <w:rPr>
                <w:rFonts w:ascii="Calibri" w:eastAsia="Calibri" w:hAnsi="Calibri" w:cs="Calibri"/>
                <w:b/>
                <w:bCs/>
                <w:sz w:val="16"/>
                <w:szCs w:val="16"/>
              </w:rPr>
            </w:pPr>
          </w:p>
        </w:tc>
        <w:tc>
          <w:tcPr>
            <w:tcW w:w="1692" w:type="pct"/>
            <w:noWrap/>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 xml:space="preserve">Q4 </w:t>
            </w:r>
          </w:p>
        </w:tc>
        <w:tc>
          <w:tcPr>
            <w:tcW w:w="819"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25,2</w:t>
            </w:r>
          </w:p>
        </w:tc>
        <w:tc>
          <w:tcPr>
            <w:tcW w:w="819"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25,8</w:t>
            </w:r>
          </w:p>
        </w:tc>
        <w:tc>
          <w:tcPr>
            <w:tcW w:w="590"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1,4</w:t>
            </w:r>
          </w:p>
        </w:tc>
        <w:tc>
          <w:tcPr>
            <w:tcW w:w="557"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2,6</w:t>
            </w:r>
          </w:p>
        </w:tc>
      </w:tr>
      <w:tr w:rsidR="008D3E5E" w:rsidRPr="00F63F72" w:rsidTr="004C45D3">
        <w:trPr>
          <w:trHeight w:hRule="exact" w:val="227"/>
          <w:jc w:val="center"/>
        </w:trPr>
        <w:tc>
          <w:tcPr>
            <w:tcW w:w="524" w:type="pct"/>
            <w:vMerge w:val="restart"/>
            <w:tcBorders>
              <w:left w:val="nil"/>
              <w:right w:val="nil"/>
            </w:tcBorders>
            <w:shd w:val="clear" w:color="auto" w:fill="D3DFEE"/>
            <w:noWrap/>
            <w:vAlign w:val="center"/>
            <w:hideMark/>
          </w:tcPr>
          <w:p w:rsidR="008D3E5E" w:rsidRPr="00F63F72" w:rsidRDefault="008D3E5E" w:rsidP="004C45D3">
            <w:pPr>
              <w:jc w:val="center"/>
              <w:rPr>
                <w:rFonts w:ascii="Calibri" w:eastAsia="Calibri" w:hAnsi="Calibri" w:cs="Calibri"/>
                <w:b/>
                <w:bCs/>
                <w:sz w:val="16"/>
                <w:szCs w:val="16"/>
              </w:rPr>
            </w:pPr>
            <w:r w:rsidRPr="00F63F72">
              <w:rPr>
                <w:rFonts w:ascii="Calibri" w:eastAsia="Calibri" w:hAnsi="Calibri" w:cs="Calibri"/>
                <w:b/>
                <w:bCs/>
                <w:sz w:val="16"/>
                <w:szCs w:val="16"/>
              </w:rPr>
              <w:t>2012</w:t>
            </w:r>
          </w:p>
        </w:tc>
        <w:tc>
          <w:tcPr>
            <w:tcW w:w="1692" w:type="pct"/>
            <w:tcBorders>
              <w:left w:val="nil"/>
              <w:right w:val="nil"/>
            </w:tcBorders>
            <w:shd w:val="clear" w:color="auto" w:fill="D3DFEE"/>
            <w:noWrap/>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 xml:space="preserve">Q1 </w:t>
            </w:r>
          </w:p>
        </w:tc>
        <w:tc>
          <w:tcPr>
            <w:tcW w:w="819"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19,2</w:t>
            </w:r>
          </w:p>
        </w:tc>
        <w:tc>
          <w:tcPr>
            <w:tcW w:w="819"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19,3</w:t>
            </w:r>
          </w:p>
        </w:tc>
        <w:tc>
          <w:tcPr>
            <w:tcW w:w="590"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-0,9</w:t>
            </w:r>
          </w:p>
        </w:tc>
        <w:tc>
          <w:tcPr>
            <w:tcW w:w="557"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-2,3</w:t>
            </w:r>
          </w:p>
        </w:tc>
      </w:tr>
      <w:tr w:rsidR="008D3E5E" w:rsidRPr="00F63F72" w:rsidTr="004C45D3">
        <w:trPr>
          <w:trHeight w:hRule="exact" w:val="227"/>
          <w:jc w:val="center"/>
        </w:trPr>
        <w:tc>
          <w:tcPr>
            <w:tcW w:w="524" w:type="pct"/>
            <w:vMerge/>
            <w:vAlign w:val="center"/>
            <w:hideMark/>
          </w:tcPr>
          <w:p w:rsidR="008D3E5E" w:rsidRPr="00F63F72" w:rsidRDefault="008D3E5E" w:rsidP="004C45D3">
            <w:pPr>
              <w:rPr>
                <w:rFonts w:ascii="Calibri" w:eastAsia="Calibri" w:hAnsi="Calibri" w:cs="Calibri"/>
                <w:b/>
                <w:bCs/>
                <w:sz w:val="16"/>
                <w:szCs w:val="16"/>
              </w:rPr>
            </w:pPr>
          </w:p>
        </w:tc>
        <w:tc>
          <w:tcPr>
            <w:tcW w:w="1692" w:type="pct"/>
            <w:noWrap/>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 xml:space="preserve">Q2 </w:t>
            </w:r>
          </w:p>
        </w:tc>
        <w:tc>
          <w:tcPr>
            <w:tcW w:w="819"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23,8</w:t>
            </w:r>
          </w:p>
        </w:tc>
        <w:tc>
          <w:tcPr>
            <w:tcW w:w="819"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23,8</w:t>
            </w:r>
          </w:p>
        </w:tc>
        <w:tc>
          <w:tcPr>
            <w:tcW w:w="590"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1,9</w:t>
            </w:r>
          </w:p>
        </w:tc>
        <w:tc>
          <w:tcPr>
            <w:tcW w:w="557"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0,3</w:t>
            </w:r>
          </w:p>
        </w:tc>
      </w:tr>
      <w:tr w:rsidR="008D3E5E" w:rsidRPr="00F63F72" w:rsidTr="004C45D3">
        <w:trPr>
          <w:trHeight w:hRule="exact" w:val="227"/>
          <w:jc w:val="center"/>
        </w:trPr>
        <w:tc>
          <w:tcPr>
            <w:tcW w:w="524" w:type="pct"/>
            <w:vMerge/>
            <w:tcBorders>
              <w:left w:val="nil"/>
              <w:right w:val="nil"/>
            </w:tcBorders>
            <w:shd w:val="clear" w:color="auto" w:fill="D3DFEE"/>
            <w:vAlign w:val="center"/>
            <w:hideMark/>
          </w:tcPr>
          <w:p w:rsidR="008D3E5E" w:rsidRPr="00F63F72" w:rsidRDefault="008D3E5E" w:rsidP="004C45D3">
            <w:pPr>
              <w:rPr>
                <w:rFonts w:ascii="Calibri" w:eastAsia="Calibri" w:hAnsi="Calibri" w:cs="Calibri"/>
                <w:b/>
                <w:bCs/>
                <w:sz w:val="16"/>
                <w:szCs w:val="16"/>
              </w:rPr>
            </w:pPr>
          </w:p>
        </w:tc>
        <w:tc>
          <w:tcPr>
            <w:tcW w:w="1692" w:type="pct"/>
            <w:tcBorders>
              <w:left w:val="nil"/>
              <w:right w:val="nil"/>
            </w:tcBorders>
            <w:shd w:val="clear" w:color="auto" w:fill="D3DFEE"/>
            <w:noWrap/>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 xml:space="preserve">Q3 </w:t>
            </w:r>
          </w:p>
        </w:tc>
        <w:tc>
          <w:tcPr>
            <w:tcW w:w="819"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31,9</w:t>
            </w:r>
          </w:p>
        </w:tc>
        <w:tc>
          <w:tcPr>
            <w:tcW w:w="819"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31,6</w:t>
            </w:r>
          </w:p>
        </w:tc>
        <w:tc>
          <w:tcPr>
            <w:tcW w:w="590"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2,6</w:t>
            </w:r>
          </w:p>
        </w:tc>
        <w:tc>
          <w:tcPr>
            <w:tcW w:w="557" w:type="pct"/>
            <w:tcBorders>
              <w:left w:val="nil"/>
              <w:right w:val="nil"/>
            </w:tcBorders>
            <w:shd w:val="clear" w:color="auto" w:fill="D3DFEE"/>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-0,2</w:t>
            </w:r>
          </w:p>
        </w:tc>
      </w:tr>
      <w:tr w:rsidR="008D3E5E" w:rsidRPr="00F63F72" w:rsidTr="004C45D3">
        <w:trPr>
          <w:trHeight w:hRule="exact" w:val="227"/>
          <w:jc w:val="center"/>
        </w:trPr>
        <w:tc>
          <w:tcPr>
            <w:tcW w:w="524" w:type="pct"/>
            <w:vMerge/>
            <w:vAlign w:val="center"/>
            <w:hideMark/>
          </w:tcPr>
          <w:p w:rsidR="008D3E5E" w:rsidRPr="00F63F72" w:rsidRDefault="008D3E5E" w:rsidP="004C45D3">
            <w:pPr>
              <w:rPr>
                <w:rFonts w:ascii="Calibri" w:eastAsia="Calibri" w:hAnsi="Calibri" w:cs="Calibri"/>
                <w:b/>
                <w:bCs/>
                <w:sz w:val="16"/>
                <w:szCs w:val="16"/>
              </w:rPr>
            </w:pPr>
          </w:p>
        </w:tc>
        <w:tc>
          <w:tcPr>
            <w:tcW w:w="1692" w:type="pct"/>
            <w:noWrap/>
            <w:vAlign w:val="center"/>
            <w:hideMark/>
          </w:tcPr>
          <w:p w:rsidR="008D3E5E" w:rsidRPr="00F63F72" w:rsidRDefault="008D3E5E" w:rsidP="004C45D3">
            <w:pPr>
              <w:jc w:val="center"/>
              <w:rPr>
                <w:rFonts w:ascii="Calibri" w:eastAsia="Calibri" w:hAnsi="Calibri" w:cs="Calibri"/>
                <w:sz w:val="16"/>
                <w:szCs w:val="16"/>
              </w:rPr>
            </w:pPr>
            <w:r w:rsidRPr="00F63F72">
              <w:rPr>
                <w:rFonts w:ascii="Calibri" w:eastAsia="Calibri" w:hAnsi="Calibri" w:cs="Calibri"/>
                <w:sz w:val="16"/>
                <w:szCs w:val="16"/>
              </w:rPr>
              <w:t xml:space="preserve">Q4 </w:t>
            </w:r>
          </w:p>
        </w:tc>
        <w:tc>
          <w:tcPr>
            <w:tcW w:w="819"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25,1</w:t>
            </w:r>
          </w:p>
        </w:tc>
        <w:tc>
          <w:tcPr>
            <w:tcW w:w="819"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25,3</w:t>
            </w:r>
          </w:p>
        </w:tc>
        <w:tc>
          <w:tcPr>
            <w:tcW w:w="590"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0,8</w:t>
            </w:r>
          </w:p>
        </w:tc>
        <w:tc>
          <w:tcPr>
            <w:tcW w:w="557" w:type="pct"/>
            <w:noWrap/>
            <w:vAlign w:val="center"/>
            <w:hideMark/>
          </w:tcPr>
          <w:p w:rsidR="008D3E5E" w:rsidRPr="00F63F72" w:rsidRDefault="008D3E5E" w:rsidP="004C45D3">
            <w:pPr>
              <w:jc w:val="right"/>
              <w:rPr>
                <w:rFonts w:ascii="Calibri" w:eastAsia="Calibri" w:hAnsi="Calibri" w:cs="Calibri"/>
                <w:sz w:val="16"/>
                <w:szCs w:val="16"/>
              </w:rPr>
            </w:pPr>
            <w:r w:rsidRPr="00F63F72">
              <w:rPr>
                <w:rFonts w:ascii="Calibri" w:eastAsia="Calibri" w:hAnsi="Calibri" w:cs="Calibri"/>
                <w:sz w:val="16"/>
                <w:szCs w:val="16"/>
              </w:rPr>
              <w:t>-0,3</w:t>
            </w:r>
          </w:p>
        </w:tc>
      </w:tr>
    </w:tbl>
    <w:p w:rsidR="008D3E5E" w:rsidRPr="00F63F72" w:rsidRDefault="008D3E5E" w:rsidP="008D3E5E">
      <w:pPr>
        <w:rPr>
          <w:rFonts w:ascii="Calibri" w:hAnsi="Calibri" w:cs="Calibri"/>
          <w:sz w:val="22"/>
          <w:szCs w:val="22"/>
        </w:rPr>
      </w:pPr>
    </w:p>
    <w:p w:rsidR="008D3E5E" w:rsidRPr="00F63F72" w:rsidRDefault="008D3E5E" w:rsidP="008D3E5E">
      <w:pPr>
        <w:rPr>
          <w:rFonts w:ascii="Calibri" w:hAnsi="Calibri" w:cs="Calibri"/>
          <w:sz w:val="22"/>
          <w:szCs w:val="22"/>
        </w:rPr>
      </w:pPr>
    </w:p>
    <w:p w:rsidR="008D3E5E" w:rsidRPr="00F63F72" w:rsidRDefault="008D3E5E" w:rsidP="008D3E5E">
      <w:pPr>
        <w:pStyle w:val="NormalWeb"/>
        <w:shd w:val="clear" w:color="auto" w:fill="FFFFFF"/>
        <w:spacing w:line="164" w:lineRule="atLeast"/>
        <w:jc w:val="both"/>
        <w:rPr>
          <w:rFonts w:ascii="Calibri" w:hAnsi="Calibri" w:cs="Calibri"/>
          <w:sz w:val="22"/>
          <w:szCs w:val="22"/>
          <w:lang w:val="en-US" w:eastAsia="en-US"/>
        </w:rPr>
      </w:pPr>
      <w:r w:rsidRPr="00F63F72">
        <w:rPr>
          <w:rFonts w:ascii="Calibri" w:hAnsi="Calibri" w:cs="Calibri"/>
          <w:sz w:val="22"/>
          <w:szCs w:val="22"/>
          <w:lang w:val="en-US" w:eastAsia="en-US"/>
        </w:rPr>
        <w:t xml:space="preserve">In the period January-December 2012, Montenegro was visited by 1.44 million tourists who made 9.15 million overnight stays, which, compared to the 2011, is an increase of 4.8% and 4.3%, respectively. The growth in tourist traffic in 2012 was influenced by the increased number of arrivals (7.8%) and overnight stays (4.1%) of foreign tourists. Retail sales recorded a moderate growth trend compared to previous year, mainly as a result of increased tourist traffic. Turnover of goods in retail trade (in current prices), according to Monstat, achieved growth of 6.7% in 2012 compared to the previous year, which is particularly important </w:t>
      </w:r>
      <w:r w:rsidRPr="008D3E5E">
        <w:rPr>
          <w:rFonts w:ascii="Calibri" w:hAnsi="Calibri" w:cs="Calibri"/>
          <w:sz w:val="22"/>
          <w:szCs w:val="22"/>
          <w:lang w:val="en-US" w:eastAsia="en-US"/>
        </w:rPr>
        <w:t>given the share</w:t>
      </w:r>
      <w:r w:rsidRPr="00F63F72">
        <w:rPr>
          <w:rFonts w:ascii="Calibri" w:hAnsi="Calibri" w:cs="Calibri"/>
          <w:sz w:val="22"/>
          <w:szCs w:val="22"/>
          <w:lang w:val="en-US" w:eastAsia="en-US"/>
        </w:rPr>
        <w:t xml:space="preserve"> of this activity in the </w:t>
      </w:r>
      <w:r w:rsidR="00013D30">
        <w:rPr>
          <w:rFonts w:ascii="Calibri" w:hAnsi="Calibri" w:cs="Calibri"/>
          <w:sz w:val="22"/>
          <w:szCs w:val="22"/>
          <w:lang w:val="en-US" w:eastAsia="en-US"/>
        </w:rPr>
        <w:t>composition</w:t>
      </w:r>
      <w:r w:rsidRPr="00F63F72">
        <w:rPr>
          <w:rFonts w:ascii="Calibri" w:hAnsi="Calibri" w:cs="Calibri"/>
          <w:sz w:val="22"/>
          <w:szCs w:val="22"/>
          <w:lang w:val="en-US" w:eastAsia="en-US"/>
        </w:rPr>
        <w:t xml:space="preserve"> of the total GDP (12.1%). Indicators related to the construction industry show that this sector has not yet recovered from the negative effects of the economic crisis. According to Monstat data, the value of the performed construction works in 2012 decreased by 13.2% compared to 2011, while the effective hours of construction work are lower by 9.2% compared to 2011. Total industrial production in 2012 decreased, but production in the sector of electricity, gas and steam rose compared to 2011. The </w:t>
      </w:r>
      <w:r w:rsidR="00013D30">
        <w:rPr>
          <w:rFonts w:ascii="Calibri" w:hAnsi="Calibri" w:cs="Calibri"/>
          <w:sz w:val="22"/>
          <w:szCs w:val="22"/>
          <w:lang w:val="en-US" w:eastAsia="en-US"/>
        </w:rPr>
        <w:t>decrease in</w:t>
      </w:r>
      <w:r w:rsidRPr="00F63F72">
        <w:rPr>
          <w:rFonts w:ascii="Calibri" w:hAnsi="Calibri" w:cs="Calibri"/>
          <w:sz w:val="22"/>
          <w:szCs w:val="22"/>
          <w:lang w:val="en-US" w:eastAsia="en-US"/>
        </w:rPr>
        <w:t xml:space="preserve"> industrial </w:t>
      </w:r>
      <w:r w:rsidR="00013D30">
        <w:rPr>
          <w:rFonts w:ascii="Calibri" w:hAnsi="Calibri" w:cs="Calibri"/>
          <w:sz w:val="22"/>
          <w:szCs w:val="22"/>
          <w:lang w:val="en-US" w:eastAsia="en-US"/>
        </w:rPr>
        <w:t xml:space="preserve">production </w:t>
      </w:r>
      <w:r w:rsidRPr="00F63F72">
        <w:rPr>
          <w:rFonts w:ascii="Calibri" w:hAnsi="Calibri" w:cs="Calibri"/>
          <w:sz w:val="22"/>
          <w:szCs w:val="22"/>
          <w:lang w:val="en-US" w:eastAsia="en-US"/>
        </w:rPr>
        <w:t xml:space="preserve">by 7.1%% in 2012, compared to 2011, is the result of the decline in the sector of mining and quarrying (21.0%) and manufacturing (10.1%), while the production of electricity achieved growth (2.2%) due to favorable hydrological conditions and the low base in 2011.  The plan of production of electricity for 2012 was achieved at the level of 95.4%. Manufacturing industry in December recorded a decline of 20.3%, while the annual decline amounted to 20.3%, which is primarily the result of the </w:t>
      </w:r>
      <w:r w:rsidR="00013D30">
        <w:rPr>
          <w:rFonts w:ascii="Calibri" w:hAnsi="Calibri" w:cs="Calibri"/>
          <w:sz w:val="22"/>
          <w:szCs w:val="22"/>
          <w:lang w:val="en-US" w:eastAsia="en-US"/>
        </w:rPr>
        <w:t>decrease</w:t>
      </w:r>
      <w:r w:rsidRPr="00F63F72">
        <w:rPr>
          <w:rFonts w:ascii="Calibri" w:hAnsi="Calibri" w:cs="Calibri"/>
          <w:sz w:val="22"/>
          <w:szCs w:val="22"/>
          <w:lang w:val="en-US" w:eastAsia="en-US"/>
        </w:rPr>
        <w:t xml:space="preserve"> in production of basic metals of 24.0% (a decline in production of aluminum and steel). According to Monstat data, most forms of transport declined in the 2012 compared to the previous year. Transportation of goods was reduced in rail, air, maritime and road transport, as well as passengers in maritime and road transport. The increase occurred in the transportation of passengers by air and rail transport and in telecommunications services (mobile telephony).</w:t>
      </w:r>
    </w:p>
    <w:p w:rsidR="008D3E5E" w:rsidRPr="00F63F72" w:rsidRDefault="008D3E5E" w:rsidP="008D3E5E">
      <w:pPr>
        <w:pStyle w:val="NormalWeb"/>
        <w:shd w:val="clear" w:color="auto" w:fill="FFFFFF"/>
        <w:spacing w:line="164" w:lineRule="atLeast"/>
        <w:jc w:val="both"/>
        <w:rPr>
          <w:rFonts w:ascii="Calibri" w:hAnsi="Calibri" w:cs="Calibri"/>
          <w:sz w:val="22"/>
          <w:szCs w:val="22"/>
          <w:lang w:val="en-US" w:eastAsia="en-US"/>
        </w:rPr>
      </w:pPr>
    </w:p>
    <w:p w:rsidR="008D3E5E" w:rsidRDefault="008D3E5E" w:rsidP="008D3E5E">
      <w:pPr>
        <w:pStyle w:val="NormalWeb"/>
        <w:shd w:val="clear" w:color="auto" w:fill="FFFFFF"/>
        <w:spacing w:line="164" w:lineRule="atLeast"/>
        <w:jc w:val="both"/>
        <w:rPr>
          <w:rFonts w:ascii="Calibri" w:hAnsi="Calibri" w:cs="Calibri"/>
          <w:sz w:val="22"/>
          <w:szCs w:val="22"/>
          <w:lang w:val="en-US"/>
        </w:rPr>
      </w:pPr>
      <w:r w:rsidRPr="00F63F72">
        <w:rPr>
          <w:rFonts w:ascii="Calibri" w:hAnsi="Calibri" w:cs="Calibri"/>
          <w:sz w:val="22"/>
          <w:szCs w:val="22"/>
          <w:lang w:val="en-US" w:eastAsia="en-US"/>
        </w:rPr>
        <w:t xml:space="preserve">The estimates of the Ministry of Finance show that GDP in the first quarter of 2013 grew at a real rate of 4.4%, which, considering </w:t>
      </w:r>
      <w:r w:rsidR="00013D30">
        <w:rPr>
          <w:rFonts w:ascii="Calibri" w:hAnsi="Calibri" w:cs="Calibri"/>
          <w:sz w:val="22"/>
          <w:szCs w:val="22"/>
          <w:lang w:val="en-US" w:eastAsia="en-US"/>
        </w:rPr>
        <w:t xml:space="preserve">the fact </w:t>
      </w:r>
      <w:r w:rsidRPr="00F63F72">
        <w:rPr>
          <w:rFonts w:ascii="Calibri" w:hAnsi="Calibri" w:cs="Calibri"/>
          <w:sz w:val="22"/>
          <w:szCs w:val="22"/>
          <w:lang w:val="en-US" w:eastAsia="en-US"/>
        </w:rPr>
        <w:t>that the first quarter is made of about 19% of the annual one,  makes 0.8% of share in the annual rate. According to the Monstat data, in the first quarter of 2013 Montenegro was visited by 53.5 thousand tourists (7.3% more than in the 1</w:t>
      </w:r>
      <w:r w:rsidRPr="00F63F72">
        <w:rPr>
          <w:rFonts w:ascii="Calibri" w:hAnsi="Calibri" w:cs="Calibri"/>
          <w:sz w:val="22"/>
          <w:szCs w:val="22"/>
          <w:vertAlign w:val="superscript"/>
          <w:lang w:val="en-US" w:eastAsia="en-US"/>
        </w:rPr>
        <w:t>st</w:t>
      </w:r>
      <w:r w:rsidRPr="00F63F72">
        <w:rPr>
          <w:rFonts w:ascii="Calibri" w:hAnsi="Calibri" w:cs="Calibri"/>
          <w:sz w:val="22"/>
          <w:szCs w:val="22"/>
          <w:lang w:val="en-US" w:eastAsia="en-US"/>
        </w:rPr>
        <w:t xml:space="preserve"> quarter of 2012), who had 190.6 thousand overnight stays (1,4% less than in the same quarter of 2012). In the period January-March, industrial production recorded growth of 3.3% compared to the same period in 2012, due to increased electricity production by 66.3%, while mining and quarrying and manufacturing industry declined by 6.7 and 34.5%. Retail sales in the first quarter (current prices) recorded increase of 8.8% compared to the same period last year. The data from the transport area show that in the first quarter of 2013, there was a growth in transport of passengers and freight by rail, while a decline was recorded in the transportation of passengers by air and in telecommunication services (mobile telephony). Construction activity in the first quarter of 2013 had positive indicators. Value of performed construction work in the first quarter of 2013 increased by 5.7% compared to the same quarter last year and effective hours of construction works increased by 33.0% compared to the same quarter last year. The value of new contracts on buildings in the first quarter of 2013 increased by 121.8% compared to the same quarter last year, while the value of new contracts on other facilities increased by 491.7%</w:t>
      </w:r>
      <w:r w:rsidRPr="00F63F72">
        <w:rPr>
          <w:rFonts w:ascii="Calibri" w:hAnsi="Calibri" w:cs="Calibri"/>
          <w:sz w:val="22"/>
          <w:szCs w:val="22"/>
          <w:lang w:val="en-US"/>
        </w:rPr>
        <w:t>.</w:t>
      </w:r>
    </w:p>
    <w:p w:rsidR="0002734E" w:rsidRDefault="0002734E" w:rsidP="008D3E5E">
      <w:pPr>
        <w:pStyle w:val="NormalWeb"/>
        <w:shd w:val="clear" w:color="auto" w:fill="FFFFFF"/>
        <w:spacing w:line="164" w:lineRule="atLeast"/>
        <w:jc w:val="both"/>
        <w:rPr>
          <w:rFonts w:ascii="Calibri" w:hAnsi="Calibri" w:cs="Calibri"/>
          <w:sz w:val="22"/>
          <w:szCs w:val="22"/>
          <w:lang w:val="en-US"/>
        </w:rPr>
      </w:pPr>
    </w:p>
    <w:p w:rsidR="0002734E" w:rsidRPr="00F63F72" w:rsidRDefault="0002734E" w:rsidP="008D3E5E">
      <w:pPr>
        <w:pStyle w:val="NormalWeb"/>
        <w:shd w:val="clear" w:color="auto" w:fill="FFFFFF"/>
        <w:spacing w:line="164" w:lineRule="atLeast"/>
        <w:jc w:val="both"/>
        <w:rPr>
          <w:rFonts w:ascii="Calibri" w:hAnsi="Calibri" w:cs="Calibri"/>
          <w:sz w:val="22"/>
          <w:szCs w:val="22"/>
          <w:lang w:val="en-US"/>
        </w:rPr>
      </w:pPr>
    </w:p>
    <w:p w:rsidR="008D3E5E" w:rsidRPr="00F63F72" w:rsidRDefault="008D3E5E" w:rsidP="008D3E5E">
      <w:pPr>
        <w:pStyle w:val="Default"/>
        <w:numPr>
          <w:ilvl w:val="2"/>
          <w:numId w:val="21"/>
        </w:numPr>
        <w:jc w:val="both"/>
        <w:rPr>
          <w:rFonts w:ascii="Calibri" w:hAnsi="Calibri" w:cs="Calibri"/>
          <w:b/>
          <w:sz w:val="22"/>
          <w:szCs w:val="22"/>
        </w:rPr>
      </w:pPr>
      <w:r w:rsidRPr="00F63F72">
        <w:rPr>
          <w:rFonts w:ascii="Calibri" w:hAnsi="Calibri" w:cs="Calibri"/>
          <w:b/>
          <w:sz w:val="22"/>
          <w:szCs w:val="22"/>
        </w:rPr>
        <w:lastRenderedPageBreak/>
        <w:t>Inflation</w:t>
      </w:r>
    </w:p>
    <w:p w:rsidR="008D3E5E" w:rsidRPr="00F63F72" w:rsidRDefault="008D3E5E" w:rsidP="008D3E5E">
      <w:pPr>
        <w:autoSpaceDE w:val="0"/>
        <w:autoSpaceDN w:val="0"/>
        <w:adjustRightInd w:val="0"/>
        <w:rPr>
          <w:rFonts w:ascii="Calibri" w:hAnsi="Calibri" w:cs="Calibri"/>
          <w:b/>
          <w:bCs/>
          <w:sz w:val="22"/>
          <w:szCs w:val="22"/>
        </w:rPr>
      </w:pPr>
    </w:p>
    <w:p w:rsidR="008D3E5E" w:rsidRPr="00F63F72" w:rsidRDefault="008D3E5E" w:rsidP="008D3E5E">
      <w:pPr>
        <w:pStyle w:val="Default"/>
        <w:jc w:val="both"/>
        <w:rPr>
          <w:rFonts w:ascii="Calibri" w:hAnsi="Calibri" w:cs="Calibri"/>
          <w:color w:val="auto"/>
          <w:sz w:val="22"/>
          <w:szCs w:val="20"/>
        </w:rPr>
      </w:pPr>
      <w:r w:rsidRPr="00F63F72">
        <w:rPr>
          <w:rFonts w:ascii="Calibri" w:hAnsi="Calibri" w:cs="Calibri"/>
          <w:color w:val="auto"/>
          <w:sz w:val="22"/>
          <w:szCs w:val="20"/>
        </w:rPr>
        <w:t>The annual inflation rate during 2012 was 4.1% and it ranged from 3.1% in January to 5.2% in October), and in November and December it stabilized, so that the annual rate of inflation, measured by this index remained at the level of 5.1% at the end of 2012. During 2012, the growth of inflation rate was mostly influenced by the growth of electricity prices (6.1% in January, 3.1% in July and 6.5% in August), the increase in fuel prices as a result of changes in oil prices on the world market, the increase in food prices as a result of reduced supply of local food products due to snow disasters that destroyed crops and extremely long dry period, increase in prices of clothing and footwear in October and increase in taxes and excise taxes, which led to increase in price</w:t>
      </w:r>
      <w:r w:rsidR="00013D30">
        <w:rPr>
          <w:rFonts w:ascii="Calibri" w:hAnsi="Calibri" w:cs="Calibri"/>
          <w:color w:val="auto"/>
          <w:sz w:val="22"/>
          <w:szCs w:val="20"/>
        </w:rPr>
        <w:t>s</w:t>
      </w:r>
      <w:r w:rsidRPr="00F63F72">
        <w:rPr>
          <w:rFonts w:ascii="Calibri" w:hAnsi="Calibri" w:cs="Calibri"/>
          <w:color w:val="auto"/>
          <w:sz w:val="22"/>
          <w:szCs w:val="20"/>
        </w:rPr>
        <w:t xml:space="preserve"> of the products on which the application of the new regulations referred (tobacco, alcohol , soft drinks and coffee).</w:t>
      </w:r>
    </w:p>
    <w:p w:rsidR="008D3E5E" w:rsidRPr="00F63F72" w:rsidRDefault="008D3E5E" w:rsidP="008D3E5E">
      <w:pPr>
        <w:pStyle w:val="Default"/>
        <w:jc w:val="both"/>
        <w:rPr>
          <w:rFonts w:ascii="Calibri" w:hAnsi="Calibri" w:cs="Calibri"/>
          <w:sz w:val="22"/>
          <w:szCs w:val="20"/>
        </w:rPr>
      </w:pPr>
      <w:r w:rsidRPr="00F63F72">
        <w:rPr>
          <w:rFonts w:ascii="Calibri" w:hAnsi="Calibri" w:cs="Calibri"/>
          <w:color w:val="auto"/>
          <w:sz w:val="22"/>
          <w:szCs w:val="20"/>
        </w:rPr>
        <w:t>The beginning of 2013 was characterized by a moderate increase in annual rate of inflation compared to the previous year. Inflation, as measured by the consumer price index, in March 2013, was 3.3%. The growth of aggregate price levels was mostly influenced by the growth of prices of food, clothing and electricity, while the relatively lower increase of prices of pharmaceuticals and fall of prices of tobacco, fuel and transportation services, influenced the  slowdown of  inflation in March of this year</w:t>
      </w:r>
      <w:r w:rsidRPr="00F63F72">
        <w:rPr>
          <w:rFonts w:ascii="Calibri" w:hAnsi="Calibri" w:cs="Calibri"/>
          <w:sz w:val="22"/>
          <w:szCs w:val="20"/>
        </w:rPr>
        <w:t>.</w:t>
      </w:r>
    </w:p>
    <w:p w:rsidR="008D3E5E" w:rsidRPr="00F63F72" w:rsidRDefault="008D3E5E" w:rsidP="008D3E5E">
      <w:pPr>
        <w:pStyle w:val="Default"/>
        <w:jc w:val="both"/>
        <w:rPr>
          <w:rFonts w:ascii="Calibri" w:hAnsi="Calibri" w:cs="Calibri"/>
          <w:sz w:val="22"/>
          <w:szCs w:val="20"/>
        </w:rPr>
      </w:pPr>
    </w:p>
    <w:p w:rsidR="008D3E5E" w:rsidRPr="00F63F72" w:rsidRDefault="008D3E5E" w:rsidP="008D3E5E">
      <w:pPr>
        <w:pStyle w:val="Default"/>
        <w:numPr>
          <w:ilvl w:val="2"/>
          <w:numId w:val="21"/>
        </w:numPr>
        <w:jc w:val="both"/>
        <w:rPr>
          <w:rFonts w:ascii="Calibri" w:hAnsi="Calibri" w:cs="Calibri"/>
          <w:b/>
        </w:rPr>
      </w:pPr>
      <w:r w:rsidRPr="00F63F72">
        <w:rPr>
          <w:rFonts w:ascii="Calibri" w:hAnsi="Calibri" w:cs="Calibri"/>
          <w:b/>
          <w:sz w:val="22"/>
          <w:szCs w:val="22"/>
        </w:rPr>
        <w:t>Investments</w:t>
      </w:r>
    </w:p>
    <w:p w:rsidR="008D3E5E" w:rsidRPr="00F63F72" w:rsidRDefault="008D3E5E" w:rsidP="008D3E5E">
      <w:pPr>
        <w:pStyle w:val="Default"/>
        <w:ind w:left="1428"/>
        <w:jc w:val="both"/>
        <w:rPr>
          <w:rFonts w:ascii="Calibri" w:hAnsi="Calibri" w:cs="Calibri"/>
          <w:b/>
        </w:rPr>
      </w:pPr>
    </w:p>
    <w:p w:rsidR="008D3E5E" w:rsidRPr="00F63F72" w:rsidRDefault="008D3E5E" w:rsidP="008D3E5E">
      <w:pPr>
        <w:jc w:val="both"/>
        <w:rPr>
          <w:rFonts w:ascii="Calibri" w:hAnsi="Calibri" w:cs="Calibri"/>
          <w:sz w:val="22"/>
          <w:szCs w:val="20"/>
        </w:rPr>
      </w:pPr>
      <w:r w:rsidRPr="00F63F72">
        <w:rPr>
          <w:rFonts w:ascii="Calibri" w:hAnsi="Calibri" w:cs="Calibri"/>
          <w:sz w:val="20"/>
          <w:szCs w:val="20"/>
        </w:rPr>
        <w:t xml:space="preserve"> </w:t>
      </w:r>
      <w:r w:rsidRPr="00F63F72">
        <w:rPr>
          <w:rFonts w:ascii="Calibri" w:hAnsi="Calibri" w:cs="Calibri"/>
          <w:sz w:val="22"/>
          <w:szCs w:val="20"/>
        </w:rPr>
        <w:t>According to the data of the Central Bank of Montenegro</w:t>
      </w:r>
      <w:r w:rsidR="00013D30">
        <w:rPr>
          <w:rFonts w:ascii="Calibri" w:hAnsi="Calibri" w:cs="Calibri"/>
          <w:sz w:val="22"/>
          <w:szCs w:val="20"/>
        </w:rPr>
        <w:t xml:space="preserve">, </w:t>
      </w:r>
      <w:r w:rsidRPr="00F63F72">
        <w:rPr>
          <w:rFonts w:ascii="Calibri" w:hAnsi="Calibri" w:cs="Calibri"/>
          <w:sz w:val="22"/>
          <w:szCs w:val="20"/>
        </w:rPr>
        <w:t>an increase in foreign direct investment inflow was recorded in 2012. Achieved net inflow of EUR 453.6 million, is higher by 16.6% compared to 2011. The share of net FDI inflows in the estimated GDP for 2012 amounted to 13.6%, and was higher  by 1.7 percentage points than share in 2011 (11.9%). In the structure of FDI inflow (EUR 633.3 million), investments participated 69.3%, of which investments in companies and banks 35.7%, real estate 33.6%, intercompany debt 25.6% and other 5.1%. It is evident that the growth of FDI inflows in 2012 was characterized by higher quality structure of FDI, primarily by increase of investment in companies and banks of 34.9% compared to 2011 and then respectively, by the growth of investment in real estate by 22.7% and intercompany debt of 22.2%.</w:t>
      </w:r>
    </w:p>
    <w:p w:rsidR="008D3E5E" w:rsidRPr="00F63F72" w:rsidRDefault="008D3E5E" w:rsidP="008D3E5E">
      <w:pPr>
        <w:jc w:val="both"/>
        <w:rPr>
          <w:rFonts w:ascii="Calibri" w:hAnsi="Calibri" w:cs="Calibri"/>
          <w:sz w:val="22"/>
          <w:szCs w:val="20"/>
        </w:rPr>
      </w:pPr>
    </w:p>
    <w:p w:rsidR="008D3E5E" w:rsidRPr="00F63F72" w:rsidRDefault="008D3E5E" w:rsidP="008D3E5E">
      <w:pPr>
        <w:jc w:val="both"/>
        <w:rPr>
          <w:rFonts w:ascii="Calibri" w:hAnsi="Calibri" w:cs="Calibri"/>
          <w:sz w:val="22"/>
        </w:rPr>
      </w:pPr>
      <w:r w:rsidRPr="00F63F72">
        <w:rPr>
          <w:rFonts w:ascii="Calibri" w:hAnsi="Calibri" w:cs="Calibri"/>
          <w:sz w:val="22"/>
          <w:szCs w:val="20"/>
        </w:rPr>
        <w:t>• The most important investments that are expected refer to further investments in transport - first section of the highway ("Bar-Boljari"), investments in tourism ("Porto Montenegro" - "Adriatic Marinas", "Lustica bay resort" - "Orascom" "Kumbor "-" Socar "," Blue Horizons - Beyond the Horizon "-" Qatari Diar "," Sveti Marko "-" Metropol Group "; energy (construction of small hydro power plants, coal mine        "Maoče", thermo electric power plant Pljevlja, submarine cable - "Terna"), and industry -"Toscelik Niksic”). The list of planned announced investments collected from relevant ministries is in the Annex of this document on page 36</w:t>
      </w:r>
      <w:r w:rsidRPr="00F63F72">
        <w:rPr>
          <w:rFonts w:ascii="Calibri" w:hAnsi="Calibri" w:cs="Calibri"/>
          <w:sz w:val="22"/>
        </w:rPr>
        <w:t>.</w:t>
      </w:r>
    </w:p>
    <w:p w:rsidR="008D3E5E" w:rsidRPr="00F63F72" w:rsidRDefault="008D3E5E" w:rsidP="008D3E5E">
      <w:pPr>
        <w:rPr>
          <w:rFonts w:ascii="Calibri" w:hAnsi="Calibri" w:cs="Calibri"/>
          <w:sz w:val="22"/>
          <w:szCs w:val="20"/>
        </w:rPr>
      </w:pPr>
    </w:p>
    <w:p w:rsidR="008D3E5E" w:rsidRPr="00F63F72" w:rsidRDefault="008D3E5E" w:rsidP="008D3E5E">
      <w:pPr>
        <w:pStyle w:val="Default"/>
        <w:numPr>
          <w:ilvl w:val="2"/>
          <w:numId w:val="21"/>
        </w:numPr>
        <w:jc w:val="both"/>
        <w:rPr>
          <w:rFonts w:asciiTheme="minorHAnsi" w:hAnsiTheme="minorHAnsi" w:cstheme="minorHAnsi"/>
          <w:b/>
          <w:sz w:val="22"/>
          <w:szCs w:val="22"/>
        </w:rPr>
      </w:pPr>
      <w:r w:rsidRPr="00F63F72">
        <w:rPr>
          <w:rFonts w:asciiTheme="minorHAnsi" w:hAnsiTheme="minorHAnsi" w:cstheme="minorHAnsi"/>
          <w:b/>
          <w:sz w:val="22"/>
          <w:szCs w:val="22"/>
        </w:rPr>
        <w:t xml:space="preserve">Labor Market </w:t>
      </w:r>
    </w:p>
    <w:p w:rsidR="008D3E5E" w:rsidRPr="00F63F72" w:rsidRDefault="008D3E5E" w:rsidP="008D3E5E">
      <w:pPr>
        <w:autoSpaceDE w:val="0"/>
        <w:autoSpaceDN w:val="0"/>
        <w:adjustRightInd w:val="0"/>
        <w:jc w:val="both"/>
        <w:rPr>
          <w:rFonts w:asciiTheme="minorHAnsi" w:hAnsiTheme="minorHAnsi" w:cstheme="minorHAnsi"/>
          <w:sz w:val="22"/>
          <w:szCs w:val="22"/>
        </w:rPr>
      </w:pPr>
    </w:p>
    <w:p w:rsidR="008D3E5E" w:rsidRPr="00F63F72" w:rsidRDefault="008D3E5E" w:rsidP="008D3E5E">
      <w:pPr>
        <w:autoSpaceDE w:val="0"/>
        <w:autoSpaceDN w:val="0"/>
        <w:adjustRightInd w:val="0"/>
        <w:jc w:val="both"/>
        <w:rPr>
          <w:rFonts w:asciiTheme="minorHAnsi" w:hAnsiTheme="minorHAnsi" w:cstheme="minorHAnsi"/>
          <w:sz w:val="22"/>
          <w:szCs w:val="22"/>
        </w:rPr>
      </w:pPr>
      <w:r w:rsidRPr="00F63F72">
        <w:rPr>
          <w:rFonts w:asciiTheme="minorHAnsi" w:hAnsiTheme="minorHAnsi" w:cstheme="minorHAnsi"/>
          <w:sz w:val="22"/>
          <w:szCs w:val="22"/>
        </w:rPr>
        <w:t xml:space="preserve">Even with slight recession, trends at the labor market show an increase in average employment by 2.1%, but also a decrease in average unemployment by 2.2%, as a result of measures and activities set forth in 2012 Action Plan for Employment and Human Resources Development. Average number of employed persons in 2012 was 166,531, while average number of unemployed was 30,188. It is characteristic that the highest number of employees was reached in July and August, about 172.000 on average, due to the season.  </w:t>
      </w:r>
    </w:p>
    <w:p w:rsidR="008D3E5E" w:rsidRPr="00F63F72" w:rsidRDefault="008D3E5E" w:rsidP="008D3E5E">
      <w:pPr>
        <w:autoSpaceDE w:val="0"/>
        <w:autoSpaceDN w:val="0"/>
        <w:adjustRightInd w:val="0"/>
        <w:jc w:val="both"/>
        <w:rPr>
          <w:rFonts w:asciiTheme="minorHAnsi" w:hAnsiTheme="minorHAnsi" w:cstheme="minorHAnsi"/>
          <w:sz w:val="22"/>
          <w:szCs w:val="22"/>
        </w:rPr>
      </w:pPr>
    </w:p>
    <w:p w:rsidR="008D3E5E" w:rsidRPr="00F63F72" w:rsidRDefault="008D3E5E" w:rsidP="008D3E5E">
      <w:pPr>
        <w:autoSpaceDE w:val="0"/>
        <w:autoSpaceDN w:val="0"/>
        <w:adjustRightInd w:val="0"/>
        <w:jc w:val="both"/>
        <w:rPr>
          <w:rFonts w:asciiTheme="minorHAnsi" w:hAnsiTheme="minorHAnsi" w:cstheme="minorHAnsi"/>
          <w:sz w:val="22"/>
          <w:szCs w:val="22"/>
        </w:rPr>
      </w:pPr>
      <w:r w:rsidRPr="00F63F72">
        <w:rPr>
          <w:rFonts w:asciiTheme="minorHAnsi" w:hAnsiTheme="minorHAnsi" w:cstheme="minorHAnsi"/>
          <w:sz w:val="22"/>
          <w:szCs w:val="22"/>
        </w:rPr>
        <w:t xml:space="preserve">Unemployment rate has fallen from 13.3% in 2011 to 13.0% in 2012, while Survey on Labor Force shows the unemployment rate of 19.7%, the same percentage as in the previous year. At the end of 2012, the number of unemployed increased compared to December 2011 by 2.2%, mainly due to increased share of young people, in particular those with university education. In the next period, a limiting factor in the employment sector will be developments in real sector, that is, difficulties in big systems' operation (Aluminum Plant Podgorica, Steelworks etc.), which might lead to dismissals.  </w:t>
      </w:r>
    </w:p>
    <w:p w:rsidR="008D3E5E" w:rsidRPr="00F63F72" w:rsidRDefault="008D3E5E" w:rsidP="008D3E5E">
      <w:pPr>
        <w:autoSpaceDE w:val="0"/>
        <w:autoSpaceDN w:val="0"/>
        <w:adjustRightInd w:val="0"/>
        <w:jc w:val="both"/>
        <w:rPr>
          <w:rFonts w:asciiTheme="minorHAnsi" w:hAnsiTheme="minorHAnsi" w:cstheme="minorHAnsi"/>
          <w:sz w:val="22"/>
          <w:szCs w:val="22"/>
        </w:rPr>
      </w:pPr>
    </w:p>
    <w:p w:rsidR="008D3E5E" w:rsidRPr="00F63F72" w:rsidRDefault="008D3E5E" w:rsidP="008D3E5E">
      <w:pPr>
        <w:autoSpaceDE w:val="0"/>
        <w:autoSpaceDN w:val="0"/>
        <w:adjustRightInd w:val="0"/>
        <w:jc w:val="both"/>
        <w:rPr>
          <w:rFonts w:asciiTheme="minorHAnsi" w:hAnsiTheme="minorHAnsi" w:cstheme="minorHAnsi"/>
          <w:sz w:val="22"/>
          <w:szCs w:val="22"/>
        </w:rPr>
      </w:pPr>
      <w:r w:rsidRPr="00F63F72">
        <w:rPr>
          <w:rFonts w:asciiTheme="minorHAnsi" w:hAnsiTheme="minorHAnsi" w:cstheme="minorHAnsi"/>
          <w:sz w:val="22"/>
          <w:szCs w:val="22"/>
        </w:rPr>
        <w:t>Average gross salary in 2012 was EUR 727 or by 0.7% higher than in the previous year, without taxes and contributions it was EUR 487 or by 0.6% higher, and really by 3.3% lower than in the previous year. Average pension in 2012 was EUR 277.65 (57.0% of average net salary), however old-age pension was EUR 323.91 (66.5% of net salary).</w:t>
      </w:r>
    </w:p>
    <w:p w:rsidR="008D3E5E" w:rsidRPr="00F63F72" w:rsidRDefault="008D3E5E" w:rsidP="008D3E5E">
      <w:pPr>
        <w:autoSpaceDE w:val="0"/>
        <w:autoSpaceDN w:val="0"/>
        <w:adjustRightInd w:val="0"/>
        <w:jc w:val="both"/>
        <w:rPr>
          <w:rFonts w:asciiTheme="minorHAnsi" w:hAnsiTheme="minorHAnsi" w:cstheme="minorHAnsi"/>
          <w:sz w:val="22"/>
          <w:szCs w:val="22"/>
        </w:rPr>
      </w:pPr>
    </w:p>
    <w:p w:rsidR="008D3E5E" w:rsidRPr="00F63F72" w:rsidRDefault="008D3E5E" w:rsidP="008D3E5E">
      <w:pPr>
        <w:autoSpaceDE w:val="0"/>
        <w:autoSpaceDN w:val="0"/>
        <w:adjustRightInd w:val="0"/>
        <w:jc w:val="both"/>
        <w:rPr>
          <w:rFonts w:asciiTheme="minorHAnsi" w:hAnsiTheme="minorHAnsi" w:cstheme="minorHAnsi"/>
          <w:sz w:val="22"/>
          <w:szCs w:val="22"/>
        </w:rPr>
      </w:pPr>
      <w:r w:rsidRPr="00F63F72">
        <w:rPr>
          <w:rFonts w:asciiTheme="minorHAnsi" w:hAnsiTheme="minorHAnsi" w:cstheme="minorHAnsi"/>
          <w:sz w:val="22"/>
          <w:szCs w:val="22"/>
        </w:rPr>
        <w:t xml:space="preserve">The increase in unemployment rate (Employment Agency of Montenegro) was recorded in the first three months of 2013, from 13.7% in January to 14.2% in March 2013. In the period January – March 2013, compared to the same period in 2012, the number of employed persons increased by 3.5%, as well as the number of unemployed by 3.3%. Average salaries in March were EUR 723, with decrease of 1.5% in the first quarter of 2013 compared to the first quarter of 2012, while average net salaries were EUR 476, with decrease of 2.4% in the same period. Minimum consumer basket increased by 2.0% in March 2013 compared to the same month in 2012. </w:t>
      </w:r>
    </w:p>
    <w:p w:rsidR="008D3E5E" w:rsidRPr="00F63F72" w:rsidRDefault="008D3E5E" w:rsidP="008D3E5E">
      <w:pPr>
        <w:pStyle w:val="Default"/>
        <w:jc w:val="both"/>
        <w:rPr>
          <w:rFonts w:asciiTheme="minorHAnsi" w:hAnsiTheme="minorHAnsi" w:cstheme="minorHAnsi"/>
          <w:sz w:val="22"/>
          <w:szCs w:val="22"/>
        </w:rPr>
      </w:pPr>
    </w:p>
    <w:p w:rsidR="008D3E5E" w:rsidRPr="00F63F72" w:rsidRDefault="008D3E5E" w:rsidP="008D3E5E">
      <w:pPr>
        <w:pStyle w:val="Default"/>
        <w:numPr>
          <w:ilvl w:val="2"/>
          <w:numId w:val="21"/>
        </w:numPr>
        <w:jc w:val="both"/>
        <w:rPr>
          <w:rFonts w:asciiTheme="minorHAnsi" w:hAnsiTheme="minorHAnsi" w:cstheme="minorHAnsi"/>
          <w:sz w:val="22"/>
          <w:szCs w:val="22"/>
        </w:rPr>
      </w:pPr>
      <w:r w:rsidRPr="00F63F72">
        <w:rPr>
          <w:rFonts w:asciiTheme="minorHAnsi" w:hAnsiTheme="minorHAnsi" w:cstheme="minorHAnsi"/>
          <w:b/>
          <w:sz w:val="22"/>
          <w:szCs w:val="22"/>
        </w:rPr>
        <w:t xml:space="preserve"> Monetary Aggregates and Loans </w:t>
      </w:r>
    </w:p>
    <w:p w:rsidR="008D3E5E" w:rsidRPr="00F63F72" w:rsidRDefault="008D3E5E" w:rsidP="008D3E5E">
      <w:pPr>
        <w:pStyle w:val="Default"/>
        <w:ind w:left="1428"/>
        <w:jc w:val="both"/>
        <w:rPr>
          <w:rFonts w:asciiTheme="minorHAnsi" w:hAnsiTheme="minorHAnsi" w:cstheme="minorHAnsi"/>
          <w:sz w:val="22"/>
          <w:szCs w:val="22"/>
        </w:rPr>
      </w:pPr>
    </w:p>
    <w:p w:rsidR="008D3E5E" w:rsidRPr="00F63F72" w:rsidRDefault="008D3E5E" w:rsidP="008D3E5E">
      <w:pPr>
        <w:spacing w:after="240"/>
        <w:jc w:val="both"/>
        <w:rPr>
          <w:rFonts w:asciiTheme="minorHAnsi" w:hAnsiTheme="minorHAnsi" w:cstheme="minorHAnsi"/>
          <w:sz w:val="22"/>
          <w:szCs w:val="22"/>
        </w:rPr>
      </w:pPr>
      <w:r w:rsidRPr="00F63F72">
        <w:rPr>
          <w:rFonts w:asciiTheme="minorHAnsi" w:hAnsiTheme="minorHAnsi" w:cstheme="minorHAnsi"/>
          <w:sz w:val="22"/>
          <w:szCs w:val="22"/>
        </w:rPr>
        <w:t>In 2012, the banking sector was stable, with system risk kept at mod</w:t>
      </w:r>
      <w:r>
        <w:rPr>
          <w:rFonts w:asciiTheme="minorHAnsi" w:hAnsiTheme="minorHAnsi" w:cstheme="minorHAnsi"/>
          <w:sz w:val="22"/>
          <w:szCs w:val="22"/>
        </w:rPr>
        <w:t>e</w:t>
      </w:r>
      <w:r w:rsidRPr="00F63F72">
        <w:rPr>
          <w:rFonts w:asciiTheme="minorHAnsi" w:hAnsiTheme="minorHAnsi" w:cstheme="minorHAnsi"/>
          <w:sz w:val="22"/>
          <w:szCs w:val="22"/>
        </w:rPr>
        <w:t>rate level. At the end of 2012, total deposits mounted to EUR 1980,7 million , which represents growth of 9.0 % compared to the previous year. Retail deposits, which prevail in total deposits with the share of 57.9 %, amounted to EUR 1147.0 million  with increase of 11.0 % at annual level. In the maturity structure of deposits, retail term deposits made  61.6 %, while retail sight deposits made  38.4 %. Corporate deposits also recorded growth and with amount of EUR 526.5 million  in December 2012, they increased by 10.2% compared to the same month in the previous year. High level of non-performing loans is one the biggest issues faced by the banking sector and a consequence of both intensive lending activity at the time of economic growth and continuing overflow of the financial and debtor crisis effects on the overall system. At the end of 2012, non-performing loans amounted to EUR 314.8 million or 16.9 % of total loans. Deterioration of loan portfolio and limited access to foreign sources of financing resulted in negative financial outcome at the banking sector level of EUR 56,5 million. Out of 11 banks, 8 operated with gain, while 3 banks recorded loss of EUR 68.9 million. With the aim of maintaining financial stability, last year losses were recovered by the existing capital and by share capital increase in the amount of EUR 46.5 million . All this led to the restrictive lending policy, which, from the aspect of economy needs, was dis</w:t>
      </w:r>
      <w:r>
        <w:rPr>
          <w:rFonts w:asciiTheme="minorHAnsi" w:hAnsiTheme="minorHAnsi" w:cstheme="minorHAnsi"/>
          <w:sz w:val="22"/>
          <w:szCs w:val="22"/>
        </w:rPr>
        <w:t>s</w:t>
      </w:r>
      <w:r w:rsidRPr="00F63F72">
        <w:rPr>
          <w:rFonts w:asciiTheme="minorHAnsi" w:hAnsiTheme="minorHAnsi" w:cstheme="minorHAnsi"/>
          <w:sz w:val="22"/>
          <w:szCs w:val="22"/>
        </w:rPr>
        <w:t>atisfying. Total loans amounted to  EUR 1862.5 million  recording a decrease of 4.8 % compared to December previous year. In that, loans to corporate decr</w:t>
      </w:r>
      <w:r>
        <w:rPr>
          <w:rFonts w:asciiTheme="minorHAnsi" w:hAnsiTheme="minorHAnsi" w:cstheme="minorHAnsi"/>
          <w:sz w:val="22"/>
          <w:szCs w:val="22"/>
        </w:rPr>
        <w:t>e</w:t>
      </w:r>
      <w:r w:rsidRPr="00F63F72">
        <w:rPr>
          <w:rFonts w:asciiTheme="minorHAnsi" w:hAnsiTheme="minorHAnsi" w:cstheme="minorHAnsi"/>
          <w:sz w:val="22"/>
          <w:szCs w:val="22"/>
        </w:rPr>
        <w:t xml:space="preserve">ased by 4.9 %, loans to retail by 2.9 % at annual level. Average risk-weighted interest rates for newly approved loans in December were lower by 1.66 percentage points compared to November, what indicates positive effects of the Decision on interim measures for limiting bank interest rates. It is necessary to encourage new investors on the monetary market, which would trigger lending of the banks and financing of profitable projects. </w:t>
      </w:r>
    </w:p>
    <w:p w:rsidR="008D3E5E" w:rsidRPr="00F63F72" w:rsidRDefault="008D3E5E" w:rsidP="008D3E5E">
      <w:pPr>
        <w:spacing w:after="240"/>
        <w:jc w:val="both"/>
        <w:rPr>
          <w:rFonts w:asciiTheme="minorHAnsi" w:hAnsiTheme="minorHAnsi" w:cstheme="minorHAnsi"/>
          <w:sz w:val="22"/>
          <w:szCs w:val="22"/>
        </w:rPr>
      </w:pPr>
      <w:r w:rsidRPr="00F63F72">
        <w:rPr>
          <w:rFonts w:asciiTheme="minorHAnsi" w:hAnsiTheme="minorHAnsi" w:cstheme="minorHAnsi"/>
          <w:b/>
          <w:sz w:val="22"/>
          <w:szCs w:val="22"/>
        </w:rPr>
        <w:t>At the beginning of 2013</w:t>
      </w:r>
      <w:r w:rsidRPr="00F63F72">
        <w:rPr>
          <w:rFonts w:asciiTheme="minorHAnsi" w:hAnsiTheme="minorHAnsi" w:cstheme="minorHAnsi"/>
          <w:sz w:val="22"/>
          <w:szCs w:val="22"/>
        </w:rPr>
        <w:t>, liquidity of the banking sector is satisfactory, while illiquidity of the real sector still deteriorates. Out of 53,124 legal</w:t>
      </w:r>
      <w:r>
        <w:rPr>
          <w:rFonts w:asciiTheme="minorHAnsi" w:hAnsiTheme="minorHAnsi" w:cstheme="minorHAnsi"/>
          <w:sz w:val="22"/>
          <w:szCs w:val="22"/>
        </w:rPr>
        <w:t xml:space="preserve"> entities and entre</w:t>
      </w:r>
      <w:r w:rsidRPr="00F63F72">
        <w:rPr>
          <w:rFonts w:asciiTheme="minorHAnsi" w:hAnsiTheme="minorHAnsi" w:cstheme="minorHAnsi"/>
          <w:sz w:val="22"/>
          <w:szCs w:val="22"/>
        </w:rPr>
        <w:t>preneurs, 12,482 had their accounts blocked at the end of April, which is by 0.18 % higher compared to the previous month. Total debt, based on which the blockage of accounts was made, amounted to EUR 430,7 million , which represents</w:t>
      </w:r>
      <w:r>
        <w:rPr>
          <w:rFonts w:asciiTheme="minorHAnsi" w:hAnsiTheme="minorHAnsi" w:cstheme="minorHAnsi"/>
          <w:sz w:val="22"/>
          <w:szCs w:val="22"/>
        </w:rPr>
        <w:t xml:space="preserve"> an inc</w:t>
      </w:r>
      <w:r w:rsidRPr="00F63F72">
        <w:rPr>
          <w:rFonts w:asciiTheme="minorHAnsi" w:hAnsiTheme="minorHAnsi" w:cstheme="minorHAnsi"/>
          <w:sz w:val="22"/>
          <w:szCs w:val="22"/>
        </w:rPr>
        <w:t>r</w:t>
      </w:r>
      <w:r>
        <w:rPr>
          <w:rFonts w:asciiTheme="minorHAnsi" w:hAnsiTheme="minorHAnsi" w:cstheme="minorHAnsi"/>
          <w:sz w:val="22"/>
          <w:szCs w:val="22"/>
        </w:rPr>
        <w:t>e</w:t>
      </w:r>
      <w:r w:rsidRPr="00F63F72">
        <w:rPr>
          <w:rFonts w:asciiTheme="minorHAnsi" w:hAnsiTheme="minorHAnsi" w:cstheme="minorHAnsi"/>
          <w:sz w:val="22"/>
          <w:szCs w:val="22"/>
        </w:rPr>
        <w:t xml:space="preserve">ase of 1.12 % compared to end of March. </w:t>
      </w:r>
    </w:p>
    <w:p w:rsidR="008D3E5E" w:rsidRPr="00F63F72" w:rsidRDefault="008D3E5E" w:rsidP="008D3E5E">
      <w:pPr>
        <w:pStyle w:val="Default"/>
        <w:numPr>
          <w:ilvl w:val="2"/>
          <w:numId w:val="21"/>
        </w:numPr>
        <w:jc w:val="both"/>
        <w:rPr>
          <w:rFonts w:asciiTheme="minorHAnsi" w:hAnsiTheme="minorHAnsi" w:cstheme="minorHAnsi"/>
          <w:b/>
          <w:sz w:val="22"/>
          <w:szCs w:val="22"/>
        </w:rPr>
      </w:pPr>
      <w:r w:rsidRPr="00F63F72">
        <w:rPr>
          <w:rFonts w:asciiTheme="minorHAnsi" w:hAnsiTheme="minorHAnsi" w:cstheme="minorHAnsi"/>
          <w:b/>
          <w:sz w:val="22"/>
          <w:szCs w:val="22"/>
        </w:rPr>
        <w:t xml:space="preserve">External Sector </w:t>
      </w:r>
    </w:p>
    <w:p w:rsidR="008D3E5E" w:rsidRPr="00F63F72" w:rsidRDefault="008D3E5E" w:rsidP="008D3E5E">
      <w:pPr>
        <w:autoSpaceDE w:val="0"/>
        <w:autoSpaceDN w:val="0"/>
        <w:adjustRightInd w:val="0"/>
        <w:jc w:val="both"/>
        <w:rPr>
          <w:rFonts w:asciiTheme="minorHAnsi" w:hAnsiTheme="minorHAnsi" w:cstheme="minorHAnsi"/>
          <w:b/>
          <w:bCs/>
          <w:sz w:val="22"/>
          <w:szCs w:val="22"/>
        </w:rPr>
      </w:pPr>
    </w:p>
    <w:p w:rsidR="008D3E5E" w:rsidRPr="00F63F72" w:rsidRDefault="00013D30" w:rsidP="008D3E5E">
      <w:pPr>
        <w:spacing w:after="240"/>
        <w:jc w:val="both"/>
        <w:rPr>
          <w:rFonts w:asciiTheme="minorHAnsi" w:hAnsiTheme="minorHAnsi" w:cstheme="minorHAnsi"/>
          <w:sz w:val="22"/>
          <w:szCs w:val="22"/>
        </w:rPr>
      </w:pPr>
      <w:r>
        <w:rPr>
          <w:rFonts w:asciiTheme="minorHAnsi" w:hAnsiTheme="minorHAnsi" w:cstheme="minorHAnsi"/>
          <w:sz w:val="22"/>
          <w:szCs w:val="22"/>
        </w:rPr>
        <w:t>B</w:t>
      </w:r>
      <w:r w:rsidR="008D3E5E" w:rsidRPr="00F63F72">
        <w:rPr>
          <w:rFonts w:asciiTheme="minorHAnsi" w:hAnsiTheme="minorHAnsi" w:cstheme="minorHAnsi"/>
          <w:sz w:val="22"/>
          <w:szCs w:val="22"/>
        </w:rPr>
        <w:t>alance</w:t>
      </w:r>
      <w:r>
        <w:rPr>
          <w:rFonts w:asciiTheme="minorHAnsi" w:hAnsiTheme="minorHAnsi" w:cstheme="minorHAnsi"/>
          <w:sz w:val="22"/>
          <w:szCs w:val="22"/>
        </w:rPr>
        <w:t xml:space="preserve"> of payments</w:t>
      </w:r>
      <w:r w:rsidR="008D3E5E" w:rsidRPr="00F63F72">
        <w:rPr>
          <w:rFonts w:asciiTheme="minorHAnsi" w:hAnsiTheme="minorHAnsi" w:cstheme="minorHAnsi"/>
          <w:sz w:val="22"/>
          <w:szCs w:val="22"/>
        </w:rPr>
        <w:t xml:space="preserve"> trends in 2012 are characterized by the increase in foreign trade deficit, surplus at the service accounts, income and current transfers, relatively high inflow of foreign direct investments and low net outflow at the accounts of portfolio and other investments. </w:t>
      </w:r>
    </w:p>
    <w:p w:rsidR="008D3E5E" w:rsidRPr="00F63F72" w:rsidRDefault="00013D30" w:rsidP="008D3E5E">
      <w:pPr>
        <w:spacing w:after="240"/>
        <w:jc w:val="both"/>
        <w:rPr>
          <w:rFonts w:asciiTheme="minorHAnsi" w:hAnsiTheme="minorHAnsi" w:cstheme="minorHAnsi"/>
          <w:sz w:val="22"/>
          <w:szCs w:val="22"/>
        </w:rPr>
      </w:pPr>
      <w:r>
        <w:rPr>
          <w:rFonts w:asciiTheme="minorHAnsi" w:hAnsiTheme="minorHAnsi" w:cstheme="minorHAnsi"/>
          <w:sz w:val="22"/>
          <w:szCs w:val="22"/>
        </w:rPr>
        <w:t>B</w:t>
      </w:r>
      <w:r w:rsidRPr="00F63F72">
        <w:rPr>
          <w:rFonts w:asciiTheme="minorHAnsi" w:hAnsiTheme="minorHAnsi" w:cstheme="minorHAnsi"/>
          <w:sz w:val="22"/>
          <w:szCs w:val="22"/>
        </w:rPr>
        <w:t>alance</w:t>
      </w:r>
      <w:r>
        <w:rPr>
          <w:rFonts w:asciiTheme="minorHAnsi" w:hAnsiTheme="minorHAnsi" w:cstheme="minorHAnsi"/>
          <w:sz w:val="22"/>
          <w:szCs w:val="22"/>
        </w:rPr>
        <w:t xml:space="preserve"> of payments</w:t>
      </w:r>
      <w:r w:rsidRPr="00F63F72">
        <w:rPr>
          <w:rFonts w:asciiTheme="minorHAnsi" w:hAnsiTheme="minorHAnsi" w:cstheme="minorHAnsi"/>
          <w:sz w:val="22"/>
          <w:szCs w:val="22"/>
        </w:rPr>
        <w:t xml:space="preserve"> </w:t>
      </w:r>
      <w:r w:rsidR="008D3E5E" w:rsidRPr="00F63F72">
        <w:rPr>
          <w:rFonts w:asciiTheme="minorHAnsi" w:hAnsiTheme="minorHAnsi" w:cstheme="minorHAnsi"/>
          <w:sz w:val="22"/>
          <w:szCs w:val="22"/>
        </w:rPr>
        <w:t xml:space="preserve">current account deficit in 2012 increased by 2.4% compared to the previous year and amounted to EUR 587.2 million  or 17.7% of GDP. Increase of current account deficit was generated by relatively high growth rate of foreign trade deficit of 6.3% and slight increase in positive balance of </w:t>
      </w:r>
      <w:r w:rsidR="008D3E5E" w:rsidRPr="00F63F72">
        <w:rPr>
          <w:rFonts w:asciiTheme="minorHAnsi" w:hAnsiTheme="minorHAnsi" w:cstheme="minorHAnsi"/>
          <w:sz w:val="22"/>
          <w:szCs w:val="22"/>
        </w:rPr>
        <w:lastRenderedPageBreak/>
        <w:t xml:space="preserve">services of 3.9%. Current account deficit was largely financed by net inflow of foreign direct investments (FDIs), that is, 77.3%.                     </w:t>
      </w:r>
    </w:p>
    <w:p w:rsidR="008D3E5E" w:rsidRPr="00F63F72" w:rsidRDefault="008D3E5E" w:rsidP="008D3E5E">
      <w:pPr>
        <w:spacing w:after="240"/>
        <w:jc w:val="both"/>
        <w:rPr>
          <w:rFonts w:asciiTheme="minorHAnsi" w:hAnsiTheme="minorHAnsi" w:cstheme="minorHAnsi"/>
          <w:sz w:val="22"/>
          <w:szCs w:val="22"/>
        </w:rPr>
      </w:pPr>
      <w:r w:rsidRPr="00F63F72">
        <w:rPr>
          <w:rFonts w:asciiTheme="minorHAnsi" w:hAnsiTheme="minorHAnsi" w:cstheme="minorHAnsi"/>
          <w:sz w:val="22"/>
          <w:szCs w:val="22"/>
        </w:rPr>
        <w:t xml:space="preserve">Foreign trade deficit of EUR 1.388.8 million, or by 6.3% higher than in 2011, was major cause of the </w:t>
      </w:r>
      <w:r w:rsidRPr="00013D30">
        <w:rPr>
          <w:rFonts w:asciiTheme="minorHAnsi" w:hAnsiTheme="minorHAnsi" w:cstheme="minorHAnsi"/>
          <w:sz w:val="22"/>
          <w:szCs w:val="22"/>
        </w:rPr>
        <w:t>balance of payments</w:t>
      </w:r>
      <w:r w:rsidRPr="00F63F72">
        <w:rPr>
          <w:rFonts w:asciiTheme="minorHAnsi" w:hAnsiTheme="minorHAnsi" w:cstheme="minorHAnsi"/>
          <w:sz w:val="22"/>
          <w:szCs w:val="22"/>
        </w:rPr>
        <w:t xml:space="preserve"> disequilibrium. Commodities deficit, resulting from faster drop in export compared to drop in import, could not be offset by positive balance at the service account, income and current transfers which amounted to  EUR 801,6 million . Namely, the coverage of foreign trade deficit by surplus generated at other sub-accounts of the current account was 57.7%, which is at roughly same level as in the previous year. </w:t>
      </w:r>
    </w:p>
    <w:p w:rsidR="008D3E5E" w:rsidRPr="00F63F72" w:rsidRDefault="008D3E5E" w:rsidP="008D3E5E">
      <w:pPr>
        <w:spacing w:after="240"/>
        <w:jc w:val="both"/>
        <w:rPr>
          <w:rFonts w:asciiTheme="minorHAnsi" w:hAnsiTheme="minorHAnsi" w:cstheme="minorHAnsi"/>
          <w:sz w:val="22"/>
          <w:szCs w:val="22"/>
        </w:rPr>
      </w:pPr>
      <w:r w:rsidRPr="00F63F72">
        <w:rPr>
          <w:rFonts w:asciiTheme="minorHAnsi" w:hAnsiTheme="minorHAnsi" w:cstheme="minorHAnsi"/>
          <w:sz w:val="22"/>
          <w:szCs w:val="22"/>
        </w:rPr>
        <w:t xml:space="preserve">Surplus at the service account increased by 3.9% and amounts to EUR 612.3 million , which is largely the result of increase in income from travel and tourism by 3.8%, to which 64.5% of total revenues at the service account refers. Despite unfavorable economic trends in the country and surroundings, income from tourism was influenced by increased tourist arrivals and overnights by 4.8% and 4.3%.  </w:t>
      </w:r>
    </w:p>
    <w:p w:rsidR="008D3E5E" w:rsidRPr="00F63F72" w:rsidRDefault="008D3E5E" w:rsidP="008D3E5E">
      <w:pPr>
        <w:spacing w:after="240"/>
        <w:jc w:val="both"/>
        <w:rPr>
          <w:rFonts w:asciiTheme="minorHAnsi" w:hAnsiTheme="minorHAnsi" w:cstheme="minorHAnsi"/>
          <w:sz w:val="22"/>
          <w:szCs w:val="22"/>
        </w:rPr>
      </w:pPr>
      <w:r w:rsidRPr="00F63F72">
        <w:rPr>
          <w:rFonts w:asciiTheme="minorHAnsi" w:hAnsiTheme="minorHAnsi" w:cstheme="minorHAnsi"/>
          <w:sz w:val="22"/>
          <w:szCs w:val="22"/>
        </w:rPr>
        <w:t xml:space="preserve">At the factor income and current transfer accounts, there is a surplus of EUR 189.3 million or  31.8% higher than in 2011, as a result of higher inflow of remittances from abroad to the accounts of private individuals. </w:t>
      </w:r>
    </w:p>
    <w:p w:rsidR="008D3E5E" w:rsidRPr="00F63F72" w:rsidRDefault="008D3E5E" w:rsidP="008D3E5E">
      <w:pPr>
        <w:spacing w:after="240"/>
        <w:jc w:val="both"/>
        <w:rPr>
          <w:rFonts w:asciiTheme="minorHAnsi" w:hAnsiTheme="minorHAnsi" w:cstheme="minorHAnsi"/>
          <w:sz w:val="22"/>
          <w:szCs w:val="22"/>
        </w:rPr>
      </w:pPr>
      <w:r w:rsidRPr="00F63F72">
        <w:rPr>
          <w:rFonts w:asciiTheme="minorHAnsi" w:hAnsiTheme="minorHAnsi" w:cstheme="minorHAnsi"/>
          <w:sz w:val="22"/>
          <w:szCs w:val="22"/>
        </w:rPr>
        <w:t xml:space="preserve">Total commodities exchange in 2012 was EUR 2,172.5 million , which is by 3.8% less than in the previous year. Foreign trade deficit was by 6.3% higher and amounted to EUR 1,388.8 million or 41.8% of projected GDP. Foreign trade disequilibrium is a result of the economic stagnation, slow-down of aggregate demand growth and negative external factors (decrease of metals prices). Foreign trade disequilibrium was affected by fall of the industrial production of 7.1%, for the mentioned period,  of which, production of basic metals (aluminum and steel) 24.0%. Such trends resulted in unfavorable ratio  of export covering import, which decreased by 4.7p.p and amounts to 22.0%. Commodities export was EUR 391.9 million  worth and import EUR 1.780,7 million , which is by 17.8%, that is, 0.1% less, respectively. Low share of export in total exchange (16.8%) and significant share of import (83.2%) shows high import dependence on domestic production and consumption. Decrease in aluminum export by 22.0%, to which refers   35.1% of total export, mostly affected the commodities export drop. Significant drop of aluminum export is a result of KAP's decreased production aimed at reduction of losses under conditions when purchase price is higher than sales price, as well as  decrease in export prices of industrial products that were lower by 5.8% in the observed period.  </w:t>
      </w:r>
    </w:p>
    <w:p w:rsidR="008D3E5E" w:rsidRPr="00F63F72" w:rsidRDefault="008D3E5E" w:rsidP="008D3E5E">
      <w:pPr>
        <w:jc w:val="both"/>
        <w:rPr>
          <w:rFonts w:asciiTheme="minorHAnsi" w:hAnsiTheme="minorHAnsi" w:cstheme="minorHAnsi"/>
          <w:sz w:val="22"/>
          <w:szCs w:val="22"/>
        </w:rPr>
      </w:pPr>
      <w:r w:rsidRPr="00F63F72">
        <w:rPr>
          <w:rFonts w:asciiTheme="minorHAnsi" w:hAnsiTheme="minorHAnsi" w:cstheme="minorHAnsi"/>
          <w:sz w:val="22"/>
          <w:szCs w:val="22"/>
        </w:rPr>
        <w:t xml:space="preserve">The level of foreign trade exchange for the </w:t>
      </w:r>
      <w:r w:rsidRPr="00F63F72">
        <w:rPr>
          <w:rFonts w:asciiTheme="minorHAnsi" w:hAnsiTheme="minorHAnsi" w:cstheme="minorHAnsi"/>
          <w:b/>
          <w:sz w:val="22"/>
          <w:szCs w:val="22"/>
        </w:rPr>
        <w:t xml:space="preserve">period January - March 2013 </w:t>
      </w:r>
      <w:r w:rsidRPr="00F63F72">
        <w:rPr>
          <w:rFonts w:asciiTheme="minorHAnsi" w:hAnsiTheme="minorHAnsi" w:cstheme="minorHAnsi"/>
          <w:sz w:val="22"/>
          <w:szCs w:val="22"/>
        </w:rPr>
        <w:t>was</w:t>
      </w:r>
      <w:r w:rsidRPr="00F63F72">
        <w:rPr>
          <w:rFonts w:asciiTheme="minorHAnsi" w:hAnsiTheme="minorHAnsi" w:cstheme="minorHAnsi"/>
          <w:b/>
          <w:sz w:val="22"/>
          <w:szCs w:val="22"/>
        </w:rPr>
        <w:t xml:space="preserve"> EUR </w:t>
      </w:r>
      <w:r w:rsidRPr="00F63F72">
        <w:rPr>
          <w:rFonts w:asciiTheme="minorHAnsi" w:hAnsiTheme="minorHAnsi" w:cstheme="minorHAnsi"/>
          <w:sz w:val="22"/>
          <w:szCs w:val="22"/>
        </w:rPr>
        <w:t xml:space="preserve">450.9 million , which is by 6.6% less compared to the turnover generated in the same period of 2012. Export increase of 5.2% was recorded with simultaneous import decrease of 9.1%, which resulted in decrease of foreign trade deficit that amounted to EUR 272.5 million or 13.0% less compared to the same period last year. Expressed in value, commodities in the value of EUR 89.2 million  were exported, while commodities in the value of EUR 361.7 million  were imported. Import coverage by export was 24.7% and was by 3.4 p.p. higher than in the same period last year. Increase in commodities export was mainly influenced by increase in export of mineral fuels and oils of 114.0% (29.7% of total export) and raw materials except fuel of 44.0% (15.3% of total export). The value of aluminum export was EUR 24.9 million, which represents a decrease of 35.9% compared to the same period in 2012. Decrease of import value was mainly the result of decrease in import of mineral fuel and oil by 38.0% (14.8% of total import); food and live animals by 4.0% (19.2% of total import), while the import of machinery and transport devices (23.4% of total import) was at nearly the same level as the previous year. Observed by groups of countries, 59.6% of total export and 40.5% of total import refer to CEFTA countries. </w:t>
      </w:r>
    </w:p>
    <w:p w:rsidR="008D3E5E" w:rsidRPr="00F63F72" w:rsidRDefault="008D3E5E" w:rsidP="008D3E5E">
      <w:pPr>
        <w:pStyle w:val="Default"/>
        <w:jc w:val="both"/>
        <w:rPr>
          <w:rFonts w:asciiTheme="minorHAnsi" w:hAnsiTheme="minorHAnsi" w:cstheme="minorHAnsi"/>
          <w:b/>
          <w:sz w:val="22"/>
          <w:szCs w:val="22"/>
        </w:rPr>
      </w:pPr>
    </w:p>
    <w:p w:rsidR="008D3E5E" w:rsidRPr="00F63F72" w:rsidRDefault="008D3E5E" w:rsidP="008D3E5E">
      <w:pPr>
        <w:pStyle w:val="Default"/>
        <w:numPr>
          <w:ilvl w:val="1"/>
          <w:numId w:val="21"/>
        </w:numPr>
        <w:jc w:val="both"/>
        <w:rPr>
          <w:rFonts w:asciiTheme="minorHAnsi" w:hAnsiTheme="minorHAnsi" w:cstheme="minorHAnsi"/>
          <w:b/>
          <w:sz w:val="22"/>
          <w:szCs w:val="22"/>
        </w:rPr>
      </w:pPr>
      <w:r w:rsidRPr="00F63F72">
        <w:rPr>
          <w:rFonts w:asciiTheme="minorHAnsi" w:hAnsiTheme="minorHAnsi" w:cstheme="minorHAnsi"/>
          <w:b/>
          <w:sz w:val="22"/>
          <w:szCs w:val="22"/>
        </w:rPr>
        <w:t>Ma</w:t>
      </w:r>
      <w:r>
        <w:rPr>
          <w:rFonts w:asciiTheme="minorHAnsi" w:hAnsiTheme="minorHAnsi" w:cstheme="minorHAnsi"/>
          <w:b/>
          <w:sz w:val="22"/>
          <w:szCs w:val="22"/>
        </w:rPr>
        <w:t>c</w:t>
      </w:r>
      <w:r w:rsidRPr="00F63F72">
        <w:rPr>
          <w:rFonts w:asciiTheme="minorHAnsi" w:hAnsiTheme="minorHAnsi" w:cstheme="minorHAnsi"/>
          <w:b/>
          <w:sz w:val="22"/>
          <w:szCs w:val="22"/>
        </w:rPr>
        <w:t>ro</w:t>
      </w:r>
      <w:r>
        <w:rPr>
          <w:rFonts w:asciiTheme="minorHAnsi" w:hAnsiTheme="minorHAnsi" w:cstheme="minorHAnsi"/>
          <w:b/>
          <w:sz w:val="22"/>
          <w:szCs w:val="22"/>
        </w:rPr>
        <w:t>-</w:t>
      </w:r>
      <w:r w:rsidRPr="00F63F72">
        <w:rPr>
          <w:rFonts w:asciiTheme="minorHAnsi" w:hAnsiTheme="minorHAnsi" w:cstheme="minorHAnsi"/>
          <w:b/>
          <w:sz w:val="22"/>
          <w:szCs w:val="22"/>
        </w:rPr>
        <w:t>economic scenario for the period 2013-2016</w:t>
      </w:r>
    </w:p>
    <w:p w:rsidR="008D3E5E" w:rsidRPr="00F63F72" w:rsidRDefault="008D3E5E" w:rsidP="008D3E5E">
      <w:pPr>
        <w:pStyle w:val="Default"/>
        <w:jc w:val="both"/>
        <w:rPr>
          <w:rFonts w:asciiTheme="minorHAnsi" w:hAnsiTheme="minorHAnsi" w:cstheme="minorHAnsi"/>
          <w:b/>
          <w:sz w:val="22"/>
          <w:szCs w:val="22"/>
        </w:rPr>
      </w:pPr>
    </w:p>
    <w:p w:rsidR="008D3E5E" w:rsidRPr="00F63F72" w:rsidRDefault="008D3E5E" w:rsidP="008D3E5E">
      <w:pPr>
        <w:jc w:val="both"/>
        <w:rPr>
          <w:rFonts w:asciiTheme="minorHAnsi" w:hAnsiTheme="minorHAnsi" w:cstheme="minorHAnsi"/>
          <w:sz w:val="22"/>
          <w:szCs w:val="22"/>
        </w:rPr>
      </w:pPr>
      <w:r w:rsidRPr="00F63F72">
        <w:rPr>
          <w:rFonts w:asciiTheme="minorHAnsi" w:hAnsiTheme="minorHAnsi" w:cstheme="minorHAnsi"/>
          <w:sz w:val="22"/>
          <w:szCs w:val="22"/>
        </w:rPr>
        <w:t xml:space="preserve">Macroeconomic projections for the period 2013-2016 envisage real growth of GDP: 2.5% in 2013, 3.5% in 2014 and 4.0% in 2015 and 4.5% in 2016. In 2013, the Montenegrin economy will still suffer negative </w:t>
      </w:r>
      <w:r w:rsidRPr="00F63F72">
        <w:rPr>
          <w:rFonts w:asciiTheme="minorHAnsi" w:hAnsiTheme="minorHAnsi" w:cstheme="minorHAnsi"/>
          <w:sz w:val="22"/>
          <w:szCs w:val="22"/>
        </w:rPr>
        <w:lastRenderedPageBreak/>
        <w:t>effects of the Euro</w:t>
      </w:r>
      <w:r>
        <w:rPr>
          <w:rFonts w:asciiTheme="minorHAnsi" w:hAnsiTheme="minorHAnsi" w:cstheme="minorHAnsi"/>
          <w:sz w:val="22"/>
          <w:szCs w:val="22"/>
        </w:rPr>
        <w:t xml:space="preserve"> </w:t>
      </w:r>
      <w:r w:rsidRPr="00F63F72">
        <w:rPr>
          <w:rFonts w:asciiTheme="minorHAnsi" w:hAnsiTheme="minorHAnsi" w:cstheme="minorHAnsi"/>
          <w:sz w:val="22"/>
          <w:szCs w:val="22"/>
        </w:rPr>
        <w:t xml:space="preserve">zone crisis, which will primarily reflect on  availability of financial funds and investors' prudency. GDP growth rate of 2.5% in 2013 is based on assumption that natural (climate) conditions will be normal, which will influence stronger growth in the first quarter due to low last year basis. In the period 2014-2016, the Montenegrin economy will grow faster, due to strong growth of the investment activity and engagement of domestic potentials, primarily tourist and energy, moderate increase of lending activity and initial drop in commodities export, but also increase in services export (tourism). In the next period, it is necessary to project measures to encourage better use of economic potentials, with observance of international agreements, that is, to boost domestic production by proper measures, which would relieve pressure on import and foreign trade deficit. By the mentioned measures, we also increase competitiveness of domestic production. </w:t>
      </w:r>
    </w:p>
    <w:p w:rsidR="008D3E5E" w:rsidRPr="00F63F72" w:rsidRDefault="008D3E5E" w:rsidP="008D3E5E">
      <w:pPr>
        <w:jc w:val="both"/>
        <w:rPr>
          <w:rFonts w:asciiTheme="minorHAnsi" w:hAnsiTheme="minorHAnsi" w:cstheme="minorHAnsi"/>
          <w:sz w:val="22"/>
          <w:szCs w:val="22"/>
        </w:rPr>
      </w:pPr>
      <w:r w:rsidRPr="00F63F72">
        <w:rPr>
          <w:rFonts w:asciiTheme="minorHAnsi" w:hAnsiTheme="minorHAnsi" w:cstheme="minorHAnsi"/>
          <w:sz w:val="22"/>
          <w:szCs w:val="22"/>
        </w:rPr>
        <w:t xml:space="preserve">Average GDP growth rate for the period 2013-2016 is 3.6 %, which is above the potential GDP growth rate (3.2%). Projected inflation rate in 2013 is 3.0%, since besides stabilization effects of decrease in </w:t>
      </w:r>
      <w:r w:rsidRPr="00013D30">
        <w:rPr>
          <w:rFonts w:asciiTheme="minorHAnsi" w:hAnsiTheme="minorHAnsi" w:cstheme="minorHAnsi"/>
          <w:sz w:val="22"/>
          <w:szCs w:val="22"/>
        </w:rPr>
        <w:t>energy products</w:t>
      </w:r>
      <w:r w:rsidRPr="00F63F72">
        <w:rPr>
          <w:rFonts w:asciiTheme="minorHAnsi" w:hAnsiTheme="minorHAnsi" w:cstheme="minorHAnsi"/>
          <w:sz w:val="22"/>
          <w:szCs w:val="22"/>
        </w:rPr>
        <w:t xml:space="preserve"> prices and foods, we took into consideration the Government of Montenegro's decision on increasing upper VAT rate from the existing 17% to 19% and keeping lower and zero rate of  this tax at the same levels. </w:t>
      </w:r>
    </w:p>
    <w:p w:rsidR="008D3E5E" w:rsidRPr="00F63F72" w:rsidRDefault="008D3E5E" w:rsidP="008D3E5E">
      <w:pPr>
        <w:jc w:val="both"/>
        <w:rPr>
          <w:rFonts w:asciiTheme="minorHAnsi" w:hAnsiTheme="minorHAnsi" w:cstheme="minorHAnsi"/>
          <w:sz w:val="22"/>
          <w:szCs w:val="22"/>
        </w:rPr>
      </w:pPr>
      <w:r w:rsidRPr="00F63F72">
        <w:rPr>
          <w:rFonts w:asciiTheme="minorHAnsi" w:hAnsiTheme="minorHAnsi" w:cstheme="minorHAnsi"/>
          <w:sz w:val="22"/>
          <w:szCs w:val="22"/>
        </w:rPr>
        <w:t xml:space="preserve">When making projections, the following assumptions were taken into consideration from the external surroundings:  </w:t>
      </w:r>
    </w:p>
    <w:p w:rsidR="008D3E5E" w:rsidRPr="00F63F72" w:rsidRDefault="008D3E5E" w:rsidP="008D3E5E">
      <w:pPr>
        <w:pStyle w:val="ListParagraph"/>
        <w:numPr>
          <w:ilvl w:val="0"/>
          <w:numId w:val="42"/>
        </w:numPr>
        <w:ind w:left="720"/>
        <w:jc w:val="both"/>
        <w:rPr>
          <w:rFonts w:asciiTheme="minorHAnsi" w:hAnsiTheme="minorHAnsi" w:cstheme="minorHAnsi"/>
          <w:sz w:val="22"/>
          <w:szCs w:val="22"/>
        </w:rPr>
      </w:pPr>
      <w:r w:rsidRPr="00F63F72">
        <w:rPr>
          <w:rFonts w:asciiTheme="minorHAnsi" w:hAnsiTheme="minorHAnsi" w:cstheme="minorHAnsi"/>
          <w:sz w:val="22"/>
          <w:szCs w:val="22"/>
        </w:rPr>
        <w:t>Price of raw petroleum will be 109 $/bbl in 2013, with decreasing tendency in 2014 (103 $/bbl);</w:t>
      </w:r>
    </w:p>
    <w:p w:rsidR="008D3E5E" w:rsidRPr="00F63F72" w:rsidRDefault="008D3E5E" w:rsidP="008D3E5E">
      <w:pPr>
        <w:pStyle w:val="ListParagraph"/>
        <w:numPr>
          <w:ilvl w:val="0"/>
          <w:numId w:val="42"/>
        </w:numPr>
        <w:ind w:left="720"/>
        <w:jc w:val="both"/>
        <w:rPr>
          <w:rFonts w:asciiTheme="minorHAnsi" w:hAnsiTheme="minorHAnsi" w:cstheme="minorHAnsi"/>
          <w:sz w:val="22"/>
          <w:szCs w:val="22"/>
        </w:rPr>
      </w:pPr>
      <w:r w:rsidRPr="00F63F72">
        <w:rPr>
          <w:rFonts w:asciiTheme="minorHAnsi" w:hAnsiTheme="minorHAnsi" w:cstheme="minorHAnsi"/>
          <w:sz w:val="22"/>
          <w:szCs w:val="22"/>
        </w:rPr>
        <w:t>EUR exchange rate will be 1,29 USD/EUR over the entire period;</w:t>
      </w:r>
    </w:p>
    <w:p w:rsidR="008D3E5E" w:rsidRPr="00F63F72" w:rsidRDefault="008D3E5E" w:rsidP="008D3E5E">
      <w:pPr>
        <w:pStyle w:val="ListParagraph"/>
        <w:numPr>
          <w:ilvl w:val="0"/>
          <w:numId w:val="42"/>
        </w:numPr>
        <w:ind w:left="720"/>
        <w:jc w:val="both"/>
        <w:rPr>
          <w:rFonts w:asciiTheme="minorHAnsi" w:hAnsiTheme="minorHAnsi" w:cstheme="minorHAnsi"/>
          <w:sz w:val="22"/>
          <w:szCs w:val="22"/>
        </w:rPr>
      </w:pPr>
      <w:r w:rsidRPr="00F63F72">
        <w:rPr>
          <w:rFonts w:asciiTheme="minorHAnsi" w:hAnsiTheme="minorHAnsi" w:cstheme="minorHAnsi"/>
          <w:sz w:val="22"/>
          <w:szCs w:val="22"/>
        </w:rPr>
        <w:t xml:space="preserve">Inflation in EC will be 1.8% in 2013 and 1.6% in 2014 </w:t>
      </w:r>
    </w:p>
    <w:p w:rsidR="008D3E5E" w:rsidRPr="00F63F72" w:rsidRDefault="008D3E5E" w:rsidP="008D3E5E">
      <w:pPr>
        <w:pStyle w:val="ListParagraph"/>
        <w:numPr>
          <w:ilvl w:val="0"/>
          <w:numId w:val="42"/>
        </w:numPr>
        <w:ind w:left="720"/>
        <w:jc w:val="both"/>
        <w:rPr>
          <w:rFonts w:asciiTheme="minorHAnsi" w:hAnsiTheme="minorHAnsi" w:cstheme="minorHAnsi"/>
          <w:sz w:val="22"/>
          <w:szCs w:val="22"/>
        </w:rPr>
      </w:pPr>
      <w:r w:rsidRPr="00F63F72">
        <w:rPr>
          <w:rFonts w:asciiTheme="minorHAnsi" w:hAnsiTheme="minorHAnsi" w:cstheme="minorHAnsi"/>
          <w:sz w:val="22"/>
          <w:szCs w:val="22"/>
        </w:rPr>
        <w:t xml:space="preserve">In 2013, food prices will remain at the same level as in 2012 due to extended effect of extreme draught in 2012. </w:t>
      </w:r>
    </w:p>
    <w:p w:rsidR="008D3E5E" w:rsidRPr="00F63F72" w:rsidRDefault="008D3E5E" w:rsidP="008D3E5E">
      <w:pPr>
        <w:pStyle w:val="ListParagraph"/>
        <w:jc w:val="both"/>
        <w:rPr>
          <w:rFonts w:asciiTheme="minorHAnsi" w:hAnsiTheme="minorHAnsi" w:cstheme="minorHAnsi"/>
          <w:sz w:val="22"/>
          <w:szCs w:val="22"/>
        </w:rPr>
      </w:pPr>
    </w:p>
    <w:p w:rsidR="008D3E5E" w:rsidRPr="00F63F72" w:rsidRDefault="008D3E5E" w:rsidP="008D3E5E">
      <w:pPr>
        <w:jc w:val="both"/>
        <w:rPr>
          <w:rFonts w:asciiTheme="minorHAnsi" w:hAnsiTheme="minorHAnsi" w:cstheme="minorHAnsi"/>
          <w:sz w:val="22"/>
          <w:szCs w:val="22"/>
        </w:rPr>
      </w:pPr>
    </w:p>
    <w:p w:rsidR="008D3E5E" w:rsidRPr="00F63F72" w:rsidRDefault="008D3E5E" w:rsidP="008D3E5E">
      <w:pPr>
        <w:jc w:val="both"/>
        <w:rPr>
          <w:rFonts w:asciiTheme="minorHAnsi" w:hAnsiTheme="minorHAnsi" w:cstheme="minorHAnsi"/>
          <w:sz w:val="22"/>
          <w:szCs w:val="22"/>
        </w:rPr>
      </w:pPr>
      <w:r w:rsidRPr="00F63F72">
        <w:rPr>
          <w:rFonts w:asciiTheme="minorHAnsi" w:hAnsiTheme="minorHAnsi" w:cstheme="minorHAnsi"/>
          <w:sz w:val="22"/>
          <w:szCs w:val="22"/>
        </w:rPr>
        <w:t>Macroeconomic scenario for 2013-2015 is based on the following assumptions:</w:t>
      </w:r>
    </w:p>
    <w:p w:rsidR="008D3E5E" w:rsidRPr="00F63F72" w:rsidRDefault="008D3E5E" w:rsidP="008D3E5E">
      <w:pPr>
        <w:pStyle w:val="ListParagraph"/>
        <w:numPr>
          <w:ilvl w:val="0"/>
          <w:numId w:val="41"/>
        </w:numPr>
        <w:jc w:val="both"/>
        <w:rPr>
          <w:rFonts w:asciiTheme="minorHAnsi" w:hAnsiTheme="minorHAnsi" w:cstheme="minorHAnsi"/>
          <w:sz w:val="22"/>
          <w:szCs w:val="22"/>
        </w:rPr>
      </w:pPr>
      <w:r w:rsidRPr="00F63F72">
        <w:rPr>
          <w:rFonts w:asciiTheme="minorHAnsi" w:hAnsiTheme="minorHAnsi" w:cstheme="minorHAnsi"/>
          <w:sz w:val="22"/>
          <w:szCs w:val="22"/>
        </w:rPr>
        <w:t xml:space="preserve">In the period 2013-2016, foreign direct investments will maintain stable share of approximately 11.5% of GDP; Key impulse for the projected growth in the midterm comes from the announced commencement of investment cycle which refers to continuation of already initiated and launching of new investments. </w:t>
      </w:r>
    </w:p>
    <w:p w:rsidR="008D3E5E" w:rsidRPr="00F63F72" w:rsidRDefault="008D3E5E" w:rsidP="008D3E5E">
      <w:pPr>
        <w:pStyle w:val="ListParagraph"/>
        <w:numPr>
          <w:ilvl w:val="0"/>
          <w:numId w:val="41"/>
        </w:numPr>
        <w:jc w:val="both"/>
        <w:rPr>
          <w:rFonts w:asciiTheme="minorHAnsi" w:hAnsiTheme="minorHAnsi" w:cstheme="minorHAnsi"/>
          <w:sz w:val="22"/>
          <w:szCs w:val="22"/>
        </w:rPr>
      </w:pPr>
      <w:r w:rsidRPr="00F63F72">
        <w:rPr>
          <w:rFonts w:asciiTheme="minorHAnsi" w:hAnsiTheme="minorHAnsi" w:cstheme="minorHAnsi"/>
          <w:sz w:val="22"/>
          <w:szCs w:val="22"/>
        </w:rPr>
        <w:t>Deposits will be stable;</w:t>
      </w:r>
    </w:p>
    <w:p w:rsidR="008D3E5E" w:rsidRPr="00F63F72" w:rsidRDefault="008D3E5E" w:rsidP="008D3E5E">
      <w:pPr>
        <w:pStyle w:val="ListParagraph"/>
        <w:numPr>
          <w:ilvl w:val="0"/>
          <w:numId w:val="41"/>
        </w:numPr>
        <w:jc w:val="both"/>
        <w:rPr>
          <w:rFonts w:asciiTheme="minorHAnsi" w:hAnsiTheme="minorHAnsi" w:cstheme="minorHAnsi"/>
          <w:sz w:val="22"/>
          <w:szCs w:val="22"/>
        </w:rPr>
      </w:pPr>
      <w:r w:rsidRPr="00F63F72">
        <w:rPr>
          <w:rFonts w:asciiTheme="minorHAnsi" w:hAnsiTheme="minorHAnsi" w:cstheme="minorHAnsi"/>
          <w:sz w:val="22"/>
          <w:szCs w:val="22"/>
        </w:rPr>
        <w:t>Bank loans will start growing, somewhat slower in 2013, reaching average growth of 6.7% in the period 2014-2016.</w:t>
      </w:r>
    </w:p>
    <w:p w:rsidR="008D3E5E" w:rsidRPr="00F63F72" w:rsidRDefault="008D3E5E" w:rsidP="008D3E5E">
      <w:pPr>
        <w:pStyle w:val="ListParagraph"/>
        <w:numPr>
          <w:ilvl w:val="0"/>
          <w:numId w:val="41"/>
        </w:numPr>
        <w:jc w:val="both"/>
        <w:rPr>
          <w:rFonts w:asciiTheme="minorHAnsi" w:hAnsiTheme="minorHAnsi" w:cstheme="minorHAnsi"/>
          <w:sz w:val="22"/>
          <w:szCs w:val="22"/>
        </w:rPr>
      </w:pPr>
      <w:r w:rsidRPr="00F63F72">
        <w:rPr>
          <w:rFonts w:asciiTheme="minorHAnsi" w:hAnsiTheme="minorHAnsi" w:cstheme="minorHAnsi"/>
          <w:sz w:val="22"/>
          <w:szCs w:val="22"/>
        </w:rPr>
        <w:t xml:space="preserve">Household consumption will be affected by decrease of income related to salary decrease and freeze on pensions and announced VAT increase, boosted by positive impulses of income from tourism. </w:t>
      </w:r>
    </w:p>
    <w:p w:rsidR="008D3E5E" w:rsidRPr="00F63F72" w:rsidRDefault="00033B25" w:rsidP="008D3E5E">
      <w:pPr>
        <w:pStyle w:val="ListParagraph"/>
        <w:numPr>
          <w:ilvl w:val="0"/>
          <w:numId w:val="41"/>
        </w:numPr>
        <w:jc w:val="both"/>
        <w:rPr>
          <w:rFonts w:asciiTheme="minorHAnsi" w:hAnsiTheme="minorHAnsi" w:cstheme="minorHAnsi"/>
          <w:sz w:val="22"/>
          <w:szCs w:val="22"/>
        </w:rPr>
      </w:pPr>
      <w:r>
        <w:rPr>
          <w:rFonts w:asciiTheme="minorHAnsi" w:hAnsiTheme="minorHAnsi" w:cstheme="minorHAnsi"/>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27.75pt;margin-top:2.6pt;width:223.7pt;height:30pt;z-index:251660288" stroked="f">
            <v:textbox style="mso-next-textbox:#_x0000_s1026" inset="0,0,0,0">
              <w:txbxContent>
                <w:p w:rsidR="004C45D3" w:rsidRPr="001468BF" w:rsidRDefault="004C45D3" w:rsidP="008D3E5E">
                  <w:pPr>
                    <w:pStyle w:val="Caption"/>
                    <w:rPr>
                      <w:rFonts w:ascii="Calibri" w:hAnsi="Calibri" w:cs="Calibri"/>
                      <w:noProof/>
                      <w:color w:val="000000"/>
                      <w:sz w:val="18"/>
                      <w:szCs w:val="24"/>
                    </w:rPr>
                  </w:pPr>
                  <w:r>
                    <w:rPr>
                      <w:rFonts w:ascii="Calibri" w:hAnsi="Calibri" w:cs="Calibri"/>
                      <w:sz w:val="18"/>
                    </w:rPr>
                    <w:t>Graph</w:t>
                  </w:r>
                  <w:r w:rsidRPr="001468BF">
                    <w:rPr>
                      <w:rFonts w:ascii="Calibri" w:hAnsi="Calibri" w:cs="Calibri"/>
                      <w:sz w:val="18"/>
                    </w:rPr>
                    <w:t xml:space="preserve"> </w:t>
                  </w:r>
                  <w:r w:rsidR="00033B25" w:rsidRPr="001468BF">
                    <w:rPr>
                      <w:rFonts w:ascii="Calibri" w:hAnsi="Calibri" w:cs="Calibri"/>
                      <w:sz w:val="18"/>
                    </w:rPr>
                    <w:fldChar w:fldCharType="begin"/>
                  </w:r>
                  <w:r w:rsidRPr="001468BF">
                    <w:rPr>
                      <w:rFonts w:ascii="Calibri" w:hAnsi="Calibri" w:cs="Calibri"/>
                      <w:sz w:val="18"/>
                    </w:rPr>
                    <w:instrText xml:space="preserve"> SEQ grafik \* ARABIC </w:instrText>
                  </w:r>
                  <w:r w:rsidR="00033B25" w:rsidRPr="001468BF">
                    <w:rPr>
                      <w:rFonts w:ascii="Calibri" w:hAnsi="Calibri" w:cs="Calibri"/>
                      <w:sz w:val="18"/>
                    </w:rPr>
                    <w:fldChar w:fldCharType="separate"/>
                  </w:r>
                  <w:r>
                    <w:rPr>
                      <w:rFonts w:ascii="Calibri" w:hAnsi="Calibri" w:cs="Calibri"/>
                      <w:noProof/>
                      <w:sz w:val="18"/>
                    </w:rPr>
                    <w:t>1</w:t>
                  </w:r>
                  <w:r w:rsidR="00033B25" w:rsidRPr="001468BF">
                    <w:rPr>
                      <w:rFonts w:ascii="Calibri" w:hAnsi="Calibri" w:cs="Calibri"/>
                      <w:sz w:val="18"/>
                    </w:rPr>
                    <w:fldChar w:fldCharType="end"/>
                  </w:r>
                  <w:r w:rsidRPr="001468BF">
                    <w:rPr>
                      <w:rFonts w:ascii="Calibri" w:hAnsi="Calibri" w:cs="Calibri"/>
                      <w:sz w:val="18"/>
                    </w:rPr>
                    <w:t xml:space="preserve"> </w:t>
                  </w:r>
                  <w:r>
                    <w:rPr>
                      <w:rFonts w:ascii="Calibri" w:hAnsi="Calibri" w:cs="Calibri"/>
                      <w:sz w:val="18"/>
                    </w:rPr>
                    <w:t xml:space="preserve">Participation of sectors in GDP composition -real rates </w:t>
                  </w:r>
                </w:p>
              </w:txbxContent>
            </v:textbox>
            <w10:wrap type="square"/>
          </v:shape>
        </w:pict>
      </w:r>
      <w:r w:rsidR="008D3E5E" w:rsidRPr="00F63F72">
        <w:rPr>
          <w:rFonts w:asciiTheme="minorHAnsi" w:hAnsiTheme="minorHAnsi" w:cstheme="minorHAnsi"/>
          <w:noProof/>
          <w:sz w:val="22"/>
          <w:szCs w:val="22"/>
        </w:rPr>
        <w:drawing>
          <wp:anchor distT="103632" distB="170434" distL="248412" distR="210693" simplePos="0" relativeHeight="251661312" behindDoc="0" locked="0" layoutInCell="1" allowOverlap="1">
            <wp:simplePos x="0" y="0"/>
            <wp:positionH relativeFrom="margin">
              <wp:posOffset>256413</wp:posOffset>
            </wp:positionH>
            <wp:positionV relativeFrom="paragraph">
              <wp:posOffset>318008</wp:posOffset>
            </wp:positionV>
            <wp:extent cx="3095625" cy="2279396"/>
            <wp:effectExtent l="0" t="0" r="0" b="0"/>
            <wp:wrapSquare wrapText="bothSides"/>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8D3E5E" w:rsidRPr="00F63F72">
        <w:rPr>
          <w:rFonts w:asciiTheme="minorHAnsi" w:hAnsiTheme="minorHAnsi" w:cstheme="minorHAnsi"/>
          <w:sz w:val="22"/>
          <w:szCs w:val="22"/>
        </w:rPr>
        <w:t xml:space="preserve"> Share of public consumption falls as GDP percentage due to need for fiscal consolidation. </w:t>
      </w:r>
    </w:p>
    <w:p w:rsidR="008D3E5E" w:rsidRPr="00F63F72" w:rsidRDefault="008D3E5E" w:rsidP="008D3E5E">
      <w:pPr>
        <w:pStyle w:val="ListParagraph"/>
        <w:numPr>
          <w:ilvl w:val="0"/>
          <w:numId w:val="41"/>
        </w:numPr>
        <w:jc w:val="both"/>
        <w:rPr>
          <w:rFonts w:asciiTheme="minorHAnsi" w:hAnsiTheme="minorHAnsi" w:cstheme="minorHAnsi"/>
          <w:sz w:val="22"/>
          <w:szCs w:val="22"/>
        </w:rPr>
      </w:pPr>
      <w:r w:rsidRPr="00F63F72">
        <w:rPr>
          <w:rFonts w:asciiTheme="minorHAnsi" w:hAnsiTheme="minorHAnsi" w:cstheme="minorHAnsi"/>
          <w:sz w:val="22"/>
          <w:szCs w:val="22"/>
        </w:rPr>
        <w:t xml:space="preserve">After drop in export in 2013, export will grow by real rate of approximately 3.2 % on average in the period 2014-2016. </w:t>
      </w:r>
    </w:p>
    <w:p w:rsidR="008D3E5E" w:rsidRPr="00F63F72" w:rsidRDefault="008D3E5E" w:rsidP="008D3E5E">
      <w:pPr>
        <w:pStyle w:val="ListParagraph"/>
        <w:numPr>
          <w:ilvl w:val="0"/>
          <w:numId w:val="41"/>
        </w:numPr>
        <w:jc w:val="both"/>
        <w:rPr>
          <w:rFonts w:asciiTheme="minorHAnsi" w:hAnsiTheme="minorHAnsi" w:cstheme="minorHAnsi"/>
          <w:sz w:val="22"/>
          <w:szCs w:val="22"/>
        </w:rPr>
      </w:pPr>
      <w:r w:rsidRPr="00F63F72">
        <w:rPr>
          <w:rFonts w:asciiTheme="minorHAnsi" w:hAnsiTheme="minorHAnsi" w:cstheme="minorHAnsi"/>
          <w:sz w:val="22"/>
          <w:szCs w:val="22"/>
        </w:rPr>
        <w:t xml:space="preserve">As a result of drop in commodities export and services increase and drop in import, current account deficit will decrease in 2013 to approximately -16,4% of GDP, and become stable in 2016 at approximately 17% of GDP. </w:t>
      </w:r>
    </w:p>
    <w:p w:rsidR="008D3E5E" w:rsidRPr="00F63F72" w:rsidRDefault="008D3E5E" w:rsidP="008D3E5E">
      <w:pPr>
        <w:pStyle w:val="ListParagraph"/>
        <w:numPr>
          <w:ilvl w:val="0"/>
          <w:numId w:val="41"/>
        </w:numPr>
        <w:jc w:val="both"/>
        <w:rPr>
          <w:rFonts w:asciiTheme="minorHAnsi" w:hAnsiTheme="minorHAnsi" w:cstheme="minorHAnsi"/>
          <w:sz w:val="22"/>
          <w:szCs w:val="22"/>
        </w:rPr>
      </w:pPr>
      <w:r w:rsidRPr="00F63F72">
        <w:rPr>
          <w:rFonts w:asciiTheme="minorHAnsi" w:hAnsiTheme="minorHAnsi" w:cstheme="minorHAnsi"/>
          <w:sz w:val="22"/>
          <w:szCs w:val="22"/>
        </w:rPr>
        <w:t xml:space="preserve">Employment shows gradual increase over the entire period, as a result of gradual economic growth, </w:t>
      </w:r>
      <w:r w:rsidRPr="00F63F72">
        <w:rPr>
          <w:rFonts w:asciiTheme="minorHAnsi" w:hAnsiTheme="minorHAnsi" w:cstheme="minorHAnsi"/>
          <w:sz w:val="22"/>
          <w:szCs w:val="22"/>
        </w:rPr>
        <w:lastRenderedPageBreak/>
        <w:t xml:space="preserve">adjusted by need to increase competitiveness and have necessary structural reforms. </w:t>
      </w:r>
    </w:p>
    <w:p w:rsidR="008D3E5E" w:rsidRPr="00F63F72" w:rsidRDefault="008D3E5E" w:rsidP="008D3E5E">
      <w:pPr>
        <w:pStyle w:val="ListParagraph"/>
        <w:numPr>
          <w:ilvl w:val="0"/>
          <w:numId w:val="41"/>
        </w:numPr>
        <w:jc w:val="both"/>
        <w:rPr>
          <w:rFonts w:asciiTheme="minorHAnsi" w:hAnsiTheme="minorHAnsi" w:cstheme="minorHAnsi"/>
          <w:sz w:val="22"/>
          <w:szCs w:val="22"/>
        </w:rPr>
      </w:pPr>
      <w:r w:rsidRPr="00F63F72">
        <w:rPr>
          <w:rFonts w:asciiTheme="minorHAnsi" w:hAnsiTheme="minorHAnsi" w:cstheme="minorHAnsi"/>
          <w:sz w:val="22"/>
          <w:szCs w:val="22"/>
        </w:rPr>
        <w:t xml:space="preserve">Unemployment, measured by ILO methodology, will decrease to 18% due to the training program for 4.200 of university graduates in 2013 and when the training ends in 2014 it will reach 18.8% with slight decrease in the following years (2015-2016). Projections on unemployment based on applications to the Employment Agency of Montenegro indicate slight increase of unemployment rate in 2013 but, by midterm growth of economic activity, it will gradually drop below 13% and be 12.5% in 2016. </w:t>
      </w:r>
    </w:p>
    <w:p w:rsidR="008D3E5E" w:rsidRPr="00F63F72" w:rsidRDefault="008D3E5E" w:rsidP="008D3E5E">
      <w:pPr>
        <w:pStyle w:val="ListParagraph"/>
        <w:numPr>
          <w:ilvl w:val="0"/>
          <w:numId w:val="41"/>
        </w:numPr>
        <w:jc w:val="both"/>
        <w:rPr>
          <w:rFonts w:asciiTheme="minorHAnsi" w:hAnsiTheme="minorHAnsi" w:cstheme="minorHAnsi"/>
          <w:sz w:val="22"/>
          <w:szCs w:val="22"/>
        </w:rPr>
      </w:pPr>
      <w:r w:rsidRPr="00F63F72">
        <w:rPr>
          <w:rFonts w:asciiTheme="minorHAnsi" w:hAnsiTheme="minorHAnsi" w:cstheme="minorHAnsi"/>
          <w:sz w:val="22"/>
          <w:szCs w:val="22"/>
        </w:rPr>
        <w:t xml:space="preserve">Projections of inflation indicate drop of rate compared to 2012, as a result of poor demand, stable or lower prices </w:t>
      </w:r>
      <w:r w:rsidRPr="00013D30">
        <w:rPr>
          <w:rFonts w:asciiTheme="minorHAnsi" w:hAnsiTheme="minorHAnsi" w:cstheme="minorHAnsi"/>
          <w:sz w:val="22"/>
          <w:szCs w:val="22"/>
        </w:rPr>
        <w:t xml:space="preserve">of </w:t>
      </w:r>
      <w:r w:rsidR="00013D30" w:rsidRPr="00013D30">
        <w:rPr>
          <w:rFonts w:asciiTheme="minorHAnsi" w:hAnsiTheme="minorHAnsi" w:cstheme="minorHAnsi"/>
          <w:sz w:val="22"/>
          <w:szCs w:val="22"/>
        </w:rPr>
        <w:t>energy</w:t>
      </w:r>
      <w:r w:rsidRPr="00013D30">
        <w:rPr>
          <w:rFonts w:asciiTheme="minorHAnsi" w:hAnsiTheme="minorHAnsi" w:cstheme="minorHAnsi"/>
          <w:sz w:val="22"/>
          <w:szCs w:val="22"/>
        </w:rPr>
        <w:t xml:space="preserve"> products and</w:t>
      </w:r>
      <w:r w:rsidRPr="00F63F72">
        <w:rPr>
          <w:rFonts w:asciiTheme="minorHAnsi" w:hAnsiTheme="minorHAnsi" w:cstheme="minorHAnsi"/>
          <w:sz w:val="22"/>
          <w:szCs w:val="22"/>
        </w:rPr>
        <w:t xml:space="preserve"> stable food prices. Corrective factor in this drop is VAT rate increase from 17% to 19%, so the inflation in 2013 will be influenced by increase in prices on this basis (3%). Gradual decrease of inflation is expected in the period 2014-2016, so the projection is that at the end of the period inflation will be 2.5%.  </w:t>
      </w:r>
    </w:p>
    <w:p w:rsidR="008D3E5E" w:rsidRPr="00F63F72" w:rsidRDefault="008D3E5E" w:rsidP="008D3E5E">
      <w:pPr>
        <w:jc w:val="both"/>
        <w:rPr>
          <w:rFonts w:asciiTheme="minorHAnsi" w:hAnsiTheme="minorHAnsi" w:cstheme="minorHAnsi"/>
          <w:sz w:val="22"/>
          <w:szCs w:val="22"/>
        </w:rPr>
      </w:pPr>
    </w:p>
    <w:p w:rsidR="008D3E5E" w:rsidRPr="00F63F72" w:rsidRDefault="008D3E5E" w:rsidP="008D3E5E">
      <w:pPr>
        <w:pStyle w:val="Caption"/>
        <w:keepNext/>
        <w:jc w:val="both"/>
        <w:rPr>
          <w:rFonts w:asciiTheme="minorHAnsi" w:hAnsiTheme="minorHAnsi" w:cstheme="minorHAnsi"/>
          <w:sz w:val="22"/>
          <w:szCs w:val="22"/>
          <w:lang w:val="en-US"/>
        </w:rPr>
      </w:pPr>
      <w:r w:rsidRPr="00F63F72">
        <w:rPr>
          <w:rFonts w:asciiTheme="minorHAnsi" w:hAnsiTheme="minorHAnsi" w:cstheme="minorHAnsi"/>
          <w:sz w:val="22"/>
          <w:szCs w:val="22"/>
          <w:lang w:val="en-US"/>
        </w:rPr>
        <w:t xml:space="preserve">Table </w:t>
      </w:r>
      <w:r w:rsidR="00033B25" w:rsidRPr="00F63F72">
        <w:rPr>
          <w:rFonts w:asciiTheme="minorHAnsi" w:hAnsiTheme="minorHAnsi" w:cstheme="minorHAnsi"/>
          <w:sz w:val="22"/>
          <w:szCs w:val="22"/>
          <w:lang w:val="en-US"/>
        </w:rPr>
        <w:fldChar w:fldCharType="begin"/>
      </w:r>
      <w:r w:rsidRPr="00F63F72">
        <w:rPr>
          <w:rFonts w:asciiTheme="minorHAnsi" w:hAnsiTheme="minorHAnsi" w:cstheme="minorHAnsi"/>
          <w:sz w:val="22"/>
          <w:szCs w:val="22"/>
          <w:lang w:val="en-US"/>
        </w:rPr>
        <w:instrText xml:space="preserve"> SEQ Tabela \* ARABIC </w:instrText>
      </w:r>
      <w:r w:rsidR="00033B25" w:rsidRPr="00F63F72">
        <w:rPr>
          <w:rFonts w:asciiTheme="minorHAnsi" w:hAnsiTheme="minorHAnsi" w:cstheme="minorHAnsi"/>
          <w:sz w:val="22"/>
          <w:szCs w:val="22"/>
          <w:lang w:val="en-US"/>
        </w:rPr>
        <w:fldChar w:fldCharType="separate"/>
      </w:r>
      <w:r w:rsidR="005669F0">
        <w:rPr>
          <w:rFonts w:asciiTheme="minorHAnsi" w:hAnsiTheme="minorHAnsi" w:cstheme="minorHAnsi"/>
          <w:noProof/>
          <w:sz w:val="22"/>
          <w:szCs w:val="22"/>
          <w:lang w:val="en-US"/>
        </w:rPr>
        <w:t>4</w:t>
      </w:r>
      <w:r w:rsidR="00033B25" w:rsidRPr="00F63F72">
        <w:rPr>
          <w:rFonts w:asciiTheme="minorHAnsi" w:hAnsiTheme="minorHAnsi" w:cstheme="minorHAnsi"/>
          <w:sz w:val="22"/>
          <w:szCs w:val="22"/>
          <w:lang w:val="en-US"/>
        </w:rPr>
        <w:fldChar w:fldCharType="end"/>
      </w:r>
      <w:r w:rsidRPr="00F63F72">
        <w:rPr>
          <w:rFonts w:asciiTheme="minorHAnsi" w:hAnsiTheme="minorHAnsi" w:cstheme="minorHAnsi"/>
          <w:sz w:val="22"/>
          <w:szCs w:val="22"/>
          <w:lang w:val="en-US"/>
        </w:rPr>
        <w:t xml:space="preserve"> Macroeconomic Evaluations and Projections 2012-2016</w:t>
      </w:r>
    </w:p>
    <w:tbl>
      <w:tblPr>
        <w:tblW w:w="5000" w:type="pct"/>
        <w:tblBorders>
          <w:top w:val="single" w:sz="8" w:space="0" w:color="4F81BD"/>
          <w:bottom w:val="single" w:sz="8" w:space="0" w:color="4F81BD"/>
        </w:tblBorders>
        <w:tblLook w:val="04A0"/>
      </w:tblPr>
      <w:tblGrid>
        <w:gridCol w:w="370"/>
        <w:gridCol w:w="3829"/>
        <w:gridCol w:w="1400"/>
        <w:gridCol w:w="787"/>
        <w:gridCol w:w="718"/>
        <w:gridCol w:w="788"/>
        <w:gridCol w:w="788"/>
        <w:gridCol w:w="520"/>
        <w:gridCol w:w="371"/>
      </w:tblGrid>
      <w:tr w:rsidR="008D3E5E" w:rsidRPr="00F63F72" w:rsidTr="004C45D3">
        <w:trPr>
          <w:trHeight w:val="165"/>
        </w:trPr>
        <w:tc>
          <w:tcPr>
            <w:tcW w:w="197" w:type="pct"/>
            <w:tcBorders>
              <w:top w:val="single" w:sz="8" w:space="0" w:color="4F81BD"/>
              <w:left w:val="nil"/>
              <w:bottom w:val="single" w:sz="8" w:space="0" w:color="4F81BD"/>
              <w:right w:val="nil"/>
            </w:tcBorders>
            <w:noWrap/>
            <w:hideMark/>
          </w:tcPr>
          <w:p w:rsidR="008D3E5E" w:rsidRPr="00F63F72" w:rsidRDefault="008D3E5E" w:rsidP="004C45D3">
            <w:pPr>
              <w:jc w:val="both"/>
              <w:rPr>
                <w:rFonts w:asciiTheme="minorHAnsi" w:eastAsia="Calibri" w:hAnsiTheme="minorHAnsi" w:cstheme="minorHAnsi"/>
                <w:b/>
                <w:bCs/>
                <w:lang w:eastAsia="sr-Latn-CS"/>
              </w:rPr>
            </w:pPr>
            <w:bookmarkStart w:id="0" w:name="RANGE!B2:N56"/>
            <w:r w:rsidRPr="00F63F72">
              <w:rPr>
                <w:rFonts w:asciiTheme="minorHAnsi" w:eastAsia="Calibri" w:hAnsiTheme="minorHAnsi" w:cstheme="minorHAnsi"/>
                <w:b/>
                <w:bCs/>
                <w:sz w:val="22"/>
                <w:szCs w:val="22"/>
                <w:lang w:eastAsia="sr-Latn-CS"/>
              </w:rPr>
              <w:t> </w:t>
            </w:r>
            <w:bookmarkEnd w:id="0"/>
          </w:p>
        </w:tc>
        <w:tc>
          <w:tcPr>
            <w:tcW w:w="2004" w:type="pct"/>
            <w:tcBorders>
              <w:top w:val="single" w:sz="8" w:space="0" w:color="4F81BD"/>
              <w:left w:val="nil"/>
              <w:bottom w:val="single" w:sz="8" w:space="0" w:color="4F81BD"/>
              <w:right w:val="nil"/>
            </w:tcBorders>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735" w:type="pct"/>
            <w:tcBorders>
              <w:top w:val="single" w:sz="8" w:space="0" w:color="4F81BD"/>
              <w:left w:val="nil"/>
              <w:bottom w:val="single" w:sz="8" w:space="0" w:color="4F81BD"/>
              <w:right w:val="nil"/>
            </w:tcBorders>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415" w:type="pct"/>
            <w:tcBorders>
              <w:top w:val="single" w:sz="8" w:space="0" w:color="4F81BD"/>
              <w:left w:val="nil"/>
              <w:bottom w:val="single" w:sz="8" w:space="0" w:color="4F81BD"/>
              <w:right w:val="nil"/>
            </w:tcBorders>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347" w:type="pct"/>
            <w:tcBorders>
              <w:top w:val="single" w:sz="8" w:space="0" w:color="4F81BD"/>
              <w:left w:val="nil"/>
              <w:bottom w:val="single" w:sz="8" w:space="0" w:color="4F81BD"/>
              <w:right w:val="nil"/>
            </w:tcBorders>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415" w:type="pct"/>
            <w:tcBorders>
              <w:top w:val="single" w:sz="8" w:space="0" w:color="4F81BD"/>
              <w:left w:val="nil"/>
              <w:bottom w:val="single" w:sz="8" w:space="0" w:color="4F81BD"/>
              <w:right w:val="nil"/>
            </w:tcBorders>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415" w:type="pct"/>
            <w:tcBorders>
              <w:top w:val="single" w:sz="8" w:space="0" w:color="4F81BD"/>
              <w:left w:val="nil"/>
              <w:bottom w:val="single" w:sz="8" w:space="0" w:color="4F81BD"/>
              <w:right w:val="nil"/>
            </w:tcBorders>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74" w:type="pct"/>
            <w:tcBorders>
              <w:top w:val="single" w:sz="8" w:space="0" w:color="4F81BD"/>
              <w:left w:val="nil"/>
              <w:bottom w:val="single" w:sz="8" w:space="0" w:color="4F81BD"/>
              <w:right w:val="nil"/>
            </w:tcBorders>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197" w:type="pct"/>
            <w:tcBorders>
              <w:top w:val="single" w:sz="8" w:space="0" w:color="4F81BD"/>
              <w:left w:val="nil"/>
              <w:bottom w:val="single" w:sz="8" w:space="0" w:color="4F81BD"/>
              <w:right w:val="nil"/>
            </w:tcBorders>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r>
      <w:tr w:rsidR="008D3E5E" w:rsidRPr="00F63F72" w:rsidTr="004C45D3">
        <w:trPr>
          <w:trHeight w:val="25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4605" w:type="pct"/>
            <w:gridSpan w:val="7"/>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Montenegro: Macroeconomic Projections, 2014-16</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5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30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u w:val="single"/>
                <w:lang w:eastAsia="sr-Latn-CS"/>
              </w:rPr>
            </w:pPr>
            <w:r w:rsidRPr="00F63F72">
              <w:rPr>
                <w:rFonts w:asciiTheme="minorHAnsi" w:eastAsia="Calibri" w:hAnsiTheme="minorHAnsi" w:cstheme="minorHAnsi"/>
                <w:b/>
                <w:bCs/>
                <w:sz w:val="22"/>
                <w:szCs w:val="22"/>
                <w:u w:val="single"/>
                <w:lang w:eastAsia="sr-Latn-CS"/>
              </w:rPr>
              <w:t>2012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u w:val="single"/>
                <w:lang w:eastAsia="sr-Latn-CS"/>
              </w:rPr>
            </w:pPr>
            <w:r w:rsidRPr="00F63F72">
              <w:rPr>
                <w:rFonts w:asciiTheme="minorHAnsi" w:eastAsia="Calibri" w:hAnsiTheme="minorHAnsi" w:cstheme="minorHAnsi"/>
                <w:b/>
                <w:bCs/>
                <w:sz w:val="22"/>
                <w:szCs w:val="22"/>
                <w:u w:val="single"/>
                <w:lang w:eastAsia="sr-Latn-CS"/>
              </w:rPr>
              <w:t>2013</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u w:val="single"/>
                <w:lang w:eastAsia="sr-Latn-CS"/>
              </w:rPr>
            </w:pPr>
            <w:r w:rsidRPr="00F63F72">
              <w:rPr>
                <w:rFonts w:asciiTheme="minorHAnsi" w:eastAsia="Calibri" w:hAnsiTheme="minorHAnsi" w:cstheme="minorHAnsi"/>
                <w:b/>
                <w:bCs/>
                <w:sz w:val="22"/>
                <w:szCs w:val="22"/>
                <w:u w:val="single"/>
                <w:lang w:eastAsia="sr-Latn-CS"/>
              </w:rPr>
              <w:t>2014</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u w:val="single"/>
                <w:lang w:eastAsia="sr-Latn-CS"/>
              </w:rPr>
            </w:pPr>
            <w:r w:rsidRPr="00F63F72">
              <w:rPr>
                <w:rFonts w:asciiTheme="minorHAnsi" w:eastAsia="Calibri" w:hAnsiTheme="minorHAnsi" w:cstheme="minorHAnsi"/>
                <w:b/>
                <w:bCs/>
                <w:sz w:val="22"/>
                <w:szCs w:val="22"/>
                <w:u w:val="single"/>
                <w:lang w:eastAsia="sr-Latn-CS"/>
              </w:rPr>
              <w:t>2015</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u w:val="single"/>
                <w:lang w:eastAsia="sr-Latn-CS"/>
              </w:rPr>
            </w:pPr>
            <w:r w:rsidRPr="00F63F72">
              <w:rPr>
                <w:rFonts w:asciiTheme="minorHAnsi" w:eastAsia="Calibri" w:hAnsiTheme="minorHAnsi" w:cstheme="minorHAnsi"/>
                <w:b/>
                <w:bCs/>
                <w:sz w:val="22"/>
                <w:szCs w:val="22"/>
                <w:u w:val="single"/>
                <w:lang w:eastAsia="sr-Latn-CS"/>
              </w:rPr>
              <w:t>2016</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5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Nominal GDP in million EUR</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3.338</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3.517</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3.735</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3.982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4.265</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200" w:firstLine="44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Nominal growth</w:t>
            </w:r>
          </w:p>
        </w:tc>
        <w:tc>
          <w:tcPr>
            <w:tcW w:w="735"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1,3</w:t>
            </w:r>
          </w:p>
        </w:tc>
        <w:tc>
          <w:tcPr>
            <w:tcW w:w="415"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5,4</w:t>
            </w:r>
          </w:p>
        </w:tc>
        <w:tc>
          <w:tcPr>
            <w:tcW w:w="347"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6,2</w:t>
            </w:r>
          </w:p>
        </w:tc>
        <w:tc>
          <w:tcPr>
            <w:tcW w:w="415"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6,6</w:t>
            </w:r>
          </w:p>
        </w:tc>
        <w:tc>
          <w:tcPr>
            <w:tcW w:w="415"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7,1</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200" w:firstLine="44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Real growth</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-0,5</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2,5</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3,5</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4,0</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4,5</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200" w:firstLine="44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Deflator -growth</w:t>
            </w:r>
          </w:p>
        </w:tc>
        <w:tc>
          <w:tcPr>
            <w:tcW w:w="735"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1,9</w:t>
            </w:r>
          </w:p>
        </w:tc>
        <w:tc>
          <w:tcPr>
            <w:tcW w:w="415"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2,8</w:t>
            </w:r>
          </w:p>
        </w:tc>
        <w:tc>
          <w:tcPr>
            <w:tcW w:w="347"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2,6</w:t>
            </w:r>
          </w:p>
        </w:tc>
        <w:tc>
          <w:tcPr>
            <w:tcW w:w="415"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2,5</w:t>
            </w:r>
          </w:p>
        </w:tc>
        <w:tc>
          <w:tcPr>
            <w:tcW w:w="415"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2,5</w:t>
            </w:r>
          </w:p>
        </w:tc>
        <w:tc>
          <w:tcPr>
            <w:tcW w:w="274" w:type="pct"/>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4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200" w:firstLine="44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Inflation (CPI)</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4,1</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3,0</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2,9</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2,7</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i/>
                <w:iCs/>
                <w:lang w:eastAsia="sr-Latn-CS"/>
              </w:rPr>
            </w:pPr>
            <w:r w:rsidRPr="00F63F72">
              <w:rPr>
                <w:rFonts w:asciiTheme="minorHAnsi" w:eastAsia="Calibri" w:hAnsiTheme="minorHAnsi" w:cstheme="minorHAnsi"/>
                <w:i/>
                <w:iCs/>
                <w:sz w:val="22"/>
                <w:szCs w:val="22"/>
                <w:lang w:eastAsia="sr-Latn-CS"/>
              </w:rPr>
              <w:t>2,5</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602" w:type="pct"/>
            <w:gridSpan w:val="6"/>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in % of GDP)</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Key features:</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Current account deficit</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-17,6</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-16,3</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-16,7</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-17,0</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-17,0</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200" w:firstLine="44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Export</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41,6</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39,6</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39,2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38,9</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38,6</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200" w:firstLine="44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Import</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-64,9</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-61,1</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-60,5</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-60,2</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-59,6</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200" w:firstLine="44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Other</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5,7</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5,3</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4,6</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4,3</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4,0</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Private deposits</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49,2</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50,0</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50,4</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51,1</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51,9</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Bank loans - domestic</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55,8</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54,6</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55,9</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56,2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56,5</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Household consumption</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84,3</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83,4</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83,7</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83,4</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83,1</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Gross Investments</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17,6</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17,5</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17,3</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18,3</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18,8</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Public consumption</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21,5</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21,2</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20,7</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20,1</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19,5</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3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602" w:type="pct"/>
            <w:gridSpan w:val="6"/>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xml:space="preserve"> u %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3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Real  rates of GDP growth</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-0,5</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2,5</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3,5</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4,0</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4,5</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Household consumption</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1,5</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3,8</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3,6</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4,2</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Gross investments</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-8,7</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1,7</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2,8</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10,1</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7,3</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Public consumption</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-1,4</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1,1</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0,9</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1,5</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Net export</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-1,9</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-3,0</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1,9</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4,3</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2,9</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Export</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-1,5</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-2,2</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2,6</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3,7</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Import</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-1,7</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-2,4</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2,4</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3,6</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3,4</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165"/>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602" w:type="pct"/>
            <w:gridSpan w:val="6"/>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(share in real growth in % of GDP)</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Real growth of GDP</w:t>
            </w:r>
          </w:p>
        </w:tc>
        <w:tc>
          <w:tcPr>
            <w:tcW w:w="735"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-0,5</w:t>
            </w:r>
          </w:p>
        </w:tc>
        <w:tc>
          <w:tcPr>
            <w:tcW w:w="415"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2,5</w:t>
            </w:r>
          </w:p>
        </w:tc>
        <w:tc>
          <w:tcPr>
            <w:tcW w:w="34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3,5</w:t>
            </w:r>
          </w:p>
        </w:tc>
        <w:tc>
          <w:tcPr>
            <w:tcW w:w="415"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4,0</w:t>
            </w:r>
          </w:p>
        </w:tc>
        <w:tc>
          <w:tcPr>
            <w:tcW w:w="415"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4,5</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Household consumption</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1,0</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1,3</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3,0</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3,5</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Gross investments</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-1,7</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0,3</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0,5</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1,7</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1,3</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8D3E5E" w:rsidRDefault="008D3E5E" w:rsidP="004C45D3">
            <w:pPr>
              <w:ind w:firstLineChars="100" w:firstLine="220"/>
              <w:jc w:val="both"/>
              <w:rPr>
                <w:rFonts w:asciiTheme="minorHAnsi" w:eastAsia="Calibri" w:hAnsiTheme="minorHAnsi" w:cstheme="minorHAnsi"/>
                <w:lang w:eastAsia="sr-Latn-CS"/>
              </w:rPr>
            </w:pPr>
            <w:r w:rsidRPr="008D3E5E">
              <w:rPr>
                <w:rFonts w:asciiTheme="minorHAnsi" w:eastAsia="Calibri" w:hAnsiTheme="minorHAnsi" w:cstheme="minorHAnsi"/>
                <w:sz w:val="22"/>
                <w:szCs w:val="22"/>
                <w:lang w:eastAsia="sr-Latn-CS"/>
              </w:rPr>
              <w:t>Public consumption</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-0,3</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0,2</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0,3</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0,3</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lastRenderedPageBreak/>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Net export</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0,4</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0,7</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-0,4</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-0,9</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-0,6</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Export</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-0,6</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-0,9</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1,0</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1,4</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Import</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1,1</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1,6</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-1,4</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-2,2</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-2,0</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75"/>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602" w:type="pct"/>
            <w:gridSpan w:val="6"/>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(annual growth in % unless otherwise specified)</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Key assumptions:</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outlineLvl w:val="0"/>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Employment growth</w:t>
            </w:r>
          </w:p>
        </w:tc>
        <w:tc>
          <w:tcPr>
            <w:tcW w:w="735" w:type="pct"/>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2,1</w:t>
            </w:r>
          </w:p>
        </w:tc>
        <w:tc>
          <w:tcPr>
            <w:tcW w:w="415" w:type="pct"/>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2,1</w:t>
            </w:r>
          </w:p>
        </w:tc>
        <w:tc>
          <w:tcPr>
            <w:tcW w:w="347" w:type="pct"/>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0,1</w:t>
            </w:r>
          </w:p>
        </w:tc>
        <w:tc>
          <w:tcPr>
            <w:tcW w:w="415" w:type="pct"/>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0,5</w:t>
            </w:r>
          </w:p>
        </w:tc>
        <w:tc>
          <w:tcPr>
            <w:tcW w:w="415" w:type="pct"/>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0,5</w:t>
            </w:r>
          </w:p>
        </w:tc>
        <w:tc>
          <w:tcPr>
            <w:tcW w:w="274" w:type="pct"/>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outlineLvl w:val="0"/>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100" w:firstLine="220"/>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Unemployment (ARS)</w:t>
            </w:r>
          </w:p>
        </w:tc>
        <w:tc>
          <w:tcPr>
            <w:tcW w:w="735" w:type="pct"/>
            <w:tcBorders>
              <w:left w:val="nil"/>
              <w:right w:val="nil"/>
            </w:tcBorders>
            <w:shd w:val="clear" w:color="auto" w:fill="D3DFEE"/>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19,6</w:t>
            </w:r>
          </w:p>
        </w:tc>
        <w:tc>
          <w:tcPr>
            <w:tcW w:w="415" w:type="pct"/>
            <w:tcBorders>
              <w:left w:val="nil"/>
              <w:right w:val="nil"/>
            </w:tcBorders>
            <w:shd w:val="clear" w:color="auto" w:fill="D3DFEE"/>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18,0</w:t>
            </w:r>
          </w:p>
        </w:tc>
        <w:tc>
          <w:tcPr>
            <w:tcW w:w="347" w:type="pct"/>
            <w:tcBorders>
              <w:left w:val="nil"/>
              <w:right w:val="nil"/>
            </w:tcBorders>
            <w:shd w:val="clear" w:color="auto" w:fill="D3DFEE"/>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18,8</w:t>
            </w:r>
          </w:p>
        </w:tc>
        <w:tc>
          <w:tcPr>
            <w:tcW w:w="415" w:type="pct"/>
            <w:tcBorders>
              <w:left w:val="nil"/>
              <w:right w:val="nil"/>
            </w:tcBorders>
            <w:shd w:val="clear" w:color="auto" w:fill="D3DFEE"/>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18,6</w:t>
            </w:r>
          </w:p>
        </w:tc>
        <w:tc>
          <w:tcPr>
            <w:tcW w:w="415" w:type="pct"/>
            <w:tcBorders>
              <w:left w:val="nil"/>
              <w:right w:val="nil"/>
            </w:tcBorders>
            <w:shd w:val="clear" w:color="auto" w:fill="D3DFEE"/>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18,4</w:t>
            </w:r>
          </w:p>
        </w:tc>
        <w:tc>
          <w:tcPr>
            <w:tcW w:w="274" w:type="pct"/>
            <w:tcBorders>
              <w:left w:val="nil"/>
              <w:right w:val="nil"/>
            </w:tcBorders>
            <w:shd w:val="clear" w:color="auto" w:fill="D3DFEE"/>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outlineLvl w:val="0"/>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SDI  % BDP-a</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13,6</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11,5</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11,5</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11,5</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11,0</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Bank loans</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-4,8</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3,1</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6,3</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6,8</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7,1</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Export growth</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0,5</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0,2</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5,3</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5,8</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6,3</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260"/>
        </w:trPr>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tcBorders>
              <w:left w:val="nil"/>
              <w:right w:val="nil"/>
            </w:tcBorders>
            <w:shd w:val="clear" w:color="auto" w:fill="D3DFEE"/>
            <w:noWrap/>
            <w:hideMark/>
          </w:tcPr>
          <w:p w:rsidR="008D3E5E" w:rsidRPr="00F63F72" w:rsidRDefault="008D3E5E" w:rsidP="004C45D3">
            <w:pPr>
              <w:ind w:firstLineChars="100" w:firstLine="220"/>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Import growth</w:t>
            </w:r>
          </w:p>
        </w:tc>
        <w:tc>
          <w:tcPr>
            <w:tcW w:w="73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3,2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-0,7</w:t>
            </w:r>
          </w:p>
        </w:tc>
        <w:tc>
          <w:tcPr>
            <w:tcW w:w="34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5,0</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6,2</w:t>
            </w:r>
          </w:p>
        </w:tc>
        <w:tc>
          <w:tcPr>
            <w:tcW w:w="415"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6,0</w:t>
            </w:r>
          </w:p>
        </w:tc>
        <w:tc>
          <w:tcPr>
            <w:tcW w:w="274"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tcBorders>
              <w:left w:val="nil"/>
              <w:right w:val="nil"/>
            </w:tcBorders>
            <w:shd w:val="clear" w:color="auto" w:fill="D3DFEE"/>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r w:rsidR="008D3E5E" w:rsidRPr="00F63F72" w:rsidTr="004C45D3">
        <w:trPr>
          <w:trHeight w:val="120"/>
        </w:trPr>
        <w:tc>
          <w:tcPr>
            <w:tcW w:w="197" w:type="pct"/>
            <w:noWrap/>
            <w:hideMark/>
          </w:tcPr>
          <w:p w:rsidR="008D3E5E" w:rsidRPr="00F63F72" w:rsidRDefault="008D3E5E" w:rsidP="004C45D3">
            <w:pPr>
              <w:jc w:val="both"/>
              <w:rPr>
                <w:rFonts w:asciiTheme="minorHAnsi" w:eastAsia="Calibri" w:hAnsiTheme="minorHAnsi" w:cstheme="minorHAnsi"/>
                <w:b/>
                <w:bCs/>
                <w:lang w:eastAsia="sr-Latn-CS"/>
              </w:rPr>
            </w:pPr>
            <w:r w:rsidRPr="00F63F72">
              <w:rPr>
                <w:rFonts w:asciiTheme="minorHAnsi" w:eastAsia="Calibri" w:hAnsiTheme="minorHAnsi" w:cstheme="minorHAnsi"/>
                <w:b/>
                <w:bCs/>
                <w:sz w:val="22"/>
                <w:szCs w:val="22"/>
                <w:lang w:eastAsia="sr-Latn-CS"/>
              </w:rPr>
              <w:t> </w:t>
            </w:r>
          </w:p>
        </w:tc>
        <w:tc>
          <w:tcPr>
            <w:tcW w:w="200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73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34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415"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274"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c>
          <w:tcPr>
            <w:tcW w:w="197" w:type="pct"/>
            <w:noWrap/>
            <w:hideMark/>
          </w:tcPr>
          <w:p w:rsidR="008D3E5E" w:rsidRPr="00F63F72" w:rsidRDefault="008D3E5E" w:rsidP="004C45D3">
            <w:pPr>
              <w:jc w:val="both"/>
              <w:rPr>
                <w:rFonts w:asciiTheme="minorHAnsi" w:eastAsia="Calibri" w:hAnsiTheme="minorHAnsi" w:cstheme="minorHAnsi"/>
                <w:lang w:eastAsia="sr-Latn-CS"/>
              </w:rPr>
            </w:pPr>
            <w:r w:rsidRPr="00F63F72">
              <w:rPr>
                <w:rFonts w:asciiTheme="minorHAnsi" w:eastAsia="Calibri" w:hAnsiTheme="minorHAnsi" w:cstheme="minorHAnsi"/>
                <w:sz w:val="22"/>
                <w:szCs w:val="22"/>
                <w:lang w:eastAsia="sr-Latn-CS"/>
              </w:rPr>
              <w:t> </w:t>
            </w:r>
          </w:p>
        </w:tc>
      </w:tr>
    </w:tbl>
    <w:p w:rsidR="008D3E5E" w:rsidRPr="00F63F72" w:rsidRDefault="008D3E5E" w:rsidP="008D3E5E">
      <w:pPr>
        <w:pStyle w:val="ListParagraph"/>
        <w:ind w:left="360"/>
        <w:jc w:val="both"/>
        <w:rPr>
          <w:rFonts w:asciiTheme="minorHAnsi" w:hAnsiTheme="minorHAnsi" w:cstheme="minorHAnsi"/>
          <w:sz w:val="22"/>
          <w:szCs w:val="22"/>
        </w:rPr>
      </w:pPr>
    </w:p>
    <w:p w:rsidR="008D3E5E" w:rsidRPr="00F63F72" w:rsidRDefault="008D3E5E" w:rsidP="008D3E5E">
      <w:pPr>
        <w:pStyle w:val="ListParagraph"/>
        <w:ind w:left="360"/>
        <w:jc w:val="both"/>
        <w:rPr>
          <w:rFonts w:asciiTheme="minorHAnsi" w:hAnsiTheme="minorHAnsi" w:cstheme="minorHAnsi"/>
          <w:sz w:val="22"/>
          <w:szCs w:val="22"/>
        </w:rPr>
      </w:pPr>
    </w:p>
    <w:p w:rsidR="008D3E5E" w:rsidRPr="00F63F72" w:rsidRDefault="008D3E5E" w:rsidP="008D3E5E">
      <w:pPr>
        <w:pStyle w:val="ListParagraph"/>
        <w:ind w:left="360"/>
        <w:jc w:val="both"/>
        <w:rPr>
          <w:rFonts w:asciiTheme="minorHAnsi" w:hAnsiTheme="minorHAnsi" w:cstheme="minorHAnsi"/>
          <w:sz w:val="22"/>
          <w:szCs w:val="22"/>
        </w:rPr>
      </w:pPr>
    </w:p>
    <w:p w:rsidR="008D3E5E" w:rsidRPr="00F63F72" w:rsidRDefault="008D3E5E" w:rsidP="008D3E5E">
      <w:pPr>
        <w:jc w:val="both"/>
        <w:rPr>
          <w:rFonts w:asciiTheme="minorHAnsi" w:hAnsiTheme="minorHAnsi" w:cstheme="minorHAnsi"/>
          <w:sz w:val="22"/>
          <w:szCs w:val="22"/>
        </w:rPr>
      </w:pPr>
    </w:p>
    <w:p w:rsidR="008D3E5E" w:rsidRPr="00F63F72" w:rsidRDefault="008D3E5E" w:rsidP="008D3E5E">
      <w:pPr>
        <w:pStyle w:val="ListParagraph"/>
        <w:ind w:left="360"/>
        <w:rPr>
          <w:rFonts w:ascii="Calibri" w:hAnsi="Calibri" w:cs="Calibri"/>
        </w:rPr>
      </w:pPr>
    </w:p>
    <w:p w:rsidR="008D3E5E" w:rsidRPr="00F63F72" w:rsidRDefault="008D3E5E" w:rsidP="008D3E5E">
      <w:pPr>
        <w:pStyle w:val="ListParagraph"/>
        <w:numPr>
          <w:ilvl w:val="0"/>
          <w:numId w:val="24"/>
        </w:numPr>
        <w:rPr>
          <w:rFonts w:ascii="Calibri" w:hAnsi="Calibri" w:cs="Calibri"/>
          <w:b/>
          <w:sz w:val="22"/>
          <w:szCs w:val="22"/>
        </w:rPr>
      </w:pPr>
      <w:r w:rsidRPr="00F63F72">
        <w:rPr>
          <w:rFonts w:ascii="Calibri" w:hAnsi="Calibri" w:cs="Calibri"/>
          <w:b/>
          <w:sz w:val="22"/>
          <w:szCs w:val="22"/>
        </w:rPr>
        <w:t xml:space="preserve">PUBLIC FINANCES IN THE 2012-2016 PERIOD </w:t>
      </w:r>
    </w:p>
    <w:p w:rsidR="008D3E5E" w:rsidRPr="00F63F72" w:rsidRDefault="008D3E5E" w:rsidP="008D3E5E">
      <w:pPr>
        <w:rPr>
          <w:rFonts w:ascii="Calibri" w:hAnsi="Calibri" w:cs="Calibri"/>
          <w:b/>
          <w:sz w:val="22"/>
          <w:szCs w:val="22"/>
        </w:rPr>
      </w:pPr>
    </w:p>
    <w:p w:rsidR="008D3E5E" w:rsidRPr="00F63F72" w:rsidRDefault="008D3E5E" w:rsidP="008D3E5E">
      <w:pPr>
        <w:pStyle w:val="ListParagraph"/>
        <w:numPr>
          <w:ilvl w:val="1"/>
          <w:numId w:val="24"/>
        </w:numPr>
        <w:rPr>
          <w:rFonts w:ascii="Calibri" w:hAnsi="Calibri" w:cs="Calibri"/>
          <w:b/>
          <w:sz w:val="22"/>
          <w:szCs w:val="22"/>
        </w:rPr>
      </w:pPr>
      <w:r w:rsidRPr="00F63F72">
        <w:rPr>
          <w:rFonts w:ascii="Calibri" w:hAnsi="Calibri" w:cs="Calibri"/>
          <w:b/>
          <w:sz w:val="22"/>
          <w:szCs w:val="22"/>
        </w:rPr>
        <w:t>Public finances and public debt</w:t>
      </w:r>
    </w:p>
    <w:p w:rsidR="008D3E5E" w:rsidRPr="00F63F72" w:rsidRDefault="008D3E5E" w:rsidP="008D3E5E">
      <w:pPr>
        <w:rPr>
          <w:rFonts w:ascii="Calibri" w:hAnsi="Calibri" w:cs="Calibri"/>
          <w:b/>
          <w:sz w:val="22"/>
          <w:szCs w:val="22"/>
        </w:rPr>
      </w:pPr>
    </w:p>
    <w:p w:rsidR="008D3E5E" w:rsidRPr="00F63F72" w:rsidRDefault="008D3E5E" w:rsidP="008D3E5E">
      <w:pPr>
        <w:pStyle w:val="ListParagraph"/>
        <w:numPr>
          <w:ilvl w:val="2"/>
          <w:numId w:val="24"/>
        </w:numPr>
        <w:rPr>
          <w:rFonts w:ascii="Calibri" w:hAnsi="Calibri" w:cs="Calibri"/>
          <w:b/>
          <w:sz w:val="22"/>
          <w:szCs w:val="22"/>
        </w:rPr>
      </w:pPr>
      <w:r w:rsidRPr="00F63F72">
        <w:rPr>
          <w:rFonts w:ascii="Calibri" w:hAnsi="Calibri" w:cs="Calibri"/>
          <w:b/>
          <w:sz w:val="22"/>
          <w:szCs w:val="22"/>
        </w:rPr>
        <w:t>Strategy and medium-term objectives of the public finance policy</w:t>
      </w:r>
    </w:p>
    <w:p w:rsidR="008D3E5E" w:rsidRPr="00F63F72" w:rsidRDefault="008D3E5E" w:rsidP="008D3E5E">
      <w:pPr>
        <w:rPr>
          <w:rFonts w:ascii="Calibri" w:hAnsi="Calibri" w:cs="Calibri"/>
          <w:b/>
          <w:sz w:val="22"/>
          <w:szCs w:val="22"/>
        </w:rPr>
      </w:pPr>
    </w:p>
    <w:p w:rsidR="008D3E5E" w:rsidRPr="00F63F72" w:rsidRDefault="008D3E5E" w:rsidP="008D3E5E">
      <w:pPr>
        <w:spacing w:after="240"/>
        <w:jc w:val="both"/>
        <w:rPr>
          <w:rFonts w:ascii="Calibri" w:hAnsi="Calibri" w:cs="Calibri"/>
          <w:color w:val="000000"/>
          <w:sz w:val="22"/>
          <w:szCs w:val="22"/>
        </w:rPr>
      </w:pPr>
      <w:r w:rsidRPr="00F63F72">
        <w:rPr>
          <w:rFonts w:ascii="Calibri" w:hAnsi="Calibri" w:cs="Calibri"/>
          <w:color w:val="000000"/>
          <w:sz w:val="22"/>
          <w:szCs w:val="22"/>
        </w:rPr>
        <w:t xml:space="preserve">In 2012, public finances were strongly influenced by the economic crisis, followed by internal problems. Due to a decline in the economy caused by bad weather, there was a significant drop in revenue collection of the central budget. Preliminary data showed that at end-2012, the central budget hit the lowest nominal level of revenue collection since 2008. Although we saw a stable level of spending in 2012 despite a number of pressures, the budget deficit, according to preliminary data, reached the level of 4.87% of GDP. Such a development pointed to the need of urgent adjustments and the stabilization of the deficit. Therefore, it was necessary to act on the revenue side in order to ensure the stability of collection and reduce the need for borrowing and debt growth. </w:t>
      </w:r>
    </w:p>
    <w:p w:rsidR="008D3E5E" w:rsidRPr="00F63F72" w:rsidRDefault="008D3E5E" w:rsidP="008D3E5E">
      <w:pPr>
        <w:spacing w:after="240"/>
        <w:jc w:val="both"/>
        <w:rPr>
          <w:rFonts w:ascii="Calibri" w:hAnsi="Calibri" w:cs="Calibri"/>
          <w:color w:val="000000"/>
          <w:sz w:val="22"/>
          <w:szCs w:val="22"/>
        </w:rPr>
      </w:pPr>
      <w:r w:rsidRPr="00F63F72">
        <w:rPr>
          <w:rFonts w:ascii="Calibri" w:hAnsi="Calibri" w:cs="Calibri"/>
          <w:color w:val="000000"/>
          <w:sz w:val="22"/>
          <w:szCs w:val="22"/>
        </w:rPr>
        <w:t xml:space="preserve">After constituting a new government, joined actions were taken to tackle the problem of gray economy and interim measures were introduced to be in effect during 2013. Also, the procedure is under way to increase the VAT rate from 17 to 19%. According to the analysis made by the World Bank, this increase would not have a long term negative effect on the economy of Montenegro nor its investment climate, keeping in mind that the rate of 19% would remain the most competitive rate in Europe. </w:t>
      </w:r>
    </w:p>
    <w:p w:rsidR="008D3E5E" w:rsidRPr="00F63F72" w:rsidRDefault="008D3E5E" w:rsidP="008D3E5E">
      <w:pPr>
        <w:spacing w:after="240"/>
        <w:jc w:val="both"/>
        <w:rPr>
          <w:rFonts w:ascii="Calibri" w:hAnsi="Calibri" w:cs="Calibri"/>
          <w:color w:val="000000"/>
          <w:sz w:val="22"/>
          <w:szCs w:val="22"/>
        </w:rPr>
      </w:pPr>
      <w:r w:rsidRPr="00F63F72">
        <w:rPr>
          <w:rFonts w:ascii="Calibri" w:hAnsi="Calibri" w:cs="Calibri"/>
          <w:color w:val="000000"/>
          <w:sz w:val="22"/>
          <w:szCs w:val="22"/>
        </w:rPr>
        <w:t xml:space="preserve">The fundamental commitment of the public finance policy is aimed at creating conditions for sustainable economic growth in the medium term when it is planned to intensify and continue the reform process, primarily the public administration reform, which will result in increasing productivity and reducing costs. Structural reforms of the pension system, health care, education and the </w:t>
      </w:r>
      <w:r>
        <w:rPr>
          <w:rFonts w:ascii="Calibri" w:hAnsi="Calibri" w:cs="Calibri"/>
          <w:color w:val="000000"/>
          <w:sz w:val="22"/>
          <w:szCs w:val="22"/>
        </w:rPr>
        <w:t>labo</w:t>
      </w:r>
      <w:r w:rsidRPr="00F63F72">
        <w:rPr>
          <w:rFonts w:ascii="Calibri" w:hAnsi="Calibri" w:cs="Calibri"/>
          <w:color w:val="000000"/>
          <w:sz w:val="22"/>
          <w:szCs w:val="22"/>
        </w:rPr>
        <w:t>r market create the preconditions for maintaining a stable system of public finances and competitiveness of the economic system. Strengthening the competitiveness of the economic system is one of the priorities that Montenegro needs to fulfil</w:t>
      </w:r>
      <w:r>
        <w:rPr>
          <w:rFonts w:ascii="Calibri" w:hAnsi="Calibri" w:cs="Calibri"/>
          <w:color w:val="000000"/>
          <w:sz w:val="22"/>
          <w:szCs w:val="22"/>
        </w:rPr>
        <w:t>l</w:t>
      </w:r>
      <w:r w:rsidRPr="00F63F72">
        <w:rPr>
          <w:rFonts w:ascii="Calibri" w:hAnsi="Calibri" w:cs="Calibri"/>
          <w:color w:val="000000"/>
          <w:sz w:val="22"/>
          <w:szCs w:val="22"/>
        </w:rPr>
        <w:t xml:space="preserve"> during the EU accession process. The orientation of Montenegro as a small and open economy is the continued improvement of the business environment in order to attract FDI. Also, one of the measures is the reducing of gray economy that will, in addition to creating the conditions for healthy competition, contribute to a better budget revenue inflow. Results of the implementation of these measures are visible through the collection of revenues in Q1 2012 when the revenue inflow exceeded the plan by 3.3% and were well above Q1 2011, by 13.3%. A particularly positive deviation from the plan was registered with the collection of VAT, which saw an increase of 13.9% compared to the plan and 19.3% compared to Q1 2012.</w:t>
      </w:r>
    </w:p>
    <w:p w:rsidR="008D3E5E" w:rsidRPr="00F63F72" w:rsidRDefault="008D3E5E" w:rsidP="008D3E5E">
      <w:pPr>
        <w:spacing w:after="240" w:line="276" w:lineRule="auto"/>
        <w:jc w:val="both"/>
        <w:rPr>
          <w:rFonts w:ascii="Calibri" w:hAnsi="Calibri" w:cs="Calibri"/>
          <w:i/>
          <w:sz w:val="22"/>
          <w:szCs w:val="22"/>
        </w:rPr>
      </w:pPr>
      <w:r w:rsidRPr="00F63F72">
        <w:rPr>
          <w:rFonts w:ascii="Calibri" w:hAnsi="Calibri" w:cs="Calibri"/>
          <w:i/>
          <w:sz w:val="22"/>
          <w:szCs w:val="22"/>
        </w:rPr>
        <w:lastRenderedPageBreak/>
        <w:t xml:space="preserve">The fiscal policy for the upcoming medium term defines new objectives relating to the establishment of a sustainable system of public finance by defining the fiscal anchors and rules. The main fiscal anchors in the period 2013-2016 are as follows: </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 xml:space="preserve">Continued implementation of austerity measures, with the emphasis on the protection of social categories of the population and the provision of funds for capital projects that will ensure growth and development, whilst reducing the current budget spending to 29% of GDP in 2016; </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Savings made over a year in categories under the current expenditures will be transferred to capital projects, thus allowing the public sector to give impetus to economic activity;</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Intensifying the implementation of structural reforms that will reduce the pressure on spending in the long term;</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 xml:space="preserve">Realization of investments that will contribute to growth of the economy, with the emphasis on the strategic investments; </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Continued implementation of measures to combat the gray economy by creating the legal framework providing for the improvement of conditions for regular operations and the sanctioning of all irregularities in the market by regulating the use of higher punitive measures against the violators of law;</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Increase in the basic VAT rate from 17% to 19% to provide additional funds to cover the deficit, yet keeping the leading position in terms of competitiveness of the tax rates in Montenegro in relation to the neighboring countries and the EU;</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Providing funds for financing through a new bond issue and refinancing of the government debt and its reduction to the level of 50% of GDP in 2016;</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Suspending the issuing of guarantees, except for infrastructure projects;</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Reducing the budget deficit in the medium term to below 1% of GDP in 2016;</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Achieving the primary surplus in the medium term;</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Harmonization of the public finance with EU regulations;</w:t>
      </w:r>
    </w:p>
    <w:p w:rsidR="008D3E5E" w:rsidRPr="00F63F72" w:rsidRDefault="008D3E5E" w:rsidP="008D3E5E">
      <w:pPr>
        <w:numPr>
          <w:ilvl w:val="0"/>
          <w:numId w:val="35"/>
        </w:numPr>
        <w:spacing w:after="240" w:line="276" w:lineRule="auto"/>
        <w:jc w:val="both"/>
        <w:rPr>
          <w:rFonts w:ascii="Calibri" w:hAnsi="Calibri" w:cs="Calibri"/>
          <w:b/>
          <w:i/>
          <w:sz w:val="22"/>
          <w:szCs w:val="22"/>
        </w:rPr>
      </w:pPr>
      <w:r w:rsidRPr="00F63F72">
        <w:rPr>
          <w:rFonts w:ascii="Calibri" w:hAnsi="Calibri" w:cs="Calibri"/>
          <w:b/>
          <w:i/>
          <w:sz w:val="22"/>
          <w:szCs w:val="22"/>
        </w:rPr>
        <w:t>Introduc</w:t>
      </w:r>
      <w:r>
        <w:rPr>
          <w:rFonts w:ascii="Calibri" w:hAnsi="Calibri" w:cs="Calibri"/>
          <w:b/>
          <w:i/>
          <w:sz w:val="22"/>
          <w:szCs w:val="22"/>
        </w:rPr>
        <w:t>tion of fiscal rules and finaliz</w:t>
      </w:r>
      <w:r w:rsidRPr="00F63F72">
        <w:rPr>
          <w:rFonts w:ascii="Calibri" w:hAnsi="Calibri" w:cs="Calibri"/>
          <w:b/>
          <w:i/>
          <w:sz w:val="22"/>
          <w:szCs w:val="22"/>
        </w:rPr>
        <w:t>ation of the fiscal responsibility law;</w:t>
      </w:r>
    </w:p>
    <w:p w:rsidR="008D3E5E" w:rsidRPr="00F63F72" w:rsidRDefault="008D3E5E" w:rsidP="008D3E5E">
      <w:pPr>
        <w:spacing w:after="240" w:line="276" w:lineRule="auto"/>
        <w:rPr>
          <w:rFonts w:ascii="Calibri" w:hAnsi="Calibri" w:cs="Calibri"/>
          <w:i/>
          <w:sz w:val="22"/>
          <w:szCs w:val="22"/>
        </w:rPr>
      </w:pPr>
      <w:r w:rsidRPr="00F63F72">
        <w:rPr>
          <w:rFonts w:ascii="Calibri" w:hAnsi="Calibri" w:cs="Calibri"/>
          <w:i/>
          <w:sz w:val="22"/>
          <w:szCs w:val="22"/>
        </w:rPr>
        <w:t>The following table shows the main fiscal indicators as % of GDP in the medium term:</w:t>
      </w:r>
    </w:p>
    <w:p w:rsidR="008D3E5E" w:rsidRPr="00F63F72" w:rsidRDefault="008D3E5E" w:rsidP="008D3E5E">
      <w:pPr>
        <w:pStyle w:val="Caption"/>
        <w:keepNext/>
        <w:rPr>
          <w:rFonts w:ascii="Calibri" w:hAnsi="Calibri" w:cs="Calibri"/>
          <w:sz w:val="18"/>
          <w:lang w:val="en-US"/>
        </w:rPr>
      </w:pPr>
      <w:r w:rsidRPr="00F63F72">
        <w:rPr>
          <w:rFonts w:ascii="Calibri" w:hAnsi="Calibri" w:cs="Calibri"/>
          <w:sz w:val="18"/>
          <w:lang w:val="en-US"/>
        </w:rPr>
        <w:t xml:space="preserve">Table </w:t>
      </w:r>
      <w:r w:rsidR="00033B25" w:rsidRPr="00F63F72">
        <w:rPr>
          <w:rFonts w:ascii="Calibri" w:hAnsi="Calibri" w:cs="Calibri"/>
          <w:sz w:val="18"/>
          <w:lang w:val="en-US"/>
        </w:rPr>
        <w:fldChar w:fldCharType="begin"/>
      </w:r>
      <w:r w:rsidRPr="00F63F72">
        <w:rPr>
          <w:rFonts w:ascii="Calibri" w:hAnsi="Calibri" w:cs="Calibri"/>
          <w:sz w:val="18"/>
          <w:lang w:val="en-US"/>
        </w:rPr>
        <w:instrText xml:space="preserve"> SEQ Tabela \* ARABIC </w:instrText>
      </w:r>
      <w:r w:rsidR="00033B25" w:rsidRPr="00F63F72">
        <w:rPr>
          <w:rFonts w:ascii="Calibri" w:hAnsi="Calibri" w:cs="Calibri"/>
          <w:sz w:val="18"/>
          <w:lang w:val="en-US"/>
        </w:rPr>
        <w:fldChar w:fldCharType="separate"/>
      </w:r>
      <w:r w:rsidR="005669F0">
        <w:rPr>
          <w:rFonts w:ascii="Calibri" w:hAnsi="Calibri" w:cs="Calibri"/>
          <w:noProof/>
          <w:sz w:val="18"/>
          <w:lang w:val="en-US"/>
        </w:rPr>
        <w:t>5</w:t>
      </w:r>
      <w:r w:rsidR="00033B25" w:rsidRPr="00F63F72">
        <w:rPr>
          <w:rFonts w:ascii="Calibri" w:hAnsi="Calibri" w:cs="Calibri"/>
          <w:sz w:val="18"/>
          <w:lang w:val="en-US"/>
        </w:rPr>
        <w:fldChar w:fldCharType="end"/>
      </w:r>
    </w:p>
    <w:tbl>
      <w:tblPr>
        <w:tblW w:w="5000" w:type="pct"/>
        <w:tblBorders>
          <w:top w:val="single" w:sz="8" w:space="0" w:color="4F81BD"/>
          <w:bottom w:val="single" w:sz="8" w:space="0" w:color="4F81BD"/>
        </w:tblBorders>
        <w:tblLook w:val="00A0"/>
      </w:tblPr>
      <w:tblGrid>
        <w:gridCol w:w="1973"/>
        <w:gridCol w:w="3089"/>
        <w:gridCol w:w="1046"/>
        <w:gridCol w:w="691"/>
        <w:gridCol w:w="718"/>
        <w:gridCol w:w="684"/>
        <w:gridCol w:w="684"/>
        <w:gridCol w:w="686"/>
      </w:tblGrid>
      <w:tr w:rsidR="008D3E5E" w:rsidRPr="00F63F72" w:rsidTr="004C45D3">
        <w:trPr>
          <w:trHeight w:val="235"/>
        </w:trPr>
        <w:tc>
          <w:tcPr>
            <w:tcW w:w="2647" w:type="pct"/>
            <w:gridSpan w:val="2"/>
            <w:vMerge w:val="restart"/>
            <w:tcBorders>
              <w:top w:val="single" w:sz="8" w:space="0" w:color="4F81BD"/>
              <w:left w:val="nil"/>
              <w:bottom w:val="single" w:sz="8" w:space="0" w:color="4F81BD"/>
              <w:right w:val="nil"/>
            </w:tcBorders>
            <w:vAlign w:val="center"/>
          </w:tcPr>
          <w:p w:rsidR="008D3E5E" w:rsidRPr="00F63F72" w:rsidRDefault="008D3E5E" w:rsidP="004C45D3">
            <w:pPr>
              <w:jc w:val="center"/>
              <w:rPr>
                <w:rFonts w:ascii="Calibri" w:hAnsi="Calibri" w:cs="Calibri"/>
                <w:b/>
                <w:bCs/>
                <w:sz w:val="18"/>
                <w:szCs w:val="20"/>
              </w:rPr>
            </w:pPr>
            <w:r w:rsidRPr="00F63F72">
              <w:rPr>
                <w:rFonts w:ascii="Calibri" w:hAnsi="Calibri" w:cs="Calibri"/>
                <w:b/>
                <w:bCs/>
                <w:sz w:val="18"/>
                <w:szCs w:val="20"/>
              </w:rPr>
              <w:t>Fiscal framework  (% of GDP)</w:t>
            </w:r>
          </w:p>
        </w:tc>
        <w:tc>
          <w:tcPr>
            <w:tcW w:w="540" w:type="pct"/>
            <w:tcBorders>
              <w:top w:val="single" w:sz="8" w:space="0" w:color="4F81BD"/>
              <w:left w:val="nil"/>
              <w:bottom w:val="single" w:sz="8" w:space="0" w:color="4F81BD"/>
              <w:right w:val="nil"/>
            </w:tcBorders>
            <w:noWrap/>
            <w:vAlign w:val="center"/>
          </w:tcPr>
          <w:p w:rsidR="008D3E5E" w:rsidRPr="00F63F72" w:rsidRDefault="008D3E5E" w:rsidP="004C45D3">
            <w:pPr>
              <w:rPr>
                <w:rFonts w:ascii="Calibri" w:hAnsi="Calibri" w:cs="Calibri"/>
                <w:b/>
                <w:bCs/>
                <w:sz w:val="18"/>
                <w:szCs w:val="20"/>
              </w:rPr>
            </w:pPr>
            <w:r w:rsidRPr="00F63F72">
              <w:rPr>
                <w:rFonts w:ascii="Calibri" w:hAnsi="Calibri" w:cs="Calibri"/>
                <w:b/>
                <w:bCs/>
                <w:sz w:val="18"/>
                <w:szCs w:val="20"/>
              </w:rPr>
              <w:t>Realization</w:t>
            </w:r>
          </w:p>
        </w:tc>
        <w:tc>
          <w:tcPr>
            <w:tcW w:w="362" w:type="pct"/>
            <w:tcBorders>
              <w:top w:val="single" w:sz="8" w:space="0" w:color="4F81BD"/>
              <w:left w:val="nil"/>
              <w:bottom w:val="single" w:sz="8" w:space="0" w:color="4F81BD"/>
              <w:right w:val="nil"/>
            </w:tcBorders>
            <w:noWrap/>
            <w:vAlign w:val="center"/>
          </w:tcPr>
          <w:p w:rsidR="008D3E5E" w:rsidRPr="00F63F72" w:rsidRDefault="008D3E5E" w:rsidP="004C45D3">
            <w:pPr>
              <w:jc w:val="center"/>
              <w:rPr>
                <w:rFonts w:ascii="Calibri" w:hAnsi="Calibri" w:cs="Calibri"/>
                <w:b/>
                <w:bCs/>
                <w:sz w:val="18"/>
                <w:szCs w:val="20"/>
              </w:rPr>
            </w:pPr>
            <w:r w:rsidRPr="00F63F72">
              <w:rPr>
                <w:rFonts w:ascii="Calibri" w:hAnsi="Calibri" w:cs="Calibri"/>
                <w:b/>
                <w:bCs/>
                <w:sz w:val="18"/>
                <w:szCs w:val="20"/>
              </w:rPr>
              <w:t>Plan</w:t>
            </w:r>
          </w:p>
        </w:tc>
        <w:tc>
          <w:tcPr>
            <w:tcW w:w="1451" w:type="pct"/>
            <w:gridSpan w:val="4"/>
            <w:tcBorders>
              <w:top w:val="single" w:sz="8" w:space="0" w:color="4F81BD"/>
              <w:left w:val="nil"/>
              <w:bottom w:val="single" w:sz="8" w:space="0" w:color="4F81BD"/>
              <w:right w:val="nil"/>
            </w:tcBorders>
            <w:noWrap/>
            <w:vAlign w:val="center"/>
          </w:tcPr>
          <w:p w:rsidR="008D3E5E" w:rsidRPr="00F63F72" w:rsidRDefault="008D3E5E" w:rsidP="004C45D3">
            <w:pPr>
              <w:jc w:val="center"/>
              <w:rPr>
                <w:rFonts w:ascii="Calibri" w:hAnsi="Calibri" w:cs="Calibri"/>
                <w:b/>
                <w:bCs/>
                <w:sz w:val="18"/>
                <w:szCs w:val="20"/>
              </w:rPr>
            </w:pPr>
            <w:r w:rsidRPr="00F63F72">
              <w:rPr>
                <w:rFonts w:ascii="Calibri" w:hAnsi="Calibri" w:cs="Calibri"/>
                <w:b/>
                <w:bCs/>
                <w:sz w:val="18"/>
                <w:szCs w:val="20"/>
              </w:rPr>
              <w:t>Projections</w:t>
            </w:r>
          </w:p>
        </w:tc>
      </w:tr>
      <w:tr w:rsidR="008D3E5E" w:rsidRPr="00F63F72" w:rsidTr="004C45D3">
        <w:trPr>
          <w:trHeight w:val="235"/>
        </w:trPr>
        <w:tc>
          <w:tcPr>
            <w:tcW w:w="2647" w:type="pct"/>
            <w:gridSpan w:val="2"/>
            <w:vMerge/>
            <w:tcBorders>
              <w:left w:val="nil"/>
              <w:right w:val="nil"/>
            </w:tcBorders>
            <w:shd w:val="clear" w:color="auto" w:fill="D3DFEE"/>
            <w:vAlign w:val="center"/>
          </w:tcPr>
          <w:p w:rsidR="008D3E5E" w:rsidRPr="00F63F72" w:rsidRDefault="008D3E5E" w:rsidP="004C45D3">
            <w:pPr>
              <w:rPr>
                <w:rFonts w:ascii="Calibri" w:hAnsi="Calibri" w:cs="Calibri"/>
                <w:b/>
                <w:bCs/>
                <w:sz w:val="18"/>
                <w:szCs w:val="20"/>
              </w:rPr>
            </w:pPr>
          </w:p>
        </w:tc>
        <w:tc>
          <w:tcPr>
            <w:tcW w:w="540" w:type="pct"/>
            <w:tcBorders>
              <w:left w:val="nil"/>
              <w:right w:val="nil"/>
            </w:tcBorders>
            <w:shd w:val="clear" w:color="auto" w:fill="D3DFEE"/>
            <w:noWrap/>
            <w:vAlign w:val="center"/>
          </w:tcPr>
          <w:p w:rsidR="008D3E5E" w:rsidRPr="00F63F72" w:rsidRDefault="008D3E5E" w:rsidP="004C45D3">
            <w:pPr>
              <w:jc w:val="right"/>
              <w:rPr>
                <w:rFonts w:ascii="Calibri" w:hAnsi="Calibri" w:cs="Calibri"/>
                <w:sz w:val="18"/>
                <w:szCs w:val="20"/>
              </w:rPr>
            </w:pPr>
            <w:r w:rsidRPr="00F63F72">
              <w:rPr>
                <w:rFonts w:ascii="Calibri" w:hAnsi="Calibri" w:cs="Calibri"/>
                <w:sz w:val="18"/>
                <w:szCs w:val="20"/>
              </w:rPr>
              <w:t>2012</w:t>
            </w:r>
          </w:p>
        </w:tc>
        <w:tc>
          <w:tcPr>
            <w:tcW w:w="362" w:type="pct"/>
            <w:tcBorders>
              <w:left w:val="nil"/>
              <w:right w:val="nil"/>
            </w:tcBorders>
            <w:shd w:val="clear" w:color="auto" w:fill="D3DFEE"/>
            <w:noWrap/>
            <w:vAlign w:val="center"/>
          </w:tcPr>
          <w:p w:rsidR="008D3E5E" w:rsidRPr="00F63F72" w:rsidRDefault="008D3E5E" w:rsidP="004C45D3">
            <w:pPr>
              <w:jc w:val="right"/>
              <w:rPr>
                <w:rFonts w:ascii="Calibri" w:hAnsi="Calibri" w:cs="Calibri"/>
                <w:sz w:val="18"/>
                <w:szCs w:val="20"/>
              </w:rPr>
            </w:pPr>
            <w:r w:rsidRPr="00F63F72">
              <w:rPr>
                <w:rFonts w:ascii="Calibri" w:hAnsi="Calibri" w:cs="Calibri"/>
                <w:sz w:val="18"/>
                <w:szCs w:val="20"/>
              </w:rPr>
              <w:t>2013</w:t>
            </w:r>
          </w:p>
        </w:tc>
        <w:tc>
          <w:tcPr>
            <w:tcW w:w="376" w:type="pct"/>
            <w:tcBorders>
              <w:left w:val="nil"/>
              <w:right w:val="nil"/>
            </w:tcBorders>
            <w:shd w:val="clear" w:color="auto" w:fill="D3DFEE"/>
            <w:noWrap/>
            <w:vAlign w:val="center"/>
          </w:tcPr>
          <w:p w:rsidR="008D3E5E" w:rsidRPr="00F63F72" w:rsidRDefault="008D3E5E" w:rsidP="004C45D3">
            <w:pPr>
              <w:jc w:val="right"/>
              <w:rPr>
                <w:rFonts w:ascii="Calibri" w:hAnsi="Calibri" w:cs="Calibri"/>
                <w:sz w:val="18"/>
                <w:szCs w:val="20"/>
              </w:rPr>
            </w:pPr>
            <w:r w:rsidRPr="00F63F72">
              <w:rPr>
                <w:rFonts w:ascii="Calibri" w:hAnsi="Calibri" w:cs="Calibri"/>
                <w:sz w:val="18"/>
                <w:szCs w:val="20"/>
              </w:rPr>
              <w:t>2013P</w:t>
            </w:r>
          </w:p>
        </w:tc>
        <w:tc>
          <w:tcPr>
            <w:tcW w:w="358" w:type="pct"/>
            <w:tcBorders>
              <w:left w:val="nil"/>
              <w:right w:val="nil"/>
            </w:tcBorders>
            <w:shd w:val="clear" w:color="auto" w:fill="D3DFEE"/>
            <w:noWrap/>
            <w:vAlign w:val="center"/>
          </w:tcPr>
          <w:p w:rsidR="008D3E5E" w:rsidRPr="00F63F72" w:rsidRDefault="008D3E5E" w:rsidP="004C45D3">
            <w:pPr>
              <w:jc w:val="right"/>
              <w:rPr>
                <w:rFonts w:ascii="Calibri" w:hAnsi="Calibri" w:cs="Calibri"/>
                <w:sz w:val="18"/>
                <w:szCs w:val="20"/>
              </w:rPr>
            </w:pPr>
            <w:r w:rsidRPr="00F63F72">
              <w:rPr>
                <w:rFonts w:ascii="Calibri" w:hAnsi="Calibri" w:cs="Calibri"/>
                <w:sz w:val="18"/>
                <w:szCs w:val="20"/>
              </w:rPr>
              <w:t>2014</w:t>
            </w:r>
          </w:p>
        </w:tc>
        <w:tc>
          <w:tcPr>
            <w:tcW w:w="358" w:type="pct"/>
            <w:tcBorders>
              <w:left w:val="nil"/>
              <w:right w:val="nil"/>
            </w:tcBorders>
            <w:shd w:val="clear" w:color="auto" w:fill="D3DFEE"/>
            <w:noWrap/>
            <w:vAlign w:val="center"/>
          </w:tcPr>
          <w:p w:rsidR="008D3E5E" w:rsidRPr="00F63F72" w:rsidRDefault="008D3E5E" w:rsidP="004C45D3">
            <w:pPr>
              <w:jc w:val="right"/>
              <w:rPr>
                <w:rFonts w:ascii="Calibri" w:hAnsi="Calibri" w:cs="Calibri"/>
                <w:sz w:val="18"/>
                <w:szCs w:val="20"/>
              </w:rPr>
            </w:pPr>
            <w:r w:rsidRPr="00F63F72">
              <w:rPr>
                <w:rFonts w:ascii="Calibri" w:hAnsi="Calibri" w:cs="Calibri"/>
                <w:sz w:val="18"/>
                <w:szCs w:val="20"/>
              </w:rPr>
              <w:t>2015</w:t>
            </w:r>
          </w:p>
        </w:tc>
        <w:tc>
          <w:tcPr>
            <w:tcW w:w="359" w:type="pct"/>
            <w:tcBorders>
              <w:left w:val="nil"/>
              <w:right w:val="nil"/>
            </w:tcBorders>
            <w:shd w:val="clear" w:color="auto" w:fill="D3DFEE"/>
            <w:noWrap/>
            <w:vAlign w:val="center"/>
          </w:tcPr>
          <w:p w:rsidR="008D3E5E" w:rsidRPr="00F63F72" w:rsidRDefault="008D3E5E" w:rsidP="004C45D3">
            <w:pPr>
              <w:jc w:val="right"/>
              <w:rPr>
                <w:rFonts w:ascii="Calibri" w:hAnsi="Calibri" w:cs="Calibri"/>
                <w:sz w:val="18"/>
                <w:szCs w:val="20"/>
              </w:rPr>
            </w:pPr>
            <w:r w:rsidRPr="00F63F72">
              <w:rPr>
                <w:rFonts w:ascii="Calibri" w:hAnsi="Calibri" w:cs="Calibri"/>
                <w:sz w:val="18"/>
                <w:szCs w:val="20"/>
              </w:rPr>
              <w:t>2016</w:t>
            </w:r>
          </w:p>
        </w:tc>
      </w:tr>
      <w:tr w:rsidR="008D3E5E" w:rsidRPr="00F63F72" w:rsidTr="004C45D3">
        <w:trPr>
          <w:trHeight w:val="223"/>
        </w:trPr>
        <w:tc>
          <w:tcPr>
            <w:tcW w:w="1032" w:type="pct"/>
            <w:vMerge w:val="restart"/>
            <w:vAlign w:val="center"/>
          </w:tcPr>
          <w:p w:rsidR="008D3E5E" w:rsidRPr="00F63F72" w:rsidRDefault="008D3E5E" w:rsidP="004C45D3">
            <w:pPr>
              <w:jc w:val="center"/>
              <w:rPr>
                <w:rFonts w:ascii="Calibri" w:hAnsi="Calibri" w:cs="Calibri"/>
                <w:b/>
                <w:bCs/>
                <w:sz w:val="18"/>
                <w:szCs w:val="20"/>
              </w:rPr>
            </w:pPr>
            <w:r w:rsidRPr="00F63F72">
              <w:rPr>
                <w:rFonts w:ascii="Calibri" w:hAnsi="Calibri" w:cs="Calibri"/>
                <w:b/>
                <w:bCs/>
                <w:sz w:val="18"/>
                <w:szCs w:val="20"/>
              </w:rPr>
              <w:t>Fiscal indicators</w:t>
            </w:r>
          </w:p>
        </w:tc>
        <w:tc>
          <w:tcPr>
            <w:tcW w:w="1615" w:type="pct"/>
            <w:noWrap/>
            <w:vAlign w:val="center"/>
          </w:tcPr>
          <w:p w:rsidR="008D3E5E" w:rsidRPr="00F63F72" w:rsidRDefault="008D3E5E" w:rsidP="004C45D3">
            <w:pPr>
              <w:rPr>
                <w:rFonts w:ascii="Calibri" w:hAnsi="Calibri" w:cs="Calibri"/>
                <w:sz w:val="18"/>
                <w:szCs w:val="20"/>
              </w:rPr>
            </w:pPr>
            <w:r w:rsidRPr="00F63F72">
              <w:rPr>
                <w:rFonts w:ascii="Calibri" w:hAnsi="Calibri" w:cs="Calibri"/>
                <w:sz w:val="18"/>
                <w:szCs w:val="20"/>
              </w:rPr>
              <w:t>Current revenues</w:t>
            </w:r>
          </w:p>
        </w:tc>
        <w:tc>
          <w:tcPr>
            <w:tcW w:w="540"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38.9</w:t>
            </w:r>
          </w:p>
        </w:tc>
        <w:tc>
          <w:tcPr>
            <w:tcW w:w="362"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36.8</w:t>
            </w:r>
          </w:p>
        </w:tc>
        <w:tc>
          <w:tcPr>
            <w:tcW w:w="376"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37.5</w:t>
            </w:r>
          </w:p>
        </w:tc>
        <w:tc>
          <w:tcPr>
            <w:tcW w:w="358"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35.9</w:t>
            </w:r>
          </w:p>
        </w:tc>
        <w:tc>
          <w:tcPr>
            <w:tcW w:w="358"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34.6</w:t>
            </w:r>
          </w:p>
        </w:tc>
        <w:tc>
          <w:tcPr>
            <w:tcW w:w="359"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33.5</w:t>
            </w:r>
          </w:p>
        </w:tc>
      </w:tr>
      <w:tr w:rsidR="008D3E5E" w:rsidRPr="00F63F72" w:rsidTr="004C45D3">
        <w:trPr>
          <w:trHeight w:val="213"/>
        </w:trPr>
        <w:tc>
          <w:tcPr>
            <w:tcW w:w="1032" w:type="pct"/>
            <w:vMerge/>
            <w:tcBorders>
              <w:left w:val="nil"/>
              <w:right w:val="nil"/>
            </w:tcBorders>
            <w:shd w:val="clear" w:color="auto" w:fill="D3DFEE"/>
            <w:vAlign w:val="center"/>
          </w:tcPr>
          <w:p w:rsidR="008D3E5E" w:rsidRPr="00F63F72" w:rsidRDefault="008D3E5E" w:rsidP="004C45D3">
            <w:pPr>
              <w:rPr>
                <w:rFonts w:ascii="Calibri" w:hAnsi="Calibri" w:cs="Calibri"/>
                <w:b/>
                <w:bCs/>
                <w:sz w:val="18"/>
                <w:szCs w:val="20"/>
              </w:rPr>
            </w:pPr>
          </w:p>
        </w:tc>
        <w:tc>
          <w:tcPr>
            <w:tcW w:w="1615" w:type="pct"/>
            <w:tcBorders>
              <w:left w:val="nil"/>
              <w:right w:val="nil"/>
            </w:tcBorders>
            <w:shd w:val="clear" w:color="auto" w:fill="D3DFEE"/>
            <w:noWrap/>
            <w:vAlign w:val="center"/>
          </w:tcPr>
          <w:p w:rsidR="008D3E5E" w:rsidRPr="00F63F72" w:rsidRDefault="008D3E5E" w:rsidP="004C45D3">
            <w:pPr>
              <w:rPr>
                <w:rFonts w:ascii="Calibri" w:hAnsi="Calibri" w:cs="Calibri"/>
                <w:sz w:val="18"/>
                <w:szCs w:val="20"/>
              </w:rPr>
            </w:pPr>
            <w:r w:rsidRPr="00F63F72">
              <w:rPr>
                <w:rFonts w:ascii="Calibri" w:hAnsi="Calibri" w:cs="Calibri"/>
                <w:sz w:val="18"/>
                <w:szCs w:val="20"/>
              </w:rPr>
              <w:t>Public consumption</w:t>
            </w:r>
          </w:p>
        </w:tc>
        <w:tc>
          <w:tcPr>
            <w:tcW w:w="540"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42.9</w:t>
            </w:r>
          </w:p>
        </w:tc>
        <w:tc>
          <w:tcPr>
            <w:tcW w:w="362"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39.1</w:t>
            </w:r>
          </w:p>
        </w:tc>
        <w:tc>
          <w:tcPr>
            <w:tcW w:w="376"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39.4</w:t>
            </w:r>
          </w:p>
        </w:tc>
        <w:tc>
          <w:tcPr>
            <w:tcW w:w="358"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37.0</w:t>
            </w:r>
          </w:p>
        </w:tc>
        <w:tc>
          <w:tcPr>
            <w:tcW w:w="358"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35.5</w:t>
            </w:r>
          </w:p>
        </w:tc>
        <w:tc>
          <w:tcPr>
            <w:tcW w:w="359"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34.1</w:t>
            </w:r>
          </w:p>
        </w:tc>
      </w:tr>
      <w:tr w:rsidR="008D3E5E" w:rsidRPr="00F63F72" w:rsidTr="004C45D3">
        <w:trPr>
          <w:trHeight w:val="213"/>
        </w:trPr>
        <w:tc>
          <w:tcPr>
            <w:tcW w:w="1032" w:type="pct"/>
            <w:vMerge/>
            <w:vAlign w:val="center"/>
          </w:tcPr>
          <w:p w:rsidR="008D3E5E" w:rsidRPr="00F63F72" w:rsidRDefault="008D3E5E" w:rsidP="004C45D3">
            <w:pPr>
              <w:rPr>
                <w:rFonts w:ascii="Calibri" w:hAnsi="Calibri" w:cs="Calibri"/>
                <w:b/>
                <w:bCs/>
                <w:sz w:val="18"/>
                <w:szCs w:val="20"/>
              </w:rPr>
            </w:pPr>
          </w:p>
        </w:tc>
        <w:tc>
          <w:tcPr>
            <w:tcW w:w="1615" w:type="pct"/>
            <w:noWrap/>
            <w:vAlign w:val="center"/>
          </w:tcPr>
          <w:p w:rsidR="008D3E5E" w:rsidRPr="00F63F72" w:rsidRDefault="008D3E5E" w:rsidP="004C45D3">
            <w:pPr>
              <w:rPr>
                <w:rFonts w:ascii="Calibri" w:hAnsi="Calibri" w:cs="Calibri"/>
                <w:sz w:val="18"/>
                <w:szCs w:val="20"/>
              </w:rPr>
            </w:pPr>
            <w:r w:rsidRPr="00F63F72">
              <w:rPr>
                <w:rFonts w:ascii="Calibri" w:hAnsi="Calibri" w:cs="Calibri"/>
                <w:sz w:val="18"/>
                <w:szCs w:val="20"/>
              </w:rPr>
              <w:t>Deficit/Surplus</w:t>
            </w:r>
          </w:p>
        </w:tc>
        <w:tc>
          <w:tcPr>
            <w:tcW w:w="540"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-4.0</w:t>
            </w:r>
          </w:p>
        </w:tc>
        <w:tc>
          <w:tcPr>
            <w:tcW w:w="362"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-2.3</w:t>
            </w:r>
          </w:p>
        </w:tc>
        <w:tc>
          <w:tcPr>
            <w:tcW w:w="376"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-1.9</w:t>
            </w:r>
          </w:p>
        </w:tc>
        <w:tc>
          <w:tcPr>
            <w:tcW w:w="358"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-1.0</w:t>
            </w:r>
          </w:p>
        </w:tc>
        <w:tc>
          <w:tcPr>
            <w:tcW w:w="358"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-0.8</w:t>
            </w:r>
          </w:p>
        </w:tc>
        <w:tc>
          <w:tcPr>
            <w:tcW w:w="359"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-0.6</w:t>
            </w:r>
          </w:p>
        </w:tc>
      </w:tr>
      <w:tr w:rsidR="008D3E5E" w:rsidRPr="00F63F72" w:rsidTr="004C45D3">
        <w:trPr>
          <w:trHeight w:val="213"/>
        </w:trPr>
        <w:tc>
          <w:tcPr>
            <w:tcW w:w="1032" w:type="pct"/>
            <w:vMerge/>
            <w:tcBorders>
              <w:left w:val="nil"/>
              <w:right w:val="nil"/>
            </w:tcBorders>
            <w:shd w:val="clear" w:color="auto" w:fill="D3DFEE"/>
            <w:vAlign w:val="center"/>
          </w:tcPr>
          <w:p w:rsidR="008D3E5E" w:rsidRPr="00F63F72" w:rsidRDefault="008D3E5E" w:rsidP="004C45D3">
            <w:pPr>
              <w:rPr>
                <w:rFonts w:ascii="Calibri" w:hAnsi="Calibri" w:cs="Calibri"/>
                <w:b/>
                <w:bCs/>
                <w:sz w:val="18"/>
                <w:szCs w:val="20"/>
              </w:rPr>
            </w:pPr>
          </w:p>
        </w:tc>
        <w:tc>
          <w:tcPr>
            <w:tcW w:w="1615" w:type="pct"/>
            <w:tcBorders>
              <w:left w:val="nil"/>
              <w:right w:val="nil"/>
            </w:tcBorders>
            <w:shd w:val="clear" w:color="auto" w:fill="D3DFEE"/>
            <w:noWrap/>
            <w:vAlign w:val="center"/>
          </w:tcPr>
          <w:p w:rsidR="008D3E5E" w:rsidRPr="00F63F72" w:rsidRDefault="008D3E5E" w:rsidP="004C45D3">
            <w:pPr>
              <w:rPr>
                <w:rFonts w:ascii="Calibri" w:hAnsi="Calibri" w:cs="Calibri"/>
                <w:sz w:val="18"/>
                <w:szCs w:val="20"/>
              </w:rPr>
            </w:pPr>
            <w:r w:rsidRPr="00F63F72">
              <w:rPr>
                <w:rFonts w:ascii="Calibri" w:hAnsi="Calibri" w:cs="Calibri"/>
                <w:sz w:val="18"/>
                <w:szCs w:val="20"/>
              </w:rPr>
              <w:t>Interest</w:t>
            </w:r>
          </w:p>
        </w:tc>
        <w:tc>
          <w:tcPr>
            <w:tcW w:w="540"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1.8</w:t>
            </w:r>
          </w:p>
        </w:tc>
        <w:tc>
          <w:tcPr>
            <w:tcW w:w="362"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2.1</w:t>
            </w:r>
          </w:p>
        </w:tc>
        <w:tc>
          <w:tcPr>
            <w:tcW w:w="376"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2.1</w:t>
            </w:r>
          </w:p>
        </w:tc>
        <w:tc>
          <w:tcPr>
            <w:tcW w:w="358"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2.4</w:t>
            </w:r>
          </w:p>
        </w:tc>
        <w:tc>
          <w:tcPr>
            <w:tcW w:w="358"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2.7</w:t>
            </w:r>
          </w:p>
        </w:tc>
        <w:tc>
          <w:tcPr>
            <w:tcW w:w="359" w:type="pct"/>
            <w:tcBorders>
              <w:left w:val="nil"/>
              <w:right w:val="nil"/>
            </w:tcBorders>
            <w:shd w:val="clear" w:color="auto" w:fill="D3DFEE"/>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3.0</w:t>
            </w:r>
          </w:p>
        </w:tc>
      </w:tr>
      <w:tr w:rsidR="008D3E5E" w:rsidRPr="00F63F72" w:rsidTr="004C45D3">
        <w:trPr>
          <w:trHeight w:val="213"/>
        </w:trPr>
        <w:tc>
          <w:tcPr>
            <w:tcW w:w="1032" w:type="pct"/>
            <w:vMerge/>
            <w:vAlign w:val="center"/>
          </w:tcPr>
          <w:p w:rsidR="008D3E5E" w:rsidRPr="00F63F72" w:rsidRDefault="008D3E5E" w:rsidP="004C45D3">
            <w:pPr>
              <w:rPr>
                <w:rFonts w:ascii="Calibri" w:hAnsi="Calibri" w:cs="Calibri"/>
                <w:b/>
                <w:bCs/>
                <w:sz w:val="18"/>
                <w:szCs w:val="20"/>
              </w:rPr>
            </w:pPr>
          </w:p>
        </w:tc>
        <w:tc>
          <w:tcPr>
            <w:tcW w:w="1615" w:type="pct"/>
            <w:noWrap/>
            <w:vAlign w:val="center"/>
          </w:tcPr>
          <w:p w:rsidR="008D3E5E" w:rsidRPr="00F63F72" w:rsidRDefault="008D3E5E" w:rsidP="004C45D3">
            <w:pPr>
              <w:rPr>
                <w:rFonts w:ascii="Calibri" w:hAnsi="Calibri" w:cs="Calibri"/>
                <w:sz w:val="18"/>
                <w:szCs w:val="20"/>
              </w:rPr>
            </w:pPr>
            <w:r w:rsidRPr="00F63F72">
              <w:rPr>
                <w:rFonts w:ascii="Calibri" w:hAnsi="Calibri" w:cs="Calibri"/>
                <w:sz w:val="18"/>
                <w:szCs w:val="20"/>
              </w:rPr>
              <w:t>Primary deficit/surplus</w:t>
            </w:r>
          </w:p>
        </w:tc>
        <w:tc>
          <w:tcPr>
            <w:tcW w:w="540"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-2.2</w:t>
            </w:r>
          </w:p>
        </w:tc>
        <w:tc>
          <w:tcPr>
            <w:tcW w:w="362"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-0.2</w:t>
            </w:r>
          </w:p>
        </w:tc>
        <w:tc>
          <w:tcPr>
            <w:tcW w:w="376"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0.2</w:t>
            </w:r>
          </w:p>
        </w:tc>
        <w:tc>
          <w:tcPr>
            <w:tcW w:w="358"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1.4</w:t>
            </w:r>
          </w:p>
        </w:tc>
        <w:tc>
          <w:tcPr>
            <w:tcW w:w="358"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1.9</w:t>
            </w:r>
          </w:p>
        </w:tc>
        <w:tc>
          <w:tcPr>
            <w:tcW w:w="359" w:type="pct"/>
            <w:vAlign w:val="center"/>
          </w:tcPr>
          <w:p w:rsidR="008D3E5E" w:rsidRPr="00F63F72" w:rsidRDefault="008D3E5E" w:rsidP="004C45D3">
            <w:pPr>
              <w:jc w:val="right"/>
              <w:rPr>
                <w:rFonts w:ascii="Calibri" w:hAnsi="Calibri" w:cs="Calibri"/>
                <w:i/>
                <w:iCs/>
                <w:color w:val="365F91"/>
                <w:sz w:val="18"/>
              </w:rPr>
            </w:pPr>
            <w:r w:rsidRPr="00F63F72">
              <w:rPr>
                <w:rFonts w:ascii="Calibri" w:hAnsi="Calibri" w:cs="Calibri"/>
                <w:i/>
                <w:iCs/>
                <w:color w:val="365F91"/>
                <w:sz w:val="18"/>
                <w:szCs w:val="22"/>
              </w:rPr>
              <w:t>2.4</w:t>
            </w:r>
          </w:p>
        </w:tc>
      </w:tr>
      <w:tr w:rsidR="008D3E5E" w:rsidRPr="00F63F72" w:rsidTr="004C45D3">
        <w:trPr>
          <w:trHeight w:val="223"/>
        </w:trPr>
        <w:tc>
          <w:tcPr>
            <w:tcW w:w="1032" w:type="pct"/>
            <w:vMerge/>
            <w:tcBorders>
              <w:left w:val="nil"/>
              <w:bottom w:val="single" w:sz="8" w:space="0" w:color="4F81BD"/>
              <w:right w:val="nil"/>
            </w:tcBorders>
            <w:shd w:val="clear" w:color="auto" w:fill="D3DFEE"/>
            <w:vAlign w:val="center"/>
          </w:tcPr>
          <w:p w:rsidR="008D3E5E" w:rsidRPr="00F63F72" w:rsidRDefault="008D3E5E" w:rsidP="004C45D3">
            <w:pPr>
              <w:rPr>
                <w:rFonts w:ascii="Calibri" w:hAnsi="Calibri" w:cs="Calibri"/>
                <w:b/>
                <w:bCs/>
                <w:sz w:val="18"/>
                <w:szCs w:val="20"/>
              </w:rPr>
            </w:pPr>
          </w:p>
        </w:tc>
        <w:tc>
          <w:tcPr>
            <w:tcW w:w="1615" w:type="pct"/>
            <w:tcBorders>
              <w:left w:val="nil"/>
              <w:bottom w:val="single" w:sz="8" w:space="0" w:color="4F81BD"/>
              <w:right w:val="nil"/>
            </w:tcBorders>
            <w:shd w:val="clear" w:color="auto" w:fill="D3DFEE"/>
            <w:noWrap/>
            <w:vAlign w:val="center"/>
          </w:tcPr>
          <w:p w:rsidR="008D3E5E" w:rsidRPr="00F63F72" w:rsidRDefault="008D3E5E" w:rsidP="004C45D3">
            <w:pPr>
              <w:rPr>
                <w:rFonts w:ascii="Calibri" w:hAnsi="Calibri" w:cs="Calibri"/>
                <w:sz w:val="18"/>
                <w:szCs w:val="20"/>
              </w:rPr>
            </w:pPr>
            <w:r w:rsidRPr="00F63F72">
              <w:rPr>
                <w:rFonts w:ascii="Calibri" w:hAnsi="Calibri" w:cs="Calibri"/>
                <w:sz w:val="18"/>
                <w:szCs w:val="20"/>
              </w:rPr>
              <w:t>Public debt</w:t>
            </w:r>
          </w:p>
        </w:tc>
        <w:tc>
          <w:tcPr>
            <w:tcW w:w="540" w:type="pct"/>
            <w:tcBorders>
              <w:left w:val="nil"/>
              <w:bottom w:val="single" w:sz="8" w:space="0" w:color="4F81BD"/>
              <w:right w:val="nil"/>
            </w:tcBorders>
            <w:shd w:val="clear" w:color="auto" w:fill="D3DFEE"/>
            <w:noWrap/>
            <w:vAlign w:val="center"/>
          </w:tcPr>
          <w:p w:rsidR="008D3E5E" w:rsidRPr="00F63F72" w:rsidRDefault="008D3E5E" w:rsidP="004C45D3">
            <w:pPr>
              <w:jc w:val="right"/>
              <w:rPr>
                <w:rFonts w:ascii="Calibri" w:hAnsi="Calibri" w:cs="Calibri"/>
                <w:i/>
                <w:iCs/>
                <w:sz w:val="18"/>
                <w:szCs w:val="20"/>
              </w:rPr>
            </w:pPr>
            <w:r w:rsidRPr="00F63F72">
              <w:rPr>
                <w:rFonts w:ascii="Calibri" w:hAnsi="Calibri" w:cs="Calibri"/>
                <w:i/>
                <w:iCs/>
                <w:sz w:val="18"/>
                <w:szCs w:val="20"/>
              </w:rPr>
              <w:t>50.9</w:t>
            </w:r>
          </w:p>
        </w:tc>
        <w:tc>
          <w:tcPr>
            <w:tcW w:w="362" w:type="pct"/>
            <w:tcBorders>
              <w:left w:val="nil"/>
              <w:bottom w:val="single" w:sz="8" w:space="0" w:color="4F81BD"/>
              <w:right w:val="nil"/>
            </w:tcBorders>
            <w:shd w:val="clear" w:color="auto" w:fill="D3DFEE"/>
            <w:noWrap/>
            <w:vAlign w:val="center"/>
          </w:tcPr>
          <w:p w:rsidR="008D3E5E" w:rsidRPr="00F63F72" w:rsidRDefault="008D3E5E" w:rsidP="004C45D3">
            <w:pPr>
              <w:jc w:val="right"/>
              <w:rPr>
                <w:rFonts w:ascii="Calibri" w:hAnsi="Calibri" w:cs="Calibri"/>
                <w:i/>
                <w:iCs/>
                <w:sz w:val="18"/>
                <w:szCs w:val="20"/>
              </w:rPr>
            </w:pPr>
            <w:r w:rsidRPr="00F63F72">
              <w:rPr>
                <w:rFonts w:ascii="Calibri" w:hAnsi="Calibri" w:cs="Calibri"/>
                <w:i/>
                <w:iCs/>
                <w:sz w:val="18"/>
                <w:szCs w:val="20"/>
              </w:rPr>
              <w:t>54.4</w:t>
            </w:r>
          </w:p>
        </w:tc>
        <w:tc>
          <w:tcPr>
            <w:tcW w:w="376" w:type="pct"/>
            <w:tcBorders>
              <w:left w:val="nil"/>
              <w:bottom w:val="single" w:sz="8" w:space="0" w:color="4F81BD"/>
              <w:right w:val="nil"/>
            </w:tcBorders>
            <w:shd w:val="clear" w:color="auto" w:fill="D3DFEE"/>
            <w:noWrap/>
            <w:vAlign w:val="center"/>
          </w:tcPr>
          <w:p w:rsidR="008D3E5E" w:rsidRPr="00F63F72" w:rsidRDefault="008D3E5E" w:rsidP="004C45D3">
            <w:pPr>
              <w:jc w:val="right"/>
              <w:rPr>
                <w:rFonts w:ascii="Calibri" w:hAnsi="Calibri" w:cs="Calibri"/>
                <w:i/>
                <w:iCs/>
                <w:sz w:val="18"/>
                <w:szCs w:val="20"/>
              </w:rPr>
            </w:pPr>
            <w:r w:rsidRPr="00F63F72">
              <w:rPr>
                <w:rFonts w:ascii="Calibri" w:hAnsi="Calibri" w:cs="Calibri"/>
                <w:i/>
                <w:iCs/>
                <w:sz w:val="18"/>
                <w:szCs w:val="20"/>
              </w:rPr>
              <w:t>53.8</w:t>
            </w:r>
          </w:p>
        </w:tc>
        <w:tc>
          <w:tcPr>
            <w:tcW w:w="358" w:type="pct"/>
            <w:tcBorders>
              <w:left w:val="nil"/>
              <w:bottom w:val="single" w:sz="8" w:space="0" w:color="4F81BD"/>
              <w:right w:val="nil"/>
            </w:tcBorders>
            <w:shd w:val="clear" w:color="auto" w:fill="D3DFEE"/>
            <w:noWrap/>
            <w:vAlign w:val="center"/>
          </w:tcPr>
          <w:p w:rsidR="008D3E5E" w:rsidRPr="00F63F72" w:rsidRDefault="008D3E5E" w:rsidP="004C45D3">
            <w:pPr>
              <w:jc w:val="right"/>
              <w:rPr>
                <w:rFonts w:ascii="Calibri" w:hAnsi="Calibri" w:cs="Calibri"/>
                <w:i/>
                <w:iCs/>
                <w:sz w:val="18"/>
                <w:szCs w:val="20"/>
              </w:rPr>
            </w:pPr>
            <w:r w:rsidRPr="00F63F72">
              <w:rPr>
                <w:rFonts w:ascii="Calibri" w:hAnsi="Calibri" w:cs="Calibri"/>
                <w:i/>
                <w:iCs/>
                <w:sz w:val="18"/>
                <w:szCs w:val="20"/>
              </w:rPr>
              <w:t>53.4</w:t>
            </w:r>
          </w:p>
        </w:tc>
        <w:tc>
          <w:tcPr>
            <w:tcW w:w="358" w:type="pct"/>
            <w:tcBorders>
              <w:left w:val="nil"/>
              <w:bottom w:val="single" w:sz="8" w:space="0" w:color="4F81BD"/>
              <w:right w:val="nil"/>
            </w:tcBorders>
            <w:shd w:val="clear" w:color="auto" w:fill="D3DFEE"/>
            <w:noWrap/>
            <w:vAlign w:val="center"/>
          </w:tcPr>
          <w:p w:rsidR="008D3E5E" w:rsidRPr="00F63F72" w:rsidRDefault="008D3E5E" w:rsidP="004C45D3">
            <w:pPr>
              <w:jc w:val="right"/>
              <w:rPr>
                <w:rFonts w:ascii="Calibri" w:hAnsi="Calibri" w:cs="Calibri"/>
                <w:i/>
                <w:iCs/>
                <w:sz w:val="18"/>
                <w:szCs w:val="20"/>
              </w:rPr>
            </w:pPr>
            <w:r w:rsidRPr="00F63F72">
              <w:rPr>
                <w:rFonts w:ascii="Calibri" w:hAnsi="Calibri" w:cs="Calibri"/>
                <w:i/>
                <w:iCs/>
                <w:sz w:val="18"/>
                <w:szCs w:val="20"/>
              </w:rPr>
              <w:t>52.8</w:t>
            </w:r>
          </w:p>
        </w:tc>
        <w:tc>
          <w:tcPr>
            <w:tcW w:w="359" w:type="pct"/>
            <w:tcBorders>
              <w:left w:val="nil"/>
              <w:bottom w:val="single" w:sz="8" w:space="0" w:color="4F81BD"/>
              <w:right w:val="nil"/>
            </w:tcBorders>
            <w:shd w:val="clear" w:color="auto" w:fill="D3DFEE"/>
            <w:noWrap/>
            <w:vAlign w:val="center"/>
          </w:tcPr>
          <w:p w:rsidR="008D3E5E" w:rsidRPr="00F63F72" w:rsidRDefault="008D3E5E" w:rsidP="004C45D3">
            <w:pPr>
              <w:jc w:val="right"/>
              <w:rPr>
                <w:rFonts w:ascii="Calibri" w:hAnsi="Calibri" w:cs="Calibri"/>
                <w:i/>
                <w:iCs/>
                <w:sz w:val="18"/>
                <w:szCs w:val="20"/>
              </w:rPr>
            </w:pPr>
            <w:r w:rsidRPr="00F63F72">
              <w:rPr>
                <w:rFonts w:ascii="Calibri" w:hAnsi="Calibri" w:cs="Calibri"/>
                <w:i/>
                <w:iCs/>
                <w:sz w:val="18"/>
                <w:szCs w:val="20"/>
              </w:rPr>
              <w:t>50.1</w:t>
            </w:r>
          </w:p>
        </w:tc>
      </w:tr>
    </w:tbl>
    <w:p w:rsidR="008D3E5E" w:rsidRPr="00F63F72" w:rsidRDefault="008D3E5E" w:rsidP="008D3E5E">
      <w:pPr>
        <w:spacing w:after="240" w:line="276" w:lineRule="auto"/>
        <w:ind w:left="720"/>
        <w:rPr>
          <w:rFonts w:ascii="Calibri" w:hAnsi="Calibri" w:cs="Calibri"/>
          <w:b/>
          <w:sz w:val="22"/>
          <w:szCs w:val="22"/>
          <w:highlight w:val="yellow"/>
        </w:rPr>
      </w:pPr>
    </w:p>
    <w:p w:rsidR="008D3E5E" w:rsidRPr="00F63F72" w:rsidRDefault="008D3E5E" w:rsidP="008D3E5E">
      <w:pPr>
        <w:pStyle w:val="ListParagraph"/>
        <w:numPr>
          <w:ilvl w:val="2"/>
          <w:numId w:val="24"/>
        </w:numPr>
        <w:rPr>
          <w:rFonts w:ascii="Calibri" w:hAnsi="Calibri" w:cs="Calibri"/>
          <w:b/>
          <w:sz w:val="22"/>
          <w:szCs w:val="22"/>
        </w:rPr>
      </w:pPr>
      <w:r w:rsidRPr="00F63F72">
        <w:rPr>
          <w:rFonts w:ascii="Calibri" w:hAnsi="Calibri" w:cs="Calibri"/>
          <w:b/>
          <w:sz w:val="22"/>
          <w:szCs w:val="22"/>
        </w:rPr>
        <w:t>Public finance trends in 2012 and Q1 2013</w:t>
      </w:r>
    </w:p>
    <w:p w:rsidR="008D3E5E" w:rsidRPr="00F63F72" w:rsidRDefault="008D3E5E" w:rsidP="008D3E5E">
      <w:pPr>
        <w:rPr>
          <w:rFonts w:ascii="Calibri" w:hAnsi="Calibri" w:cs="Calibri"/>
          <w:b/>
          <w:sz w:val="22"/>
          <w:szCs w:val="22"/>
          <w:highlight w:val="yellow"/>
        </w:rPr>
      </w:pPr>
    </w:p>
    <w:p w:rsidR="008D3E5E" w:rsidRPr="00F63F72" w:rsidRDefault="008D3E5E" w:rsidP="008D3E5E">
      <w:pPr>
        <w:jc w:val="both"/>
        <w:rPr>
          <w:rFonts w:ascii="Calibri" w:hAnsi="Calibri" w:cs="Calibri"/>
          <w:sz w:val="22"/>
        </w:rPr>
      </w:pPr>
      <w:r w:rsidRPr="00F63F72">
        <w:rPr>
          <w:rFonts w:ascii="Calibri" w:hAnsi="Calibri" w:cs="Calibri"/>
          <w:sz w:val="22"/>
        </w:rPr>
        <w:t>Year 2012 was one of the most difficult years for public finances of Montenegro. There was a decline in economic activity due to the spillover of the international economic crisis as well as bad weather in the country at the beginning of the year, which affected the developments in the field of public finance.</w:t>
      </w:r>
    </w:p>
    <w:p w:rsidR="008D3E5E" w:rsidRPr="00F63F72" w:rsidRDefault="008D3E5E" w:rsidP="008D3E5E">
      <w:pPr>
        <w:rPr>
          <w:rFonts w:ascii="Calibri" w:hAnsi="Calibri" w:cs="Calibri"/>
          <w:sz w:val="22"/>
        </w:rPr>
      </w:pPr>
    </w:p>
    <w:p w:rsidR="008D3E5E" w:rsidRPr="00F63F72" w:rsidRDefault="008D3E5E" w:rsidP="008D3E5E">
      <w:pPr>
        <w:jc w:val="both"/>
        <w:rPr>
          <w:rFonts w:ascii="Calibri" w:hAnsi="Calibri" w:cs="Calibri"/>
          <w:sz w:val="22"/>
        </w:rPr>
      </w:pPr>
      <w:r w:rsidRPr="00F63F72">
        <w:rPr>
          <w:rFonts w:ascii="Calibri" w:hAnsi="Calibri" w:cs="Calibri"/>
          <w:b/>
          <w:sz w:val="22"/>
          <w:szCs w:val="22"/>
        </w:rPr>
        <w:t>Preliminary public revenues</w:t>
      </w:r>
      <w:r w:rsidRPr="00F63F72">
        <w:rPr>
          <w:rFonts w:ascii="Calibri" w:hAnsi="Calibri" w:cs="Calibri"/>
          <w:sz w:val="22"/>
          <w:szCs w:val="22"/>
        </w:rPr>
        <w:t xml:space="preserve"> amounted to € 1298.83 million or 38.9% of GDP (3,338 million €) in 2012. Observed year-on-year, they rose 1.1%, which represents a nominal increase of 13.7 million €. This growth was mainly due to a nominal increase in revenues from corporate profit tax of 27.9 million €, contributions of 8.7 million €, and excise duties of 8.4 million €. The year-on-year decline was recorded in revenues from international trade and transactions tax of 36.1% and value added tax (VAT) of 9.6%. In relation to the plan, as per the budget revision, revenues increased 1.3%, which is due to the growth of local government revenues of 35% that was largely a result of increase in revenues from local taxes and fees for municipal land development.</w:t>
      </w:r>
    </w:p>
    <w:p w:rsidR="008D3E5E" w:rsidRPr="00F63F72" w:rsidRDefault="008D3E5E" w:rsidP="008D3E5E">
      <w:pPr>
        <w:rPr>
          <w:rFonts w:ascii="Calibri" w:hAnsi="Calibri" w:cs="Calibri"/>
          <w:sz w:val="22"/>
        </w:rPr>
      </w:pP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Public consumption amounted to 1,430.80 million €, representing 42.9% of GDP in 2012; it is 30.45 million € or 2.1% lower compared to 2011. In relation to the plan, as per the revised budget, public consumption increased 3.3% as a result of increased local and budget consumption of 18.3% and 1.8%, respectively. Lower year-on-year realization was recorded in other employee benefits, subsidies, transfers to institutions, individuals, NGO and public sectors, and the capital budget. As for mandatory expenditures, growth was recorded in transfers for social protection, of 26.57 million €, while gross wages remained at approximately the same level as in 2011. Expenditures that increased as well were those for interest payment and repayment of principal debt, mainly due to an increase in the repayment of principal to residents.</w:t>
      </w:r>
    </w:p>
    <w:p w:rsidR="008D3E5E" w:rsidRPr="00F63F72" w:rsidRDefault="008D3E5E" w:rsidP="008D3E5E">
      <w:pPr>
        <w:jc w:val="both"/>
        <w:rPr>
          <w:rFonts w:ascii="Calibri" w:hAnsi="Calibri" w:cs="Calibri"/>
          <w:sz w:val="22"/>
          <w:szCs w:val="22"/>
        </w:rPr>
      </w:pPr>
      <w:r w:rsidRPr="00F63F72">
        <w:rPr>
          <w:rFonts w:ascii="Calibri" w:hAnsi="Calibri" w:cs="Calibri"/>
          <w:b/>
          <w:sz w:val="22"/>
          <w:szCs w:val="22"/>
        </w:rPr>
        <w:t xml:space="preserve">A deficit in public consumption </w:t>
      </w:r>
      <w:r w:rsidRPr="00F63F72">
        <w:rPr>
          <w:rFonts w:ascii="Calibri" w:hAnsi="Calibri" w:cs="Calibri"/>
          <w:sz w:val="22"/>
          <w:szCs w:val="22"/>
        </w:rPr>
        <w:t>amounted nearly 132 million € or 3.95% of GDP in 2012, primarily due to the overspending and the lower collection of budget revenues</w:t>
      </w:r>
      <w:r w:rsidRPr="00F63F72">
        <w:rPr>
          <w:rFonts w:ascii="Calibri" w:hAnsi="Calibri" w:cs="Calibri"/>
          <w:b/>
          <w:sz w:val="22"/>
          <w:szCs w:val="22"/>
        </w:rPr>
        <w:t xml:space="preserve"> </w:t>
      </w:r>
      <w:r w:rsidRPr="00F63F72">
        <w:rPr>
          <w:rFonts w:ascii="Calibri" w:hAnsi="Calibri" w:cs="Calibri"/>
          <w:sz w:val="22"/>
          <w:szCs w:val="22"/>
        </w:rPr>
        <w:t>in relation to the plan.</w:t>
      </w:r>
    </w:p>
    <w:p w:rsidR="008D3E5E" w:rsidRPr="00F63F72" w:rsidRDefault="008D3E5E" w:rsidP="008D3E5E">
      <w:pPr>
        <w:pStyle w:val="Caption"/>
        <w:keepNext/>
        <w:rPr>
          <w:rFonts w:ascii="Calibri" w:hAnsi="Calibri" w:cs="Calibri"/>
          <w:sz w:val="18"/>
          <w:lang w:val="en-US"/>
        </w:rPr>
      </w:pPr>
    </w:p>
    <w:p w:rsidR="008D3E5E" w:rsidRPr="00F63F72" w:rsidRDefault="008D3E5E" w:rsidP="008D3E5E">
      <w:pPr>
        <w:pStyle w:val="Caption"/>
        <w:keepNext/>
        <w:rPr>
          <w:rFonts w:ascii="Calibri" w:hAnsi="Calibri" w:cs="Calibri"/>
          <w:sz w:val="18"/>
          <w:lang w:val="en-US"/>
        </w:rPr>
      </w:pPr>
      <w:r w:rsidRPr="00F63F72">
        <w:rPr>
          <w:rFonts w:ascii="Calibri" w:hAnsi="Calibri" w:cs="Calibri"/>
          <w:sz w:val="18"/>
          <w:lang w:val="en-US"/>
        </w:rPr>
        <w:t xml:space="preserve">Table </w:t>
      </w:r>
      <w:r w:rsidR="00033B25" w:rsidRPr="00F63F72">
        <w:rPr>
          <w:rFonts w:ascii="Calibri" w:hAnsi="Calibri" w:cs="Calibri"/>
          <w:sz w:val="18"/>
          <w:lang w:val="en-US"/>
        </w:rPr>
        <w:fldChar w:fldCharType="begin"/>
      </w:r>
      <w:r w:rsidRPr="00F63F72">
        <w:rPr>
          <w:rFonts w:ascii="Calibri" w:hAnsi="Calibri" w:cs="Calibri"/>
          <w:sz w:val="18"/>
          <w:lang w:val="en-US"/>
        </w:rPr>
        <w:instrText xml:space="preserve"> SEQ Tabela \* ARABIC </w:instrText>
      </w:r>
      <w:r w:rsidR="00033B25" w:rsidRPr="00F63F72">
        <w:rPr>
          <w:rFonts w:ascii="Calibri" w:hAnsi="Calibri" w:cs="Calibri"/>
          <w:sz w:val="18"/>
          <w:lang w:val="en-US"/>
        </w:rPr>
        <w:fldChar w:fldCharType="separate"/>
      </w:r>
      <w:r w:rsidR="005669F0">
        <w:rPr>
          <w:rFonts w:ascii="Calibri" w:hAnsi="Calibri" w:cs="Calibri"/>
          <w:noProof/>
          <w:sz w:val="18"/>
          <w:lang w:val="en-US"/>
        </w:rPr>
        <w:t>6</w:t>
      </w:r>
      <w:r w:rsidR="00033B25" w:rsidRPr="00F63F72">
        <w:rPr>
          <w:rFonts w:ascii="Calibri" w:hAnsi="Calibri" w:cs="Calibri"/>
          <w:sz w:val="18"/>
          <w:lang w:val="en-US"/>
        </w:rPr>
        <w:fldChar w:fldCharType="end"/>
      </w:r>
      <w:r w:rsidRPr="00F63F72">
        <w:rPr>
          <w:rFonts w:ascii="Calibri" w:hAnsi="Calibri" w:cs="Calibri"/>
          <w:sz w:val="18"/>
          <w:lang w:val="en-US"/>
        </w:rPr>
        <w:t>: Public consumption</w:t>
      </w:r>
    </w:p>
    <w:tbl>
      <w:tblPr>
        <w:tblW w:w="5000" w:type="pct"/>
        <w:tblBorders>
          <w:top w:val="single" w:sz="8" w:space="0" w:color="4F81BD"/>
          <w:bottom w:val="single" w:sz="8" w:space="0" w:color="4F81BD"/>
        </w:tblBorders>
        <w:tblLook w:val="00A0"/>
      </w:tblPr>
      <w:tblGrid>
        <w:gridCol w:w="2891"/>
        <w:gridCol w:w="1254"/>
        <w:gridCol w:w="974"/>
        <w:gridCol w:w="976"/>
        <w:gridCol w:w="1114"/>
        <w:gridCol w:w="1114"/>
        <w:gridCol w:w="1248"/>
      </w:tblGrid>
      <w:tr w:rsidR="008D3E5E" w:rsidRPr="00F63F72" w:rsidTr="004C45D3">
        <w:trPr>
          <w:trHeight w:val="196"/>
        </w:trPr>
        <w:tc>
          <w:tcPr>
            <w:tcW w:w="1510" w:type="pct"/>
            <w:vMerge w:val="restart"/>
            <w:tcBorders>
              <w:top w:val="nil"/>
              <w:bottom w:val="single" w:sz="8" w:space="0" w:color="4F81BD"/>
            </w:tcBorders>
            <w:noWrap/>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Public consumption</w:t>
            </w:r>
          </w:p>
        </w:tc>
        <w:tc>
          <w:tcPr>
            <w:tcW w:w="1164" w:type="pct"/>
            <w:gridSpan w:val="2"/>
            <w:tcBorders>
              <w:top w:val="nil"/>
              <w:bottom w:val="single" w:sz="8" w:space="0" w:color="4F81BD"/>
            </w:tcBorders>
            <w:noWrap/>
          </w:tcPr>
          <w:p w:rsidR="008D3E5E" w:rsidRPr="00F63F72" w:rsidRDefault="008D3E5E" w:rsidP="004C45D3">
            <w:pPr>
              <w:jc w:val="center"/>
              <w:rPr>
                <w:rFonts w:ascii="Calibri" w:hAnsi="Calibri" w:cs="Calibri"/>
                <w:b/>
                <w:bCs/>
                <w:sz w:val="16"/>
                <w:szCs w:val="12"/>
              </w:rPr>
            </w:pPr>
            <w:r w:rsidRPr="00F63F72">
              <w:rPr>
                <w:rFonts w:ascii="Calibri" w:hAnsi="Calibri" w:cs="Calibri"/>
                <w:b/>
                <w:bCs/>
                <w:sz w:val="16"/>
                <w:szCs w:val="12"/>
              </w:rPr>
              <w:t>2012 Revision</w:t>
            </w:r>
          </w:p>
        </w:tc>
        <w:tc>
          <w:tcPr>
            <w:tcW w:w="1092" w:type="pct"/>
            <w:gridSpan w:val="2"/>
            <w:tcBorders>
              <w:top w:val="nil"/>
              <w:bottom w:val="single" w:sz="8" w:space="0" w:color="4F81BD"/>
            </w:tcBorders>
            <w:noWrap/>
          </w:tcPr>
          <w:p w:rsidR="008D3E5E" w:rsidRPr="00F63F72" w:rsidRDefault="008D3E5E" w:rsidP="004C45D3">
            <w:pPr>
              <w:jc w:val="center"/>
              <w:rPr>
                <w:rFonts w:ascii="Calibri" w:hAnsi="Calibri" w:cs="Calibri"/>
                <w:b/>
                <w:bCs/>
                <w:sz w:val="16"/>
                <w:szCs w:val="12"/>
              </w:rPr>
            </w:pPr>
            <w:r w:rsidRPr="00F63F72">
              <w:rPr>
                <w:rFonts w:ascii="Calibri" w:hAnsi="Calibri" w:cs="Calibri"/>
                <w:b/>
                <w:bCs/>
                <w:sz w:val="16"/>
                <w:szCs w:val="12"/>
              </w:rPr>
              <w:t xml:space="preserve"> 2012 Execution</w:t>
            </w:r>
          </w:p>
        </w:tc>
        <w:tc>
          <w:tcPr>
            <w:tcW w:w="1234" w:type="pct"/>
            <w:gridSpan w:val="2"/>
            <w:tcBorders>
              <w:top w:val="nil"/>
              <w:bottom w:val="single" w:sz="8" w:space="0" w:color="4F81BD"/>
            </w:tcBorders>
            <w:noWrap/>
          </w:tcPr>
          <w:p w:rsidR="008D3E5E" w:rsidRPr="00F63F72" w:rsidRDefault="008D3E5E" w:rsidP="004C45D3">
            <w:pPr>
              <w:jc w:val="center"/>
              <w:rPr>
                <w:rFonts w:ascii="Calibri" w:hAnsi="Calibri" w:cs="Calibri"/>
                <w:b/>
                <w:bCs/>
                <w:sz w:val="16"/>
                <w:szCs w:val="12"/>
              </w:rPr>
            </w:pPr>
            <w:r w:rsidRPr="00F63F72">
              <w:rPr>
                <w:rFonts w:ascii="Calibri" w:hAnsi="Calibri" w:cs="Calibri"/>
                <w:b/>
                <w:bCs/>
                <w:sz w:val="16"/>
                <w:szCs w:val="12"/>
              </w:rPr>
              <w:t>Deviations from the plan</w:t>
            </w:r>
          </w:p>
        </w:tc>
      </w:tr>
      <w:tr w:rsidR="008D3E5E" w:rsidRPr="00F63F72" w:rsidTr="004C45D3">
        <w:trPr>
          <w:trHeight w:val="108"/>
        </w:trPr>
        <w:tc>
          <w:tcPr>
            <w:tcW w:w="1510" w:type="pct"/>
            <w:vMerge/>
            <w:shd w:val="clear" w:color="auto" w:fill="D3DFEE"/>
          </w:tcPr>
          <w:p w:rsidR="008D3E5E" w:rsidRPr="00F63F72" w:rsidRDefault="008D3E5E" w:rsidP="004C45D3">
            <w:pPr>
              <w:rPr>
                <w:rFonts w:ascii="Calibri" w:hAnsi="Calibri" w:cs="Calibri"/>
                <w:b/>
                <w:bCs/>
                <w:color w:val="FFFFFF"/>
                <w:sz w:val="16"/>
                <w:szCs w:val="12"/>
              </w:rPr>
            </w:pPr>
          </w:p>
        </w:tc>
        <w:tc>
          <w:tcPr>
            <w:tcW w:w="655" w:type="pct"/>
            <w:shd w:val="clear" w:color="auto" w:fill="D3DFEE"/>
          </w:tcPr>
          <w:p w:rsidR="008D3E5E" w:rsidRPr="00F63F72" w:rsidRDefault="008D3E5E" w:rsidP="004C45D3">
            <w:pPr>
              <w:jc w:val="center"/>
              <w:rPr>
                <w:rFonts w:ascii="Calibri" w:hAnsi="Calibri" w:cs="Calibri"/>
                <w:b/>
                <w:bCs/>
                <w:sz w:val="16"/>
                <w:szCs w:val="12"/>
              </w:rPr>
            </w:pPr>
            <w:r w:rsidRPr="00F63F72">
              <w:rPr>
                <w:rFonts w:ascii="Calibri" w:hAnsi="Calibri" w:cs="Calibri"/>
                <w:b/>
                <w:bCs/>
                <w:sz w:val="16"/>
                <w:szCs w:val="12"/>
              </w:rPr>
              <w:t>million €</w:t>
            </w:r>
          </w:p>
        </w:tc>
        <w:tc>
          <w:tcPr>
            <w:tcW w:w="509" w:type="pct"/>
            <w:shd w:val="clear" w:color="auto" w:fill="D3DFEE"/>
          </w:tcPr>
          <w:p w:rsidR="008D3E5E" w:rsidRPr="00F63F72" w:rsidRDefault="008D3E5E" w:rsidP="004C45D3">
            <w:pPr>
              <w:jc w:val="center"/>
              <w:rPr>
                <w:rFonts w:ascii="Calibri" w:hAnsi="Calibri" w:cs="Calibri"/>
                <w:b/>
                <w:bCs/>
                <w:sz w:val="16"/>
                <w:szCs w:val="12"/>
              </w:rPr>
            </w:pPr>
            <w:r w:rsidRPr="00F63F72">
              <w:rPr>
                <w:rFonts w:ascii="Calibri" w:hAnsi="Calibri" w:cs="Calibri"/>
                <w:b/>
                <w:bCs/>
                <w:sz w:val="16"/>
                <w:szCs w:val="12"/>
              </w:rPr>
              <w:t xml:space="preserve"> % of GDP</w:t>
            </w:r>
          </w:p>
        </w:tc>
        <w:tc>
          <w:tcPr>
            <w:tcW w:w="510" w:type="pct"/>
            <w:shd w:val="clear" w:color="auto" w:fill="D3DFEE"/>
          </w:tcPr>
          <w:p w:rsidR="008D3E5E" w:rsidRPr="00F63F72" w:rsidRDefault="008D3E5E" w:rsidP="004C45D3">
            <w:pPr>
              <w:jc w:val="center"/>
              <w:rPr>
                <w:rFonts w:ascii="Calibri" w:hAnsi="Calibri" w:cs="Calibri"/>
                <w:b/>
                <w:bCs/>
                <w:sz w:val="16"/>
                <w:szCs w:val="12"/>
              </w:rPr>
            </w:pPr>
            <w:r w:rsidRPr="00F63F72">
              <w:rPr>
                <w:rFonts w:ascii="Calibri" w:hAnsi="Calibri" w:cs="Calibri"/>
                <w:b/>
                <w:bCs/>
                <w:sz w:val="16"/>
                <w:szCs w:val="12"/>
              </w:rPr>
              <w:t>million €</w:t>
            </w:r>
          </w:p>
        </w:tc>
        <w:tc>
          <w:tcPr>
            <w:tcW w:w="582" w:type="pct"/>
            <w:shd w:val="clear" w:color="auto" w:fill="D3DFEE"/>
          </w:tcPr>
          <w:p w:rsidR="008D3E5E" w:rsidRPr="00F63F72" w:rsidRDefault="008D3E5E" w:rsidP="004C45D3">
            <w:pPr>
              <w:jc w:val="center"/>
              <w:rPr>
                <w:rFonts w:ascii="Calibri" w:hAnsi="Calibri" w:cs="Calibri"/>
                <w:b/>
                <w:bCs/>
                <w:sz w:val="16"/>
                <w:szCs w:val="12"/>
              </w:rPr>
            </w:pPr>
            <w:r w:rsidRPr="00F63F72">
              <w:rPr>
                <w:rFonts w:ascii="Calibri" w:hAnsi="Calibri" w:cs="Calibri"/>
                <w:b/>
                <w:bCs/>
                <w:sz w:val="16"/>
                <w:szCs w:val="12"/>
              </w:rPr>
              <w:t xml:space="preserve"> % of GDP</w:t>
            </w:r>
          </w:p>
        </w:tc>
        <w:tc>
          <w:tcPr>
            <w:tcW w:w="582" w:type="pct"/>
            <w:shd w:val="clear" w:color="auto" w:fill="D3DFEE"/>
          </w:tcPr>
          <w:p w:rsidR="008D3E5E" w:rsidRPr="00F63F72" w:rsidRDefault="008D3E5E" w:rsidP="004C45D3">
            <w:pPr>
              <w:jc w:val="center"/>
              <w:rPr>
                <w:rFonts w:ascii="Calibri" w:hAnsi="Calibri" w:cs="Calibri"/>
                <w:b/>
                <w:bCs/>
                <w:sz w:val="16"/>
                <w:szCs w:val="12"/>
              </w:rPr>
            </w:pPr>
            <w:r w:rsidRPr="00F63F72">
              <w:rPr>
                <w:rFonts w:ascii="Calibri" w:hAnsi="Calibri" w:cs="Calibri"/>
                <w:b/>
                <w:bCs/>
                <w:sz w:val="16"/>
                <w:szCs w:val="12"/>
              </w:rPr>
              <w:t>million €</w:t>
            </w:r>
          </w:p>
        </w:tc>
        <w:tc>
          <w:tcPr>
            <w:tcW w:w="652" w:type="pct"/>
            <w:shd w:val="clear" w:color="auto" w:fill="D3DFEE"/>
          </w:tcPr>
          <w:p w:rsidR="008D3E5E" w:rsidRPr="00F63F72" w:rsidRDefault="008D3E5E" w:rsidP="004C45D3">
            <w:pPr>
              <w:jc w:val="center"/>
              <w:rPr>
                <w:rFonts w:ascii="Calibri" w:hAnsi="Calibri" w:cs="Calibri"/>
                <w:b/>
                <w:bCs/>
                <w:sz w:val="16"/>
                <w:szCs w:val="12"/>
              </w:rPr>
            </w:pPr>
            <w:r w:rsidRPr="00F63F72">
              <w:rPr>
                <w:rFonts w:ascii="Calibri" w:hAnsi="Calibri" w:cs="Calibri"/>
                <w:b/>
                <w:bCs/>
                <w:sz w:val="16"/>
                <w:szCs w:val="12"/>
              </w:rPr>
              <w:t>%</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Current revenues</w:t>
            </w:r>
          </w:p>
        </w:tc>
        <w:tc>
          <w:tcPr>
            <w:tcW w:w="655"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1282.23</w:t>
            </w:r>
          </w:p>
        </w:tc>
        <w:tc>
          <w:tcPr>
            <w:tcW w:w="509"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38.41</w:t>
            </w:r>
          </w:p>
        </w:tc>
        <w:tc>
          <w:tcPr>
            <w:tcW w:w="510"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1298.83</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38.91</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16.59</w:t>
            </w:r>
          </w:p>
        </w:tc>
        <w:tc>
          <w:tcPr>
            <w:tcW w:w="65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1.3</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Taxes</w:t>
            </w:r>
          </w:p>
        </w:tc>
        <w:tc>
          <w:tcPr>
            <w:tcW w:w="655"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803.91</w:t>
            </w:r>
          </w:p>
        </w:tc>
        <w:tc>
          <w:tcPr>
            <w:tcW w:w="509"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24.08</w:t>
            </w:r>
          </w:p>
        </w:tc>
        <w:tc>
          <w:tcPr>
            <w:tcW w:w="510"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785.99</w:t>
            </w:r>
          </w:p>
        </w:tc>
        <w:tc>
          <w:tcPr>
            <w:tcW w:w="58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23.55</w:t>
            </w:r>
          </w:p>
        </w:tc>
        <w:tc>
          <w:tcPr>
            <w:tcW w:w="58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-17.92</w:t>
            </w:r>
          </w:p>
        </w:tc>
        <w:tc>
          <w:tcPr>
            <w:tcW w:w="65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-2.2</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Personal income tax</w:t>
            </w:r>
          </w:p>
        </w:tc>
        <w:tc>
          <w:tcPr>
            <w:tcW w:w="655"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111.24</w:t>
            </w:r>
          </w:p>
        </w:tc>
        <w:tc>
          <w:tcPr>
            <w:tcW w:w="509"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3.33</w:t>
            </w:r>
          </w:p>
        </w:tc>
        <w:tc>
          <w:tcPr>
            <w:tcW w:w="510"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109.68</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3.29</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-1.56</w:t>
            </w:r>
          </w:p>
        </w:tc>
        <w:tc>
          <w:tcPr>
            <w:tcW w:w="65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-1.4</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Corporate profit tax</w:t>
            </w:r>
          </w:p>
        </w:tc>
        <w:tc>
          <w:tcPr>
            <w:tcW w:w="655"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46.87</w:t>
            </w:r>
          </w:p>
        </w:tc>
        <w:tc>
          <w:tcPr>
            <w:tcW w:w="509"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1.40</w:t>
            </w:r>
          </w:p>
        </w:tc>
        <w:tc>
          <w:tcPr>
            <w:tcW w:w="510"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64.02</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1.92</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17.14</w:t>
            </w:r>
          </w:p>
        </w:tc>
        <w:tc>
          <w:tcPr>
            <w:tcW w:w="65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36.6</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Real estate turnover tax</w:t>
            </w:r>
          </w:p>
        </w:tc>
        <w:tc>
          <w:tcPr>
            <w:tcW w:w="655"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12.47</w:t>
            </w:r>
          </w:p>
        </w:tc>
        <w:tc>
          <w:tcPr>
            <w:tcW w:w="509"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0.37</w:t>
            </w:r>
          </w:p>
        </w:tc>
        <w:tc>
          <w:tcPr>
            <w:tcW w:w="510"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14.41</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0.43</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1.94</w:t>
            </w:r>
          </w:p>
        </w:tc>
        <w:tc>
          <w:tcPr>
            <w:tcW w:w="65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15.5</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Value added tax</w:t>
            </w:r>
          </w:p>
        </w:tc>
        <w:tc>
          <w:tcPr>
            <w:tcW w:w="655"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381.22</w:t>
            </w:r>
          </w:p>
        </w:tc>
        <w:tc>
          <w:tcPr>
            <w:tcW w:w="509"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11.42</w:t>
            </w:r>
          </w:p>
        </w:tc>
        <w:tc>
          <w:tcPr>
            <w:tcW w:w="510"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354.71</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10.63</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-26.51</w:t>
            </w:r>
          </w:p>
        </w:tc>
        <w:tc>
          <w:tcPr>
            <w:tcW w:w="65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-7.0</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Excise duties</w:t>
            </w:r>
          </w:p>
        </w:tc>
        <w:tc>
          <w:tcPr>
            <w:tcW w:w="655"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163.06</w:t>
            </w:r>
          </w:p>
        </w:tc>
        <w:tc>
          <w:tcPr>
            <w:tcW w:w="509"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4.88</w:t>
            </w:r>
          </w:p>
        </w:tc>
        <w:tc>
          <w:tcPr>
            <w:tcW w:w="510"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151.77</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4.55</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-11.29</w:t>
            </w:r>
          </w:p>
        </w:tc>
        <w:tc>
          <w:tcPr>
            <w:tcW w:w="65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-6.9</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International trade and transactions tax</w:t>
            </w:r>
          </w:p>
        </w:tc>
        <w:tc>
          <w:tcPr>
            <w:tcW w:w="655"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47.34</w:t>
            </w:r>
          </w:p>
        </w:tc>
        <w:tc>
          <w:tcPr>
            <w:tcW w:w="509"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1.42</w:t>
            </w:r>
          </w:p>
        </w:tc>
        <w:tc>
          <w:tcPr>
            <w:tcW w:w="510"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28.97</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0.87</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-18.38</w:t>
            </w:r>
          </w:p>
        </w:tc>
        <w:tc>
          <w:tcPr>
            <w:tcW w:w="65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-38.8</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Local taxes</w:t>
            </w:r>
          </w:p>
        </w:tc>
        <w:tc>
          <w:tcPr>
            <w:tcW w:w="655"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37.55</w:t>
            </w:r>
          </w:p>
        </w:tc>
        <w:tc>
          <w:tcPr>
            <w:tcW w:w="509"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1.12</w:t>
            </w:r>
          </w:p>
        </w:tc>
        <w:tc>
          <w:tcPr>
            <w:tcW w:w="510"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58.15</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1.74</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20.60</w:t>
            </w:r>
          </w:p>
        </w:tc>
        <w:tc>
          <w:tcPr>
            <w:tcW w:w="65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54.9</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Other taxes</w:t>
            </w:r>
          </w:p>
        </w:tc>
        <w:tc>
          <w:tcPr>
            <w:tcW w:w="655"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4.15</w:t>
            </w:r>
          </w:p>
        </w:tc>
        <w:tc>
          <w:tcPr>
            <w:tcW w:w="509"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0.12</w:t>
            </w:r>
          </w:p>
        </w:tc>
        <w:tc>
          <w:tcPr>
            <w:tcW w:w="510"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4.28</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0.13</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0.13</w:t>
            </w:r>
          </w:p>
        </w:tc>
        <w:tc>
          <w:tcPr>
            <w:tcW w:w="65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3.1</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Contributions</w:t>
            </w:r>
          </w:p>
        </w:tc>
        <w:tc>
          <w:tcPr>
            <w:tcW w:w="655"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351.99</w:t>
            </w:r>
          </w:p>
        </w:tc>
        <w:tc>
          <w:tcPr>
            <w:tcW w:w="509"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10.55</w:t>
            </w:r>
          </w:p>
        </w:tc>
        <w:tc>
          <w:tcPr>
            <w:tcW w:w="510"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362.25</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10.85</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10.26</w:t>
            </w:r>
          </w:p>
        </w:tc>
        <w:tc>
          <w:tcPr>
            <w:tcW w:w="65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2.9</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Duties</w:t>
            </w:r>
          </w:p>
        </w:tc>
        <w:tc>
          <w:tcPr>
            <w:tcW w:w="655"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33.02</w:t>
            </w:r>
          </w:p>
        </w:tc>
        <w:tc>
          <w:tcPr>
            <w:tcW w:w="509"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0.99</w:t>
            </w:r>
          </w:p>
        </w:tc>
        <w:tc>
          <w:tcPr>
            <w:tcW w:w="510"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23.50</w:t>
            </w:r>
          </w:p>
        </w:tc>
        <w:tc>
          <w:tcPr>
            <w:tcW w:w="58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0.70</w:t>
            </w:r>
          </w:p>
        </w:tc>
        <w:tc>
          <w:tcPr>
            <w:tcW w:w="58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-9.52</w:t>
            </w:r>
          </w:p>
        </w:tc>
        <w:tc>
          <w:tcPr>
            <w:tcW w:w="65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-28.8</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Fees</w:t>
            </w:r>
          </w:p>
        </w:tc>
        <w:tc>
          <w:tcPr>
            <w:tcW w:w="655"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51.39</w:t>
            </w:r>
          </w:p>
        </w:tc>
        <w:tc>
          <w:tcPr>
            <w:tcW w:w="509"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1.54</w:t>
            </w:r>
          </w:p>
        </w:tc>
        <w:tc>
          <w:tcPr>
            <w:tcW w:w="510"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73.75</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2.21</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22.35</w:t>
            </w:r>
          </w:p>
        </w:tc>
        <w:tc>
          <w:tcPr>
            <w:tcW w:w="65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43.5</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Other revenues</w:t>
            </w:r>
          </w:p>
        </w:tc>
        <w:tc>
          <w:tcPr>
            <w:tcW w:w="655"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37.75</w:t>
            </w:r>
          </w:p>
        </w:tc>
        <w:tc>
          <w:tcPr>
            <w:tcW w:w="509"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1.13</w:t>
            </w:r>
          </w:p>
        </w:tc>
        <w:tc>
          <w:tcPr>
            <w:tcW w:w="510"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48.85</w:t>
            </w:r>
          </w:p>
        </w:tc>
        <w:tc>
          <w:tcPr>
            <w:tcW w:w="58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1.46</w:t>
            </w:r>
          </w:p>
        </w:tc>
        <w:tc>
          <w:tcPr>
            <w:tcW w:w="58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11.10</w:t>
            </w:r>
          </w:p>
        </w:tc>
        <w:tc>
          <w:tcPr>
            <w:tcW w:w="65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29.4</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Receipts from the repayment of loans</w:t>
            </w:r>
          </w:p>
        </w:tc>
        <w:tc>
          <w:tcPr>
            <w:tcW w:w="655"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4.17</w:t>
            </w:r>
          </w:p>
        </w:tc>
        <w:tc>
          <w:tcPr>
            <w:tcW w:w="509"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0.12</w:t>
            </w:r>
          </w:p>
        </w:tc>
        <w:tc>
          <w:tcPr>
            <w:tcW w:w="510"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4.49</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0.13</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0.32</w:t>
            </w:r>
          </w:p>
        </w:tc>
        <w:tc>
          <w:tcPr>
            <w:tcW w:w="65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7.8</w:t>
            </w:r>
          </w:p>
        </w:tc>
      </w:tr>
      <w:tr w:rsidR="008D3E5E" w:rsidRPr="00F63F72" w:rsidTr="004C45D3">
        <w:trPr>
          <w:trHeight w:hRule="exact" w:val="185"/>
        </w:trPr>
        <w:tc>
          <w:tcPr>
            <w:tcW w:w="1510" w:type="pct"/>
            <w:shd w:val="clear" w:color="auto" w:fill="D3DFEE"/>
            <w:noWrap/>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Public consumption</w:t>
            </w:r>
          </w:p>
        </w:tc>
        <w:tc>
          <w:tcPr>
            <w:tcW w:w="655"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1385.36</w:t>
            </w:r>
          </w:p>
        </w:tc>
        <w:tc>
          <w:tcPr>
            <w:tcW w:w="509"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41.50</w:t>
            </w:r>
          </w:p>
        </w:tc>
        <w:tc>
          <w:tcPr>
            <w:tcW w:w="510"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1430.81</w:t>
            </w:r>
          </w:p>
        </w:tc>
        <w:tc>
          <w:tcPr>
            <w:tcW w:w="58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42.86</w:t>
            </w:r>
          </w:p>
        </w:tc>
        <w:tc>
          <w:tcPr>
            <w:tcW w:w="58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45.45</w:t>
            </w:r>
          </w:p>
        </w:tc>
        <w:tc>
          <w:tcPr>
            <w:tcW w:w="65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3.3</w:t>
            </w:r>
          </w:p>
        </w:tc>
      </w:tr>
      <w:tr w:rsidR="008D3E5E" w:rsidRPr="00F63F72" w:rsidTr="004C45D3">
        <w:trPr>
          <w:trHeight w:hRule="exact" w:val="185"/>
        </w:trPr>
        <w:tc>
          <w:tcPr>
            <w:tcW w:w="1510" w:type="pct"/>
            <w:noWrap/>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Current public consumption</w:t>
            </w:r>
          </w:p>
        </w:tc>
        <w:tc>
          <w:tcPr>
            <w:tcW w:w="655"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1271.72</w:t>
            </w:r>
          </w:p>
        </w:tc>
        <w:tc>
          <w:tcPr>
            <w:tcW w:w="509"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38.10</w:t>
            </w:r>
          </w:p>
        </w:tc>
        <w:tc>
          <w:tcPr>
            <w:tcW w:w="510"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1310.36</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39.26</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38.65</w:t>
            </w:r>
          </w:p>
        </w:tc>
        <w:tc>
          <w:tcPr>
            <w:tcW w:w="65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3.0</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Current expenditures, of which:</w:t>
            </w:r>
          </w:p>
        </w:tc>
        <w:tc>
          <w:tcPr>
            <w:tcW w:w="655"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702.69</w:t>
            </w:r>
          </w:p>
        </w:tc>
        <w:tc>
          <w:tcPr>
            <w:tcW w:w="509"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21.05</w:t>
            </w:r>
          </w:p>
        </w:tc>
        <w:tc>
          <w:tcPr>
            <w:tcW w:w="510"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715.45</w:t>
            </w:r>
          </w:p>
        </w:tc>
        <w:tc>
          <w:tcPr>
            <w:tcW w:w="58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21.43</w:t>
            </w:r>
          </w:p>
        </w:tc>
        <w:tc>
          <w:tcPr>
            <w:tcW w:w="58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12.76</w:t>
            </w:r>
          </w:p>
        </w:tc>
        <w:tc>
          <w:tcPr>
            <w:tcW w:w="652" w:type="pct"/>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1.8</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Gross wages and contributions charged to employer</w:t>
            </w:r>
          </w:p>
        </w:tc>
        <w:tc>
          <w:tcPr>
            <w:tcW w:w="655"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410.27</w:t>
            </w:r>
          </w:p>
        </w:tc>
        <w:tc>
          <w:tcPr>
            <w:tcW w:w="509"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12.29</w:t>
            </w:r>
          </w:p>
        </w:tc>
        <w:tc>
          <w:tcPr>
            <w:tcW w:w="510"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407.75</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12.22</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-2.52</w:t>
            </w:r>
          </w:p>
        </w:tc>
        <w:tc>
          <w:tcPr>
            <w:tcW w:w="65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-0.6</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Other personal income</w:t>
            </w:r>
          </w:p>
        </w:tc>
        <w:tc>
          <w:tcPr>
            <w:tcW w:w="655"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15.74</w:t>
            </w:r>
          </w:p>
        </w:tc>
        <w:tc>
          <w:tcPr>
            <w:tcW w:w="509"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0.47</w:t>
            </w:r>
          </w:p>
        </w:tc>
        <w:tc>
          <w:tcPr>
            <w:tcW w:w="510"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13.00</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0.39</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-2.74</w:t>
            </w:r>
          </w:p>
        </w:tc>
        <w:tc>
          <w:tcPr>
            <w:tcW w:w="65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-17.4</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Expenditure for material and services</w:t>
            </w:r>
          </w:p>
        </w:tc>
        <w:tc>
          <w:tcPr>
            <w:tcW w:w="655"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153.90</w:t>
            </w:r>
          </w:p>
        </w:tc>
        <w:tc>
          <w:tcPr>
            <w:tcW w:w="509"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4.61</w:t>
            </w:r>
          </w:p>
        </w:tc>
        <w:tc>
          <w:tcPr>
            <w:tcW w:w="510"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167.22</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5.01</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13.33</w:t>
            </w:r>
          </w:p>
        </w:tc>
        <w:tc>
          <w:tcPr>
            <w:tcW w:w="65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8.7</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Interest</w:t>
            </w:r>
          </w:p>
        </w:tc>
        <w:tc>
          <w:tcPr>
            <w:tcW w:w="655"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58.41</w:t>
            </w:r>
          </w:p>
        </w:tc>
        <w:tc>
          <w:tcPr>
            <w:tcW w:w="509"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1.75</w:t>
            </w:r>
          </w:p>
        </w:tc>
        <w:tc>
          <w:tcPr>
            <w:tcW w:w="510"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58.85</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1.76</w:t>
            </w:r>
          </w:p>
        </w:tc>
        <w:tc>
          <w:tcPr>
            <w:tcW w:w="58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0.45</w:t>
            </w:r>
          </w:p>
        </w:tc>
        <w:tc>
          <w:tcPr>
            <w:tcW w:w="652" w:type="pct"/>
            <w:shd w:val="clear" w:color="auto" w:fill="D3DFEE"/>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0.8</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Subsidies</w:t>
            </w:r>
          </w:p>
        </w:tc>
        <w:tc>
          <w:tcPr>
            <w:tcW w:w="655"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21.42</w:t>
            </w:r>
          </w:p>
        </w:tc>
        <w:tc>
          <w:tcPr>
            <w:tcW w:w="509"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0.64</w:t>
            </w:r>
          </w:p>
        </w:tc>
        <w:tc>
          <w:tcPr>
            <w:tcW w:w="510"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26.61</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0.80</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5.19</w:t>
            </w:r>
          </w:p>
        </w:tc>
        <w:tc>
          <w:tcPr>
            <w:tcW w:w="65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24.2</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Transfers to social protection</w:t>
            </w:r>
          </w:p>
        </w:tc>
        <w:tc>
          <w:tcPr>
            <w:tcW w:w="655"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478.55</w:t>
            </w:r>
          </w:p>
        </w:tc>
        <w:tc>
          <w:tcPr>
            <w:tcW w:w="509"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14.34</w:t>
            </w:r>
          </w:p>
        </w:tc>
        <w:tc>
          <w:tcPr>
            <w:tcW w:w="510"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482.09</w:t>
            </w:r>
          </w:p>
        </w:tc>
        <w:tc>
          <w:tcPr>
            <w:tcW w:w="582"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14.44</w:t>
            </w:r>
          </w:p>
        </w:tc>
        <w:tc>
          <w:tcPr>
            <w:tcW w:w="582"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3.54</w:t>
            </w:r>
          </w:p>
        </w:tc>
        <w:tc>
          <w:tcPr>
            <w:tcW w:w="652"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0.7</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Transfers to public institutions, individuals, NGOs and public sector</w:t>
            </w:r>
          </w:p>
        </w:tc>
        <w:tc>
          <w:tcPr>
            <w:tcW w:w="655" w:type="pct"/>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52.73</w:t>
            </w:r>
          </w:p>
        </w:tc>
        <w:tc>
          <w:tcPr>
            <w:tcW w:w="509" w:type="pct"/>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1.58</w:t>
            </w:r>
          </w:p>
        </w:tc>
        <w:tc>
          <w:tcPr>
            <w:tcW w:w="510" w:type="pct"/>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63.61</w:t>
            </w:r>
          </w:p>
        </w:tc>
        <w:tc>
          <w:tcPr>
            <w:tcW w:w="582" w:type="pct"/>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1.91</w:t>
            </w:r>
          </w:p>
        </w:tc>
        <w:tc>
          <w:tcPr>
            <w:tcW w:w="582" w:type="pct"/>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10.88</w:t>
            </w:r>
          </w:p>
        </w:tc>
        <w:tc>
          <w:tcPr>
            <w:tcW w:w="652" w:type="pct"/>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20.6</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Capital expenditures</w:t>
            </w:r>
          </w:p>
        </w:tc>
        <w:tc>
          <w:tcPr>
            <w:tcW w:w="655"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113.65</w:t>
            </w:r>
          </w:p>
        </w:tc>
        <w:tc>
          <w:tcPr>
            <w:tcW w:w="509"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3.40</w:t>
            </w:r>
          </w:p>
        </w:tc>
        <w:tc>
          <w:tcPr>
            <w:tcW w:w="510"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120.45</w:t>
            </w:r>
          </w:p>
        </w:tc>
        <w:tc>
          <w:tcPr>
            <w:tcW w:w="582"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3.61</w:t>
            </w:r>
          </w:p>
        </w:tc>
        <w:tc>
          <w:tcPr>
            <w:tcW w:w="582"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6.80</w:t>
            </w:r>
          </w:p>
        </w:tc>
        <w:tc>
          <w:tcPr>
            <w:tcW w:w="652"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6.0</w:t>
            </w:r>
          </w:p>
        </w:tc>
      </w:tr>
      <w:tr w:rsidR="008D3E5E" w:rsidRPr="00F63F72" w:rsidTr="004C45D3">
        <w:trPr>
          <w:trHeight w:hRule="exact" w:val="185"/>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Repayment of guarantees</w:t>
            </w:r>
          </w:p>
        </w:tc>
        <w:tc>
          <w:tcPr>
            <w:tcW w:w="655"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23.43</w:t>
            </w:r>
          </w:p>
        </w:tc>
        <w:tc>
          <w:tcPr>
            <w:tcW w:w="509"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0.70</w:t>
            </w:r>
          </w:p>
        </w:tc>
        <w:tc>
          <w:tcPr>
            <w:tcW w:w="510"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24.72</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0.74</w:t>
            </w:r>
          </w:p>
        </w:tc>
        <w:tc>
          <w:tcPr>
            <w:tcW w:w="58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1.29</w:t>
            </w:r>
          </w:p>
        </w:tc>
        <w:tc>
          <w:tcPr>
            <w:tcW w:w="652" w:type="pct"/>
            <w:noWrap/>
          </w:tcPr>
          <w:p w:rsidR="008D3E5E" w:rsidRPr="00F63F72" w:rsidRDefault="008D3E5E" w:rsidP="004C45D3">
            <w:pPr>
              <w:jc w:val="right"/>
              <w:rPr>
                <w:rFonts w:ascii="Calibri" w:hAnsi="Calibri" w:cs="Calibri"/>
                <w:sz w:val="16"/>
                <w:szCs w:val="12"/>
              </w:rPr>
            </w:pPr>
            <w:r w:rsidRPr="00F63F72">
              <w:rPr>
                <w:rFonts w:ascii="Calibri" w:hAnsi="Calibri" w:cs="Calibri"/>
                <w:sz w:val="16"/>
                <w:szCs w:val="12"/>
              </w:rPr>
              <w:t>5.5</w:t>
            </w:r>
          </w:p>
        </w:tc>
      </w:tr>
      <w:tr w:rsidR="008D3E5E" w:rsidRPr="00F63F72" w:rsidTr="004C45D3">
        <w:trPr>
          <w:trHeight w:hRule="exact" w:val="185"/>
        </w:trPr>
        <w:tc>
          <w:tcPr>
            <w:tcW w:w="1510" w:type="pct"/>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Net increase in liabilities</w:t>
            </w:r>
          </w:p>
        </w:tc>
        <w:tc>
          <w:tcPr>
            <w:tcW w:w="655"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0.00</w:t>
            </w:r>
          </w:p>
        </w:tc>
        <w:tc>
          <w:tcPr>
            <w:tcW w:w="509"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0.00</w:t>
            </w:r>
          </w:p>
        </w:tc>
        <w:tc>
          <w:tcPr>
            <w:tcW w:w="510"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0.00</w:t>
            </w:r>
          </w:p>
        </w:tc>
        <w:tc>
          <w:tcPr>
            <w:tcW w:w="582"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0.00</w:t>
            </w:r>
          </w:p>
        </w:tc>
        <w:tc>
          <w:tcPr>
            <w:tcW w:w="582"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0.00</w:t>
            </w:r>
          </w:p>
        </w:tc>
        <w:tc>
          <w:tcPr>
            <w:tcW w:w="652" w:type="pct"/>
            <w:shd w:val="clear" w:color="auto" w:fill="D3DFEE"/>
            <w:noWrap/>
          </w:tcPr>
          <w:p w:rsidR="008D3E5E" w:rsidRPr="00F63F72" w:rsidRDefault="008D3E5E" w:rsidP="004C45D3">
            <w:pPr>
              <w:jc w:val="right"/>
              <w:rPr>
                <w:rFonts w:ascii="Calibri" w:hAnsi="Calibri" w:cs="Calibri"/>
                <w:bCs/>
                <w:sz w:val="16"/>
                <w:szCs w:val="12"/>
              </w:rPr>
            </w:pPr>
            <w:r w:rsidRPr="00F63F72">
              <w:rPr>
                <w:rFonts w:ascii="Calibri" w:hAnsi="Calibri" w:cs="Calibri"/>
                <w:bCs/>
                <w:sz w:val="16"/>
                <w:szCs w:val="12"/>
              </w:rPr>
              <w:t>0.00</w:t>
            </w:r>
          </w:p>
        </w:tc>
      </w:tr>
      <w:tr w:rsidR="008D3E5E" w:rsidRPr="00F63F72" w:rsidTr="004C45D3">
        <w:trPr>
          <w:trHeight w:hRule="exact" w:val="299"/>
        </w:trPr>
        <w:tc>
          <w:tcPr>
            <w:tcW w:w="1510" w:type="pct"/>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t>Surplus/deficit</w:t>
            </w:r>
          </w:p>
        </w:tc>
        <w:tc>
          <w:tcPr>
            <w:tcW w:w="655"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-103.13</w:t>
            </w:r>
          </w:p>
        </w:tc>
        <w:tc>
          <w:tcPr>
            <w:tcW w:w="509"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-3.09</w:t>
            </w:r>
          </w:p>
        </w:tc>
        <w:tc>
          <w:tcPr>
            <w:tcW w:w="510"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-131.98</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-3.95</w:t>
            </w:r>
          </w:p>
        </w:tc>
        <w:tc>
          <w:tcPr>
            <w:tcW w:w="58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-28.85</w:t>
            </w:r>
          </w:p>
        </w:tc>
        <w:tc>
          <w:tcPr>
            <w:tcW w:w="652" w:type="pct"/>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28.0</w:t>
            </w:r>
          </w:p>
        </w:tc>
      </w:tr>
      <w:tr w:rsidR="008D3E5E" w:rsidRPr="00F63F72" w:rsidTr="004C45D3">
        <w:trPr>
          <w:trHeight w:hRule="exact" w:val="185"/>
        </w:trPr>
        <w:tc>
          <w:tcPr>
            <w:tcW w:w="1510" w:type="pct"/>
            <w:tcBorders>
              <w:bottom w:val="single" w:sz="8" w:space="0" w:color="4F81BD"/>
            </w:tcBorders>
            <w:shd w:val="clear" w:color="auto" w:fill="D3DFEE"/>
          </w:tcPr>
          <w:p w:rsidR="008D3E5E" w:rsidRPr="00F63F72" w:rsidRDefault="008D3E5E" w:rsidP="004C45D3">
            <w:pPr>
              <w:rPr>
                <w:rFonts w:ascii="Calibri" w:hAnsi="Calibri" w:cs="Calibri"/>
                <w:b/>
                <w:bCs/>
                <w:sz w:val="16"/>
                <w:szCs w:val="12"/>
              </w:rPr>
            </w:pPr>
            <w:r w:rsidRPr="00F63F72">
              <w:rPr>
                <w:rFonts w:ascii="Calibri" w:hAnsi="Calibri" w:cs="Calibri"/>
                <w:b/>
                <w:bCs/>
                <w:sz w:val="16"/>
                <w:szCs w:val="12"/>
              </w:rPr>
              <w:lastRenderedPageBreak/>
              <w:t>Primary deficit</w:t>
            </w:r>
          </w:p>
        </w:tc>
        <w:tc>
          <w:tcPr>
            <w:tcW w:w="655" w:type="pct"/>
            <w:tcBorders>
              <w:bottom w:val="single" w:sz="8" w:space="0" w:color="4F81BD"/>
            </w:tcBorders>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-44.72</w:t>
            </w:r>
          </w:p>
        </w:tc>
        <w:tc>
          <w:tcPr>
            <w:tcW w:w="509" w:type="pct"/>
            <w:tcBorders>
              <w:bottom w:val="single" w:sz="8" w:space="0" w:color="4F81BD"/>
            </w:tcBorders>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-1.34</w:t>
            </w:r>
          </w:p>
        </w:tc>
        <w:tc>
          <w:tcPr>
            <w:tcW w:w="510" w:type="pct"/>
            <w:tcBorders>
              <w:bottom w:val="single" w:sz="8" w:space="0" w:color="4F81BD"/>
            </w:tcBorders>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-73.13</w:t>
            </w:r>
          </w:p>
        </w:tc>
        <w:tc>
          <w:tcPr>
            <w:tcW w:w="582" w:type="pct"/>
            <w:tcBorders>
              <w:bottom w:val="single" w:sz="8" w:space="0" w:color="4F81BD"/>
            </w:tcBorders>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-2.19</w:t>
            </w:r>
          </w:p>
        </w:tc>
        <w:tc>
          <w:tcPr>
            <w:tcW w:w="582" w:type="pct"/>
            <w:tcBorders>
              <w:bottom w:val="single" w:sz="8" w:space="0" w:color="4F81BD"/>
            </w:tcBorders>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-28.40</w:t>
            </w:r>
          </w:p>
        </w:tc>
        <w:tc>
          <w:tcPr>
            <w:tcW w:w="652" w:type="pct"/>
            <w:tcBorders>
              <w:bottom w:val="single" w:sz="8" w:space="0" w:color="4F81BD"/>
            </w:tcBorders>
            <w:shd w:val="clear" w:color="auto" w:fill="D3DFEE"/>
            <w:noWrap/>
          </w:tcPr>
          <w:p w:rsidR="008D3E5E" w:rsidRPr="00F63F72" w:rsidRDefault="008D3E5E" w:rsidP="004C45D3">
            <w:pPr>
              <w:jc w:val="right"/>
              <w:rPr>
                <w:rFonts w:ascii="Calibri" w:hAnsi="Calibri" w:cs="Calibri"/>
                <w:b/>
                <w:bCs/>
                <w:sz w:val="16"/>
                <w:szCs w:val="12"/>
              </w:rPr>
            </w:pPr>
            <w:r w:rsidRPr="00F63F72">
              <w:rPr>
                <w:rFonts w:ascii="Calibri" w:hAnsi="Calibri" w:cs="Calibri"/>
                <w:b/>
                <w:bCs/>
                <w:sz w:val="16"/>
                <w:szCs w:val="12"/>
              </w:rPr>
              <w:t>63.5</w:t>
            </w:r>
          </w:p>
        </w:tc>
      </w:tr>
    </w:tbl>
    <w:p w:rsidR="008D3E5E" w:rsidRPr="00F63F72" w:rsidRDefault="008D3E5E" w:rsidP="008D3E5E">
      <w:pPr>
        <w:rPr>
          <w:rFonts w:cs="Tahoma"/>
        </w:rPr>
      </w:pPr>
    </w:p>
    <w:p w:rsidR="008D3E5E" w:rsidRPr="00F63F72" w:rsidRDefault="008D3E5E" w:rsidP="008D3E5E">
      <w:pPr>
        <w:jc w:val="both"/>
        <w:rPr>
          <w:rFonts w:ascii="Calibri" w:hAnsi="Calibri" w:cs="Calibri"/>
          <w:sz w:val="22"/>
          <w:szCs w:val="22"/>
        </w:rPr>
      </w:pPr>
      <w:r w:rsidRPr="00F63F72">
        <w:rPr>
          <w:rFonts w:ascii="Calibri" w:hAnsi="Calibri" w:cs="Calibri"/>
          <w:b/>
          <w:sz w:val="22"/>
        </w:rPr>
        <w:t>Budget revenues</w:t>
      </w:r>
      <w:r w:rsidRPr="00F63F72">
        <w:rPr>
          <w:rFonts w:ascii="Calibri" w:hAnsi="Calibri" w:cs="Calibri"/>
          <w:sz w:val="22"/>
        </w:rPr>
        <w:t xml:space="preserve"> recorded the lowest level of the nominal charge in 2012 since the outbreak of the economic crisis in Montenegro in late 2008. Bad start to the year due to adverse weather conditions contributed to a decline in economic activity throughout the entire year, resulting in the collection of revenues of 1,119.9 million € (33.6% of GDP), which is almost 90 million € (or 7.5%) less than initially planned under the 2012 Budget Law and 30 million €  (or 2.7%) lower in relation to the amount planned under the budget revision. VAT revenues amounted to 354.7 million € and they recorded a nominal decline of 37.5 million € or nearly 10% in relation to 2011. Negative deviations were also recorded in international trade and transactions tax, 16.4 million € or 36.1%, due to liberalization of the international market and the continuous reduction of customs tariffs. Revenue from corporate profit tax increased by 77.3% on the year-on-year level and this is due to the measures taken under the 2012 Budget Revision. Revenues from other taxes rose 4.7 million € as a result of the introduction of new duties as a part of a set of interim fiscal measures in 2012</w:t>
      </w:r>
      <w:r w:rsidRPr="00F63F72">
        <w:rPr>
          <w:rFonts w:ascii="Calibri" w:hAnsi="Calibri" w:cs="Calibri"/>
          <w:sz w:val="22"/>
          <w:szCs w:val="22"/>
        </w:rPr>
        <w:t>.</w:t>
      </w:r>
    </w:p>
    <w:p w:rsidR="008D3E5E" w:rsidRPr="00F63F72" w:rsidRDefault="008D3E5E" w:rsidP="008D3E5E">
      <w:pPr>
        <w:rPr>
          <w:rFonts w:ascii="Calibri" w:hAnsi="Calibri" w:cs="Calibri"/>
          <w:sz w:val="22"/>
        </w:rPr>
      </w:pPr>
    </w:p>
    <w:p w:rsidR="008D3E5E" w:rsidRPr="00F63F72" w:rsidRDefault="008D3E5E" w:rsidP="008D3E5E">
      <w:pPr>
        <w:jc w:val="both"/>
        <w:rPr>
          <w:rFonts w:ascii="Calibri" w:hAnsi="Calibri" w:cs="Calibri"/>
          <w:sz w:val="22"/>
        </w:rPr>
      </w:pPr>
      <w:r w:rsidRPr="00F63F72">
        <w:rPr>
          <w:rFonts w:ascii="Calibri" w:hAnsi="Calibri" w:cs="Calibri"/>
          <w:b/>
          <w:sz w:val="22"/>
        </w:rPr>
        <w:t>Budget expenditures</w:t>
      </w:r>
      <w:r w:rsidRPr="00F63F72">
        <w:rPr>
          <w:rFonts w:ascii="Calibri" w:hAnsi="Calibri" w:cs="Calibri"/>
          <w:sz w:val="22"/>
        </w:rPr>
        <w:t xml:space="preserve"> were executed in the amount of 1,282.6 million € (38.4% of GDP), which is almost 30 million € (2.4%) more than planned under the law and 22.4 million € (1.8 %) more than planned under the budget revision. This increase of expenditures occurred primarily due to the calling of guarantees, which were one of the reasons for making the budget revision, but also due to the higher amount of expenditures for the rights in the field of social protection (5.7 million €), pension and disability insurance (0.9 million €), subsidies (5.2 million €), expenditures for material and services (8.2 million €), interest (1.1 million €), and the budget reserves which exceeded the planned amount by 9.5 million €. Saving in 2012 were made in the expenditures for gross wages, 3 million €, severance pay (2.8 million €), while the capital budget was 6.7 million € below the plan. The percentage of the capital budget execution is almost 90%.</w:t>
      </w:r>
    </w:p>
    <w:p w:rsidR="008D3E5E" w:rsidRPr="00F63F72" w:rsidRDefault="008D3E5E" w:rsidP="008D3E5E">
      <w:pPr>
        <w:rPr>
          <w:rFonts w:ascii="Calibri" w:hAnsi="Calibri" w:cs="Calibri"/>
          <w:sz w:val="22"/>
        </w:rPr>
      </w:pPr>
    </w:p>
    <w:p w:rsidR="008D3E5E" w:rsidRPr="00F63F72" w:rsidRDefault="008D3E5E" w:rsidP="008D3E5E">
      <w:pPr>
        <w:jc w:val="both"/>
        <w:rPr>
          <w:rFonts w:ascii="Calibri" w:hAnsi="Calibri" w:cs="Calibri"/>
          <w:sz w:val="22"/>
        </w:rPr>
      </w:pPr>
      <w:r w:rsidRPr="00F63F72">
        <w:rPr>
          <w:rFonts w:ascii="Calibri" w:hAnsi="Calibri" w:cs="Calibri"/>
          <w:sz w:val="22"/>
        </w:rPr>
        <w:t>Such developments on the revenue and expenditure sides of the budget resulted in the budget deficit in 2012 in the amount of 162.7 million € or 4.87% of the estimated GDP (the Ministry of Finance estimate is 3,338.0 million €). Compared to the initially planned deficit, it was 120 million € (or 2.8 times) higher, while in relation to the budget revision it was 52.6 million € or nearly 50% higher.</w:t>
      </w:r>
    </w:p>
    <w:p w:rsidR="008D3E5E" w:rsidRPr="00F63F72" w:rsidRDefault="008D3E5E" w:rsidP="008D3E5E">
      <w:pPr>
        <w:rPr>
          <w:rFonts w:ascii="Calibri" w:hAnsi="Calibri" w:cs="Calibri"/>
          <w:sz w:val="22"/>
        </w:rPr>
      </w:pP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xml:space="preserve">Montenegro allocated 223.6 million € for </w:t>
      </w:r>
      <w:r w:rsidRPr="00F63F72">
        <w:rPr>
          <w:rFonts w:ascii="Calibri" w:hAnsi="Calibri" w:cs="Calibri"/>
          <w:b/>
          <w:sz w:val="22"/>
          <w:szCs w:val="22"/>
        </w:rPr>
        <w:t xml:space="preserve">debt repayment </w:t>
      </w:r>
      <w:r w:rsidRPr="00F63F72">
        <w:rPr>
          <w:rFonts w:ascii="Calibri" w:hAnsi="Calibri" w:cs="Calibri"/>
          <w:sz w:val="22"/>
          <w:szCs w:val="22"/>
        </w:rPr>
        <w:t xml:space="preserve">in 2012, whilst borrowing 329.4 million € in the same period. </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The</w:t>
      </w:r>
      <w:r w:rsidRPr="00F63F72">
        <w:rPr>
          <w:rFonts w:ascii="Calibri" w:hAnsi="Calibri" w:cs="Calibri"/>
          <w:b/>
          <w:sz w:val="22"/>
          <w:szCs w:val="22"/>
        </w:rPr>
        <w:t xml:space="preserve"> public debt </w:t>
      </w:r>
      <w:r w:rsidRPr="00F63F72">
        <w:rPr>
          <w:rFonts w:ascii="Calibri" w:hAnsi="Calibri" w:cs="Calibri"/>
          <w:sz w:val="22"/>
          <w:szCs w:val="22"/>
        </w:rPr>
        <w:t>amounted to 1,699.5 million € or 50.9% of gross domestic product. The internal debt stood at 404.5 million € or 12.1% of GDP, while the external debt amounted to 1,295.0 million € or 38.8% of GDP. Compared to the balance at end-2011, the public debt rose by 14.3% in 2012. Some 23.5 milli</w:t>
      </w:r>
      <w:r>
        <w:rPr>
          <w:rFonts w:ascii="Calibri" w:hAnsi="Calibri" w:cs="Calibri"/>
          <w:sz w:val="22"/>
          <w:szCs w:val="22"/>
        </w:rPr>
        <w:t>on € worth guarantee for Alumin</w:t>
      </w:r>
      <w:r w:rsidRPr="00F63F72">
        <w:rPr>
          <w:rFonts w:ascii="Calibri" w:hAnsi="Calibri" w:cs="Calibri"/>
          <w:sz w:val="22"/>
          <w:szCs w:val="22"/>
        </w:rPr>
        <w:t>um Plant Podgorica (KAP) were called in 2012.</w:t>
      </w: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 xml:space="preserve">Estimated </w:t>
      </w:r>
      <w:r w:rsidRPr="00F63F72">
        <w:rPr>
          <w:rFonts w:ascii="Calibri" w:hAnsi="Calibri" w:cs="Calibri"/>
          <w:b/>
          <w:sz w:val="22"/>
          <w:szCs w:val="22"/>
        </w:rPr>
        <w:t>public revenues</w:t>
      </w:r>
      <w:r w:rsidRPr="00F63F72">
        <w:rPr>
          <w:rFonts w:ascii="Calibri" w:hAnsi="Calibri" w:cs="Calibri"/>
          <w:sz w:val="22"/>
          <w:szCs w:val="22"/>
        </w:rPr>
        <w:t xml:space="preserve"> amounted to 243.28 million € (6.7% of GDP) in the period January-March 2013. Compared to the same period last year, they rose by 9%, which represents a nominal increase of 20 million €. This growth was mainly owing to the nominal increase in the revenues from VAT of 12.82 million €, contributions of 6.9 million €, and excise duties of 3.9 million €.</w:t>
      </w:r>
    </w:p>
    <w:p w:rsidR="008D3E5E" w:rsidRPr="00F63F72" w:rsidRDefault="008D3E5E" w:rsidP="008D3E5E">
      <w:pPr>
        <w:rPr>
          <w:rFonts w:ascii="Calibri" w:hAnsi="Calibri" w:cs="Calibri"/>
          <w:sz w:val="22"/>
          <w:szCs w:val="22"/>
        </w:rPr>
      </w:pP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At the same time, estimated public spending amounted to 298.5 million € (8.4% of GDP), which is an increase of 17.8 million € or 6.3% compared to Q1 2012. The increase was due to growing transfers to institution, individuals and NGOs, transfers for social protection rights, while expenditures for interest and subsidies declined.</w:t>
      </w:r>
    </w:p>
    <w:p w:rsidR="008D3E5E" w:rsidRPr="00F63F72" w:rsidRDefault="008D3E5E" w:rsidP="008D3E5E">
      <w:pPr>
        <w:rPr>
          <w:rFonts w:ascii="Calibri" w:hAnsi="Calibri" w:cs="Calibri"/>
          <w:sz w:val="22"/>
          <w:szCs w:val="22"/>
        </w:rPr>
      </w:pP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 xml:space="preserve">The public spending deficit was 55.2 million € (1.6% of GDP) at end-Q1 2013, being 2.18 million € higher than the one recorded in the same period the year before. </w:t>
      </w:r>
    </w:p>
    <w:p w:rsidR="008D3E5E" w:rsidRPr="00F63F72" w:rsidRDefault="008D3E5E" w:rsidP="008D3E5E">
      <w:pPr>
        <w:rPr>
          <w:rFonts w:ascii="Calibri" w:hAnsi="Calibri" w:cs="Calibri"/>
          <w:sz w:val="22"/>
          <w:szCs w:val="22"/>
        </w:rPr>
      </w:pP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lastRenderedPageBreak/>
        <w:t xml:space="preserve">The first quarter of 2013 was marked by the stabilization of budget revenues and the collection 3.3% above the planned level and 13.3% above the Q1 2012 level. Budget revenues amounted to 218.5 million € or 6.2% of GDP. The collection of VAT, corporate profit tax, contributions, and personal income tax increased in relation to the plan, which confirms that the measures taken to improve the budget revenue collection have generated positive results. These indicators of the budget execution evidence that measures taken to combat gray economy have been giving results, but also that the economic situation in the current year is better than in 2012. </w:t>
      </w:r>
    </w:p>
    <w:p w:rsidR="008D3E5E" w:rsidRPr="00F63F72" w:rsidRDefault="008D3E5E" w:rsidP="008D3E5E">
      <w:pPr>
        <w:rPr>
          <w:rFonts w:ascii="Calibri" w:hAnsi="Calibri" w:cs="Calibri"/>
          <w:b/>
          <w:sz w:val="20"/>
          <w:szCs w:val="22"/>
          <w:highlight w:val="yellow"/>
        </w:rPr>
      </w:pPr>
    </w:p>
    <w:p w:rsidR="008D3E5E" w:rsidRPr="00F63F72" w:rsidRDefault="008D3E5E" w:rsidP="008D3E5E">
      <w:pPr>
        <w:rPr>
          <w:rFonts w:ascii="Calibri" w:hAnsi="Calibri" w:cs="Calibri"/>
          <w:b/>
          <w:sz w:val="22"/>
          <w:szCs w:val="22"/>
          <w:highlight w:val="yellow"/>
        </w:rPr>
      </w:pPr>
    </w:p>
    <w:p w:rsidR="008D3E5E" w:rsidRPr="00F63F72" w:rsidRDefault="008D3E5E" w:rsidP="008D3E5E">
      <w:pPr>
        <w:pStyle w:val="ListParagraph"/>
        <w:numPr>
          <w:ilvl w:val="2"/>
          <w:numId w:val="24"/>
        </w:numPr>
        <w:spacing w:after="240"/>
        <w:contextualSpacing/>
        <w:jc w:val="both"/>
        <w:rPr>
          <w:rFonts w:ascii="Calibri" w:hAnsi="Calibri" w:cs="Calibri"/>
          <w:b/>
          <w:sz w:val="22"/>
          <w:szCs w:val="22"/>
        </w:rPr>
      </w:pPr>
      <w:r w:rsidRPr="00F63F72">
        <w:rPr>
          <w:rFonts w:ascii="Calibri" w:hAnsi="Calibri" w:cs="Calibri"/>
          <w:b/>
          <w:sz w:val="22"/>
          <w:szCs w:val="22"/>
        </w:rPr>
        <w:t>Projections of public finance in the 2013-2016 period</w:t>
      </w: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 xml:space="preserve">The </w:t>
      </w:r>
      <w:r>
        <w:rPr>
          <w:rFonts w:ascii="Calibri" w:hAnsi="Calibri" w:cs="Calibri"/>
          <w:sz w:val="22"/>
          <w:szCs w:val="22"/>
        </w:rPr>
        <w:t>Pre-Accession Economic Program</w:t>
      </w:r>
      <w:r w:rsidRPr="00F63F72">
        <w:rPr>
          <w:rFonts w:ascii="Calibri" w:hAnsi="Calibri" w:cs="Calibri"/>
          <w:sz w:val="22"/>
          <w:szCs w:val="22"/>
        </w:rPr>
        <w:t xml:space="preserve"> (PEP) for 2012-2015 contains ​​two macroeconomic scenarios whereby both predict growth of 0.5% in 2012. The PEP baseline scenario for 2013 envisages recovery with the rate of economic growth of 2.5%. Given the developments in the period following the adoption of the PEP and preliminary data on economic growth, the Ministry of Finance revised the 2012 growth projection to -0.5%. Negative trends from 2012 were stopped and available macroeconomic and fiscal indicators show that the projections of the Montenegrin economy recorded GDP growth of 4.4% in Q1 2013. The announced increase in the production of electricity, information on bookings for the upcoming tourist season, and the announced investments indicate that the economy will grow at the rate of 2.5% in 2013. Taking into account the assumption that there will be significant growths in tourism, investments and the production of electricity, the projections of the Ministry of Finance showed that, in the medium term, the economy will grow at an average rate of 3.6%. After revisited macroeconomic projections for 2013 and the medium term, the fiscal projections for 2013 and the medium-term fiscal framework were also reconsidered. To wit, after the budget revision in April 2012, and revised projections in September, as shown in the PEP, the year 2012, according to preliminary data, saw even lower budget revenue collection than planned, yet lower than estimated in the PEP. The lower revenue collection in 2012 induced the revision of fiscal projections for 2013-2015. Therefore, certain fiscal measures were taken in early 2013 to ensure the planned fiscal consolidation.</w:t>
      </w:r>
    </w:p>
    <w:p w:rsidR="008D3E5E" w:rsidRPr="00F63F72" w:rsidRDefault="008D3E5E" w:rsidP="008D3E5E">
      <w:pPr>
        <w:spacing w:after="240"/>
        <w:jc w:val="both"/>
        <w:rPr>
          <w:rFonts w:ascii="Calibri" w:hAnsi="Calibri" w:cs="Calibri"/>
          <w:sz w:val="22"/>
          <w:szCs w:val="22"/>
        </w:rPr>
      </w:pP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Already in early 2013 the Ministry of Finance prepared a set of fiscal measures that were based on the creation of preconditions for sustainability of public finances. These measures are:</w:t>
      </w:r>
    </w:p>
    <w:p w:rsidR="008D3E5E" w:rsidRPr="00F63F72" w:rsidRDefault="008D3E5E" w:rsidP="008D3E5E">
      <w:pPr>
        <w:pStyle w:val="ListParagraph"/>
        <w:numPr>
          <w:ilvl w:val="0"/>
          <w:numId w:val="36"/>
        </w:numPr>
        <w:spacing w:after="240"/>
        <w:contextualSpacing/>
        <w:jc w:val="both"/>
        <w:rPr>
          <w:rFonts w:ascii="Calibri" w:hAnsi="Calibri" w:cs="Calibri"/>
          <w:sz w:val="22"/>
          <w:szCs w:val="22"/>
        </w:rPr>
      </w:pPr>
      <w:r w:rsidRPr="00F63F72">
        <w:rPr>
          <w:rFonts w:ascii="Calibri" w:hAnsi="Calibri" w:cs="Calibri"/>
          <w:sz w:val="22"/>
          <w:szCs w:val="22"/>
        </w:rPr>
        <w:t>Introduction of the so-called “crisis tax” at the rate of 15% on wages exceeding the average wage in the country;</w:t>
      </w:r>
    </w:p>
    <w:p w:rsidR="008D3E5E" w:rsidRPr="00F63F72" w:rsidRDefault="008D3E5E" w:rsidP="008D3E5E">
      <w:pPr>
        <w:pStyle w:val="ListParagraph"/>
        <w:numPr>
          <w:ilvl w:val="0"/>
          <w:numId w:val="36"/>
        </w:numPr>
        <w:spacing w:after="240"/>
        <w:contextualSpacing/>
        <w:jc w:val="both"/>
        <w:rPr>
          <w:rFonts w:ascii="Calibri" w:hAnsi="Calibri" w:cs="Calibri"/>
          <w:sz w:val="22"/>
          <w:szCs w:val="22"/>
        </w:rPr>
      </w:pPr>
      <w:r w:rsidRPr="00F63F72">
        <w:rPr>
          <w:rFonts w:ascii="Calibri" w:hAnsi="Calibri" w:cs="Calibri"/>
          <w:sz w:val="22"/>
          <w:szCs w:val="22"/>
        </w:rPr>
        <w:t>Introduction of measures to suppress gray economy, followed by higher fines for offenders;</w:t>
      </w:r>
    </w:p>
    <w:p w:rsidR="008D3E5E" w:rsidRPr="00F63F72" w:rsidRDefault="008D3E5E" w:rsidP="008D3E5E">
      <w:pPr>
        <w:pStyle w:val="ListParagraph"/>
        <w:numPr>
          <w:ilvl w:val="0"/>
          <w:numId w:val="36"/>
        </w:numPr>
        <w:spacing w:after="240"/>
        <w:contextualSpacing/>
        <w:jc w:val="both"/>
        <w:rPr>
          <w:rFonts w:ascii="Calibri" w:hAnsi="Calibri" w:cs="Calibri"/>
          <w:sz w:val="22"/>
          <w:szCs w:val="22"/>
        </w:rPr>
      </w:pPr>
      <w:r w:rsidRPr="00F63F72">
        <w:rPr>
          <w:rFonts w:ascii="Calibri" w:hAnsi="Calibri" w:cs="Calibri"/>
          <w:sz w:val="22"/>
          <w:szCs w:val="22"/>
        </w:rPr>
        <w:t>Interim freeze on pensions, i.e. the suspension of pension adjustments in 2013;</w:t>
      </w:r>
    </w:p>
    <w:p w:rsidR="008D3E5E" w:rsidRPr="00F63F72" w:rsidRDefault="008D3E5E" w:rsidP="008D3E5E">
      <w:pPr>
        <w:pStyle w:val="ListParagraph"/>
        <w:numPr>
          <w:ilvl w:val="0"/>
          <w:numId w:val="36"/>
        </w:numPr>
        <w:spacing w:after="240"/>
        <w:contextualSpacing/>
        <w:jc w:val="both"/>
        <w:rPr>
          <w:rFonts w:ascii="Calibri" w:hAnsi="Calibri" w:cs="Calibri"/>
          <w:sz w:val="22"/>
          <w:szCs w:val="22"/>
        </w:rPr>
      </w:pPr>
      <w:r w:rsidRPr="00F63F72">
        <w:rPr>
          <w:rFonts w:ascii="Calibri" w:hAnsi="Calibri" w:cs="Calibri"/>
          <w:sz w:val="22"/>
          <w:szCs w:val="22"/>
        </w:rPr>
        <w:t>Duties on SIM cards, smoking zones, electric meters and cable television to be in effect until the end of 2013;</w:t>
      </w:r>
    </w:p>
    <w:p w:rsidR="008D3E5E" w:rsidRPr="00F63F72" w:rsidRDefault="008D3E5E" w:rsidP="008D3E5E">
      <w:pPr>
        <w:pStyle w:val="ListParagraph"/>
        <w:numPr>
          <w:ilvl w:val="0"/>
          <w:numId w:val="36"/>
        </w:numPr>
        <w:spacing w:after="240"/>
        <w:contextualSpacing/>
        <w:jc w:val="both"/>
        <w:rPr>
          <w:rFonts w:ascii="Calibri" w:hAnsi="Calibri" w:cs="Calibri"/>
          <w:sz w:val="22"/>
          <w:szCs w:val="22"/>
        </w:rPr>
      </w:pPr>
      <w:r w:rsidRPr="00F63F72">
        <w:rPr>
          <w:rFonts w:ascii="Calibri" w:hAnsi="Calibri" w:cs="Calibri"/>
          <w:sz w:val="22"/>
          <w:szCs w:val="22"/>
        </w:rPr>
        <w:t>An increase of the minimum wage from 30% to 40% of the average wage;</w:t>
      </w:r>
    </w:p>
    <w:p w:rsidR="008D3E5E" w:rsidRPr="00F63F72" w:rsidRDefault="008D3E5E" w:rsidP="008D3E5E">
      <w:pPr>
        <w:pStyle w:val="ListParagraph"/>
        <w:numPr>
          <w:ilvl w:val="0"/>
          <w:numId w:val="36"/>
        </w:numPr>
        <w:jc w:val="both"/>
        <w:rPr>
          <w:rFonts w:ascii="Calibri" w:hAnsi="Calibri" w:cs="Calibri"/>
          <w:sz w:val="22"/>
          <w:szCs w:val="22"/>
        </w:rPr>
      </w:pPr>
      <w:r w:rsidRPr="00F63F72">
        <w:rPr>
          <w:rFonts w:ascii="Calibri" w:hAnsi="Calibri" w:cs="Calibri"/>
          <w:sz w:val="22"/>
          <w:szCs w:val="22"/>
        </w:rPr>
        <w:t>Rationalization of spending of managing boards in public enterprises, institutions, funds, and most companies where the state has the controlling share. De</w:t>
      </w:r>
      <w:r>
        <w:rPr>
          <w:rFonts w:ascii="Calibri" w:hAnsi="Calibri" w:cs="Calibri"/>
          <w:sz w:val="22"/>
          <w:szCs w:val="22"/>
        </w:rPr>
        <w:t>-professionaliz</w:t>
      </w:r>
      <w:r w:rsidRPr="00F63F72">
        <w:rPr>
          <w:rFonts w:ascii="Calibri" w:hAnsi="Calibri" w:cs="Calibri"/>
          <w:sz w:val="22"/>
          <w:szCs w:val="22"/>
        </w:rPr>
        <w:t>ation of managing boards was performed and remunerations to chairmen and members of managing boards were reduced and limited.</w:t>
      </w:r>
    </w:p>
    <w:p w:rsidR="008D3E5E" w:rsidRPr="00F63F72" w:rsidRDefault="008D3E5E" w:rsidP="008D3E5E">
      <w:pPr>
        <w:pStyle w:val="ListParagraph"/>
        <w:numPr>
          <w:ilvl w:val="0"/>
          <w:numId w:val="36"/>
        </w:numPr>
        <w:jc w:val="both"/>
        <w:rPr>
          <w:rFonts w:ascii="Calibri" w:hAnsi="Calibri" w:cs="Calibri"/>
          <w:sz w:val="22"/>
          <w:szCs w:val="22"/>
        </w:rPr>
      </w:pPr>
      <w:r w:rsidRPr="00F63F72">
        <w:rPr>
          <w:rFonts w:ascii="Calibri" w:hAnsi="Calibri" w:cs="Calibri"/>
          <w:sz w:val="22"/>
          <w:szCs w:val="22"/>
        </w:rPr>
        <w:t>Rationalization of the regulatory agencies. The proposed adjustments of their earnings with those of the civil servants and state employees and reducing discretionary spending. Amendments to the relevant legislation enabled the excess revenues of the regulatory agencies to be transferred to the budget.</w:t>
      </w:r>
    </w:p>
    <w:p w:rsidR="008D3E5E" w:rsidRPr="00F63F72" w:rsidRDefault="008D3E5E" w:rsidP="008D3E5E">
      <w:pPr>
        <w:pStyle w:val="ListParagraph"/>
        <w:numPr>
          <w:ilvl w:val="0"/>
          <w:numId w:val="36"/>
        </w:numPr>
        <w:jc w:val="both"/>
        <w:rPr>
          <w:rFonts w:ascii="Calibri" w:hAnsi="Calibri" w:cs="Calibri"/>
          <w:sz w:val="22"/>
          <w:szCs w:val="22"/>
        </w:rPr>
      </w:pPr>
      <w:r w:rsidRPr="00F63F72">
        <w:rPr>
          <w:rFonts w:ascii="Calibri" w:hAnsi="Calibri" w:cs="Calibri"/>
          <w:sz w:val="22"/>
          <w:szCs w:val="22"/>
        </w:rPr>
        <w:t>Reducing the number of government working bodies and remunerations to their members.</w:t>
      </w:r>
    </w:p>
    <w:p w:rsidR="008D3E5E" w:rsidRPr="00F63F72" w:rsidRDefault="008D3E5E" w:rsidP="008D3E5E">
      <w:pPr>
        <w:rPr>
          <w:rFonts w:ascii="Calibri" w:hAnsi="Calibri" w:cs="Calibri"/>
          <w:sz w:val="22"/>
          <w:szCs w:val="22"/>
        </w:rPr>
      </w:pP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 xml:space="preserve">After a detailed analysis, the Ministry of Finance will consider a potential extending of the interim fiscal consolidation measures. In addition to these measures governing spending, the public administration </w:t>
      </w:r>
      <w:r w:rsidRPr="00F63F72">
        <w:rPr>
          <w:rFonts w:ascii="Calibri" w:hAnsi="Calibri" w:cs="Calibri"/>
          <w:sz w:val="22"/>
          <w:szCs w:val="22"/>
        </w:rPr>
        <w:lastRenderedPageBreak/>
        <w:t xml:space="preserve">reform aims to reduce employment in the public sector. </w:t>
      </w:r>
      <w:r w:rsidRPr="00F63F72">
        <w:rPr>
          <w:rFonts w:ascii="Calibri" w:hAnsi="Calibri" w:cs="Calibri"/>
          <w:b/>
          <w:sz w:val="22"/>
          <w:szCs w:val="22"/>
        </w:rPr>
        <w:t>The priority objective of economic policy in 2013 is the stabilization and consolidation of public finances while creating the conditions for an increase of foreign and domestic investments and the continuation of the financial sector stabilization.</w:t>
      </w:r>
      <w:r w:rsidRPr="00F63F72">
        <w:rPr>
          <w:rFonts w:ascii="Calibri" w:hAnsi="Calibri" w:cs="Calibri"/>
          <w:sz w:val="22"/>
          <w:szCs w:val="22"/>
        </w:rPr>
        <w:t xml:space="preserve"> The need for fiscal consolidation and increased competitiveness of the economy is one of the priorities in the process of European integration. With a view to ensuring effective management of public finance, the introduction of fiscal rules and the creation of an institutional framework for their consistent application are set as the priority. Increasing the flexibility and mobility of the labor market and facilitating requirements for obtaining building permits in accordance with the recommendations of international rating reports. The fiscal policy priority is to maintain stability and reduce the deficit and the debt, in parallel with the implementation of measures to combat gray economy. Improving the tax system will be continued through the harmonization of the law on excise duties with EU Directives. In financial terms, liquidity in the banking sector is necessary, as well as the contribution to creating the conditions for an increase in bank lending.</w:t>
      </w:r>
    </w:p>
    <w:p w:rsidR="008D3E5E" w:rsidRPr="00F63F72" w:rsidRDefault="008D3E5E" w:rsidP="008D3E5E">
      <w:pPr>
        <w:jc w:val="both"/>
        <w:rPr>
          <w:rFonts w:ascii="Calibri" w:hAnsi="Calibri" w:cs="Calibri"/>
          <w:sz w:val="22"/>
          <w:szCs w:val="22"/>
        </w:rPr>
      </w:pPr>
    </w:p>
    <w:p w:rsidR="008D3E5E" w:rsidRPr="00F63F72" w:rsidRDefault="008D3E5E" w:rsidP="008D3E5E">
      <w:pPr>
        <w:spacing w:after="240"/>
        <w:jc w:val="both"/>
        <w:rPr>
          <w:rFonts w:ascii="Calibri" w:hAnsi="Calibri" w:cs="Calibri"/>
          <w:sz w:val="22"/>
          <w:szCs w:val="22"/>
        </w:rPr>
      </w:pPr>
      <w:r w:rsidRPr="00F63F72">
        <w:rPr>
          <w:rFonts w:ascii="Calibri" w:hAnsi="Calibri" w:cs="Calibri"/>
          <w:b/>
          <w:sz w:val="22"/>
          <w:szCs w:val="22"/>
        </w:rPr>
        <w:t>Public revenues</w:t>
      </w:r>
      <w:r w:rsidRPr="00F63F72">
        <w:rPr>
          <w:rFonts w:ascii="Calibri" w:hAnsi="Calibri" w:cs="Calibri"/>
          <w:sz w:val="22"/>
          <w:szCs w:val="22"/>
        </w:rPr>
        <w:t xml:space="preserve">. The main objectives on the revenue side over the medium term are the increasing of revenues collection and reducing gray economy. Although all </w:t>
      </w:r>
      <w:r>
        <w:rPr>
          <w:rFonts w:ascii="Calibri" w:hAnsi="Calibri" w:cs="Calibri"/>
          <w:sz w:val="22"/>
          <w:szCs w:val="22"/>
        </w:rPr>
        <w:t>neighbo</w:t>
      </w:r>
      <w:r w:rsidRPr="00F63F72">
        <w:rPr>
          <w:rFonts w:ascii="Calibri" w:hAnsi="Calibri" w:cs="Calibri"/>
          <w:sz w:val="22"/>
          <w:szCs w:val="22"/>
        </w:rPr>
        <w:t>ring countries increased their tax rates, in particular VAT, against the backdrop of deteriorated economic indicators in 2012, the Ministry of Finance of Montenegro based its tax policy in 2012 and 2013 on the introduction of symbolic taxes on products categorized as luxury. The commitment of the Ministry of Finance in the period 2012-2013 was to improve the revenues collection system whilst reducing the possibilities for irregular business operations. An action plan to combat gray economy was drafted and fines for irregular businesses were increased. The law on combating gray economy is being drafted. However, the VAT rate increase was considered as the last resort measure. A set of analyses were made with regard to the recommendations of the international financial institutions to increase VAT from 17% to 19%. The results show that there would be a one-off prices increase but all the other effects on the economy would be positive in the long term. The prices increase would lead to a reduction in disposable income and thus a reduction in consumption, but it is expected that the revenue from VAT collection would increase 8% - 9% per annum.</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 xml:space="preserve">The </w:t>
      </w:r>
      <w:r w:rsidRPr="00F63F72">
        <w:rPr>
          <w:rFonts w:ascii="Calibri" w:hAnsi="Calibri" w:cs="Calibri"/>
          <w:b/>
          <w:sz w:val="22"/>
          <w:szCs w:val="22"/>
        </w:rPr>
        <w:t>total financial effect</w:t>
      </w:r>
      <w:r w:rsidRPr="00F63F72">
        <w:rPr>
          <w:rFonts w:ascii="Calibri" w:hAnsi="Calibri" w:cs="Calibri"/>
          <w:sz w:val="22"/>
          <w:szCs w:val="22"/>
        </w:rPr>
        <w:t xml:space="preserve"> of the measures taken to increase revenue collection in 2013, according to conservative calculations, will amount to between 45-55 million € (excluding gray economy), of which:</w:t>
      </w:r>
    </w:p>
    <w:p w:rsidR="008D3E5E" w:rsidRPr="00F63F72" w:rsidRDefault="008D3E5E" w:rsidP="008D3E5E">
      <w:pPr>
        <w:pStyle w:val="ListParagraph"/>
        <w:numPr>
          <w:ilvl w:val="0"/>
          <w:numId w:val="29"/>
        </w:numPr>
        <w:spacing w:line="276" w:lineRule="auto"/>
        <w:jc w:val="both"/>
        <w:rPr>
          <w:rFonts w:ascii="Calibri" w:hAnsi="Calibri" w:cs="Calibri"/>
          <w:sz w:val="22"/>
          <w:szCs w:val="22"/>
        </w:rPr>
      </w:pPr>
      <w:r w:rsidRPr="00F63F72">
        <w:rPr>
          <w:rFonts w:ascii="Calibri" w:hAnsi="Calibri" w:cs="Calibri"/>
          <w:sz w:val="22"/>
          <w:szCs w:val="22"/>
        </w:rPr>
        <w:t xml:space="preserve">Duties on SIM cards, smoking zones, electric meters and cable television that will be in effect in 2013 could generate the total revenue of 12 million €. </w:t>
      </w:r>
    </w:p>
    <w:p w:rsidR="008D3E5E" w:rsidRPr="00F63F72" w:rsidRDefault="008D3E5E" w:rsidP="008D3E5E">
      <w:pPr>
        <w:pStyle w:val="ListParagraph"/>
        <w:numPr>
          <w:ilvl w:val="0"/>
          <w:numId w:val="29"/>
        </w:numPr>
        <w:spacing w:line="276" w:lineRule="auto"/>
        <w:jc w:val="both"/>
        <w:rPr>
          <w:rFonts w:ascii="Calibri" w:hAnsi="Calibri" w:cs="Calibri"/>
          <w:sz w:val="22"/>
          <w:szCs w:val="22"/>
        </w:rPr>
      </w:pPr>
      <w:r w:rsidRPr="00F63F72">
        <w:rPr>
          <w:rFonts w:ascii="Calibri" w:hAnsi="Calibri" w:cs="Calibri"/>
          <w:sz w:val="22"/>
          <w:szCs w:val="22"/>
        </w:rPr>
        <w:t>The fiscal impact of the rate of 15% on gross wages exceeding the average wage will contribute to the realization of revenues of 7.5 million €.</w:t>
      </w:r>
    </w:p>
    <w:p w:rsidR="008D3E5E" w:rsidRPr="00F63F72" w:rsidRDefault="008D3E5E" w:rsidP="008D3E5E">
      <w:pPr>
        <w:pStyle w:val="ListParagraph"/>
        <w:numPr>
          <w:ilvl w:val="0"/>
          <w:numId w:val="29"/>
        </w:numPr>
        <w:spacing w:line="276" w:lineRule="auto"/>
        <w:jc w:val="both"/>
        <w:rPr>
          <w:rFonts w:ascii="Calibri" w:hAnsi="Calibri" w:cs="Calibri"/>
          <w:sz w:val="22"/>
          <w:szCs w:val="22"/>
        </w:rPr>
      </w:pPr>
      <w:r w:rsidRPr="00F63F72">
        <w:rPr>
          <w:rFonts w:ascii="Calibri" w:hAnsi="Calibri" w:cs="Calibri"/>
          <w:sz w:val="22"/>
          <w:szCs w:val="22"/>
        </w:rPr>
        <w:t xml:space="preserve">The planning of income also implies the effects of measures of collection of tax revenues and reduction of gray economy. Also, the assumption is that because of the radical measures in the collection of future taxes and due to the tax debt from the previous period, as well as combating gray economy, a part of tax arrears will be collected and the tax base will be expanded. Although there are no assessment of the fiscal impact and scope of the gray economy, results after Q1 2013 are encouraging. </w:t>
      </w:r>
    </w:p>
    <w:p w:rsidR="008D3E5E" w:rsidRPr="00F63F72" w:rsidRDefault="008D3E5E" w:rsidP="008D3E5E">
      <w:pPr>
        <w:pStyle w:val="ListParagraph"/>
        <w:numPr>
          <w:ilvl w:val="0"/>
          <w:numId w:val="29"/>
        </w:numPr>
        <w:spacing w:line="276" w:lineRule="auto"/>
        <w:jc w:val="both"/>
        <w:rPr>
          <w:rFonts w:ascii="Calibri" w:hAnsi="Calibri" w:cs="Calibri"/>
          <w:sz w:val="22"/>
          <w:szCs w:val="22"/>
        </w:rPr>
      </w:pPr>
      <w:r w:rsidRPr="00F63F72">
        <w:rPr>
          <w:rFonts w:ascii="Calibri" w:hAnsi="Calibri" w:cs="Calibri"/>
          <w:sz w:val="22"/>
          <w:szCs w:val="22"/>
        </w:rPr>
        <w:t>The fiscal impact of the VAT rate of 19% to be applied as of 1 July 2013 would result in additional revenue of 25 million €.</w:t>
      </w:r>
    </w:p>
    <w:p w:rsidR="008D3E5E" w:rsidRPr="00F63F72" w:rsidRDefault="008D3E5E" w:rsidP="008D3E5E">
      <w:pPr>
        <w:pStyle w:val="ListParagraph"/>
        <w:numPr>
          <w:ilvl w:val="0"/>
          <w:numId w:val="29"/>
        </w:numPr>
        <w:spacing w:line="276" w:lineRule="auto"/>
        <w:jc w:val="both"/>
        <w:rPr>
          <w:rFonts w:ascii="Calibri" w:hAnsi="Calibri" w:cs="Calibri"/>
          <w:sz w:val="22"/>
          <w:szCs w:val="22"/>
        </w:rPr>
      </w:pPr>
      <w:r w:rsidRPr="00F63F72">
        <w:rPr>
          <w:rFonts w:ascii="Calibri" w:hAnsi="Calibri" w:cs="Calibri"/>
          <w:sz w:val="22"/>
          <w:szCs w:val="22"/>
        </w:rPr>
        <w:t xml:space="preserve">Increasing the minimum wage from 30% to 40% of the average wage in Montenegro will have a positive effect on the public finances and the economy. On one hand, it will reduce the abuses in the </w:t>
      </w:r>
      <w:r>
        <w:rPr>
          <w:rFonts w:ascii="Calibri" w:hAnsi="Calibri" w:cs="Calibri"/>
          <w:sz w:val="22"/>
          <w:szCs w:val="22"/>
        </w:rPr>
        <w:t>labo</w:t>
      </w:r>
      <w:r w:rsidRPr="00F63F72">
        <w:rPr>
          <w:rFonts w:ascii="Calibri" w:hAnsi="Calibri" w:cs="Calibri"/>
          <w:sz w:val="22"/>
          <w:szCs w:val="22"/>
        </w:rPr>
        <w:t>r market, and on the other hand, it will reduce the pension fund deficit which in the previous period suffered significant pressures resulting from avoiding the payment of contributions and the growing number of pensioners.</w:t>
      </w:r>
    </w:p>
    <w:p w:rsidR="008D3E5E" w:rsidRPr="00F63F72" w:rsidRDefault="008D3E5E" w:rsidP="008D3E5E">
      <w:pPr>
        <w:pStyle w:val="ListParagraph"/>
        <w:numPr>
          <w:ilvl w:val="0"/>
          <w:numId w:val="29"/>
        </w:numPr>
        <w:spacing w:line="276" w:lineRule="auto"/>
        <w:jc w:val="both"/>
        <w:rPr>
          <w:rFonts w:ascii="Calibri" w:hAnsi="Calibri" w:cs="Calibri"/>
          <w:sz w:val="22"/>
          <w:szCs w:val="22"/>
        </w:rPr>
      </w:pPr>
      <w:r w:rsidRPr="00F63F72">
        <w:rPr>
          <w:rFonts w:ascii="Calibri" w:hAnsi="Calibri" w:cs="Calibri"/>
          <w:sz w:val="22"/>
          <w:szCs w:val="22"/>
        </w:rPr>
        <w:lastRenderedPageBreak/>
        <w:t>After a detailed analysis, the Ministry of Finance will decide on the continuation of application of the interim fiscal measures.</w:t>
      </w:r>
    </w:p>
    <w:p w:rsidR="008D3E5E" w:rsidRPr="00F63F72" w:rsidRDefault="008D3E5E" w:rsidP="008D3E5E">
      <w:pPr>
        <w:pStyle w:val="ListParagraph"/>
        <w:spacing w:line="276" w:lineRule="auto"/>
        <w:rPr>
          <w:rFonts w:ascii="Calibri" w:hAnsi="Calibri" w:cs="Calibri"/>
          <w:color w:val="FF0000"/>
          <w:sz w:val="22"/>
          <w:szCs w:val="22"/>
        </w:rPr>
      </w:pPr>
    </w:p>
    <w:p w:rsidR="008D3E5E" w:rsidRPr="00F63F72" w:rsidRDefault="008D3E5E" w:rsidP="008D3E5E">
      <w:pPr>
        <w:jc w:val="both"/>
        <w:rPr>
          <w:rFonts w:ascii="Calibri" w:hAnsi="Calibri" w:cs="Calibri"/>
          <w:sz w:val="22"/>
          <w:szCs w:val="22"/>
        </w:rPr>
      </w:pPr>
      <w:r w:rsidRPr="00F63F72">
        <w:rPr>
          <w:rFonts w:ascii="Calibri" w:hAnsi="Calibri" w:cs="Calibri"/>
          <w:i/>
          <w:sz w:val="22"/>
          <w:szCs w:val="22"/>
        </w:rPr>
        <w:t>Budget revenues</w:t>
      </w:r>
      <w:r w:rsidRPr="00F63F72">
        <w:rPr>
          <w:rFonts w:ascii="Calibri" w:hAnsi="Calibri" w:cs="Calibri"/>
          <w:sz w:val="22"/>
          <w:szCs w:val="22"/>
        </w:rPr>
        <w:t xml:space="preserve"> in 2013 are estimated at 1,182.63 million € or 33.6% of GDP. </w:t>
      </w:r>
      <w:r w:rsidRPr="00F63F72">
        <w:rPr>
          <w:rFonts w:ascii="Calibri" w:hAnsi="Calibri" w:cs="Calibri"/>
          <w:b/>
          <w:sz w:val="22"/>
          <w:szCs w:val="22"/>
        </w:rPr>
        <w:t>Compared to the budget execution in 2012, revenues in 2013 will be 5.5% or 62.7 million € higher</w:t>
      </w:r>
      <w:r w:rsidRPr="00F63F72">
        <w:rPr>
          <w:rFonts w:ascii="Calibri" w:hAnsi="Calibri" w:cs="Calibri"/>
          <w:sz w:val="22"/>
          <w:szCs w:val="22"/>
        </w:rPr>
        <w:t>. With the rate of economic growth of 2.5% in 2013 and the achieved fiscal effect of the aforesaid measures, the stated amount of budget revenues will be achieved in the current year.</w:t>
      </w:r>
    </w:p>
    <w:p w:rsidR="008D3E5E" w:rsidRPr="00F63F72" w:rsidRDefault="008D3E5E" w:rsidP="008D3E5E">
      <w:pPr>
        <w:rPr>
          <w:rFonts w:ascii="Calibri" w:hAnsi="Calibri" w:cs="Calibri"/>
          <w:sz w:val="22"/>
          <w:szCs w:val="22"/>
        </w:rPr>
      </w:pP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 xml:space="preserve">When creating the Guidelines, we considered </w:t>
      </w:r>
      <w:r>
        <w:rPr>
          <w:rFonts w:ascii="Calibri" w:hAnsi="Calibri" w:cs="Calibri"/>
          <w:sz w:val="22"/>
          <w:szCs w:val="22"/>
        </w:rPr>
        <w:t>and planned for further harmoniz</w:t>
      </w:r>
      <w:r w:rsidRPr="00F63F72">
        <w:rPr>
          <w:rFonts w:ascii="Calibri" w:hAnsi="Calibri" w:cs="Calibri"/>
          <w:sz w:val="22"/>
          <w:szCs w:val="22"/>
        </w:rPr>
        <w:t xml:space="preserve">ation of the law on excise duties excise policies in the member states of the European Union. </w:t>
      </w:r>
      <w:r>
        <w:rPr>
          <w:rFonts w:ascii="Calibri" w:hAnsi="Calibri" w:cs="Calibri"/>
          <w:sz w:val="22"/>
          <w:szCs w:val="22"/>
        </w:rPr>
        <w:t>This harmoniz</w:t>
      </w:r>
      <w:r w:rsidRPr="00F63F72">
        <w:rPr>
          <w:rFonts w:ascii="Calibri" w:hAnsi="Calibri" w:cs="Calibri"/>
          <w:sz w:val="22"/>
          <w:szCs w:val="22"/>
        </w:rPr>
        <w:t>ation means further growth of excise rates on the existing excise categories, and we can surely expect a positive fiscal impact on the budget revenues. In Q2 2013, it is planned to harmonize excise duties on tobacco and tobacco products that are expected to generate revenues of around 2 million € in the second half of 2013, while the estimated fiscal impact at the annual level will be about 4 million €.</w:t>
      </w:r>
    </w:p>
    <w:p w:rsidR="008D3E5E" w:rsidRPr="00F63F72" w:rsidRDefault="008D3E5E" w:rsidP="008D3E5E">
      <w:pPr>
        <w:spacing w:after="240"/>
        <w:jc w:val="both"/>
        <w:rPr>
          <w:rFonts w:ascii="Calibri" w:hAnsi="Calibri" w:cs="Calibri"/>
          <w:b/>
          <w:sz w:val="22"/>
          <w:szCs w:val="22"/>
        </w:rPr>
      </w:pPr>
    </w:p>
    <w:p w:rsidR="008D3E5E" w:rsidRPr="00F63F72" w:rsidRDefault="008D3E5E" w:rsidP="008D3E5E">
      <w:pPr>
        <w:spacing w:after="240"/>
        <w:jc w:val="both"/>
        <w:rPr>
          <w:rFonts w:ascii="Calibri" w:hAnsi="Calibri" w:cs="Calibri"/>
          <w:sz w:val="22"/>
          <w:szCs w:val="22"/>
        </w:rPr>
      </w:pPr>
      <w:r w:rsidRPr="00F63F72">
        <w:rPr>
          <w:rFonts w:ascii="Calibri" w:hAnsi="Calibri" w:cs="Calibri"/>
          <w:b/>
          <w:sz w:val="22"/>
          <w:szCs w:val="22"/>
        </w:rPr>
        <w:t>The projections of growth of public revenues in the medium term</w:t>
      </w:r>
      <w:r w:rsidRPr="00F63F72">
        <w:rPr>
          <w:rFonts w:ascii="Calibri" w:hAnsi="Calibri" w:cs="Calibri"/>
          <w:sz w:val="22"/>
          <w:szCs w:val="22"/>
        </w:rPr>
        <w:t xml:space="preserve"> were made in accordance with the projected rates of economic recovery and the inflation trending during this period. Taking into account the measures envisaged for the budget side, the public revenues in 2013 were estimated in absolute terms of 1,318.9 or 35.9% of GDP, which is 0.7 percentage points higher than planned for 2013.</w:t>
      </w:r>
    </w:p>
    <w:p w:rsidR="008D3E5E" w:rsidRPr="00F63F72" w:rsidRDefault="008D3E5E" w:rsidP="008D3E5E">
      <w:pPr>
        <w:spacing w:after="240"/>
        <w:jc w:val="both"/>
        <w:rPr>
          <w:rFonts w:ascii="Calibri" w:hAnsi="Calibri" w:cs="Calibri"/>
          <w:sz w:val="22"/>
          <w:szCs w:val="22"/>
        </w:rPr>
      </w:pPr>
      <w:r w:rsidRPr="00F63F72">
        <w:rPr>
          <w:rFonts w:ascii="Calibri" w:hAnsi="Calibri" w:cs="Calibri"/>
          <w:sz w:val="22"/>
          <w:szCs w:val="22"/>
        </w:rPr>
        <w:t>A gradual growth of current revenues in absolute terms is planned for the period 2014-2016, increasing from 1,341.6 million € in 2014 to 1,429.0 million € in 2016, while as a percentage of GDP, a slight decline is expected to 33.5% of GDP. The highest growth is expected in indirect revenues, especially from value added tax, excise and customs duties (a little lower than expected GDP growth), while no significant growth in revenues is expected from direct taxes due to the freezing of wages and suspension of  employment in the public sector. Direct taxes and non-tax revenues are projected at somewhat lower levels compared to the projected growth in indirect taxes.</w:t>
      </w:r>
    </w:p>
    <w:p w:rsidR="008D3E5E" w:rsidRPr="00F63F72" w:rsidRDefault="008D3E5E" w:rsidP="008D3E5E">
      <w:pPr>
        <w:spacing w:after="240"/>
        <w:jc w:val="both"/>
        <w:rPr>
          <w:rFonts w:ascii="Calibri" w:hAnsi="Calibri" w:cs="Calibri"/>
          <w:sz w:val="22"/>
          <w:szCs w:val="22"/>
        </w:rPr>
      </w:pPr>
      <w:r w:rsidRPr="00F63F72">
        <w:rPr>
          <w:rFonts w:ascii="Calibri" w:hAnsi="Calibri" w:cs="Calibri"/>
          <w:i/>
          <w:sz w:val="22"/>
          <w:szCs w:val="22"/>
        </w:rPr>
        <w:t>Budget revenues</w:t>
      </w:r>
      <w:r w:rsidRPr="00F63F72">
        <w:rPr>
          <w:rFonts w:ascii="Calibri" w:hAnsi="Calibri" w:cs="Calibri"/>
          <w:sz w:val="22"/>
          <w:szCs w:val="22"/>
        </w:rPr>
        <w:t xml:space="preserve"> will gradually rise in the absolute amount over the medium term, from  1,200.6 million € in 2014 to 1,282.5 million € in 2016, while as a percentage of GDP, they will gradually decline to stay at the level of 30.1% of GDP in 2016.</w:t>
      </w:r>
    </w:p>
    <w:p w:rsidR="008D3E5E" w:rsidRPr="00F63F72" w:rsidRDefault="008D3E5E" w:rsidP="008D3E5E">
      <w:pPr>
        <w:jc w:val="both"/>
        <w:rPr>
          <w:rFonts w:ascii="Calibri" w:hAnsi="Calibri" w:cs="Calibri"/>
          <w:sz w:val="22"/>
        </w:rPr>
      </w:pPr>
      <w:r w:rsidRPr="00F63F72">
        <w:rPr>
          <w:rFonts w:ascii="Calibri" w:hAnsi="Calibri" w:cs="Calibri"/>
          <w:sz w:val="22"/>
        </w:rPr>
        <w:t xml:space="preserve">In the period 2014-2016, a slight increase in </w:t>
      </w:r>
      <w:r w:rsidRPr="00F63F72">
        <w:rPr>
          <w:rFonts w:ascii="Calibri" w:hAnsi="Calibri" w:cs="Calibri"/>
          <w:i/>
          <w:sz w:val="22"/>
        </w:rPr>
        <w:t>local government revenues</w:t>
      </w:r>
      <w:r w:rsidRPr="00F63F72">
        <w:rPr>
          <w:rFonts w:ascii="Calibri" w:hAnsi="Calibri" w:cs="Calibri"/>
          <w:sz w:val="22"/>
        </w:rPr>
        <w:t xml:space="preserve"> is projected as a result of improved collection of real estate turnover tax on and increase in the fee for municipal land development due to the implementation of the Law on legalization of informal settlements. The projection of local government revenues in the medium term envisages a gradual increase in absolute terms from around 141.0 million € in 2014 to 146.5 million € in 2016, while as a percentage of GDP, they will gradually decline from 3.8% to 3.5% of GDP in 2016. The adoption of a new law on the regulation of land and construction of buildings which expands the list of facilities of general importance, could have a negative impact on the revenues of local governments.</w:t>
      </w:r>
    </w:p>
    <w:p w:rsidR="008D3E5E" w:rsidRPr="00F63F72" w:rsidRDefault="008D3E5E" w:rsidP="008D3E5E">
      <w:pPr>
        <w:rPr>
          <w:rFonts w:ascii="Calibri" w:hAnsi="Calibri" w:cs="Calibri"/>
          <w:sz w:val="22"/>
        </w:rPr>
      </w:pPr>
    </w:p>
    <w:p w:rsidR="008D3E5E" w:rsidRPr="00F63F72" w:rsidRDefault="008D3E5E" w:rsidP="008D3E5E">
      <w:pPr>
        <w:tabs>
          <w:tab w:val="left" w:pos="3654"/>
        </w:tabs>
        <w:spacing w:after="240"/>
        <w:jc w:val="both"/>
        <w:rPr>
          <w:rFonts w:ascii="Calibri" w:hAnsi="Calibri" w:cs="Calibri"/>
          <w:sz w:val="22"/>
          <w:szCs w:val="22"/>
        </w:rPr>
      </w:pPr>
      <w:r w:rsidRPr="00F63F72">
        <w:rPr>
          <w:rFonts w:ascii="Calibri" w:hAnsi="Calibri" w:cs="Calibri"/>
          <w:b/>
          <w:sz w:val="22"/>
        </w:rPr>
        <w:t>Public consumption has been gradually decreasing since 2009, resulting in the reduction of public spending of about 10 percentage points or about 300 million €.</w:t>
      </w:r>
      <w:r w:rsidRPr="00F63F72">
        <w:rPr>
          <w:rFonts w:ascii="Calibri" w:hAnsi="Calibri" w:cs="Calibri"/>
          <w:sz w:val="22"/>
        </w:rPr>
        <w:t xml:space="preserve"> Estimated public consumption in 2013 is 1,386.0 million € or 39.4% of GDP, of which 1,288.4 million € or 36.6% of GDP refers to the current expenditure and 97.6 million € or 2.8% of GDP to capital expenditures. The continuation of fiscal consolidation on the expenditure side is planned for 2013.</w:t>
      </w:r>
    </w:p>
    <w:p w:rsidR="008D3E5E" w:rsidRPr="00F63F72" w:rsidRDefault="008D3E5E" w:rsidP="008D3E5E">
      <w:pPr>
        <w:tabs>
          <w:tab w:val="left" w:pos="3654"/>
        </w:tabs>
        <w:spacing w:after="240"/>
        <w:rPr>
          <w:rFonts w:ascii="Calibri" w:hAnsi="Calibri" w:cs="Calibri"/>
          <w:b/>
          <w:sz w:val="22"/>
          <w:szCs w:val="22"/>
        </w:rPr>
      </w:pPr>
      <w:r w:rsidRPr="00F63F72">
        <w:rPr>
          <w:rFonts w:ascii="Calibri" w:hAnsi="Calibri" w:cs="Calibri"/>
          <w:sz w:val="22"/>
          <w:szCs w:val="22"/>
        </w:rPr>
        <w:t>Measures taken in 2013 with regard to the expenditure side are as follows:</w:t>
      </w:r>
      <w:r w:rsidRPr="00F63F72">
        <w:rPr>
          <w:rFonts w:ascii="Calibri" w:hAnsi="Calibri" w:cs="Calibri"/>
          <w:b/>
          <w:sz w:val="22"/>
          <w:szCs w:val="22"/>
        </w:rPr>
        <w:t xml:space="preserve"> </w:t>
      </w:r>
    </w:p>
    <w:p w:rsidR="008D3E5E" w:rsidRPr="00F63F72" w:rsidRDefault="008D3E5E" w:rsidP="008D3E5E">
      <w:pPr>
        <w:pStyle w:val="ListParagraph"/>
        <w:numPr>
          <w:ilvl w:val="0"/>
          <w:numId w:val="29"/>
        </w:numPr>
        <w:spacing w:line="276" w:lineRule="auto"/>
        <w:jc w:val="both"/>
        <w:rPr>
          <w:rFonts w:ascii="Calibri" w:hAnsi="Calibri" w:cs="Calibri"/>
          <w:sz w:val="22"/>
          <w:szCs w:val="22"/>
        </w:rPr>
      </w:pPr>
      <w:r w:rsidRPr="00F63F72">
        <w:rPr>
          <w:rFonts w:ascii="Calibri" w:hAnsi="Calibri" w:cs="Calibri"/>
          <w:sz w:val="22"/>
          <w:szCs w:val="22"/>
        </w:rPr>
        <w:t>The freeze on pensions will enable 12 million € lower consumption, while the expenditure for pensions will grow only as a result of the growing number of retirees.</w:t>
      </w:r>
    </w:p>
    <w:p w:rsidR="008D3E5E" w:rsidRPr="00F63F72" w:rsidRDefault="008D3E5E" w:rsidP="008D3E5E">
      <w:pPr>
        <w:pStyle w:val="ListParagraph"/>
        <w:spacing w:line="276" w:lineRule="auto"/>
        <w:rPr>
          <w:rFonts w:ascii="Calibri" w:hAnsi="Calibri" w:cs="Calibri"/>
          <w:sz w:val="22"/>
          <w:szCs w:val="22"/>
        </w:rPr>
      </w:pPr>
    </w:p>
    <w:p w:rsidR="008D3E5E" w:rsidRPr="00F63F72" w:rsidRDefault="008D3E5E" w:rsidP="008D3E5E">
      <w:pPr>
        <w:tabs>
          <w:tab w:val="left" w:pos="3654"/>
        </w:tabs>
        <w:spacing w:after="240"/>
        <w:jc w:val="both"/>
        <w:rPr>
          <w:rFonts w:ascii="Calibri" w:hAnsi="Calibri" w:cs="Calibri"/>
          <w:sz w:val="22"/>
          <w:szCs w:val="22"/>
        </w:rPr>
      </w:pPr>
      <w:r w:rsidRPr="00F63F72">
        <w:rPr>
          <w:rFonts w:ascii="Calibri" w:hAnsi="Calibri" w:cs="Calibri"/>
          <w:sz w:val="22"/>
          <w:szCs w:val="22"/>
        </w:rPr>
        <w:t xml:space="preserve">Budget expenditures in 2013 are estimated in the amount of 1,263.6 million € or 35.9% of GDP. Current budget expenditures account for 1,182.9 million € or 33.6% of GDP, while capital expenditures will amount to 65.6 million € or 1.9% of GDP. To wit, expenditures for pensions will be lower than planned for 2013 due to the Government's decision to temporarily suspend synchronization of growth of pensions with wages growth and inflation in order to support the sustainability of the public finance system. Pursuant to the decision, the expenditure for pension and disability insurance rights will be 12 million € lower than originally planned, while in comparison to 2012, pensions will record growth due to the increased number of pension beneficiaries. On the other hand, certain categories of expenditure will be higher than planned, primarily those referring to the rights to social protection, in order to protect the most vulnerable categories of the population. A slight growth will also be recorded in capital expenditures, expenditures for material and services, subsidies, and transfers to public institutions. The total net effect on the budget will result in the growth of consumption compared to the plan of € 6.5 million or 0.2 percentage points of GDP. </w:t>
      </w:r>
      <w:r w:rsidRPr="00F63F72">
        <w:rPr>
          <w:rFonts w:ascii="Calibri" w:hAnsi="Calibri" w:cs="Calibri"/>
          <w:b/>
          <w:sz w:val="22"/>
          <w:szCs w:val="22"/>
        </w:rPr>
        <w:t xml:space="preserve">Bearing in mind that the measures affect a decrease in aggregate demand and disposable income, they also ensure the stability of public finances, which provides additional stability to other sectors of the economy as well. All savings achieved in the positions of current expenditures during the year will </w:t>
      </w:r>
      <w:r>
        <w:rPr>
          <w:rFonts w:ascii="Calibri" w:hAnsi="Calibri" w:cs="Calibri"/>
          <w:b/>
          <w:sz w:val="22"/>
          <w:szCs w:val="22"/>
        </w:rPr>
        <w:t>be utiliz</w:t>
      </w:r>
      <w:r w:rsidRPr="00F63F72">
        <w:rPr>
          <w:rFonts w:ascii="Calibri" w:hAnsi="Calibri" w:cs="Calibri"/>
          <w:b/>
          <w:sz w:val="22"/>
          <w:szCs w:val="22"/>
        </w:rPr>
        <w:t>ed for capital projects and thus the public sector will contribute to economic growth and development.</w:t>
      </w:r>
    </w:p>
    <w:p w:rsidR="008D3E5E" w:rsidRPr="00F63F72" w:rsidRDefault="008D3E5E" w:rsidP="008D3E5E">
      <w:pPr>
        <w:jc w:val="both"/>
      </w:pPr>
      <w:r w:rsidRPr="00F63F72">
        <w:rPr>
          <w:rFonts w:ascii="Calibri" w:hAnsi="Calibri" w:cs="Calibri"/>
          <w:sz w:val="22"/>
          <w:szCs w:val="22"/>
        </w:rPr>
        <w:t xml:space="preserve">As for </w:t>
      </w:r>
      <w:r w:rsidRPr="00F63F72">
        <w:rPr>
          <w:rFonts w:ascii="Calibri" w:hAnsi="Calibri" w:cs="Calibri"/>
          <w:i/>
          <w:sz w:val="22"/>
          <w:szCs w:val="22"/>
        </w:rPr>
        <w:t>local government expenditures</w:t>
      </w:r>
      <w:r w:rsidRPr="00F63F72">
        <w:rPr>
          <w:rFonts w:ascii="Calibri" w:hAnsi="Calibri" w:cs="Calibri"/>
          <w:sz w:val="22"/>
          <w:szCs w:val="22"/>
        </w:rPr>
        <w:t xml:space="preserve"> in the medium term, a gradual decline as a percentage of GDP is projected from 3.5% of GDP in 2014 to 3.3% of GDP in 2016. During this period, it is expected that the system of public finance at the local level</w:t>
      </w:r>
      <w:r>
        <w:rPr>
          <w:rFonts w:ascii="Calibri" w:hAnsi="Calibri" w:cs="Calibri"/>
          <w:sz w:val="22"/>
          <w:szCs w:val="22"/>
        </w:rPr>
        <w:t xml:space="preserve"> will stabiliz</w:t>
      </w:r>
      <w:r w:rsidRPr="00F63F72">
        <w:rPr>
          <w:rFonts w:ascii="Calibri" w:hAnsi="Calibri" w:cs="Calibri"/>
          <w:sz w:val="22"/>
          <w:szCs w:val="22"/>
        </w:rPr>
        <w:t>e, arrears will be paid, legal obligations will be regularly serviced, capital expenditures will increase, balances will reach equilibrium, so that a surplus in 2016 is projected in the amount of 7.6 million € and debt servicing in the amount of 30.0 million €.</w:t>
      </w:r>
    </w:p>
    <w:p w:rsidR="008D3E5E" w:rsidRPr="00F63F72" w:rsidRDefault="008D3E5E" w:rsidP="008D3E5E"/>
    <w:p w:rsidR="008D3E5E" w:rsidRPr="00F63F72" w:rsidRDefault="008D3E5E" w:rsidP="008D3E5E">
      <w:pPr>
        <w:jc w:val="both"/>
        <w:rPr>
          <w:rFonts w:ascii="Calibri" w:hAnsi="Calibri" w:cs="Calibri"/>
          <w:sz w:val="22"/>
          <w:szCs w:val="22"/>
        </w:rPr>
      </w:pPr>
      <w:r w:rsidRPr="00F63F72">
        <w:rPr>
          <w:rFonts w:ascii="Calibri" w:hAnsi="Calibri" w:cs="Calibri"/>
          <w:b/>
          <w:sz w:val="22"/>
          <w:szCs w:val="22"/>
        </w:rPr>
        <w:t>With a view to creating a system of sustainable public finances in the medium term,</w:t>
      </w:r>
      <w:r w:rsidRPr="00F63F72">
        <w:rPr>
          <w:rFonts w:ascii="Calibri" w:hAnsi="Calibri" w:cs="Calibri"/>
          <w:sz w:val="22"/>
          <w:szCs w:val="22"/>
        </w:rPr>
        <w:t xml:space="preserve"> it is planned that public spending decreases as the percentage of GDP, from 37% in 2014 to 34.1% 2016, while a gradual increase in public consumption is expected in absolute terms, from 1,380.4 million € in 2014 to  1,455.1 million € in 2016.</w:t>
      </w:r>
    </w:p>
    <w:p w:rsidR="008D3E5E" w:rsidRPr="00F63F72" w:rsidRDefault="008D3E5E" w:rsidP="008D3E5E">
      <w:pPr>
        <w:spacing w:after="240"/>
        <w:jc w:val="both"/>
        <w:rPr>
          <w:rFonts w:ascii="Calibri" w:hAnsi="Calibri" w:cs="Calibri"/>
          <w:b/>
          <w:sz w:val="22"/>
          <w:szCs w:val="22"/>
        </w:rPr>
      </w:pPr>
    </w:p>
    <w:p w:rsidR="008D3E5E" w:rsidRPr="00F63F72" w:rsidRDefault="008D3E5E" w:rsidP="008D3E5E">
      <w:pPr>
        <w:spacing w:after="240"/>
        <w:jc w:val="both"/>
        <w:rPr>
          <w:rFonts w:ascii="Calibri" w:hAnsi="Calibri" w:cs="Calibri"/>
          <w:sz w:val="22"/>
          <w:szCs w:val="22"/>
        </w:rPr>
      </w:pPr>
      <w:r w:rsidRPr="00F63F72">
        <w:rPr>
          <w:rFonts w:ascii="Calibri" w:hAnsi="Calibri" w:cs="Calibri"/>
          <w:b/>
          <w:sz w:val="22"/>
          <w:szCs w:val="22"/>
        </w:rPr>
        <w:t>It is necessary to keep current expenditures at a lower level than that of current revenues and take measures to reduce the share of public consumption as a percentage of gross domestic product</w:t>
      </w:r>
      <w:r w:rsidRPr="00F63F72">
        <w:rPr>
          <w:rFonts w:ascii="Calibri" w:hAnsi="Calibri" w:cs="Calibri"/>
          <w:sz w:val="22"/>
          <w:szCs w:val="22"/>
        </w:rPr>
        <w:t>. This will ensure the deficit reduction and moving towards a surplus. The majority of public spending categories are defined by regulations and make the mandatory expenditures such as: (general and sectoral collective bargaining agreements, laws and contractual obligations) - wages and other personal income, pensions, transfers for social protection, and transfers to the University of Montenegro, transfers to political parties , interest, subsidies. Wages and pensions are the key segments of fixed and/or mandatory expenses and they account for about 60% of public spending; therefore, it is necessary to come up with a solution that will provide a sustainable level of public finances in the medium term. For this reason, we introduced the crisis tax and temporarily stopped the growth of pensions in 2013. In the upcoming period, it is necessary to carry out a reform that will lead to the re</w:t>
      </w:r>
      <w:r>
        <w:rPr>
          <w:rFonts w:ascii="Calibri" w:hAnsi="Calibri" w:cs="Calibri"/>
          <w:sz w:val="22"/>
          <w:szCs w:val="22"/>
        </w:rPr>
        <w:t>-</w:t>
      </w:r>
      <w:r w:rsidRPr="00F63F72">
        <w:rPr>
          <w:rFonts w:ascii="Calibri" w:hAnsi="Calibri" w:cs="Calibri"/>
          <w:sz w:val="22"/>
          <w:szCs w:val="22"/>
        </w:rPr>
        <w:t>composition of employees from the public sector to the private sector. This will lead to a reduction of employees in the public sector and thus increase the productivity of employees in the public sector in Montenegro.</w:t>
      </w:r>
      <w:r w:rsidRPr="00F63F72">
        <w:rPr>
          <w:rStyle w:val="Heading1Char"/>
          <w:shd w:val="clear" w:color="auto" w:fill="FFFFFF"/>
          <w:lang w:val="en-US"/>
        </w:rPr>
        <w:t xml:space="preserve"> </w:t>
      </w:r>
      <w:r w:rsidRPr="00F63F72">
        <w:rPr>
          <w:rFonts w:ascii="Calibri" w:hAnsi="Calibri" w:cs="Calibri"/>
          <w:sz w:val="22"/>
          <w:szCs w:val="22"/>
        </w:rPr>
        <w:t>The main task of the Ministry of Finance in the medium term is to reduce public spending in parallel with the implementation of the public administration reform. To this end, it is planned to maintain earnings at the 2013 level in the medium term. Also, most of the other expenditures will not change significantly compared to their 2013 levels. The only increase in the budget expenditures in the period 2014-2016 is expected in pension expenditures through the continuation of pension adjustments. In addition to pensions, the medium term plan is an increase in the expenditure for interest. Montenegro considers the option of taking a loan for the construction of the first section of the “Bar-B</w:t>
      </w:r>
      <w:r>
        <w:rPr>
          <w:rFonts w:ascii="Calibri" w:hAnsi="Calibri" w:cs="Calibri"/>
          <w:sz w:val="22"/>
          <w:szCs w:val="22"/>
        </w:rPr>
        <w:t>oljari</w:t>
      </w:r>
      <w:r w:rsidRPr="00F63F72">
        <w:rPr>
          <w:rFonts w:ascii="Calibri" w:hAnsi="Calibri" w:cs="Calibri"/>
          <w:sz w:val="22"/>
          <w:szCs w:val="22"/>
        </w:rPr>
        <w:t xml:space="preserve">” highway from the Chinese EXIM Bank in the amount of 800 million €, with a grace period of </w:t>
      </w:r>
      <w:r w:rsidRPr="00F63F72">
        <w:rPr>
          <w:rFonts w:ascii="Calibri" w:hAnsi="Calibri" w:cs="Calibri"/>
          <w:sz w:val="22"/>
          <w:szCs w:val="22"/>
        </w:rPr>
        <w:lastRenderedPageBreak/>
        <w:t>5 years and an interest rate of 2% for a period of 20 years. Bearing in mind that Montenegro has started negotiations with the EU, the costs of negotiations are difficult to precisely quantify.</w:t>
      </w: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 xml:space="preserve">The </w:t>
      </w:r>
      <w:r w:rsidRPr="00F63F72">
        <w:rPr>
          <w:rFonts w:ascii="Calibri" w:hAnsi="Calibri" w:cs="Calibri"/>
          <w:b/>
          <w:i/>
          <w:sz w:val="22"/>
          <w:szCs w:val="22"/>
        </w:rPr>
        <w:t>public sector deficit</w:t>
      </w:r>
      <w:r w:rsidRPr="00F63F72">
        <w:rPr>
          <w:rFonts w:ascii="Calibri" w:hAnsi="Calibri" w:cs="Calibri"/>
          <w:sz w:val="22"/>
          <w:szCs w:val="22"/>
        </w:rPr>
        <w:t xml:space="preserve"> in 2013 is planned in the amount of 81.7 million €, and after the implementation of the measures, it is estimated to fall to a level of 67.1 million €, which is 1.9% of GDP. Given that the Government plans to enter the phase of a balanced budget after 2016, it should keep expenditures at lower levels in the medium term, and implement measures to affect an increase in revenues collection. The lowering of deficit in 2013 will be due to 24.8 million € higher revenues and 10.3 million € higher expenditures, which will result in a net deficit decrease of 14.5 million €. The primary surplus is planned in the amount of 7.3 million € or 0.2% of GDP. Debt repayment in 2013 will remain at the planned level of 161.7 million €. Also, funding for 2013 will be provided at the planned level through another issue of bonds. It was planned to issue bonds in the amount up to 250 million € to be used to finance the year 2013. According to the previous analyses, the conditions for the issuing of bonds in the U.S. market are favorable.</w:t>
      </w:r>
    </w:p>
    <w:p w:rsidR="008D3E5E" w:rsidRPr="00F63F72" w:rsidRDefault="008D3E5E" w:rsidP="008D3E5E">
      <w:pPr>
        <w:spacing w:after="240"/>
        <w:jc w:val="both"/>
        <w:rPr>
          <w:rStyle w:val="longtext"/>
          <w:rFonts w:ascii="Calibri" w:hAnsi="Calibri"/>
          <w:sz w:val="22"/>
          <w:szCs w:val="22"/>
          <w:shd w:val="clear" w:color="auto" w:fill="FFFFFF"/>
        </w:rPr>
      </w:pPr>
    </w:p>
    <w:p w:rsidR="008D3E5E" w:rsidRPr="00F63F72" w:rsidRDefault="008D3E5E" w:rsidP="008D3E5E">
      <w:pPr>
        <w:spacing w:after="240"/>
        <w:jc w:val="both"/>
        <w:rPr>
          <w:rFonts w:ascii="Calibri" w:hAnsi="Calibri" w:cs="Calibri"/>
          <w:sz w:val="22"/>
          <w:szCs w:val="22"/>
        </w:rPr>
      </w:pPr>
      <w:r w:rsidRPr="00F63F72">
        <w:rPr>
          <w:rStyle w:val="longtext"/>
          <w:rFonts w:ascii="Calibri" w:hAnsi="Calibri"/>
          <w:sz w:val="22"/>
          <w:szCs w:val="22"/>
          <w:shd w:val="clear" w:color="auto" w:fill="FFFFFF"/>
        </w:rPr>
        <w:t xml:space="preserve">The </w:t>
      </w:r>
      <w:r w:rsidRPr="00F63F72">
        <w:rPr>
          <w:rStyle w:val="longtext"/>
          <w:rFonts w:ascii="Calibri" w:hAnsi="Calibri"/>
          <w:b/>
          <w:i/>
          <w:sz w:val="22"/>
          <w:szCs w:val="22"/>
          <w:shd w:val="clear" w:color="auto" w:fill="FFFFFF"/>
        </w:rPr>
        <w:t>b</w:t>
      </w:r>
      <w:r w:rsidRPr="00F63F72">
        <w:rPr>
          <w:rFonts w:ascii="Calibri" w:hAnsi="Calibri" w:cs="Calibri"/>
          <w:b/>
          <w:i/>
          <w:sz w:val="22"/>
          <w:szCs w:val="22"/>
        </w:rPr>
        <w:t>udget deficit in 2013</w:t>
      </w:r>
      <w:r w:rsidRPr="00F63F72">
        <w:rPr>
          <w:rFonts w:ascii="Calibri" w:hAnsi="Calibri" w:cs="Calibri"/>
          <w:sz w:val="22"/>
          <w:szCs w:val="22"/>
        </w:rPr>
        <w:t xml:space="preserve"> is estimated in the amount to 81.0 million € or 2.3% of GDP, which about 14.3 million € lower than originally planned. This deficit will be achieved if the introduced revenue measures continue to generate positive results by the end of the year and if no extraordinary circumstances arise that would have a negative impact on the budget and the economy. Due to a lower deficit than planned, and with borrowing remaining at the same level, there will be a growth in deposits of 14.3 million €, which will serve as the fiscal reserve.</w:t>
      </w:r>
    </w:p>
    <w:p w:rsidR="008D3E5E" w:rsidRPr="00F63F72" w:rsidRDefault="008D3E5E" w:rsidP="008D3E5E">
      <w:pPr>
        <w:jc w:val="both"/>
        <w:rPr>
          <w:rFonts w:ascii="Calibri" w:hAnsi="Calibri" w:cs="Calibri"/>
          <w:sz w:val="22"/>
          <w:szCs w:val="22"/>
        </w:rPr>
      </w:pPr>
      <w:r w:rsidRPr="00F63F72">
        <w:rPr>
          <w:rFonts w:ascii="Calibri" w:hAnsi="Calibri" w:cs="Calibri"/>
          <w:b/>
          <w:sz w:val="22"/>
          <w:szCs w:val="22"/>
        </w:rPr>
        <w:t>In the medium term period 2014-2016</w:t>
      </w:r>
      <w:r w:rsidRPr="00F63F72">
        <w:rPr>
          <w:rFonts w:ascii="Calibri" w:hAnsi="Calibri" w:cs="Calibri"/>
          <w:sz w:val="22"/>
          <w:szCs w:val="22"/>
        </w:rPr>
        <w:t xml:space="preserve">, due to the restrictive expenditure management policy, it is estimated that the public sector deficit will decline from 1.0% of GDP in 2014 to 0.8% of GDP in 2015, while the envisaged public finance deficit in 2016 stand at around 0.6% of GDP. The </w:t>
      </w:r>
      <w:r w:rsidRPr="00F63F72">
        <w:rPr>
          <w:rFonts w:ascii="Calibri" w:hAnsi="Calibri" w:cs="Calibri"/>
          <w:i/>
          <w:sz w:val="22"/>
          <w:szCs w:val="22"/>
        </w:rPr>
        <w:t>budget deficit</w:t>
      </w:r>
      <w:r w:rsidRPr="00F63F72">
        <w:rPr>
          <w:rFonts w:ascii="Calibri" w:hAnsi="Calibri" w:cs="Calibri"/>
          <w:sz w:val="22"/>
          <w:szCs w:val="22"/>
        </w:rPr>
        <w:t xml:space="preserve"> in the medium term will range from 1.3% of GDP in 2014 to 1% in 2015, and declining to 0.8% of GDP in 2016.</w:t>
      </w:r>
    </w:p>
    <w:p w:rsidR="008D3E5E" w:rsidRPr="00F63F72" w:rsidRDefault="008D3E5E" w:rsidP="008D3E5E">
      <w:pPr>
        <w:spacing w:after="240"/>
        <w:jc w:val="both"/>
        <w:rPr>
          <w:rFonts w:ascii="Calibri" w:hAnsi="Calibri" w:cs="Calibri"/>
          <w:b/>
          <w:sz w:val="22"/>
          <w:szCs w:val="22"/>
          <w:highlight w:val="yellow"/>
        </w:rPr>
      </w:pPr>
    </w:p>
    <w:p w:rsidR="008D3E5E" w:rsidRPr="00F63F72" w:rsidRDefault="008D3E5E" w:rsidP="008D3E5E">
      <w:pPr>
        <w:pStyle w:val="Caption"/>
        <w:keepNext/>
        <w:rPr>
          <w:rFonts w:ascii="Calibri" w:hAnsi="Calibri" w:cs="Calibri"/>
          <w:sz w:val="18"/>
          <w:lang w:val="en-US"/>
        </w:rPr>
      </w:pPr>
      <w:r w:rsidRPr="00F63F72">
        <w:rPr>
          <w:rFonts w:ascii="Calibri" w:hAnsi="Calibri" w:cs="Calibri"/>
          <w:sz w:val="18"/>
          <w:lang w:val="en-US"/>
        </w:rPr>
        <w:t xml:space="preserve">Table </w:t>
      </w:r>
      <w:r w:rsidR="00033B25" w:rsidRPr="00F63F72">
        <w:rPr>
          <w:rFonts w:ascii="Calibri" w:hAnsi="Calibri" w:cs="Calibri"/>
          <w:sz w:val="18"/>
          <w:lang w:val="en-US"/>
        </w:rPr>
        <w:fldChar w:fldCharType="begin"/>
      </w:r>
      <w:r w:rsidRPr="00F63F72">
        <w:rPr>
          <w:rFonts w:ascii="Calibri" w:hAnsi="Calibri" w:cs="Calibri"/>
          <w:sz w:val="18"/>
          <w:lang w:val="en-US"/>
        </w:rPr>
        <w:instrText xml:space="preserve"> SEQ Tabela \* ARABIC </w:instrText>
      </w:r>
      <w:r w:rsidR="00033B25" w:rsidRPr="00F63F72">
        <w:rPr>
          <w:rFonts w:ascii="Calibri" w:hAnsi="Calibri" w:cs="Calibri"/>
          <w:sz w:val="18"/>
          <w:lang w:val="en-US"/>
        </w:rPr>
        <w:fldChar w:fldCharType="separate"/>
      </w:r>
      <w:r w:rsidR="005669F0">
        <w:rPr>
          <w:rFonts w:ascii="Calibri" w:hAnsi="Calibri" w:cs="Calibri"/>
          <w:noProof/>
          <w:sz w:val="18"/>
          <w:lang w:val="en-US"/>
        </w:rPr>
        <w:t>7</w:t>
      </w:r>
      <w:r w:rsidR="00033B25" w:rsidRPr="00F63F72">
        <w:rPr>
          <w:rFonts w:ascii="Calibri" w:hAnsi="Calibri" w:cs="Calibri"/>
          <w:sz w:val="18"/>
          <w:lang w:val="en-US"/>
        </w:rPr>
        <w:fldChar w:fldCharType="end"/>
      </w:r>
      <w:r w:rsidRPr="00F63F72">
        <w:rPr>
          <w:rFonts w:ascii="Calibri" w:hAnsi="Calibri" w:cs="Calibri"/>
          <w:sz w:val="18"/>
          <w:lang w:val="en-US"/>
        </w:rPr>
        <w:t xml:space="preserve">    Montenegro’s public finance in the period 2012-2016</w:t>
      </w:r>
    </w:p>
    <w:p w:rsidR="008D3E5E" w:rsidRPr="00F63F72" w:rsidRDefault="008D3E5E" w:rsidP="008D3E5E">
      <w:pPr>
        <w:pStyle w:val="Caption"/>
        <w:keepNext/>
        <w:rPr>
          <w:lang w:val="en-US"/>
        </w:rPr>
      </w:pPr>
    </w:p>
    <w:tbl>
      <w:tblPr>
        <w:tblW w:w="5166" w:type="pct"/>
        <w:tblBorders>
          <w:top w:val="single" w:sz="4" w:space="0" w:color="auto"/>
          <w:bottom w:val="single" w:sz="4" w:space="0" w:color="auto"/>
          <w:insideH w:val="single" w:sz="4" w:space="0" w:color="auto"/>
        </w:tblBorders>
        <w:tblLook w:val="00A0"/>
      </w:tblPr>
      <w:tblGrid>
        <w:gridCol w:w="2069"/>
        <w:gridCol w:w="720"/>
        <w:gridCol w:w="607"/>
        <w:gridCol w:w="720"/>
        <w:gridCol w:w="557"/>
        <w:gridCol w:w="720"/>
        <w:gridCol w:w="557"/>
        <w:gridCol w:w="720"/>
        <w:gridCol w:w="557"/>
        <w:gridCol w:w="720"/>
        <w:gridCol w:w="607"/>
        <w:gridCol w:w="721"/>
        <w:gridCol w:w="614"/>
      </w:tblGrid>
      <w:tr w:rsidR="008D3E5E" w:rsidRPr="00F63F72" w:rsidTr="004C45D3">
        <w:trPr>
          <w:trHeight w:val="345"/>
        </w:trPr>
        <w:tc>
          <w:tcPr>
            <w:tcW w:w="888" w:type="pct"/>
            <w:vMerge w:val="restart"/>
            <w:shd w:val="clear" w:color="000000" w:fill="632523"/>
            <w:noWrap/>
            <w:vAlign w:val="center"/>
          </w:tcPr>
          <w:p w:rsidR="008D3E5E" w:rsidRPr="00F63F72" w:rsidRDefault="008D3E5E" w:rsidP="004C45D3">
            <w:pPr>
              <w:jc w:val="center"/>
              <w:rPr>
                <w:rFonts w:ascii="Calibri" w:hAnsi="Calibri" w:cs="Calibri"/>
                <w:b/>
                <w:bCs/>
                <w:color w:val="FFFFFF"/>
                <w:sz w:val="16"/>
                <w:szCs w:val="16"/>
              </w:rPr>
            </w:pPr>
            <w:r w:rsidRPr="00F63F72">
              <w:rPr>
                <w:rFonts w:ascii="Calibri" w:hAnsi="Calibri" w:cs="Calibri"/>
                <w:b/>
                <w:bCs/>
                <w:color w:val="FFFFFF"/>
                <w:sz w:val="16"/>
                <w:szCs w:val="16"/>
              </w:rPr>
              <w:t>Public consumption</w:t>
            </w:r>
          </w:p>
        </w:tc>
        <w:tc>
          <w:tcPr>
            <w:tcW w:w="697" w:type="pct"/>
            <w:gridSpan w:val="2"/>
            <w:shd w:val="clear" w:color="000000" w:fill="E6B9B8"/>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2012*</w:t>
            </w:r>
          </w:p>
        </w:tc>
        <w:tc>
          <w:tcPr>
            <w:tcW w:w="672" w:type="pct"/>
            <w:gridSpan w:val="2"/>
            <w:shd w:val="clear" w:color="000000" w:fill="E6B9B8"/>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2013 Plan </w:t>
            </w:r>
          </w:p>
        </w:tc>
        <w:tc>
          <w:tcPr>
            <w:tcW w:w="672" w:type="pct"/>
            <w:gridSpan w:val="2"/>
            <w:shd w:val="clear" w:color="000000" w:fill="E6B9B8"/>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2013 Estimate</w:t>
            </w:r>
          </w:p>
        </w:tc>
        <w:tc>
          <w:tcPr>
            <w:tcW w:w="672" w:type="pct"/>
            <w:gridSpan w:val="2"/>
            <w:shd w:val="clear" w:color="000000" w:fill="E6B9B8"/>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2014</w:t>
            </w:r>
          </w:p>
        </w:tc>
        <w:tc>
          <w:tcPr>
            <w:tcW w:w="697" w:type="pct"/>
            <w:gridSpan w:val="2"/>
            <w:shd w:val="clear" w:color="000000" w:fill="E6B9B8"/>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2015</w:t>
            </w:r>
          </w:p>
        </w:tc>
        <w:tc>
          <w:tcPr>
            <w:tcW w:w="700" w:type="pct"/>
            <w:gridSpan w:val="2"/>
            <w:shd w:val="clear" w:color="000000" w:fill="E6B9B8"/>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2016</w:t>
            </w:r>
          </w:p>
        </w:tc>
      </w:tr>
      <w:tr w:rsidR="008D3E5E" w:rsidRPr="00F63F72" w:rsidTr="004C45D3">
        <w:trPr>
          <w:trHeight w:val="330"/>
        </w:trPr>
        <w:tc>
          <w:tcPr>
            <w:tcW w:w="888" w:type="pct"/>
            <w:vMerge/>
            <w:vAlign w:val="center"/>
          </w:tcPr>
          <w:p w:rsidR="008D3E5E" w:rsidRPr="00F63F72" w:rsidRDefault="008D3E5E" w:rsidP="004C45D3">
            <w:pPr>
              <w:rPr>
                <w:rFonts w:ascii="Calibri" w:hAnsi="Calibri" w:cs="Calibri"/>
                <w:b/>
                <w:bCs/>
                <w:color w:val="FFFFFF"/>
                <w:sz w:val="16"/>
                <w:szCs w:val="16"/>
              </w:rPr>
            </w:pPr>
          </w:p>
        </w:tc>
        <w:tc>
          <w:tcPr>
            <w:tcW w:w="377"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320"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377"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295"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377"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295"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377"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295"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377"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320"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377"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323"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r>
      <w:tr w:rsidR="008D3E5E" w:rsidRPr="00F63F72" w:rsidTr="004C45D3">
        <w:trPr>
          <w:trHeight w:val="300"/>
        </w:trPr>
        <w:tc>
          <w:tcPr>
            <w:tcW w:w="888"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revenues</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1298.83</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38.91</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1294.10</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36.80</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1318.93</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37.50</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1341.61</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35.92</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1379.65</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34.65</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1429.03</w:t>
            </w:r>
          </w:p>
        </w:tc>
        <w:tc>
          <w:tcPr>
            <w:tcW w:w="323"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33.51</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Taxes</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785.99</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23.55</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773.23</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21.99</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806.41</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22.93</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824.28</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22.07</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847.84</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21.29</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879.05</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20.61</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Contributions</w:t>
            </w:r>
          </w:p>
        </w:tc>
        <w:tc>
          <w:tcPr>
            <w:tcW w:w="377"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362.25</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10.85</w:t>
            </w:r>
          </w:p>
        </w:tc>
        <w:tc>
          <w:tcPr>
            <w:tcW w:w="377"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384.22</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10.92</w:t>
            </w:r>
          </w:p>
        </w:tc>
        <w:tc>
          <w:tcPr>
            <w:tcW w:w="377"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376.80</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10.71</w:t>
            </w:r>
          </w:p>
        </w:tc>
        <w:tc>
          <w:tcPr>
            <w:tcW w:w="377"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388.10</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10.39</w:t>
            </w:r>
          </w:p>
        </w:tc>
        <w:tc>
          <w:tcPr>
            <w:tcW w:w="377"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399.74</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10.04</w:t>
            </w:r>
          </w:p>
        </w:tc>
        <w:tc>
          <w:tcPr>
            <w:tcW w:w="377"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413.73</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9.70</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Duties</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23.50</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0.70</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35.62</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1.01</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32.37</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0.92</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21.17</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0.57</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21.69</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0.54</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22.25</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0.52</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Fees</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73.75</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2.21</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54.16</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1.54</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55.46</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1.58</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59.04</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1.58</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60.25</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1.51</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62.65</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1.47</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Other revenues</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48.85</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1.46</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42.07</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1.20</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43.24</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1.23</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44.25</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1.18</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45.24</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1.14</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46.31</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1.09</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Receipts from loan repayments</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4.49</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0.13</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4.81</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0.14</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4.65</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0.13</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4.77</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0.13</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4.89</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0.12</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5.03</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0.12</w:t>
            </w:r>
          </w:p>
        </w:tc>
      </w:tr>
      <w:tr w:rsidR="008D3E5E" w:rsidRPr="00F63F72" w:rsidTr="004C45D3">
        <w:trPr>
          <w:trHeight w:val="300"/>
        </w:trPr>
        <w:tc>
          <w:tcPr>
            <w:tcW w:w="888" w:type="pct"/>
            <w:shd w:val="clear" w:color="000000" w:fill="E6B9B8"/>
            <w:noWrap/>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Public consumption</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1430.81</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42.86</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1375.77</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39.12</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1386.04</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39.41</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1380.37</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36.96</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1411.79</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35.45</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1455.08</w:t>
            </w:r>
          </w:p>
        </w:tc>
        <w:tc>
          <w:tcPr>
            <w:tcW w:w="323"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34.12</w:t>
            </w:r>
          </w:p>
        </w:tc>
      </w:tr>
      <w:tr w:rsidR="008D3E5E" w:rsidRPr="00F63F72" w:rsidTr="004C45D3">
        <w:trPr>
          <w:trHeight w:val="300"/>
        </w:trPr>
        <w:tc>
          <w:tcPr>
            <w:tcW w:w="888" w:type="pct"/>
            <w:shd w:val="clear" w:color="000000" w:fill="E6B9B8"/>
            <w:noWrap/>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public consumption</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1323.75</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39.66</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1280.13</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36.40</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1288.40</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36.63</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1278.37</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34.23</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1303.71</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32.74</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1344.20</w:t>
            </w:r>
          </w:p>
        </w:tc>
        <w:tc>
          <w:tcPr>
            <w:tcW w:w="323"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31.52</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expenditures</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728.84</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21.83</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646.27</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18.38</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656.14</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18.66</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702.87</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18.82</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710.16</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17.83</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731.61</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17.15</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Transfers to social protection</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482.09</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14.44</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498.26</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14.17</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492.27</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14.00</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503.18</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13.47</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520.37</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13.07</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537.89</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12.61</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Transfers to institutions, individuals, NGOs and public sector</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63.61</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1.91</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121.01</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3.44</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125.19</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3.56</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56.91</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1.52</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57.57</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1.45</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58.97</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1.38</w:t>
            </w:r>
          </w:p>
        </w:tc>
      </w:tr>
      <w:tr w:rsidR="008D3E5E" w:rsidRPr="00F63F72" w:rsidTr="004C45D3">
        <w:trPr>
          <w:trHeight w:val="300"/>
        </w:trPr>
        <w:tc>
          <w:tcPr>
            <w:tcW w:w="888"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Capital expenditures</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107.05</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3.21</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95.64</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2.72</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97.64</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2.78</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102.00</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2.73</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108.08</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2.71</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110.88</w:t>
            </w:r>
          </w:p>
        </w:tc>
        <w:tc>
          <w:tcPr>
            <w:tcW w:w="323"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2.60</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Borrowings and loans</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2.96</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0.09</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3.73</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0.11</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3.87</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0.11</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3.56</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0.10</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3.61</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0.09</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3.65</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0.09</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Reserves</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21.54</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0.65</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10.86</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0.31</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10.93</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0.31</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11.85</w:t>
            </w:r>
          </w:p>
        </w:tc>
        <w:tc>
          <w:tcPr>
            <w:tcW w:w="295"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0.32</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12.00</w:t>
            </w:r>
          </w:p>
        </w:tc>
        <w:tc>
          <w:tcPr>
            <w:tcW w:w="320"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0.30</w:t>
            </w:r>
          </w:p>
        </w:tc>
        <w:tc>
          <w:tcPr>
            <w:tcW w:w="377" w:type="pct"/>
            <w:shd w:val="clear" w:color="000000" w:fill="FFFFFF"/>
            <w:noWrap/>
            <w:vAlign w:val="center"/>
          </w:tcPr>
          <w:p w:rsidR="008D3E5E" w:rsidRPr="00F63F72" w:rsidRDefault="008D3E5E" w:rsidP="004C45D3">
            <w:pPr>
              <w:jc w:val="right"/>
              <w:rPr>
                <w:b/>
                <w:bCs/>
                <w:sz w:val="14"/>
                <w:szCs w:val="16"/>
              </w:rPr>
            </w:pPr>
            <w:r w:rsidRPr="00F63F72">
              <w:rPr>
                <w:b/>
                <w:bCs/>
                <w:sz w:val="14"/>
                <w:szCs w:val="16"/>
              </w:rPr>
              <w:t>12.08</w:t>
            </w:r>
          </w:p>
        </w:tc>
        <w:tc>
          <w:tcPr>
            <w:tcW w:w="323" w:type="pct"/>
            <w:shd w:val="clear" w:color="000000" w:fill="FFFFFF"/>
            <w:noWrap/>
            <w:vAlign w:val="center"/>
          </w:tcPr>
          <w:p w:rsidR="008D3E5E" w:rsidRPr="00F63F72" w:rsidRDefault="008D3E5E" w:rsidP="004C45D3">
            <w:pPr>
              <w:jc w:val="right"/>
              <w:rPr>
                <w:b/>
                <w:bCs/>
                <w:color w:val="953735"/>
                <w:sz w:val="14"/>
                <w:szCs w:val="16"/>
              </w:rPr>
            </w:pPr>
            <w:r w:rsidRPr="00F63F72">
              <w:rPr>
                <w:b/>
                <w:bCs/>
                <w:color w:val="953735"/>
                <w:sz w:val="14"/>
                <w:szCs w:val="16"/>
              </w:rPr>
              <w:t>0.28</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lastRenderedPageBreak/>
              <w:t>Repayment of guarantees</w:t>
            </w:r>
          </w:p>
        </w:tc>
        <w:tc>
          <w:tcPr>
            <w:tcW w:w="377" w:type="pct"/>
            <w:shd w:val="clear" w:color="000000" w:fill="FFFFFF"/>
            <w:noWrap/>
            <w:vAlign w:val="bottom"/>
          </w:tcPr>
          <w:p w:rsidR="008D3E5E" w:rsidRPr="00F63F72" w:rsidRDefault="008D3E5E" w:rsidP="004C45D3">
            <w:pPr>
              <w:jc w:val="right"/>
              <w:rPr>
                <w:sz w:val="14"/>
                <w:szCs w:val="16"/>
              </w:rPr>
            </w:pPr>
            <w:r w:rsidRPr="00F63F72">
              <w:rPr>
                <w:sz w:val="14"/>
                <w:szCs w:val="16"/>
              </w:rPr>
              <w:t>24.72</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0.74</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23"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0.00</w:t>
            </w:r>
          </w:p>
        </w:tc>
      </w:tr>
      <w:tr w:rsidR="008D3E5E" w:rsidRPr="00F63F72" w:rsidTr="004C45D3">
        <w:trPr>
          <w:trHeight w:val="300"/>
        </w:trPr>
        <w:tc>
          <w:tcPr>
            <w:tcW w:w="888"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Surplus/deficit</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-131.98</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-3.95</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-81.67</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-2.32</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-67.11</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-1.91</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-38.76</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-1.04</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-32.15</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-0.81</w:t>
            </w:r>
          </w:p>
        </w:tc>
        <w:tc>
          <w:tcPr>
            <w:tcW w:w="377" w:type="pct"/>
            <w:shd w:val="clear" w:color="000000" w:fill="E6B9B8"/>
            <w:noWrap/>
            <w:vAlign w:val="center"/>
          </w:tcPr>
          <w:p w:rsidR="008D3E5E" w:rsidRPr="00F63F72" w:rsidRDefault="008D3E5E" w:rsidP="004C45D3">
            <w:pPr>
              <w:jc w:val="right"/>
              <w:rPr>
                <w:b/>
                <w:bCs/>
                <w:color w:val="323E1A"/>
                <w:sz w:val="14"/>
                <w:szCs w:val="16"/>
              </w:rPr>
            </w:pPr>
            <w:r w:rsidRPr="00F63F72">
              <w:rPr>
                <w:b/>
                <w:bCs/>
                <w:color w:val="323E1A"/>
                <w:sz w:val="14"/>
                <w:szCs w:val="16"/>
              </w:rPr>
              <w:t>-26.05</w:t>
            </w:r>
          </w:p>
        </w:tc>
        <w:tc>
          <w:tcPr>
            <w:tcW w:w="323"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-0.61</w:t>
            </w:r>
          </w:p>
        </w:tc>
      </w:tr>
      <w:tr w:rsidR="008D3E5E" w:rsidRPr="00F63F72" w:rsidTr="004C45D3">
        <w:trPr>
          <w:trHeight w:val="300"/>
        </w:trPr>
        <w:tc>
          <w:tcPr>
            <w:tcW w:w="888"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Primary deficit</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-73.13</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-2.19</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-7.35</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-0.21</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7.29</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0.21</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51.02</w:t>
            </w:r>
          </w:p>
        </w:tc>
        <w:tc>
          <w:tcPr>
            <w:tcW w:w="295"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1.37</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74.82</w:t>
            </w:r>
          </w:p>
        </w:tc>
        <w:tc>
          <w:tcPr>
            <w:tcW w:w="320"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1.88</w:t>
            </w:r>
          </w:p>
        </w:tc>
        <w:tc>
          <w:tcPr>
            <w:tcW w:w="377" w:type="pct"/>
            <w:shd w:val="clear" w:color="000000" w:fill="E6B9B8"/>
            <w:noWrap/>
            <w:vAlign w:val="center"/>
          </w:tcPr>
          <w:p w:rsidR="008D3E5E" w:rsidRPr="00F63F72" w:rsidRDefault="008D3E5E" w:rsidP="004C45D3">
            <w:pPr>
              <w:jc w:val="right"/>
              <w:rPr>
                <w:b/>
                <w:bCs/>
                <w:sz w:val="14"/>
                <w:szCs w:val="16"/>
              </w:rPr>
            </w:pPr>
            <w:r w:rsidRPr="00F63F72">
              <w:rPr>
                <w:b/>
                <w:bCs/>
                <w:sz w:val="14"/>
                <w:szCs w:val="16"/>
              </w:rPr>
              <w:t>100.46</w:t>
            </w:r>
          </w:p>
        </w:tc>
        <w:tc>
          <w:tcPr>
            <w:tcW w:w="323" w:type="pct"/>
            <w:shd w:val="clear" w:color="000000" w:fill="E6B9B8"/>
            <w:noWrap/>
            <w:vAlign w:val="center"/>
          </w:tcPr>
          <w:p w:rsidR="008D3E5E" w:rsidRPr="00F63F72" w:rsidRDefault="008D3E5E" w:rsidP="004C45D3">
            <w:pPr>
              <w:jc w:val="right"/>
              <w:rPr>
                <w:b/>
                <w:bCs/>
                <w:color w:val="953735"/>
                <w:sz w:val="14"/>
                <w:szCs w:val="16"/>
              </w:rPr>
            </w:pPr>
            <w:r w:rsidRPr="00F63F72">
              <w:rPr>
                <w:b/>
                <w:bCs/>
                <w:color w:val="953735"/>
                <w:sz w:val="14"/>
                <w:szCs w:val="16"/>
              </w:rPr>
              <w:t>2.36</w:t>
            </w:r>
          </w:p>
        </w:tc>
      </w:tr>
      <w:tr w:rsidR="008D3E5E" w:rsidRPr="00F63F72" w:rsidTr="004C45D3">
        <w:trPr>
          <w:trHeight w:val="300"/>
        </w:trPr>
        <w:tc>
          <w:tcPr>
            <w:tcW w:w="888"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Debt repayment</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223.65</w:t>
            </w:r>
          </w:p>
        </w:tc>
        <w:tc>
          <w:tcPr>
            <w:tcW w:w="320"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6.70</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160.68</w:t>
            </w:r>
          </w:p>
        </w:tc>
        <w:tc>
          <w:tcPr>
            <w:tcW w:w="295"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4.57</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161.68</w:t>
            </w:r>
          </w:p>
        </w:tc>
        <w:tc>
          <w:tcPr>
            <w:tcW w:w="295"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4.60</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175.50</w:t>
            </w:r>
          </w:p>
        </w:tc>
        <w:tc>
          <w:tcPr>
            <w:tcW w:w="295"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4.70</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375.00</w:t>
            </w:r>
          </w:p>
        </w:tc>
        <w:tc>
          <w:tcPr>
            <w:tcW w:w="320"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9.42</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339.10</w:t>
            </w:r>
          </w:p>
        </w:tc>
        <w:tc>
          <w:tcPr>
            <w:tcW w:w="323"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7.95</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principal to residents</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83.43</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2.50</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27.80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0.79</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28.30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0.80</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28.60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0.77</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32.60</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0.82</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27.50</w:t>
            </w:r>
          </w:p>
        </w:tc>
        <w:tc>
          <w:tcPr>
            <w:tcW w:w="323"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0.64</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principal to non-residents</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59.87</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1.79</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66.70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1.90</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67.20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1.91</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99.00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2.65</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299.90</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7.53</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276.90</w:t>
            </w:r>
          </w:p>
        </w:tc>
        <w:tc>
          <w:tcPr>
            <w:tcW w:w="323"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6.49</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liabilities from previous period</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80.35</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2.41</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66.18</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1.88</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66.18</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1.88</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47.90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1.28</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42.50</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1.07</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34.70</w:t>
            </w:r>
          </w:p>
        </w:tc>
        <w:tc>
          <w:tcPr>
            <w:tcW w:w="323"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0.81</w:t>
            </w:r>
          </w:p>
        </w:tc>
      </w:tr>
      <w:tr w:rsidR="008D3E5E" w:rsidRPr="00F63F72" w:rsidTr="004C45D3">
        <w:trPr>
          <w:trHeight w:val="300"/>
        </w:trPr>
        <w:tc>
          <w:tcPr>
            <w:tcW w:w="888"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Financing needs</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-355.63</w:t>
            </w:r>
          </w:p>
        </w:tc>
        <w:tc>
          <w:tcPr>
            <w:tcW w:w="320"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-10.65</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-242.35</w:t>
            </w:r>
          </w:p>
        </w:tc>
        <w:tc>
          <w:tcPr>
            <w:tcW w:w="295"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-6.89</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-228.79</w:t>
            </w:r>
          </w:p>
        </w:tc>
        <w:tc>
          <w:tcPr>
            <w:tcW w:w="295"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-6.51</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-214.26</w:t>
            </w:r>
          </w:p>
        </w:tc>
        <w:tc>
          <w:tcPr>
            <w:tcW w:w="295"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-5.74</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-407.15</w:t>
            </w:r>
          </w:p>
        </w:tc>
        <w:tc>
          <w:tcPr>
            <w:tcW w:w="320"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-10.22</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-365.15</w:t>
            </w:r>
          </w:p>
        </w:tc>
        <w:tc>
          <w:tcPr>
            <w:tcW w:w="323"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-8.56</w:t>
            </w:r>
          </w:p>
        </w:tc>
      </w:tr>
      <w:tr w:rsidR="008D3E5E" w:rsidRPr="00F63F72" w:rsidTr="004C45D3">
        <w:trPr>
          <w:trHeight w:val="300"/>
        </w:trPr>
        <w:tc>
          <w:tcPr>
            <w:tcW w:w="888"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Financing</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355.63</w:t>
            </w:r>
          </w:p>
        </w:tc>
        <w:tc>
          <w:tcPr>
            <w:tcW w:w="320"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10.65</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242.35</w:t>
            </w:r>
          </w:p>
        </w:tc>
        <w:tc>
          <w:tcPr>
            <w:tcW w:w="295"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6.89</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228.79</w:t>
            </w:r>
          </w:p>
        </w:tc>
        <w:tc>
          <w:tcPr>
            <w:tcW w:w="295"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6.51</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214.26</w:t>
            </w:r>
          </w:p>
        </w:tc>
        <w:tc>
          <w:tcPr>
            <w:tcW w:w="295"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5.74</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407.15</w:t>
            </w:r>
          </w:p>
        </w:tc>
        <w:tc>
          <w:tcPr>
            <w:tcW w:w="320"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10.22</w:t>
            </w:r>
          </w:p>
        </w:tc>
        <w:tc>
          <w:tcPr>
            <w:tcW w:w="377" w:type="pct"/>
            <w:shd w:val="clear" w:color="000000" w:fill="E6B9B8"/>
            <w:noWrap/>
            <w:vAlign w:val="bottom"/>
          </w:tcPr>
          <w:p w:rsidR="008D3E5E" w:rsidRPr="00F63F72" w:rsidRDefault="008D3E5E" w:rsidP="004C45D3">
            <w:pPr>
              <w:jc w:val="right"/>
              <w:rPr>
                <w:b/>
                <w:bCs/>
                <w:sz w:val="14"/>
                <w:szCs w:val="16"/>
              </w:rPr>
            </w:pPr>
            <w:r w:rsidRPr="00F63F72">
              <w:rPr>
                <w:b/>
                <w:bCs/>
                <w:sz w:val="14"/>
                <w:szCs w:val="16"/>
              </w:rPr>
              <w:t>365.15</w:t>
            </w:r>
          </w:p>
        </w:tc>
        <w:tc>
          <w:tcPr>
            <w:tcW w:w="323" w:type="pct"/>
            <w:shd w:val="clear" w:color="000000" w:fill="E6B9B8"/>
            <w:noWrap/>
            <w:vAlign w:val="bottom"/>
          </w:tcPr>
          <w:p w:rsidR="008D3E5E" w:rsidRPr="00F63F72" w:rsidRDefault="008D3E5E" w:rsidP="004C45D3">
            <w:pPr>
              <w:jc w:val="right"/>
              <w:rPr>
                <w:b/>
                <w:bCs/>
                <w:color w:val="953735"/>
                <w:sz w:val="14"/>
                <w:szCs w:val="16"/>
              </w:rPr>
            </w:pPr>
            <w:r w:rsidRPr="00F63F72">
              <w:rPr>
                <w:b/>
                <w:bCs/>
                <w:color w:val="953735"/>
                <w:sz w:val="14"/>
                <w:szCs w:val="16"/>
              </w:rPr>
              <w:t>8.56</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Borrowings and loans from domestic sources</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71.27</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2.14</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8.00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0.23</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8.00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0.23</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6.00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0.16</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6.00</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0.15</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6.00</w:t>
            </w:r>
          </w:p>
        </w:tc>
        <w:tc>
          <w:tcPr>
            <w:tcW w:w="323"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0.14</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Borrowings and loans from abroad</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258.13</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7.73</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205.99</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5.86</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205.99</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5.86</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199.85</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5.35</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365.43</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9.18</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356.00</w:t>
            </w:r>
          </w:p>
        </w:tc>
        <w:tc>
          <w:tcPr>
            <w:tcW w:w="323"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8.35</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Donations</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7.92</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0.24</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0.06</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0.06</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0.05</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2.00</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0.05</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2.00</w:t>
            </w:r>
          </w:p>
        </w:tc>
        <w:tc>
          <w:tcPr>
            <w:tcW w:w="323"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0.05</w:t>
            </w:r>
          </w:p>
        </w:tc>
      </w:tr>
      <w:tr w:rsidR="008D3E5E" w:rsidRPr="00F63F72" w:rsidTr="004C45D3">
        <w:trPr>
          <w:trHeight w:val="300"/>
        </w:trPr>
        <w:tc>
          <w:tcPr>
            <w:tcW w:w="888" w:type="pct"/>
            <w:shd w:val="clear" w:color="000000" w:fill="FFFFFF"/>
            <w:vAlign w:val="center"/>
          </w:tcPr>
          <w:p w:rsidR="008D3E5E" w:rsidRPr="00F63F72" w:rsidRDefault="008D3E5E" w:rsidP="008D3E5E">
            <w:pPr>
              <w:rPr>
                <w:rFonts w:ascii="Calibri" w:hAnsi="Calibri" w:cs="Calibri"/>
                <w:sz w:val="16"/>
                <w:szCs w:val="16"/>
              </w:rPr>
            </w:pPr>
            <w:r w:rsidRPr="00F63F72">
              <w:rPr>
                <w:rFonts w:ascii="Calibri" w:hAnsi="Calibri" w:cs="Calibri"/>
                <w:sz w:val="16"/>
                <w:szCs w:val="16"/>
              </w:rPr>
              <w:t>Revenues from privati</w:t>
            </w:r>
            <w:r>
              <w:rPr>
                <w:rFonts w:ascii="Calibri" w:hAnsi="Calibri" w:cs="Calibri"/>
                <w:sz w:val="16"/>
                <w:szCs w:val="16"/>
              </w:rPr>
              <w:t>z</w:t>
            </w:r>
            <w:r w:rsidRPr="00F63F72">
              <w:rPr>
                <w:rFonts w:ascii="Calibri" w:hAnsi="Calibri" w:cs="Calibri"/>
                <w:sz w:val="16"/>
                <w:szCs w:val="16"/>
              </w:rPr>
              <w:t>ation and property sale</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14.02</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0.42</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19.00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0.54</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19.00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0.54</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22.00</w:t>
            </w:r>
          </w:p>
        </w:tc>
        <w:tc>
          <w:tcPr>
            <w:tcW w:w="295"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0.59</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20.00</w:t>
            </w:r>
          </w:p>
        </w:tc>
        <w:tc>
          <w:tcPr>
            <w:tcW w:w="320"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0.50</w:t>
            </w:r>
          </w:p>
        </w:tc>
        <w:tc>
          <w:tcPr>
            <w:tcW w:w="377"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10.00</w:t>
            </w:r>
          </w:p>
        </w:tc>
        <w:tc>
          <w:tcPr>
            <w:tcW w:w="323" w:type="pct"/>
            <w:shd w:val="clear" w:color="000000" w:fill="FFFFFF"/>
            <w:noWrap/>
            <w:vAlign w:val="bottom"/>
          </w:tcPr>
          <w:p w:rsidR="008D3E5E" w:rsidRPr="00F63F72" w:rsidRDefault="008D3E5E" w:rsidP="004C45D3">
            <w:pPr>
              <w:jc w:val="right"/>
              <w:rPr>
                <w:color w:val="953735"/>
                <w:sz w:val="14"/>
                <w:szCs w:val="16"/>
              </w:rPr>
            </w:pPr>
            <w:r w:rsidRPr="00F63F72">
              <w:rPr>
                <w:color w:val="953735"/>
                <w:sz w:val="14"/>
                <w:szCs w:val="16"/>
              </w:rPr>
              <w:t>0.23</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Use of the state deposits</w:t>
            </w:r>
          </w:p>
        </w:tc>
        <w:tc>
          <w:tcPr>
            <w:tcW w:w="377"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4.30</w:t>
            </w:r>
          </w:p>
        </w:tc>
        <w:tc>
          <w:tcPr>
            <w:tcW w:w="320"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0.13</w:t>
            </w:r>
          </w:p>
        </w:tc>
        <w:tc>
          <w:tcPr>
            <w:tcW w:w="377"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7.35</w:t>
            </w:r>
          </w:p>
        </w:tc>
        <w:tc>
          <w:tcPr>
            <w:tcW w:w="295"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0.21</w:t>
            </w:r>
          </w:p>
        </w:tc>
        <w:tc>
          <w:tcPr>
            <w:tcW w:w="377"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-6.20</w:t>
            </w:r>
          </w:p>
        </w:tc>
        <w:tc>
          <w:tcPr>
            <w:tcW w:w="295"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-0.18</w:t>
            </w:r>
          </w:p>
        </w:tc>
        <w:tc>
          <w:tcPr>
            <w:tcW w:w="377"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-15.59</w:t>
            </w:r>
          </w:p>
        </w:tc>
        <w:tc>
          <w:tcPr>
            <w:tcW w:w="295"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-0.42</w:t>
            </w:r>
          </w:p>
        </w:tc>
        <w:tc>
          <w:tcPr>
            <w:tcW w:w="377"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13.72</w:t>
            </w:r>
          </w:p>
        </w:tc>
        <w:tc>
          <w:tcPr>
            <w:tcW w:w="320"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0.34</w:t>
            </w:r>
          </w:p>
        </w:tc>
        <w:tc>
          <w:tcPr>
            <w:tcW w:w="377"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-8.85</w:t>
            </w:r>
          </w:p>
        </w:tc>
        <w:tc>
          <w:tcPr>
            <w:tcW w:w="323" w:type="pct"/>
            <w:shd w:val="clear" w:color="000000" w:fill="FFFFFF"/>
            <w:noWrap/>
            <w:vAlign w:val="bottom"/>
          </w:tcPr>
          <w:p w:rsidR="008D3E5E" w:rsidRPr="00F63F72" w:rsidRDefault="008D3E5E" w:rsidP="004C45D3">
            <w:pPr>
              <w:jc w:val="right"/>
              <w:rPr>
                <w:b/>
                <w:bCs/>
                <w:color w:val="953735"/>
                <w:sz w:val="14"/>
                <w:szCs w:val="16"/>
              </w:rPr>
            </w:pPr>
            <w:r w:rsidRPr="00F63F72">
              <w:rPr>
                <w:b/>
                <w:bCs/>
                <w:color w:val="953735"/>
                <w:sz w:val="14"/>
                <w:szCs w:val="16"/>
              </w:rPr>
              <w:t>-0.21</w:t>
            </w:r>
          </w:p>
        </w:tc>
      </w:tr>
      <w:tr w:rsidR="008D3E5E" w:rsidRPr="00F63F72" w:rsidTr="004C45D3">
        <w:trPr>
          <w:trHeight w:val="300"/>
        </w:trPr>
        <w:tc>
          <w:tcPr>
            <w:tcW w:w="888" w:type="pct"/>
            <w:shd w:val="clear" w:color="000000" w:fill="FFFFFF"/>
            <w:vAlign w:val="center"/>
          </w:tcPr>
          <w:p w:rsidR="008D3E5E" w:rsidRPr="00F63F72" w:rsidRDefault="008D3E5E" w:rsidP="004C45D3">
            <w:pPr>
              <w:rPr>
                <w:rFonts w:ascii="Calibri" w:hAnsi="Calibri" w:cs="Calibri"/>
                <w:b/>
                <w:bCs/>
                <w:i/>
                <w:iCs/>
                <w:sz w:val="16"/>
                <w:szCs w:val="16"/>
              </w:rPr>
            </w:pPr>
            <w:r w:rsidRPr="00F63F72">
              <w:rPr>
                <w:rFonts w:ascii="Calibri" w:hAnsi="Calibri" w:cs="Calibri"/>
                <w:b/>
                <w:bCs/>
                <w:i/>
                <w:iCs/>
                <w:sz w:val="16"/>
                <w:szCs w:val="16"/>
              </w:rPr>
              <w:t>*preliminary data for 2012.</w:t>
            </w:r>
          </w:p>
        </w:tc>
        <w:tc>
          <w:tcPr>
            <w:tcW w:w="377" w:type="pct"/>
            <w:shd w:val="clear" w:color="000000" w:fill="FFFFFF"/>
            <w:noWrap/>
            <w:vAlign w:val="center"/>
          </w:tcPr>
          <w:p w:rsidR="008D3E5E" w:rsidRPr="00F63F72" w:rsidRDefault="008D3E5E" w:rsidP="004C45D3">
            <w:pPr>
              <w:rPr>
                <w:rFonts w:ascii="Calibri" w:hAnsi="Calibri" w:cs="Calibri"/>
                <w:sz w:val="16"/>
                <w:szCs w:val="16"/>
              </w:rPr>
            </w:pPr>
          </w:p>
        </w:tc>
        <w:tc>
          <w:tcPr>
            <w:tcW w:w="320" w:type="pct"/>
            <w:shd w:val="clear" w:color="000000" w:fill="FFFFFF"/>
            <w:noWrap/>
            <w:vAlign w:val="center"/>
          </w:tcPr>
          <w:p w:rsidR="008D3E5E" w:rsidRPr="00F63F72" w:rsidRDefault="008D3E5E" w:rsidP="004C45D3">
            <w:pPr>
              <w:rPr>
                <w:rFonts w:ascii="Calibri" w:hAnsi="Calibri" w:cs="Calibri"/>
                <w:sz w:val="16"/>
                <w:szCs w:val="16"/>
              </w:rPr>
            </w:pPr>
          </w:p>
        </w:tc>
        <w:tc>
          <w:tcPr>
            <w:tcW w:w="377" w:type="pct"/>
            <w:shd w:val="clear" w:color="000000" w:fill="FFFFFF"/>
            <w:noWrap/>
            <w:vAlign w:val="center"/>
          </w:tcPr>
          <w:p w:rsidR="008D3E5E" w:rsidRPr="00F63F72" w:rsidRDefault="008D3E5E" w:rsidP="004C45D3">
            <w:pPr>
              <w:rPr>
                <w:rFonts w:ascii="Calibri" w:hAnsi="Calibri" w:cs="Calibri"/>
                <w:sz w:val="16"/>
                <w:szCs w:val="16"/>
              </w:rPr>
            </w:pPr>
          </w:p>
        </w:tc>
        <w:tc>
          <w:tcPr>
            <w:tcW w:w="295" w:type="pct"/>
            <w:shd w:val="clear" w:color="000000" w:fill="FFFFFF"/>
            <w:noWrap/>
            <w:vAlign w:val="center"/>
          </w:tcPr>
          <w:p w:rsidR="008D3E5E" w:rsidRPr="00F63F72" w:rsidRDefault="008D3E5E" w:rsidP="004C45D3">
            <w:pPr>
              <w:rPr>
                <w:rFonts w:ascii="Calibri" w:hAnsi="Calibri" w:cs="Calibri"/>
                <w:sz w:val="16"/>
                <w:szCs w:val="16"/>
              </w:rPr>
            </w:pPr>
          </w:p>
        </w:tc>
        <w:tc>
          <w:tcPr>
            <w:tcW w:w="377" w:type="pct"/>
            <w:shd w:val="clear" w:color="000000" w:fill="FFFFFF"/>
            <w:noWrap/>
            <w:vAlign w:val="center"/>
          </w:tcPr>
          <w:p w:rsidR="008D3E5E" w:rsidRPr="00F63F72" w:rsidRDefault="008D3E5E" w:rsidP="004C45D3">
            <w:pPr>
              <w:rPr>
                <w:rFonts w:ascii="Calibri" w:hAnsi="Calibri" w:cs="Calibri"/>
                <w:sz w:val="16"/>
                <w:szCs w:val="16"/>
              </w:rPr>
            </w:pPr>
          </w:p>
        </w:tc>
        <w:tc>
          <w:tcPr>
            <w:tcW w:w="295" w:type="pct"/>
            <w:shd w:val="clear" w:color="000000" w:fill="FFFFFF"/>
            <w:noWrap/>
            <w:vAlign w:val="center"/>
          </w:tcPr>
          <w:p w:rsidR="008D3E5E" w:rsidRPr="00F63F72" w:rsidRDefault="008D3E5E" w:rsidP="004C45D3">
            <w:pPr>
              <w:rPr>
                <w:rFonts w:ascii="Calibri" w:hAnsi="Calibri" w:cs="Calibri"/>
                <w:sz w:val="16"/>
                <w:szCs w:val="16"/>
              </w:rPr>
            </w:pPr>
          </w:p>
        </w:tc>
        <w:tc>
          <w:tcPr>
            <w:tcW w:w="377" w:type="pct"/>
            <w:shd w:val="clear" w:color="000000" w:fill="FFFFFF"/>
            <w:noWrap/>
            <w:vAlign w:val="center"/>
          </w:tcPr>
          <w:p w:rsidR="008D3E5E" w:rsidRPr="00F63F72" w:rsidRDefault="008D3E5E" w:rsidP="004C45D3">
            <w:pPr>
              <w:rPr>
                <w:rFonts w:ascii="Calibri" w:hAnsi="Calibri" w:cs="Calibri"/>
                <w:sz w:val="16"/>
                <w:szCs w:val="16"/>
              </w:rPr>
            </w:pPr>
          </w:p>
        </w:tc>
        <w:tc>
          <w:tcPr>
            <w:tcW w:w="295" w:type="pct"/>
            <w:shd w:val="clear" w:color="000000" w:fill="FFFFFF"/>
            <w:noWrap/>
            <w:vAlign w:val="center"/>
          </w:tcPr>
          <w:p w:rsidR="008D3E5E" w:rsidRPr="00F63F72" w:rsidRDefault="008D3E5E" w:rsidP="004C45D3">
            <w:pPr>
              <w:rPr>
                <w:rFonts w:ascii="Calibri" w:hAnsi="Calibri" w:cs="Calibri"/>
                <w:sz w:val="16"/>
                <w:szCs w:val="16"/>
              </w:rPr>
            </w:pPr>
          </w:p>
        </w:tc>
        <w:tc>
          <w:tcPr>
            <w:tcW w:w="377" w:type="pct"/>
            <w:shd w:val="clear" w:color="000000" w:fill="FFFFFF"/>
            <w:noWrap/>
            <w:vAlign w:val="center"/>
          </w:tcPr>
          <w:p w:rsidR="008D3E5E" w:rsidRPr="00F63F72" w:rsidRDefault="008D3E5E" w:rsidP="004C45D3">
            <w:pPr>
              <w:rPr>
                <w:rFonts w:ascii="Calibri" w:hAnsi="Calibri" w:cs="Calibri"/>
                <w:sz w:val="16"/>
                <w:szCs w:val="16"/>
              </w:rPr>
            </w:pPr>
          </w:p>
        </w:tc>
        <w:tc>
          <w:tcPr>
            <w:tcW w:w="320" w:type="pct"/>
            <w:shd w:val="clear" w:color="000000" w:fill="FFFFFF"/>
            <w:noWrap/>
            <w:vAlign w:val="center"/>
          </w:tcPr>
          <w:p w:rsidR="008D3E5E" w:rsidRPr="00F63F72" w:rsidRDefault="008D3E5E" w:rsidP="004C45D3">
            <w:pPr>
              <w:rPr>
                <w:rFonts w:ascii="Calibri" w:hAnsi="Calibri" w:cs="Calibri"/>
                <w:sz w:val="16"/>
                <w:szCs w:val="16"/>
              </w:rPr>
            </w:pPr>
          </w:p>
        </w:tc>
        <w:tc>
          <w:tcPr>
            <w:tcW w:w="377" w:type="pct"/>
            <w:shd w:val="clear" w:color="000000" w:fill="FFFFFF"/>
            <w:noWrap/>
            <w:vAlign w:val="center"/>
          </w:tcPr>
          <w:p w:rsidR="008D3E5E" w:rsidRPr="00F63F72" w:rsidRDefault="008D3E5E" w:rsidP="004C45D3">
            <w:pPr>
              <w:rPr>
                <w:rFonts w:ascii="Calibri" w:hAnsi="Calibri" w:cs="Calibri"/>
                <w:sz w:val="16"/>
                <w:szCs w:val="16"/>
              </w:rPr>
            </w:pPr>
          </w:p>
        </w:tc>
        <w:tc>
          <w:tcPr>
            <w:tcW w:w="323" w:type="pct"/>
            <w:shd w:val="clear" w:color="000000" w:fill="FFFFFF"/>
            <w:noWrap/>
            <w:vAlign w:val="center"/>
          </w:tcPr>
          <w:p w:rsidR="008D3E5E" w:rsidRPr="00F63F72" w:rsidRDefault="008D3E5E" w:rsidP="004C45D3">
            <w:pPr>
              <w:rPr>
                <w:rFonts w:ascii="Calibri" w:hAnsi="Calibri" w:cs="Calibri"/>
                <w:sz w:val="16"/>
                <w:szCs w:val="16"/>
              </w:rPr>
            </w:pPr>
          </w:p>
        </w:tc>
      </w:tr>
    </w:tbl>
    <w:p w:rsidR="008D3E5E" w:rsidRPr="00F63F72" w:rsidRDefault="008D3E5E" w:rsidP="008D3E5E">
      <w:pPr>
        <w:rPr>
          <w:rFonts w:ascii="Calibri" w:hAnsi="Calibri" w:cs="Calibri"/>
          <w:sz w:val="22"/>
          <w:szCs w:val="22"/>
          <w:highlight w:val="yellow"/>
        </w:rPr>
      </w:pPr>
      <w:r w:rsidRPr="00F63F72">
        <w:rPr>
          <w:rFonts w:ascii="Calibri" w:hAnsi="Calibri" w:cs="Calibri"/>
          <w:b/>
          <w:i/>
          <w:sz w:val="16"/>
          <w:szCs w:val="16"/>
        </w:rPr>
        <w:t>Source: Ministry of Finance</w:t>
      </w:r>
    </w:p>
    <w:p w:rsidR="008D3E5E" w:rsidRPr="00F63F72" w:rsidRDefault="008D3E5E" w:rsidP="008D3E5E">
      <w:pPr>
        <w:rPr>
          <w:rFonts w:ascii="Calibri" w:hAnsi="Calibri" w:cs="Calibri"/>
          <w:sz w:val="22"/>
          <w:szCs w:val="22"/>
          <w:highlight w:val="yellow"/>
        </w:rPr>
      </w:pPr>
    </w:p>
    <w:p w:rsidR="008D3E5E" w:rsidRPr="00F63F72" w:rsidRDefault="008D3E5E" w:rsidP="008D3E5E">
      <w:pPr>
        <w:pStyle w:val="ListParagraph"/>
        <w:numPr>
          <w:ilvl w:val="2"/>
          <w:numId w:val="24"/>
        </w:numPr>
        <w:rPr>
          <w:rFonts w:ascii="Calibri" w:hAnsi="Calibri" w:cs="Calibri"/>
          <w:b/>
          <w:sz w:val="22"/>
          <w:szCs w:val="22"/>
        </w:rPr>
      </w:pPr>
      <w:r w:rsidRPr="00F63F72">
        <w:rPr>
          <w:rFonts w:ascii="Calibri" w:hAnsi="Calibri" w:cs="Calibri"/>
          <w:b/>
          <w:sz w:val="22"/>
          <w:szCs w:val="22"/>
        </w:rPr>
        <w:t>Fiscal risks in the 2013-2016 period</w:t>
      </w:r>
    </w:p>
    <w:p w:rsidR="008D3E5E" w:rsidRPr="00F63F72" w:rsidRDefault="008D3E5E" w:rsidP="008D3E5E">
      <w:pPr>
        <w:rPr>
          <w:rFonts w:ascii="Calibri" w:hAnsi="Calibri" w:cs="Calibri"/>
          <w:b/>
          <w:sz w:val="22"/>
          <w:szCs w:val="22"/>
        </w:rPr>
      </w:pPr>
    </w:p>
    <w:p w:rsidR="008D3E5E" w:rsidRPr="00F63F72" w:rsidRDefault="008D3E5E" w:rsidP="008D3E5E">
      <w:pPr>
        <w:spacing w:line="276" w:lineRule="auto"/>
        <w:jc w:val="both"/>
        <w:rPr>
          <w:rFonts w:ascii="Calibri" w:hAnsi="Calibri" w:cs="Calibri"/>
          <w:sz w:val="22"/>
          <w:szCs w:val="22"/>
        </w:rPr>
      </w:pPr>
      <w:r w:rsidRPr="00F63F72">
        <w:rPr>
          <w:rFonts w:ascii="Calibri" w:hAnsi="Calibri" w:cs="Calibri"/>
          <w:sz w:val="22"/>
          <w:szCs w:val="22"/>
        </w:rPr>
        <w:t>Undiversified, small and open economy is faced with a reduction of external demand caused by the crisis and inevitably suffers the consequences which reflect on all sectors of the economy. Macroeconomic and fiscal risks that could materialize by the end of the year and in the next medium term period refer to the following:</w:t>
      </w:r>
    </w:p>
    <w:p w:rsidR="008D3E5E" w:rsidRPr="00F63F72" w:rsidRDefault="008D3E5E" w:rsidP="008D3E5E">
      <w:pPr>
        <w:pStyle w:val="ListParagraph"/>
        <w:numPr>
          <w:ilvl w:val="0"/>
          <w:numId w:val="33"/>
        </w:numPr>
        <w:spacing w:line="276" w:lineRule="auto"/>
        <w:contextualSpacing/>
        <w:jc w:val="both"/>
        <w:rPr>
          <w:rFonts w:ascii="Calibri" w:hAnsi="Calibri" w:cs="Calibri"/>
          <w:sz w:val="22"/>
          <w:szCs w:val="22"/>
        </w:rPr>
      </w:pPr>
      <w:r w:rsidRPr="00F63F72">
        <w:rPr>
          <w:rFonts w:ascii="Calibri" w:hAnsi="Calibri" w:cs="Calibri"/>
          <w:sz w:val="22"/>
          <w:szCs w:val="22"/>
        </w:rPr>
        <w:t xml:space="preserve">Development of situation in KAP; </w:t>
      </w:r>
    </w:p>
    <w:p w:rsidR="008D3E5E" w:rsidRPr="00F63F72" w:rsidRDefault="008D3E5E" w:rsidP="008D3E5E">
      <w:pPr>
        <w:pStyle w:val="ListParagraph"/>
        <w:numPr>
          <w:ilvl w:val="0"/>
          <w:numId w:val="33"/>
        </w:numPr>
        <w:spacing w:after="240" w:line="276" w:lineRule="auto"/>
        <w:contextualSpacing/>
        <w:jc w:val="both"/>
        <w:rPr>
          <w:rFonts w:ascii="Calibri" w:hAnsi="Calibri" w:cs="Calibri"/>
          <w:sz w:val="22"/>
          <w:szCs w:val="22"/>
        </w:rPr>
      </w:pPr>
      <w:r w:rsidRPr="00F63F72">
        <w:rPr>
          <w:rFonts w:ascii="Calibri" w:hAnsi="Calibri" w:cs="Calibri"/>
          <w:sz w:val="22"/>
          <w:szCs w:val="22"/>
        </w:rPr>
        <w:t>Additional fiscal obligations that might arise from the calling of guarantees for KAP in the amount of 102.0 million €, which could lead to the need of additional fiscal adjustment and/or increase in the deficit and the public debt. In case of potential calling of guarantees, the budget deficit would rise in the medium term by some 25.5 million €, on an annual average. In the event of such a scenario, the need for funding would increase by the same amount. Financing could be provided in one of three ways: increased revenues, additional borrowing or spending cuts, or a combination of these three options.</w:t>
      </w:r>
    </w:p>
    <w:p w:rsidR="008D3E5E" w:rsidRPr="00F63F72" w:rsidRDefault="008D3E5E" w:rsidP="008D3E5E">
      <w:pPr>
        <w:pStyle w:val="ListParagraph"/>
        <w:numPr>
          <w:ilvl w:val="0"/>
          <w:numId w:val="33"/>
        </w:numPr>
        <w:spacing w:after="240" w:line="276" w:lineRule="auto"/>
        <w:contextualSpacing/>
        <w:jc w:val="both"/>
      </w:pPr>
      <w:r w:rsidRPr="00F63F72">
        <w:rPr>
          <w:rFonts w:ascii="Calibri" w:hAnsi="Calibri" w:cs="Calibri"/>
          <w:sz w:val="22"/>
          <w:szCs w:val="22"/>
        </w:rPr>
        <w:t>Certain spillover of recession from the core and periphery Euro area countries and reduced demand and disposable income in these countries may have a negative feedback effect on the Montenegrin economy through a reduction in demand for our export products, including tourism. The recessions in the Euro area and the EU countries could influence a further reduction in foreign direct investments (FDI). This would have a negative impact on economic activity due to the growth model of our economy based on FDI inflows.</w:t>
      </w:r>
    </w:p>
    <w:p w:rsidR="008D3E5E" w:rsidRPr="00F63F72" w:rsidRDefault="008D3E5E" w:rsidP="008D3E5E">
      <w:pPr>
        <w:pStyle w:val="ListParagraph"/>
        <w:numPr>
          <w:ilvl w:val="0"/>
          <w:numId w:val="33"/>
        </w:numPr>
        <w:spacing w:after="240" w:line="276" w:lineRule="auto"/>
        <w:contextualSpacing/>
        <w:jc w:val="both"/>
        <w:rPr>
          <w:rFonts w:ascii="Calibri" w:hAnsi="Calibri" w:cs="Calibri"/>
          <w:sz w:val="22"/>
          <w:szCs w:val="22"/>
        </w:rPr>
      </w:pPr>
      <w:r w:rsidRPr="00F63F72">
        <w:rPr>
          <w:rFonts w:ascii="Calibri" w:hAnsi="Calibri" w:cs="Calibri"/>
          <w:sz w:val="22"/>
          <w:szCs w:val="22"/>
        </w:rPr>
        <w:t>Further decline in lending activity due to the reduced access to credit facilities (the crisis of the banking sector in home countries of parent banks - Italy, Slovenia, Austria, Hungary), reduced demand for loans due to a decrease in economic activity and more stringent conditions for extending loans as a result of increased credit risk.</w:t>
      </w:r>
    </w:p>
    <w:p w:rsidR="008D3E5E" w:rsidRPr="00F63F72" w:rsidRDefault="008D3E5E" w:rsidP="008D3E5E">
      <w:pPr>
        <w:pStyle w:val="ListParagraph"/>
        <w:numPr>
          <w:ilvl w:val="0"/>
          <w:numId w:val="33"/>
        </w:numPr>
        <w:spacing w:after="240" w:line="276" w:lineRule="auto"/>
        <w:contextualSpacing/>
        <w:jc w:val="both"/>
        <w:rPr>
          <w:rFonts w:ascii="Calibri" w:hAnsi="Calibri" w:cs="Calibri"/>
          <w:sz w:val="22"/>
          <w:szCs w:val="22"/>
        </w:rPr>
      </w:pPr>
      <w:r w:rsidRPr="00F63F72">
        <w:rPr>
          <w:rFonts w:ascii="Calibri" w:hAnsi="Calibri" w:cs="Calibri"/>
          <w:sz w:val="22"/>
          <w:szCs w:val="22"/>
        </w:rPr>
        <w:t xml:space="preserve">Lower FDI inflow caused by the collapse of investments in the EU due to the continuous presence of investor uncertainty. This risk is reflected in a decline in aggregate demand, imports and budget revenues, the negative impact on liquidity and potential no job creation. Likelihood </w:t>
      </w:r>
      <w:r w:rsidRPr="00F63F72">
        <w:rPr>
          <w:rFonts w:ascii="Calibri" w:hAnsi="Calibri" w:cs="Calibri"/>
          <w:sz w:val="22"/>
          <w:szCs w:val="22"/>
        </w:rPr>
        <w:lastRenderedPageBreak/>
        <w:t>of this risk is low considering the implementation of the announced or already started investments presented in the Annex hereto.</w:t>
      </w:r>
    </w:p>
    <w:p w:rsidR="008D3E5E" w:rsidRPr="00F63F72" w:rsidRDefault="008D3E5E" w:rsidP="008D3E5E">
      <w:pPr>
        <w:spacing w:after="240" w:line="276" w:lineRule="auto"/>
        <w:rPr>
          <w:rFonts w:ascii="Calibri" w:hAnsi="Calibri" w:cs="Calibri"/>
          <w:sz w:val="22"/>
          <w:szCs w:val="22"/>
        </w:rPr>
      </w:pPr>
    </w:p>
    <w:p w:rsidR="008D3E5E" w:rsidRPr="00F63F72" w:rsidRDefault="008D3E5E" w:rsidP="008D3E5E">
      <w:pPr>
        <w:pStyle w:val="ListParagraph"/>
        <w:numPr>
          <w:ilvl w:val="2"/>
          <w:numId w:val="24"/>
        </w:numPr>
        <w:spacing w:after="240" w:line="276" w:lineRule="auto"/>
        <w:rPr>
          <w:rFonts w:ascii="Calibri" w:hAnsi="Calibri" w:cs="Calibri"/>
          <w:b/>
          <w:sz w:val="22"/>
          <w:szCs w:val="22"/>
        </w:rPr>
      </w:pPr>
      <w:r w:rsidRPr="00F63F72">
        <w:rPr>
          <w:rFonts w:ascii="Calibri" w:hAnsi="Calibri" w:cs="Calibri"/>
          <w:b/>
          <w:sz w:val="22"/>
          <w:szCs w:val="22"/>
        </w:rPr>
        <w:t xml:space="preserve">Public debt and guarantees in the 2013-2016 period </w:t>
      </w:r>
    </w:p>
    <w:p w:rsidR="008D3E5E" w:rsidRPr="00F63F72" w:rsidRDefault="008D3E5E" w:rsidP="008D3E5E">
      <w:pPr>
        <w:jc w:val="both"/>
        <w:rPr>
          <w:rFonts w:ascii="Calibri" w:hAnsi="Calibri" w:cs="Calibri"/>
          <w:sz w:val="22"/>
          <w:szCs w:val="22"/>
        </w:rPr>
      </w:pPr>
      <w:r w:rsidRPr="00F63F72">
        <w:rPr>
          <w:rFonts w:ascii="Calibri" w:hAnsi="Calibri" w:cs="Calibri"/>
          <w:b/>
          <w:sz w:val="22"/>
          <w:szCs w:val="22"/>
        </w:rPr>
        <w:t>Public debt in 2012.</w:t>
      </w:r>
      <w:r w:rsidRPr="00F63F72">
        <w:rPr>
          <w:rFonts w:ascii="Calibri" w:hAnsi="Calibri" w:cs="Calibri"/>
          <w:sz w:val="22"/>
          <w:szCs w:val="22"/>
        </w:rPr>
        <w:t xml:space="preserve"> At end-2012, the public debt amounted to 1,699.5 million € or 50.9% of the estimated 2012 GDP. The internal debt stood at 404.5 million € or 12.1% of GDP, while the external debt amounted to 1,295.0 million € or 38.8% of GDP. With such a level of public debt Montenegro falls under a group of moderately indebted countries, being significantly below the EU average. An increase in the public debt in 2012 was a result of reduced lending activity, declining investments and deteriorated liquidity, as well as a slowdown in economic activity, thus leading to a decline in the collection of revenues and, consequently, to an increased need for borrowing and providing funds to finance the budget. On the other hand, due to the inability of automatic adjustments during the crisis, as well as the collection of Deutsche Bank guarantee for the KAP`s debt in the amount of 23.5 million €, there was a growth on the expenditure side. In accordance with these trends, the higher level of expenditures and lower revenues led to a higher deficit and thus the need for additional borrowing.</w:t>
      </w:r>
    </w:p>
    <w:p w:rsidR="008D3E5E" w:rsidRPr="00F63F72" w:rsidRDefault="008D3E5E" w:rsidP="008D3E5E">
      <w:pPr>
        <w:rPr>
          <w:rFonts w:ascii="Calibri" w:hAnsi="Calibri" w:cs="Calibri"/>
          <w:sz w:val="22"/>
          <w:szCs w:val="22"/>
          <w:highlight w:val="yellow"/>
        </w:rPr>
      </w:pP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As for the debt trending, it is estimated that the public debt will amount to 53.8% of the estimated GDP at the end of 2013. The Ministry of Finance has taken actions aimed at finding the best way of getting borrowing and/or the best creditor. A possibility that is considered her is the issuing of bonds in the international capital market. The possibilities of publishing and/or the price of the bonds are considered in cooperation with financial institutions. Unlike in 2012, the capital market is much cheaper and it is expected that the price will be more favorable than those of the already issued bonds.</w:t>
      </w:r>
    </w:p>
    <w:p w:rsidR="008D3E5E" w:rsidRPr="00F63F72" w:rsidRDefault="008D3E5E" w:rsidP="008D3E5E">
      <w:pPr>
        <w:rPr>
          <w:rFonts w:ascii="Calibri" w:hAnsi="Calibri" w:cs="Calibri"/>
          <w:sz w:val="22"/>
          <w:szCs w:val="22"/>
          <w:highlight w:val="yellow"/>
        </w:rPr>
      </w:pP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Over the medium term 2014-2016, it is expected that the public debt will slightly decline in 2014 to 53.4% of GDP, then to 52.8%, in 2015, whereas the projections for 2016 indicate the amount of 2,137.8 million € or 50.1% of GDP.</w:t>
      </w:r>
    </w:p>
    <w:p w:rsidR="008D3E5E" w:rsidRPr="00F63F72" w:rsidRDefault="008D3E5E" w:rsidP="008D3E5E">
      <w:pPr>
        <w:rPr>
          <w:rFonts w:ascii="Calibri" w:hAnsi="Calibri" w:cs="Calibri"/>
          <w:sz w:val="22"/>
          <w:szCs w:val="22"/>
          <w:highlight w:val="yellow"/>
        </w:rPr>
      </w:pP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A higher decrease of the domestic debt is expected in this period from 2013 to 2016, from 10.8% of GDP in 2013 to 7.1% of GDP at the end of 2016. At the same time, there will be an increase in the external debt from 43% of GDP in 2013 to 44% of GDP at the end of 2014 and reaching 44.5% of GDP in 2015, while at the end of 2016 it will amount to 43.9% of GDP.</w:t>
      </w:r>
    </w:p>
    <w:p w:rsidR="008D3E5E" w:rsidRPr="00F63F72" w:rsidRDefault="008D3E5E" w:rsidP="008D3E5E">
      <w:pPr>
        <w:rPr>
          <w:rFonts w:ascii="Calibri" w:hAnsi="Calibri" w:cs="Calibri"/>
          <w:sz w:val="22"/>
          <w:szCs w:val="22"/>
        </w:rPr>
      </w:pPr>
    </w:p>
    <w:p w:rsidR="008D3E5E" w:rsidRPr="00F63F72" w:rsidRDefault="008D3E5E" w:rsidP="008D3E5E">
      <w:pPr>
        <w:pStyle w:val="Caption"/>
        <w:keepNext/>
        <w:rPr>
          <w:rFonts w:ascii="Calibri" w:hAnsi="Calibri" w:cs="Calibri"/>
          <w:sz w:val="18"/>
          <w:lang w:val="en-US"/>
        </w:rPr>
      </w:pPr>
      <w:r w:rsidRPr="00F63F72">
        <w:rPr>
          <w:rFonts w:ascii="Calibri" w:hAnsi="Calibri" w:cs="Calibri"/>
          <w:sz w:val="18"/>
          <w:lang w:val="en-US"/>
        </w:rPr>
        <w:t xml:space="preserve">Table </w:t>
      </w:r>
      <w:r w:rsidR="00033B25" w:rsidRPr="00F63F72">
        <w:rPr>
          <w:rFonts w:ascii="Calibri" w:hAnsi="Calibri" w:cs="Calibri"/>
          <w:sz w:val="18"/>
          <w:lang w:val="en-US"/>
        </w:rPr>
        <w:fldChar w:fldCharType="begin"/>
      </w:r>
      <w:r w:rsidRPr="00F63F72">
        <w:rPr>
          <w:rFonts w:ascii="Calibri" w:hAnsi="Calibri" w:cs="Calibri"/>
          <w:sz w:val="18"/>
          <w:lang w:val="en-US"/>
        </w:rPr>
        <w:instrText xml:space="preserve"> SEQ Tabela \* ARABIC </w:instrText>
      </w:r>
      <w:r w:rsidR="00033B25" w:rsidRPr="00F63F72">
        <w:rPr>
          <w:rFonts w:ascii="Calibri" w:hAnsi="Calibri" w:cs="Calibri"/>
          <w:sz w:val="18"/>
          <w:lang w:val="en-US"/>
        </w:rPr>
        <w:fldChar w:fldCharType="separate"/>
      </w:r>
      <w:r w:rsidR="005669F0">
        <w:rPr>
          <w:rFonts w:ascii="Calibri" w:hAnsi="Calibri" w:cs="Calibri"/>
          <w:noProof/>
          <w:sz w:val="18"/>
          <w:lang w:val="en-US"/>
        </w:rPr>
        <w:t>8</w:t>
      </w:r>
      <w:r w:rsidR="00033B25" w:rsidRPr="00F63F72">
        <w:rPr>
          <w:rFonts w:ascii="Calibri" w:hAnsi="Calibri" w:cs="Calibri"/>
          <w:sz w:val="18"/>
          <w:lang w:val="en-US"/>
        </w:rPr>
        <w:fldChar w:fldCharType="end"/>
      </w:r>
      <w:r w:rsidRPr="00F63F72">
        <w:rPr>
          <w:rFonts w:ascii="Calibri" w:hAnsi="Calibri" w:cs="Calibri"/>
          <w:sz w:val="18"/>
          <w:lang w:val="en-US"/>
        </w:rPr>
        <w:t xml:space="preserve">   Public debt 2012-2016</w:t>
      </w:r>
    </w:p>
    <w:tbl>
      <w:tblPr>
        <w:tblW w:w="5000" w:type="pct"/>
        <w:tblBorders>
          <w:top w:val="single" w:sz="8" w:space="0" w:color="4F81BD"/>
          <w:left w:val="single" w:sz="8" w:space="0" w:color="4F81BD"/>
          <w:bottom w:val="single" w:sz="8" w:space="0" w:color="4F81BD"/>
          <w:right w:val="single" w:sz="8" w:space="0" w:color="4F81BD"/>
        </w:tblBorders>
        <w:tblLook w:val="00E0"/>
      </w:tblPr>
      <w:tblGrid>
        <w:gridCol w:w="1504"/>
        <w:gridCol w:w="1698"/>
        <w:gridCol w:w="1593"/>
        <w:gridCol w:w="1369"/>
        <w:gridCol w:w="1617"/>
        <w:gridCol w:w="1790"/>
      </w:tblGrid>
      <w:tr w:rsidR="008D3E5E" w:rsidRPr="00F63F72" w:rsidTr="004C45D3">
        <w:trPr>
          <w:trHeight w:val="345"/>
        </w:trPr>
        <w:tc>
          <w:tcPr>
            <w:tcW w:w="786" w:type="pct"/>
            <w:tcBorders>
              <w:top w:val="single" w:sz="8" w:space="0" w:color="4F81BD"/>
              <w:left w:val="nil"/>
              <w:right w:val="nil"/>
            </w:tcBorders>
            <w:shd w:val="clear" w:color="auto" w:fill="4F81BD"/>
            <w:noWrap/>
            <w:vAlign w:val="center"/>
          </w:tcPr>
          <w:p w:rsidR="008D3E5E" w:rsidRPr="00F63F72" w:rsidRDefault="008D3E5E" w:rsidP="004C45D3">
            <w:pPr>
              <w:jc w:val="center"/>
              <w:rPr>
                <w:rFonts w:ascii="Calibri" w:hAnsi="Calibri" w:cs="Calibri"/>
                <w:b/>
                <w:bCs/>
                <w:color w:val="FFFFFF"/>
                <w:sz w:val="20"/>
              </w:rPr>
            </w:pPr>
            <w:r w:rsidRPr="00F63F72">
              <w:rPr>
                <w:rFonts w:ascii="Calibri" w:hAnsi="Calibri" w:cs="Calibri"/>
                <w:b/>
                <w:bCs/>
                <w:color w:val="FFFFFF"/>
                <w:sz w:val="20"/>
                <w:szCs w:val="22"/>
              </w:rPr>
              <w:t>Public debt</w:t>
            </w:r>
          </w:p>
        </w:tc>
        <w:tc>
          <w:tcPr>
            <w:tcW w:w="887" w:type="pct"/>
            <w:tcBorders>
              <w:top w:val="single" w:sz="8" w:space="0" w:color="4F81BD"/>
              <w:left w:val="nil"/>
              <w:right w:val="nil"/>
            </w:tcBorders>
            <w:shd w:val="clear" w:color="auto" w:fill="4F81BD"/>
            <w:noWrap/>
            <w:vAlign w:val="center"/>
          </w:tcPr>
          <w:p w:rsidR="008D3E5E" w:rsidRPr="00F63F72" w:rsidRDefault="008D3E5E" w:rsidP="004C45D3">
            <w:pPr>
              <w:jc w:val="center"/>
              <w:rPr>
                <w:rFonts w:ascii="Calibri" w:hAnsi="Calibri" w:cs="Calibri"/>
                <w:b/>
                <w:bCs/>
                <w:color w:val="FFFFFF"/>
                <w:sz w:val="20"/>
              </w:rPr>
            </w:pPr>
            <w:r w:rsidRPr="00F63F72">
              <w:rPr>
                <w:rFonts w:ascii="Calibri" w:hAnsi="Calibri" w:cs="Calibri"/>
                <w:b/>
                <w:bCs/>
                <w:color w:val="FFFFFF"/>
                <w:sz w:val="20"/>
                <w:szCs w:val="22"/>
              </w:rPr>
              <w:t>2012</w:t>
            </w:r>
          </w:p>
        </w:tc>
        <w:tc>
          <w:tcPr>
            <w:tcW w:w="832" w:type="pct"/>
            <w:tcBorders>
              <w:top w:val="single" w:sz="8" w:space="0" w:color="4F81BD"/>
              <w:left w:val="nil"/>
              <w:right w:val="nil"/>
            </w:tcBorders>
            <w:shd w:val="clear" w:color="auto" w:fill="4F81BD"/>
            <w:noWrap/>
            <w:vAlign w:val="center"/>
          </w:tcPr>
          <w:p w:rsidR="008D3E5E" w:rsidRPr="00F63F72" w:rsidRDefault="008D3E5E" w:rsidP="004C45D3">
            <w:pPr>
              <w:jc w:val="center"/>
              <w:rPr>
                <w:rFonts w:ascii="Calibri" w:hAnsi="Calibri" w:cs="Calibri"/>
                <w:b/>
                <w:bCs/>
                <w:color w:val="FFFFFF"/>
                <w:sz w:val="20"/>
              </w:rPr>
            </w:pPr>
            <w:r w:rsidRPr="00F63F72">
              <w:rPr>
                <w:rFonts w:ascii="Calibri" w:hAnsi="Calibri" w:cs="Calibri"/>
                <w:b/>
                <w:bCs/>
                <w:color w:val="FFFFFF"/>
                <w:sz w:val="20"/>
                <w:szCs w:val="22"/>
              </w:rPr>
              <w:t>2013</w:t>
            </w:r>
          </w:p>
        </w:tc>
        <w:tc>
          <w:tcPr>
            <w:tcW w:w="715" w:type="pct"/>
            <w:tcBorders>
              <w:top w:val="single" w:sz="8" w:space="0" w:color="4F81BD"/>
              <w:left w:val="nil"/>
              <w:right w:val="nil"/>
            </w:tcBorders>
            <w:shd w:val="clear" w:color="auto" w:fill="4F81BD"/>
            <w:noWrap/>
            <w:vAlign w:val="center"/>
          </w:tcPr>
          <w:p w:rsidR="008D3E5E" w:rsidRPr="00F63F72" w:rsidRDefault="008D3E5E" w:rsidP="004C45D3">
            <w:pPr>
              <w:jc w:val="center"/>
              <w:rPr>
                <w:rFonts w:ascii="Calibri" w:hAnsi="Calibri" w:cs="Calibri"/>
                <w:b/>
                <w:bCs/>
                <w:color w:val="FFFFFF"/>
                <w:sz w:val="20"/>
              </w:rPr>
            </w:pPr>
            <w:r w:rsidRPr="00F63F72">
              <w:rPr>
                <w:rFonts w:ascii="Calibri" w:hAnsi="Calibri" w:cs="Calibri"/>
                <w:b/>
                <w:bCs/>
                <w:color w:val="FFFFFF"/>
                <w:sz w:val="20"/>
                <w:szCs w:val="22"/>
              </w:rPr>
              <w:t>2014</w:t>
            </w:r>
          </w:p>
        </w:tc>
        <w:tc>
          <w:tcPr>
            <w:tcW w:w="845" w:type="pct"/>
            <w:tcBorders>
              <w:top w:val="single" w:sz="8" w:space="0" w:color="4F81BD"/>
              <w:left w:val="nil"/>
              <w:right w:val="nil"/>
            </w:tcBorders>
            <w:shd w:val="clear" w:color="auto" w:fill="4F81BD"/>
            <w:noWrap/>
            <w:vAlign w:val="center"/>
          </w:tcPr>
          <w:p w:rsidR="008D3E5E" w:rsidRPr="00F63F72" w:rsidRDefault="008D3E5E" w:rsidP="004C45D3">
            <w:pPr>
              <w:jc w:val="center"/>
              <w:rPr>
                <w:rFonts w:ascii="Calibri" w:hAnsi="Calibri" w:cs="Calibri"/>
                <w:b/>
                <w:bCs/>
                <w:color w:val="FFFFFF"/>
                <w:sz w:val="20"/>
              </w:rPr>
            </w:pPr>
            <w:r w:rsidRPr="00F63F72">
              <w:rPr>
                <w:rFonts w:ascii="Calibri" w:hAnsi="Calibri" w:cs="Calibri"/>
                <w:b/>
                <w:bCs/>
                <w:color w:val="FFFFFF"/>
                <w:sz w:val="20"/>
                <w:szCs w:val="22"/>
              </w:rPr>
              <w:t>2015</w:t>
            </w:r>
          </w:p>
        </w:tc>
        <w:tc>
          <w:tcPr>
            <w:tcW w:w="935" w:type="pct"/>
            <w:tcBorders>
              <w:top w:val="single" w:sz="8" w:space="0" w:color="4F81BD"/>
              <w:left w:val="nil"/>
              <w:right w:val="nil"/>
            </w:tcBorders>
            <w:shd w:val="clear" w:color="auto" w:fill="4F81BD"/>
            <w:noWrap/>
            <w:vAlign w:val="center"/>
          </w:tcPr>
          <w:p w:rsidR="008D3E5E" w:rsidRPr="00F63F72" w:rsidRDefault="008D3E5E" w:rsidP="004C45D3">
            <w:pPr>
              <w:jc w:val="center"/>
              <w:rPr>
                <w:rFonts w:ascii="Calibri" w:hAnsi="Calibri" w:cs="Calibri"/>
                <w:b/>
                <w:bCs/>
                <w:color w:val="FFFFFF"/>
                <w:sz w:val="20"/>
              </w:rPr>
            </w:pPr>
            <w:r w:rsidRPr="00F63F72">
              <w:rPr>
                <w:rFonts w:ascii="Calibri" w:hAnsi="Calibri" w:cs="Calibri"/>
                <w:b/>
                <w:bCs/>
                <w:color w:val="FFFFFF"/>
                <w:sz w:val="20"/>
                <w:szCs w:val="22"/>
              </w:rPr>
              <w:t>2016</w:t>
            </w:r>
          </w:p>
        </w:tc>
      </w:tr>
      <w:tr w:rsidR="008D3E5E" w:rsidRPr="00F63F72" w:rsidTr="004C45D3">
        <w:trPr>
          <w:trHeight w:val="255"/>
        </w:trPr>
        <w:tc>
          <w:tcPr>
            <w:tcW w:w="786" w:type="pct"/>
            <w:tcBorders>
              <w:top w:val="single" w:sz="8" w:space="0" w:color="4F81BD"/>
              <w:left w:val="nil"/>
              <w:bottom w:val="single" w:sz="8" w:space="0" w:color="4F81BD"/>
              <w:right w:val="nil"/>
            </w:tcBorders>
            <w:noWrap/>
            <w:vAlign w:val="center"/>
          </w:tcPr>
          <w:p w:rsidR="008D3E5E" w:rsidRPr="00F63F72" w:rsidRDefault="008D3E5E" w:rsidP="004C45D3">
            <w:pPr>
              <w:rPr>
                <w:rFonts w:ascii="Calibri" w:hAnsi="Calibri" w:cs="Calibri"/>
                <w:b/>
                <w:bCs/>
                <w:i/>
                <w:sz w:val="20"/>
              </w:rPr>
            </w:pPr>
            <w:r w:rsidRPr="00F63F72">
              <w:rPr>
                <w:rFonts w:ascii="Calibri" w:hAnsi="Calibri" w:cs="Calibri"/>
                <w:b/>
                <w:bCs/>
                <w:i/>
                <w:sz w:val="20"/>
                <w:szCs w:val="22"/>
              </w:rPr>
              <w:t>GDP</w:t>
            </w:r>
          </w:p>
        </w:tc>
        <w:tc>
          <w:tcPr>
            <w:tcW w:w="887" w:type="pct"/>
            <w:tcBorders>
              <w:top w:val="single" w:sz="8" w:space="0" w:color="4F81BD"/>
              <w:left w:val="nil"/>
              <w:bottom w:val="single" w:sz="8" w:space="0" w:color="4F81BD"/>
              <w:right w:val="nil"/>
            </w:tcBorders>
            <w:noWrap/>
            <w:tcMar>
              <w:right w:w="198" w:type="dxa"/>
            </w:tcMar>
            <w:vAlign w:val="bottom"/>
          </w:tcPr>
          <w:p w:rsidR="008D3E5E" w:rsidRPr="00F63F72" w:rsidRDefault="008D3E5E" w:rsidP="004C45D3">
            <w:pPr>
              <w:jc w:val="right"/>
              <w:rPr>
                <w:rFonts w:ascii="Calibri" w:hAnsi="Calibri" w:cs="Calibri"/>
                <w:bCs/>
                <w:sz w:val="20"/>
              </w:rPr>
            </w:pPr>
            <w:r w:rsidRPr="00F63F72">
              <w:rPr>
                <w:rFonts w:ascii="Calibri" w:hAnsi="Calibri" w:cs="Calibri"/>
                <w:bCs/>
                <w:sz w:val="20"/>
                <w:szCs w:val="22"/>
              </w:rPr>
              <w:t>3338</w:t>
            </w:r>
          </w:p>
        </w:tc>
        <w:tc>
          <w:tcPr>
            <w:tcW w:w="832"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Cs/>
                <w:sz w:val="20"/>
              </w:rPr>
            </w:pPr>
            <w:r w:rsidRPr="00F63F72">
              <w:rPr>
                <w:rFonts w:ascii="Calibri" w:hAnsi="Calibri" w:cs="Calibri"/>
                <w:bCs/>
                <w:sz w:val="20"/>
                <w:szCs w:val="22"/>
              </w:rPr>
              <w:t>3517</w:t>
            </w:r>
          </w:p>
        </w:tc>
        <w:tc>
          <w:tcPr>
            <w:tcW w:w="715"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Cs/>
                <w:sz w:val="20"/>
              </w:rPr>
            </w:pPr>
            <w:r w:rsidRPr="00F63F72">
              <w:rPr>
                <w:rFonts w:ascii="Calibri" w:hAnsi="Calibri" w:cs="Calibri"/>
                <w:bCs/>
                <w:sz w:val="20"/>
                <w:szCs w:val="22"/>
              </w:rPr>
              <w:t>3735</w:t>
            </w:r>
          </w:p>
        </w:tc>
        <w:tc>
          <w:tcPr>
            <w:tcW w:w="845"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Cs/>
                <w:sz w:val="20"/>
              </w:rPr>
            </w:pPr>
            <w:r w:rsidRPr="00F63F72">
              <w:rPr>
                <w:rFonts w:ascii="Calibri" w:hAnsi="Calibri" w:cs="Calibri"/>
                <w:bCs/>
                <w:sz w:val="20"/>
                <w:szCs w:val="22"/>
              </w:rPr>
              <w:t>3982</w:t>
            </w:r>
          </w:p>
        </w:tc>
        <w:tc>
          <w:tcPr>
            <w:tcW w:w="935"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Cs/>
                <w:sz w:val="20"/>
              </w:rPr>
            </w:pPr>
            <w:r w:rsidRPr="00F63F72">
              <w:rPr>
                <w:rFonts w:ascii="Calibri" w:hAnsi="Calibri" w:cs="Calibri"/>
                <w:bCs/>
                <w:sz w:val="20"/>
                <w:szCs w:val="22"/>
              </w:rPr>
              <w:t>4265</w:t>
            </w:r>
          </w:p>
        </w:tc>
      </w:tr>
      <w:tr w:rsidR="008D3E5E" w:rsidRPr="00F63F72" w:rsidTr="004C45D3">
        <w:trPr>
          <w:trHeight w:val="255"/>
        </w:trPr>
        <w:tc>
          <w:tcPr>
            <w:tcW w:w="786" w:type="pct"/>
            <w:tcBorders>
              <w:left w:val="nil"/>
              <w:right w:val="nil"/>
            </w:tcBorders>
            <w:noWrap/>
            <w:vAlign w:val="center"/>
          </w:tcPr>
          <w:p w:rsidR="008D3E5E" w:rsidRPr="00F63F72" w:rsidRDefault="008D3E5E" w:rsidP="004C45D3">
            <w:pPr>
              <w:rPr>
                <w:rFonts w:ascii="Calibri" w:hAnsi="Calibri" w:cs="Calibri"/>
                <w:b/>
                <w:bCs/>
                <w:i/>
                <w:sz w:val="20"/>
              </w:rPr>
            </w:pPr>
            <w:r w:rsidRPr="00F63F72">
              <w:rPr>
                <w:rFonts w:ascii="Calibri" w:hAnsi="Calibri" w:cs="Calibri"/>
                <w:b/>
                <w:bCs/>
                <w:i/>
                <w:sz w:val="20"/>
                <w:szCs w:val="22"/>
              </w:rPr>
              <w:t>External debt</w:t>
            </w:r>
          </w:p>
        </w:tc>
        <w:tc>
          <w:tcPr>
            <w:tcW w:w="887" w:type="pct"/>
            <w:tcBorders>
              <w:left w:val="nil"/>
              <w:right w:val="nil"/>
            </w:tcBorders>
            <w:noWrap/>
            <w:tcMar>
              <w:right w:w="198" w:type="dxa"/>
            </w:tcMar>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1295,0</w:t>
            </w:r>
          </w:p>
        </w:tc>
        <w:tc>
          <w:tcPr>
            <w:tcW w:w="832"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1512,3</w:t>
            </w:r>
          </w:p>
        </w:tc>
        <w:tc>
          <w:tcPr>
            <w:tcW w:w="715"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1646,8</w:t>
            </w:r>
          </w:p>
        </w:tc>
        <w:tc>
          <w:tcPr>
            <w:tcW w:w="845"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1770,3</w:t>
            </w:r>
          </w:p>
        </w:tc>
        <w:tc>
          <w:tcPr>
            <w:tcW w:w="935"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1873,1</w:t>
            </w:r>
          </w:p>
        </w:tc>
      </w:tr>
      <w:tr w:rsidR="008D3E5E" w:rsidRPr="00F63F72" w:rsidTr="004C45D3">
        <w:trPr>
          <w:trHeight w:val="255"/>
        </w:trPr>
        <w:tc>
          <w:tcPr>
            <w:tcW w:w="786" w:type="pct"/>
            <w:tcBorders>
              <w:top w:val="single" w:sz="8" w:space="0" w:color="4F81BD"/>
              <w:left w:val="nil"/>
              <w:bottom w:val="single" w:sz="8" w:space="0" w:color="4F81BD"/>
              <w:right w:val="nil"/>
            </w:tcBorders>
            <w:noWrap/>
            <w:vAlign w:val="center"/>
          </w:tcPr>
          <w:p w:rsidR="008D3E5E" w:rsidRPr="00F63F72" w:rsidRDefault="008D3E5E" w:rsidP="004C45D3">
            <w:pPr>
              <w:rPr>
                <w:rFonts w:ascii="Calibri" w:hAnsi="Calibri" w:cs="Calibri"/>
                <w:b/>
                <w:bCs/>
                <w:i/>
                <w:sz w:val="20"/>
              </w:rPr>
            </w:pPr>
            <w:r w:rsidRPr="00F63F72">
              <w:rPr>
                <w:rFonts w:ascii="Calibri" w:hAnsi="Calibri" w:cs="Calibri"/>
                <w:b/>
                <w:bCs/>
                <w:i/>
                <w:sz w:val="20"/>
                <w:szCs w:val="22"/>
              </w:rPr>
              <w:t>% of GDP</w:t>
            </w:r>
          </w:p>
        </w:tc>
        <w:tc>
          <w:tcPr>
            <w:tcW w:w="887" w:type="pct"/>
            <w:tcBorders>
              <w:top w:val="single" w:sz="8" w:space="0" w:color="4F81BD"/>
              <w:left w:val="nil"/>
              <w:bottom w:val="single" w:sz="8" w:space="0" w:color="4F81BD"/>
              <w:right w:val="nil"/>
            </w:tcBorders>
            <w:noWrap/>
            <w:tcMar>
              <w:right w:w="198" w:type="dxa"/>
            </w:tcMar>
            <w:vAlign w:val="bottom"/>
          </w:tcPr>
          <w:p w:rsidR="008D3E5E" w:rsidRPr="00F63F72" w:rsidRDefault="008D3E5E" w:rsidP="004C45D3">
            <w:pPr>
              <w:jc w:val="right"/>
              <w:rPr>
                <w:rFonts w:ascii="Calibri" w:hAnsi="Calibri" w:cs="Calibri"/>
                <w:b/>
                <w:bCs/>
                <w:sz w:val="20"/>
              </w:rPr>
            </w:pPr>
            <w:r w:rsidRPr="00F63F72">
              <w:rPr>
                <w:rFonts w:ascii="Calibri" w:hAnsi="Calibri" w:cs="Calibri"/>
                <w:b/>
                <w:bCs/>
                <w:sz w:val="20"/>
                <w:szCs w:val="22"/>
              </w:rPr>
              <w:t>38,80</w:t>
            </w:r>
          </w:p>
        </w:tc>
        <w:tc>
          <w:tcPr>
            <w:tcW w:w="832"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bCs/>
                <w:sz w:val="20"/>
              </w:rPr>
            </w:pPr>
            <w:r w:rsidRPr="00F63F72">
              <w:rPr>
                <w:rFonts w:ascii="Calibri" w:hAnsi="Calibri" w:cs="Calibri"/>
                <w:b/>
                <w:bCs/>
                <w:sz w:val="20"/>
                <w:szCs w:val="22"/>
              </w:rPr>
              <w:t>43,00</w:t>
            </w:r>
          </w:p>
        </w:tc>
        <w:tc>
          <w:tcPr>
            <w:tcW w:w="715"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bCs/>
                <w:sz w:val="20"/>
              </w:rPr>
            </w:pPr>
            <w:r w:rsidRPr="00F63F72">
              <w:rPr>
                <w:rFonts w:ascii="Calibri" w:hAnsi="Calibri" w:cs="Calibri"/>
                <w:b/>
                <w:bCs/>
                <w:sz w:val="20"/>
                <w:szCs w:val="22"/>
              </w:rPr>
              <w:t>44,09</w:t>
            </w:r>
          </w:p>
        </w:tc>
        <w:tc>
          <w:tcPr>
            <w:tcW w:w="845"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bCs/>
                <w:sz w:val="20"/>
              </w:rPr>
            </w:pPr>
            <w:r w:rsidRPr="00F63F72">
              <w:rPr>
                <w:rFonts w:ascii="Calibri" w:hAnsi="Calibri" w:cs="Calibri"/>
                <w:b/>
                <w:bCs/>
                <w:sz w:val="20"/>
                <w:szCs w:val="22"/>
              </w:rPr>
              <w:t>44,46</w:t>
            </w:r>
          </w:p>
        </w:tc>
        <w:tc>
          <w:tcPr>
            <w:tcW w:w="935"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bCs/>
                <w:sz w:val="20"/>
              </w:rPr>
            </w:pPr>
            <w:r w:rsidRPr="00F63F72">
              <w:rPr>
                <w:rFonts w:ascii="Calibri" w:hAnsi="Calibri" w:cs="Calibri"/>
                <w:b/>
                <w:bCs/>
                <w:sz w:val="20"/>
                <w:szCs w:val="22"/>
              </w:rPr>
              <w:t>43,92</w:t>
            </w:r>
          </w:p>
        </w:tc>
      </w:tr>
      <w:tr w:rsidR="008D3E5E" w:rsidRPr="00F63F72" w:rsidTr="004C45D3">
        <w:trPr>
          <w:trHeight w:val="255"/>
        </w:trPr>
        <w:tc>
          <w:tcPr>
            <w:tcW w:w="786" w:type="pct"/>
            <w:tcBorders>
              <w:left w:val="nil"/>
              <w:right w:val="nil"/>
            </w:tcBorders>
            <w:noWrap/>
            <w:vAlign w:val="center"/>
          </w:tcPr>
          <w:p w:rsidR="008D3E5E" w:rsidRPr="00F63F72" w:rsidRDefault="008D3E5E" w:rsidP="004C45D3">
            <w:pPr>
              <w:rPr>
                <w:rFonts w:ascii="Calibri" w:hAnsi="Calibri" w:cs="Calibri"/>
                <w:b/>
                <w:bCs/>
                <w:i/>
                <w:sz w:val="20"/>
              </w:rPr>
            </w:pPr>
            <w:r w:rsidRPr="00F63F72">
              <w:rPr>
                <w:rFonts w:ascii="Calibri" w:hAnsi="Calibri" w:cs="Calibri"/>
                <w:b/>
                <w:bCs/>
                <w:i/>
                <w:sz w:val="20"/>
                <w:szCs w:val="22"/>
              </w:rPr>
              <w:t>Internal debt</w:t>
            </w:r>
          </w:p>
        </w:tc>
        <w:tc>
          <w:tcPr>
            <w:tcW w:w="887" w:type="pct"/>
            <w:tcBorders>
              <w:left w:val="nil"/>
              <w:right w:val="nil"/>
            </w:tcBorders>
            <w:noWrap/>
            <w:tcMar>
              <w:right w:w="198" w:type="dxa"/>
            </w:tcMar>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404,5</w:t>
            </w:r>
          </w:p>
        </w:tc>
        <w:tc>
          <w:tcPr>
            <w:tcW w:w="832"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380,7</w:t>
            </w:r>
          </w:p>
        </w:tc>
        <w:tc>
          <w:tcPr>
            <w:tcW w:w="715"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348,2</w:t>
            </w:r>
          </w:p>
        </w:tc>
        <w:tc>
          <w:tcPr>
            <w:tcW w:w="845"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333,1</w:t>
            </w:r>
          </w:p>
        </w:tc>
        <w:tc>
          <w:tcPr>
            <w:tcW w:w="935"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304,7</w:t>
            </w:r>
          </w:p>
        </w:tc>
      </w:tr>
      <w:tr w:rsidR="008D3E5E" w:rsidRPr="00F63F72" w:rsidTr="004C45D3">
        <w:trPr>
          <w:trHeight w:val="255"/>
        </w:trPr>
        <w:tc>
          <w:tcPr>
            <w:tcW w:w="786" w:type="pct"/>
            <w:tcBorders>
              <w:top w:val="single" w:sz="8" w:space="0" w:color="4F81BD"/>
              <w:left w:val="nil"/>
              <w:bottom w:val="single" w:sz="8" w:space="0" w:color="4F81BD"/>
              <w:right w:val="nil"/>
            </w:tcBorders>
            <w:noWrap/>
            <w:vAlign w:val="center"/>
          </w:tcPr>
          <w:p w:rsidR="008D3E5E" w:rsidRPr="00F63F72" w:rsidRDefault="008D3E5E" w:rsidP="004C45D3">
            <w:pPr>
              <w:rPr>
                <w:rFonts w:ascii="Calibri" w:hAnsi="Calibri" w:cs="Calibri"/>
                <w:b/>
                <w:bCs/>
                <w:i/>
                <w:sz w:val="20"/>
              </w:rPr>
            </w:pPr>
            <w:r w:rsidRPr="00F63F72">
              <w:rPr>
                <w:rFonts w:ascii="Calibri" w:hAnsi="Calibri" w:cs="Calibri"/>
                <w:b/>
                <w:bCs/>
                <w:i/>
                <w:sz w:val="20"/>
                <w:szCs w:val="22"/>
              </w:rPr>
              <w:t>% of GDP</w:t>
            </w:r>
          </w:p>
        </w:tc>
        <w:tc>
          <w:tcPr>
            <w:tcW w:w="887" w:type="pct"/>
            <w:tcBorders>
              <w:top w:val="single" w:sz="8" w:space="0" w:color="4F81BD"/>
              <w:left w:val="nil"/>
              <w:bottom w:val="single" w:sz="8" w:space="0" w:color="4F81BD"/>
              <w:right w:val="nil"/>
            </w:tcBorders>
            <w:noWrap/>
            <w:tcMar>
              <w:right w:w="198" w:type="dxa"/>
            </w:tcMar>
            <w:vAlign w:val="bottom"/>
          </w:tcPr>
          <w:p w:rsidR="008D3E5E" w:rsidRPr="00F63F72" w:rsidRDefault="008D3E5E" w:rsidP="004C45D3">
            <w:pPr>
              <w:jc w:val="right"/>
              <w:rPr>
                <w:rFonts w:ascii="Calibri" w:hAnsi="Calibri" w:cs="Calibri"/>
                <w:b/>
                <w:sz w:val="20"/>
              </w:rPr>
            </w:pPr>
            <w:r w:rsidRPr="00F63F72">
              <w:rPr>
                <w:rFonts w:ascii="Calibri" w:hAnsi="Calibri" w:cs="Calibri"/>
                <w:b/>
                <w:sz w:val="20"/>
                <w:szCs w:val="22"/>
              </w:rPr>
              <w:t>12,12</w:t>
            </w:r>
          </w:p>
        </w:tc>
        <w:tc>
          <w:tcPr>
            <w:tcW w:w="832"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sz w:val="20"/>
              </w:rPr>
            </w:pPr>
            <w:r w:rsidRPr="00F63F72">
              <w:rPr>
                <w:rFonts w:ascii="Calibri" w:hAnsi="Calibri" w:cs="Calibri"/>
                <w:b/>
                <w:sz w:val="20"/>
                <w:szCs w:val="22"/>
              </w:rPr>
              <w:t>10,80</w:t>
            </w:r>
          </w:p>
        </w:tc>
        <w:tc>
          <w:tcPr>
            <w:tcW w:w="715"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sz w:val="20"/>
              </w:rPr>
            </w:pPr>
            <w:r w:rsidRPr="00F63F72">
              <w:rPr>
                <w:rFonts w:ascii="Calibri" w:hAnsi="Calibri" w:cs="Calibri"/>
                <w:b/>
                <w:sz w:val="20"/>
                <w:szCs w:val="22"/>
              </w:rPr>
              <w:t>9,32</w:t>
            </w:r>
          </w:p>
        </w:tc>
        <w:tc>
          <w:tcPr>
            <w:tcW w:w="845"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sz w:val="20"/>
              </w:rPr>
            </w:pPr>
            <w:r w:rsidRPr="00F63F72">
              <w:rPr>
                <w:rFonts w:ascii="Calibri" w:hAnsi="Calibri" w:cs="Calibri"/>
                <w:b/>
                <w:sz w:val="20"/>
                <w:szCs w:val="22"/>
              </w:rPr>
              <w:t>8,36</w:t>
            </w:r>
          </w:p>
        </w:tc>
        <w:tc>
          <w:tcPr>
            <w:tcW w:w="935" w:type="pct"/>
            <w:tcBorders>
              <w:top w:val="single" w:sz="8"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sz w:val="20"/>
              </w:rPr>
            </w:pPr>
            <w:r w:rsidRPr="00F63F72">
              <w:rPr>
                <w:rFonts w:ascii="Calibri" w:hAnsi="Calibri" w:cs="Calibri"/>
                <w:b/>
                <w:sz w:val="20"/>
                <w:szCs w:val="22"/>
              </w:rPr>
              <w:t>7,14</w:t>
            </w:r>
          </w:p>
        </w:tc>
      </w:tr>
      <w:tr w:rsidR="008D3E5E" w:rsidRPr="00F63F72" w:rsidTr="004C45D3">
        <w:trPr>
          <w:trHeight w:val="255"/>
        </w:trPr>
        <w:tc>
          <w:tcPr>
            <w:tcW w:w="786" w:type="pct"/>
            <w:tcBorders>
              <w:left w:val="nil"/>
              <w:right w:val="nil"/>
            </w:tcBorders>
            <w:noWrap/>
            <w:vAlign w:val="center"/>
          </w:tcPr>
          <w:p w:rsidR="008D3E5E" w:rsidRPr="00F63F72" w:rsidRDefault="008D3E5E" w:rsidP="004C45D3">
            <w:pPr>
              <w:rPr>
                <w:rFonts w:ascii="Calibri" w:hAnsi="Calibri" w:cs="Calibri"/>
                <w:b/>
                <w:bCs/>
                <w:i/>
                <w:sz w:val="20"/>
              </w:rPr>
            </w:pPr>
            <w:r w:rsidRPr="00F63F72">
              <w:rPr>
                <w:rFonts w:ascii="Calibri" w:hAnsi="Calibri" w:cs="Calibri"/>
                <w:b/>
                <w:bCs/>
                <w:i/>
                <w:sz w:val="20"/>
                <w:szCs w:val="22"/>
              </w:rPr>
              <w:t>Public debt</w:t>
            </w:r>
          </w:p>
        </w:tc>
        <w:tc>
          <w:tcPr>
            <w:tcW w:w="887" w:type="pct"/>
            <w:tcBorders>
              <w:left w:val="nil"/>
              <w:right w:val="nil"/>
            </w:tcBorders>
            <w:noWrap/>
            <w:tcMar>
              <w:right w:w="198" w:type="dxa"/>
            </w:tcMar>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1699,5</w:t>
            </w:r>
          </w:p>
        </w:tc>
        <w:tc>
          <w:tcPr>
            <w:tcW w:w="832"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1893,0</w:t>
            </w:r>
          </w:p>
        </w:tc>
        <w:tc>
          <w:tcPr>
            <w:tcW w:w="715"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1995,0</w:t>
            </w:r>
          </w:p>
        </w:tc>
        <w:tc>
          <w:tcPr>
            <w:tcW w:w="845"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2103,4</w:t>
            </w:r>
          </w:p>
        </w:tc>
        <w:tc>
          <w:tcPr>
            <w:tcW w:w="935" w:type="pct"/>
            <w:tcBorders>
              <w:left w:val="nil"/>
              <w:right w:val="nil"/>
            </w:tcBorders>
            <w:noWrap/>
            <w:vAlign w:val="bottom"/>
          </w:tcPr>
          <w:p w:rsidR="008D3E5E" w:rsidRPr="00F63F72" w:rsidRDefault="008D3E5E" w:rsidP="004C45D3">
            <w:pPr>
              <w:jc w:val="right"/>
              <w:rPr>
                <w:rFonts w:ascii="Calibri" w:hAnsi="Calibri" w:cs="Calibri"/>
                <w:sz w:val="20"/>
              </w:rPr>
            </w:pPr>
            <w:r w:rsidRPr="00F63F72">
              <w:rPr>
                <w:rFonts w:ascii="Calibri" w:hAnsi="Calibri" w:cs="Calibri"/>
                <w:sz w:val="20"/>
                <w:szCs w:val="22"/>
              </w:rPr>
              <w:t>2137,8</w:t>
            </w:r>
          </w:p>
        </w:tc>
      </w:tr>
      <w:tr w:rsidR="008D3E5E" w:rsidRPr="00F63F72" w:rsidTr="004C45D3">
        <w:trPr>
          <w:trHeight w:val="285"/>
        </w:trPr>
        <w:tc>
          <w:tcPr>
            <w:tcW w:w="786" w:type="pct"/>
            <w:tcBorders>
              <w:top w:val="double" w:sz="6" w:space="0" w:color="4F81BD"/>
              <w:left w:val="nil"/>
              <w:bottom w:val="single" w:sz="8" w:space="0" w:color="4F81BD"/>
              <w:right w:val="nil"/>
            </w:tcBorders>
            <w:noWrap/>
            <w:vAlign w:val="center"/>
          </w:tcPr>
          <w:p w:rsidR="008D3E5E" w:rsidRPr="00F63F72" w:rsidRDefault="008D3E5E" w:rsidP="004C45D3">
            <w:pPr>
              <w:rPr>
                <w:rFonts w:ascii="Calibri" w:hAnsi="Calibri" w:cs="Calibri"/>
                <w:b/>
                <w:bCs/>
                <w:i/>
                <w:sz w:val="20"/>
              </w:rPr>
            </w:pPr>
            <w:r w:rsidRPr="00F63F72">
              <w:rPr>
                <w:rFonts w:ascii="Calibri" w:hAnsi="Calibri" w:cs="Calibri"/>
                <w:b/>
                <w:bCs/>
                <w:i/>
                <w:sz w:val="20"/>
                <w:szCs w:val="22"/>
              </w:rPr>
              <w:t>% of GDP</w:t>
            </w:r>
          </w:p>
        </w:tc>
        <w:tc>
          <w:tcPr>
            <w:tcW w:w="887" w:type="pct"/>
            <w:tcBorders>
              <w:top w:val="double" w:sz="6" w:space="0" w:color="4F81BD"/>
              <w:left w:val="nil"/>
              <w:bottom w:val="single" w:sz="8" w:space="0" w:color="4F81BD"/>
              <w:right w:val="nil"/>
            </w:tcBorders>
            <w:noWrap/>
            <w:tcMar>
              <w:right w:w="198" w:type="dxa"/>
            </w:tcMar>
            <w:vAlign w:val="bottom"/>
          </w:tcPr>
          <w:p w:rsidR="008D3E5E" w:rsidRPr="00F63F72" w:rsidRDefault="008D3E5E" w:rsidP="004C45D3">
            <w:pPr>
              <w:jc w:val="right"/>
              <w:rPr>
                <w:rFonts w:ascii="Calibri" w:hAnsi="Calibri" w:cs="Calibri"/>
                <w:b/>
                <w:bCs/>
                <w:sz w:val="20"/>
              </w:rPr>
            </w:pPr>
            <w:r w:rsidRPr="00F63F72">
              <w:rPr>
                <w:rFonts w:ascii="Calibri" w:hAnsi="Calibri" w:cs="Calibri"/>
                <w:b/>
                <w:bCs/>
                <w:sz w:val="20"/>
                <w:szCs w:val="22"/>
              </w:rPr>
              <w:t>50,91</w:t>
            </w:r>
          </w:p>
        </w:tc>
        <w:tc>
          <w:tcPr>
            <w:tcW w:w="832" w:type="pct"/>
            <w:tcBorders>
              <w:top w:val="double" w:sz="6"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bCs/>
                <w:sz w:val="20"/>
              </w:rPr>
            </w:pPr>
            <w:r w:rsidRPr="00F63F72">
              <w:rPr>
                <w:rFonts w:ascii="Calibri" w:hAnsi="Calibri" w:cs="Calibri"/>
                <w:b/>
                <w:bCs/>
                <w:sz w:val="20"/>
                <w:szCs w:val="22"/>
              </w:rPr>
              <w:t>53,80</w:t>
            </w:r>
          </w:p>
        </w:tc>
        <w:tc>
          <w:tcPr>
            <w:tcW w:w="715" w:type="pct"/>
            <w:tcBorders>
              <w:top w:val="double" w:sz="6"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bCs/>
                <w:sz w:val="20"/>
              </w:rPr>
            </w:pPr>
            <w:r w:rsidRPr="00F63F72">
              <w:rPr>
                <w:rFonts w:ascii="Calibri" w:hAnsi="Calibri" w:cs="Calibri"/>
                <w:b/>
                <w:bCs/>
                <w:sz w:val="20"/>
                <w:szCs w:val="22"/>
              </w:rPr>
              <w:t>53,41</w:t>
            </w:r>
          </w:p>
        </w:tc>
        <w:tc>
          <w:tcPr>
            <w:tcW w:w="845" w:type="pct"/>
            <w:tcBorders>
              <w:top w:val="double" w:sz="6"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bCs/>
                <w:sz w:val="20"/>
              </w:rPr>
            </w:pPr>
            <w:r w:rsidRPr="00F63F72">
              <w:rPr>
                <w:rFonts w:ascii="Calibri" w:hAnsi="Calibri" w:cs="Calibri"/>
                <w:b/>
                <w:bCs/>
                <w:sz w:val="20"/>
                <w:szCs w:val="22"/>
              </w:rPr>
              <w:t>52,82</w:t>
            </w:r>
          </w:p>
        </w:tc>
        <w:tc>
          <w:tcPr>
            <w:tcW w:w="935" w:type="pct"/>
            <w:tcBorders>
              <w:top w:val="double" w:sz="6" w:space="0" w:color="4F81BD"/>
              <w:left w:val="nil"/>
              <w:bottom w:val="single" w:sz="8" w:space="0" w:color="4F81BD"/>
              <w:right w:val="nil"/>
            </w:tcBorders>
            <w:noWrap/>
            <w:vAlign w:val="bottom"/>
          </w:tcPr>
          <w:p w:rsidR="008D3E5E" w:rsidRPr="00F63F72" w:rsidRDefault="008D3E5E" w:rsidP="004C45D3">
            <w:pPr>
              <w:jc w:val="right"/>
              <w:rPr>
                <w:rFonts w:ascii="Calibri" w:hAnsi="Calibri" w:cs="Calibri"/>
                <w:b/>
                <w:bCs/>
                <w:sz w:val="20"/>
              </w:rPr>
            </w:pPr>
            <w:r w:rsidRPr="00F63F72">
              <w:rPr>
                <w:rFonts w:ascii="Calibri" w:hAnsi="Calibri" w:cs="Calibri"/>
                <w:b/>
                <w:bCs/>
                <w:sz w:val="20"/>
                <w:szCs w:val="22"/>
              </w:rPr>
              <w:t>50,12</w:t>
            </w:r>
          </w:p>
        </w:tc>
      </w:tr>
    </w:tbl>
    <w:p w:rsidR="008D3E5E" w:rsidRPr="00F63F72" w:rsidRDefault="008D3E5E" w:rsidP="008D3E5E">
      <w:pPr>
        <w:pStyle w:val="BodyText"/>
        <w:jc w:val="both"/>
        <w:rPr>
          <w:rFonts w:ascii="Calibri" w:hAnsi="Calibri" w:cs="Calibri"/>
          <w:sz w:val="22"/>
          <w:szCs w:val="22"/>
          <w:highlight w:val="yellow"/>
          <w:lang w:val="en-US"/>
        </w:rPr>
      </w:pPr>
    </w:p>
    <w:p w:rsidR="008D3E5E" w:rsidRPr="00F63F72" w:rsidRDefault="008D3E5E" w:rsidP="008D3E5E">
      <w:pPr>
        <w:jc w:val="both"/>
        <w:rPr>
          <w:rFonts w:ascii="Calibri" w:hAnsi="Calibri" w:cs="Calibri"/>
          <w:sz w:val="22"/>
          <w:szCs w:val="22"/>
        </w:rPr>
      </w:pPr>
      <w:r w:rsidRPr="00F63F72">
        <w:rPr>
          <w:rFonts w:ascii="Calibri" w:hAnsi="Calibri" w:cs="Calibri"/>
          <w:sz w:val="22"/>
          <w:szCs w:val="22"/>
        </w:rPr>
        <w:t xml:space="preserve">The repayment schedule by the end of the year and the projections of the withdrawal of additional funds provide for the estimate that the total public debt will amount to 1,893.0 million € at end-2013. The public debt movement shown in the table above will be primarily affected by growth of the external debt due to additional borrowing for the budget. It is envisaged to provide funds in the amount of up to </w:t>
      </w:r>
      <w:r w:rsidRPr="00F63F72">
        <w:rPr>
          <w:rFonts w:ascii="Calibri" w:hAnsi="Calibri" w:cs="Calibri"/>
          <w:sz w:val="22"/>
          <w:szCs w:val="22"/>
        </w:rPr>
        <w:lastRenderedPageBreak/>
        <w:t>€ 250 million</w:t>
      </w:r>
      <w:r w:rsidRPr="00F63F72">
        <w:rPr>
          <w:rFonts w:ascii="Calibri" w:hAnsi="Calibri" w:cs="Calibri"/>
          <w:sz w:val="22"/>
          <w:szCs w:val="22"/>
        </w:rPr>
        <w:footnoteReference w:customMarkFollows="1" w:id="1"/>
        <w:t>[1], in 2013, then about 200 million € in 2014, while the funds to be needed in 2015 and 2016 will amount to 365 million€ and about 356 million €, respectively. Of the amounts required in 2015 and 2016, 200 million € and 180 million € will serve for the refinancing of Eurobonds issued in 2010 and 2011, respectively. At the same time, the withdrawal of funds from other financial arrangements (infrastructure and other contracted projects) is also envisaged. There will be a reduction in the internal debt of around 100 million €, as per the established repayment schedule and/or the projection of certain obligations that will arise in the future period.</w:t>
      </w:r>
    </w:p>
    <w:p w:rsidR="008D3E5E" w:rsidRPr="00F63F72" w:rsidRDefault="008D3E5E" w:rsidP="008D3E5E">
      <w:pPr>
        <w:rPr>
          <w:rFonts w:ascii="Calibri" w:hAnsi="Calibri" w:cs="Calibri"/>
          <w:sz w:val="22"/>
          <w:szCs w:val="22"/>
          <w:highlight w:val="yellow"/>
        </w:rPr>
      </w:pPr>
    </w:p>
    <w:p w:rsidR="008D3E5E" w:rsidRPr="00F63F72" w:rsidRDefault="008D3E5E" w:rsidP="008D3E5E">
      <w:pPr>
        <w:jc w:val="both"/>
        <w:rPr>
          <w:rFonts w:ascii="Calibri" w:hAnsi="Calibri" w:cs="Calibri"/>
          <w:sz w:val="22"/>
          <w:szCs w:val="22"/>
        </w:rPr>
      </w:pPr>
      <w:r w:rsidRPr="00F63F72">
        <w:rPr>
          <w:rFonts w:ascii="Calibri" w:hAnsi="Calibri" w:cs="Calibri"/>
          <w:b/>
          <w:bCs/>
          <w:sz w:val="22"/>
          <w:szCs w:val="22"/>
        </w:rPr>
        <w:t>Guarantees.</w:t>
      </w:r>
      <w:r w:rsidRPr="00F63F72">
        <w:rPr>
          <w:rFonts w:ascii="Calibri" w:hAnsi="Calibri" w:cs="Calibri"/>
          <w:sz w:val="22"/>
          <w:szCs w:val="22"/>
        </w:rPr>
        <w:t xml:space="preserve"> The total amount of outstanding guarantees accounted for some 11.6% of GDP (388.2 million €) at the end of 2012. The total amount of risky guarantees was about 144 million € or 4.3% of GDP. Of this total, foreign guarantees amounted to 121 million €, representing 3.6% of GDP, while domestic guarantees amounted to some 23 million € or 0.7% of GDP. The goal of the Ministry of Finance is to reduce the share of guarantees so only one guarantee was issued in 2012 in the amount of 10 million € for the rehabilitation of the Railway infrastructure.</w:t>
      </w:r>
    </w:p>
    <w:p w:rsidR="008D3E5E" w:rsidRPr="00F63F72" w:rsidRDefault="008D3E5E" w:rsidP="008D3E5E">
      <w:pPr>
        <w:rPr>
          <w:rFonts w:ascii="Calibri" w:hAnsi="Calibri" w:cs="Calibri"/>
          <w:sz w:val="22"/>
          <w:szCs w:val="22"/>
        </w:rPr>
      </w:pPr>
    </w:p>
    <w:p w:rsidR="008D3E5E" w:rsidRDefault="008D3E5E" w:rsidP="008D3E5E">
      <w:pPr>
        <w:rPr>
          <w:rFonts w:ascii="Calibri" w:hAnsi="Calibri" w:cs="Calibri"/>
          <w:sz w:val="22"/>
          <w:szCs w:val="22"/>
        </w:rPr>
      </w:pPr>
    </w:p>
    <w:p w:rsidR="008D3E5E" w:rsidRDefault="008D3E5E" w:rsidP="008D3E5E">
      <w:pPr>
        <w:rPr>
          <w:rFonts w:ascii="Calibri" w:hAnsi="Calibri" w:cs="Calibri"/>
          <w:sz w:val="22"/>
          <w:szCs w:val="22"/>
        </w:rPr>
      </w:pPr>
    </w:p>
    <w:p w:rsidR="008D3E5E" w:rsidRDefault="008D3E5E" w:rsidP="008D3E5E">
      <w:pPr>
        <w:rPr>
          <w:rFonts w:ascii="Calibri" w:hAnsi="Calibri" w:cs="Calibri"/>
          <w:sz w:val="22"/>
          <w:szCs w:val="22"/>
        </w:rPr>
      </w:pPr>
    </w:p>
    <w:p w:rsidR="008D3E5E" w:rsidRPr="00F63F72" w:rsidRDefault="008D3E5E" w:rsidP="008D3E5E">
      <w:pPr>
        <w:rPr>
          <w:rFonts w:ascii="Calibri" w:hAnsi="Calibri" w:cs="Calibri"/>
          <w:sz w:val="22"/>
          <w:szCs w:val="22"/>
        </w:rPr>
      </w:pPr>
    </w:p>
    <w:p w:rsidR="008D3E5E" w:rsidRPr="00F63F72" w:rsidRDefault="008D3E5E" w:rsidP="008D3E5E">
      <w:pPr>
        <w:rPr>
          <w:rFonts w:ascii="Calibri" w:hAnsi="Calibri" w:cs="Calibri"/>
          <w:sz w:val="22"/>
          <w:szCs w:val="22"/>
        </w:rPr>
      </w:pPr>
    </w:p>
    <w:p w:rsidR="008D3E5E" w:rsidRPr="00F63F72" w:rsidRDefault="008D3E5E" w:rsidP="008D3E5E">
      <w:pPr>
        <w:pStyle w:val="ListParagraph"/>
        <w:numPr>
          <w:ilvl w:val="1"/>
          <w:numId w:val="24"/>
        </w:numPr>
        <w:rPr>
          <w:rFonts w:ascii="Calibri" w:hAnsi="Calibri" w:cs="Calibri"/>
          <w:b/>
          <w:sz w:val="22"/>
          <w:szCs w:val="22"/>
        </w:rPr>
      </w:pPr>
      <w:r w:rsidRPr="00F63F72">
        <w:rPr>
          <w:rFonts w:ascii="Calibri" w:hAnsi="Calibri" w:cs="Calibri"/>
          <w:b/>
          <w:sz w:val="22"/>
          <w:szCs w:val="22"/>
        </w:rPr>
        <w:t xml:space="preserve"> Quality of public finance</w:t>
      </w:r>
    </w:p>
    <w:p w:rsidR="008D3E5E" w:rsidRPr="00F63F72" w:rsidRDefault="008D3E5E" w:rsidP="008D3E5E">
      <w:pPr>
        <w:rPr>
          <w:rFonts w:ascii="Calibri" w:hAnsi="Calibri" w:cs="Calibri"/>
          <w:b/>
          <w:sz w:val="22"/>
          <w:szCs w:val="22"/>
        </w:rPr>
      </w:pPr>
    </w:p>
    <w:p w:rsidR="008D3E5E" w:rsidRPr="00F63F72" w:rsidRDefault="008D3E5E" w:rsidP="008D3E5E">
      <w:pPr>
        <w:autoSpaceDE w:val="0"/>
        <w:autoSpaceDN w:val="0"/>
        <w:adjustRightInd w:val="0"/>
        <w:spacing w:after="240"/>
        <w:jc w:val="both"/>
        <w:rPr>
          <w:rFonts w:ascii="Calibri" w:hAnsi="Calibri" w:cs="Calibri"/>
          <w:sz w:val="22"/>
        </w:rPr>
      </w:pPr>
      <w:r w:rsidRPr="00F63F72">
        <w:rPr>
          <w:rFonts w:ascii="Calibri" w:hAnsi="Calibri" w:cs="Calibri"/>
          <w:sz w:val="22"/>
        </w:rPr>
        <w:t>Public finances in 2012 were characterized by continued fiscal adjustments and implementation of austerity measures in government spending, as the priority of fiscal policy. Reforms in the area of ​​public finance management and budgeting, as well as the implementation of fiscal policy aimed at strengthening fiscal stability (strengthening of fiscal discipline and internal financial control, curbing  gray economy), as well as the harmonization of public finances with the regulations and practices in the EU.</w:t>
      </w:r>
    </w:p>
    <w:p w:rsidR="008D3E5E" w:rsidRPr="00F63F72" w:rsidRDefault="008D3E5E" w:rsidP="008D3E5E">
      <w:pPr>
        <w:jc w:val="both"/>
      </w:pPr>
      <w:r w:rsidRPr="00F63F72">
        <w:rPr>
          <w:rFonts w:ascii="Calibri" w:hAnsi="Calibri" w:cs="Calibri"/>
          <w:sz w:val="22"/>
        </w:rPr>
        <w:t>Steady revenues from the basic taxes were secured in 2012 although there was a decline in economic activity due to the spillover of the international economic crisis, as well as the bad weather in Montenegro earlier that year. Fiscal discipline was raised, followed by austerity measures and rationalization</w:t>
      </w:r>
      <w:r w:rsidRPr="00F63F72">
        <w:rPr>
          <w:rStyle w:val="hps"/>
        </w:rPr>
        <w:t>.</w:t>
      </w:r>
    </w:p>
    <w:p w:rsidR="008D3E5E" w:rsidRPr="00F63F72" w:rsidRDefault="008D3E5E" w:rsidP="008D3E5E">
      <w:pPr>
        <w:spacing w:after="240"/>
        <w:jc w:val="both"/>
        <w:rPr>
          <w:rFonts w:ascii="Calibri" w:hAnsi="Calibri" w:cs="Calibri"/>
          <w:sz w:val="22"/>
        </w:rPr>
      </w:pPr>
      <w:r w:rsidRPr="00F63F72">
        <w:rPr>
          <w:rFonts w:ascii="Calibri" w:hAnsi="Calibri" w:cs="Calibri"/>
          <w:sz w:val="22"/>
        </w:rPr>
        <w:t>The fiscal policy in 2012 continued with the reform activities and aimed at creating conditions for the development of entrepreneurship, attracting investments and higher tax revenues, while maintaining the basic tax rates. To this end, a set of fiscal measures was enacted. In order to develop entrepreneurship in economically underdeveloped areas, tax relief were introduced for legal entities and entrepreneurs who are starting a business, i.e. exemption from corporate profit tax and income tax over the first eight years of pursuing business</w:t>
      </w:r>
      <w:r>
        <w:rPr>
          <w:rFonts w:ascii="Calibri" w:hAnsi="Calibri" w:cs="Calibri"/>
          <w:sz w:val="22"/>
        </w:rPr>
        <w:t xml:space="preserve"> (in line with the Stabiliz</w:t>
      </w:r>
      <w:r w:rsidRPr="00F63F72">
        <w:rPr>
          <w:rFonts w:ascii="Calibri" w:hAnsi="Calibri" w:cs="Calibri"/>
          <w:sz w:val="22"/>
        </w:rPr>
        <w:t>ation and Association Agreement). Continued application of reprogramming of tax and non-tax debt, payment of corporate profit tax in instal</w:t>
      </w:r>
      <w:r>
        <w:rPr>
          <w:rFonts w:ascii="Calibri" w:hAnsi="Calibri" w:cs="Calibri"/>
          <w:sz w:val="22"/>
        </w:rPr>
        <w:t>l</w:t>
      </w:r>
      <w:r w:rsidRPr="00F63F72">
        <w:rPr>
          <w:rFonts w:ascii="Calibri" w:hAnsi="Calibri" w:cs="Calibri"/>
          <w:sz w:val="22"/>
        </w:rPr>
        <w:t>ments, and deferred payment of the customs debt.</w:t>
      </w:r>
    </w:p>
    <w:p w:rsidR="008D3E5E" w:rsidRPr="00F63F72" w:rsidRDefault="008D3E5E" w:rsidP="008D3E5E">
      <w:pPr>
        <w:spacing w:after="240"/>
        <w:jc w:val="both"/>
        <w:rPr>
          <w:rFonts w:ascii="Calibri" w:hAnsi="Calibri" w:cs="Calibri"/>
          <w:sz w:val="22"/>
        </w:rPr>
      </w:pPr>
      <w:r w:rsidRPr="00F63F72">
        <w:rPr>
          <w:rFonts w:ascii="Calibri" w:hAnsi="Calibri" w:cs="Calibri"/>
          <w:sz w:val="22"/>
        </w:rPr>
        <w:t xml:space="preserve">In the first half of 2012, due to the extremely adverse weather conditions as well as the calling of guarantees for the KAP loans, there were additional budgetary pressures and a significant reduction in budget revenues and creation of new obligations. With a view to the budget consolidation in mid-2012, the budget was revised and a set of fiscal measures was passed. Non-productive expenditures, high earnings, pensions, benefits and allowances were reduced. On the revenue side of the budget, additional duties were introduced (for SIM cards, cable TV, electric meter and cafes and restaurants where you can consume tobacco products) that are limited to the end of 2013. </w:t>
      </w:r>
    </w:p>
    <w:p w:rsidR="008D3E5E" w:rsidRPr="00F63F72" w:rsidRDefault="008D3E5E" w:rsidP="008D3E5E">
      <w:pPr>
        <w:spacing w:after="240"/>
        <w:jc w:val="both"/>
        <w:rPr>
          <w:rFonts w:ascii="Calibri" w:hAnsi="Calibri" w:cs="Calibri"/>
          <w:sz w:val="22"/>
        </w:rPr>
      </w:pPr>
      <w:r w:rsidRPr="00F63F72">
        <w:rPr>
          <w:rFonts w:ascii="Calibri" w:hAnsi="Calibri" w:cs="Calibri"/>
          <w:sz w:val="22"/>
        </w:rPr>
        <w:lastRenderedPageBreak/>
        <w:t>Amendments to the law on contributions for compulsory social insurance specify the contribution base, as well as the amount of the maximum annual contribution base for compulsory social insurance, thus making the tax system additionally attractive for new taxpayers, with the expansion of the tax base. It is possible to submit tax returns electronically (profit tax, VAT, excises, and personal income tax).</w:t>
      </w:r>
    </w:p>
    <w:p w:rsidR="008D3E5E" w:rsidRPr="00F63F72" w:rsidRDefault="008D3E5E" w:rsidP="008D3E5E">
      <w:pPr>
        <w:jc w:val="both"/>
        <w:rPr>
          <w:rFonts w:ascii="Calibri" w:hAnsi="Calibri" w:cs="Calibri"/>
          <w:sz w:val="22"/>
        </w:rPr>
      </w:pPr>
      <w:r w:rsidRPr="00F63F72">
        <w:rPr>
          <w:rFonts w:ascii="Calibri" w:hAnsi="Calibri" w:cs="Calibri"/>
          <w:sz w:val="22"/>
        </w:rPr>
        <w:t>In the period 2013-2015, it is planned to further harmonize the VAT Law with the Directive 2006/112/EC. These legislative changes will focus on the clarifications and supplementing of the existing statutory solutions. Moreover, it is planned to amend the Law on Excise Duties in order to adjust excise duties for cigarettes and other tobacco products, alcohol and alcoholic beverages, as well as mineral oils, oil derivatives and substitutes in order to ensure further compliance with the relevant EU directives (2011/64/EEC and 92/84/EC and 2003/96/EC)</w:t>
      </w:r>
    </w:p>
    <w:p w:rsidR="008D3E5E" w:rsidRPr="00F63F72" w:rsidRDefault="008D3E5E" w:rsidP="008D3E5E">
      <w:pPr>
        <w:autoSpaceDE w:val="0"/>
        <w:autoSpaceDN w:val="0"/>
        <w:adjustRightInd w:val="0"/>
        <w:spacing w:after="240"/>
        <w:jc w:val="both"/>
        <w:rPr>
          <w:rFonts w:ascii="Calibri" w:hAnsi="Calibri" w:cs="Calibri"/>
          <w:sz w:val="22"/>
        </w:rPr>
      </w:pPr>
    </w:p>
    <w:p w:rsidR="008D3E5E" w:rsidRPr="00F63F72" w:rsidRDefault="008D3E5E" w:rsidP="008D3E5E">
      <w:pPr>
        <w:autoSpaceDE w:val="0"/>
        <w:autoSpaceDN w:val="0"/>
        <w:adjustRightInd w:val="0"/>
        <w:spacing w:after="240"/>
        <w:jc w:val="both"/>
        <w:rPr>
          <w:rFonts w:ascii="Calibri" w:hAnsi="Calibri" w:cs="Calibri"/>
          <w:sz w:val="22"/>
        </w:rPr>
      </w:pPr>
      <w:r w:rsidRPr="00F63F72">
        <w:rPr>
          <w:rFonts w:ascii="Calibri" w:hAnsi="Calibri" w:cs="Calibri"/>
          <w:b/>
          <w:sz w:val="22"/>
        </w:rPr>
        <w:t>Measures to combat gray economy;</w:t>
      </w:r>
      <w:r w:rsidRPr="00F63F72">
        <w:rPr>
          <w:rFonts w:ascii="Calibri" w:hAnsi="Calibri" w:cs="Calibri"/>
          <w:sz w:val="22"/>
        </w:rPr>
        <w:t xml:space="preserve"> one of the priorities of the Ministry of Finance in 2012 and 2013 is combating gray economy. To this end, the Ministry of Finance established the Coordinating Team in the year 2012 to monitor the implementation of measures against gray economy; the team is managed by the Minister of Finance and its members are representatives of the Ministry of Finance,</w:t>
      </w:r>
      <w:r>
        <w:rPr>
          <w:rFonts w:ascii="Calibri" w:hAnsi="Calibri" w:cs="Calibri"/>
          <w:sz w:val="22"/>
        </w:rPr>
        <w:t xml:space="preserve"> Ministry of Labo</w:t>
      </w:r>
      <w:r w:rsidRPr="00F63F72">
        <w:rPr>
          <w:rFonts w:ascii="Calibri" w:hAnsi="Calibri" w:cs="Calibri"/>
          <w:sz w:val="22"/>
        </w:rPr>
        <w:t>r and Social Welfare, Tax Administration, Customs Administration, Police Administration, and Administration for Inspection Affairs. Measures have been enhanced in the field of turnover of products subject to excises, the labor market and the employment of non-residents, the issuing of fiscal receipts, and the registration of legal and natural persons pursuing business. There has been a better sharing of information, a more intense and efficient inspection, and the use of stricter penalty policies that have resulted in the improvement of fiscal discipline of taxpayers. Within the framework of legislative measures aimed at reducing gray economy, amendments were made to the Law on Excise Duties to enhance the existing solutions relating to the use of gas oil and liquefied petroleum gas used for heating for users of public interest (e.g. schools, hospitals, and the like) and establishing the system of payment and refund of excise duties in order to introduce a more efficient control and reduce the room for abuse.</w:t>
      </w:r>
      <w:r w:rsidRPr="00F63F72">
        <w:rPr>
          <w:rStyle w:val="Heading1Char"/>
          <w:lang w:val="en-US"/>
        </w:rPr>
        <w:t xml:space="preserve"> </w:t>
      </w:r>
      <w:r w:rsidRPr="00F63F72">
        <w:rPr>
          <w:rFonts w:ascii="Calibri" w:hAnsi="Calibri" w:cs="Calibri"/>
          <w:sz w:val="22"/>
        </w:rPr>
        <w:t>In early 2013, a working group was formed to create a set of measures to combat gray economy; in addition to representatives of the competent authorities, the group comprises representatives of the social partners, the economy and the Parliament of Montenegro. In March 2013, the Government of Montenegro adopted the Action Plan to combat gray economy in 2013, which provides for stricter pecuniary fines, zero tolerance to gray economy, then unbiased access, increased transparency in the work of government bodies, as well as the adoption of a set of new measures to combat gray economy, including measures necessary to strengthen the human and institutional capacity of the competent institutions and rigorous penalties. As a result, further improvements in the sustainability of fiscal economy and the financial and macroeconomic</w:t>
      </w:r>
      <w:r w:rsidRPr="00F63F72">
        <w:rPr>
          <w:rStyle w:val="hps"/>
        </w:rPr>
        <w:t xml:space="preserve"> </w:t>
      </w:r>
      <w:r w:rsidRPr="00F63F72">
        <w:rPr>
          <w:rFonts w:ascii="Calibri" w:hAnsi="Calibri" w:cs="Calibri"/>
          <w:sz w:val="22"/>
        </w:rPr>
        <w:t>stability are expected.</w:t>
      </w:r>
    </w:p>
    <w:p w:rsidR="008D3E5E" w:rsidRPr="00F63F72" w:rsidRDefault="008D3E5E" w:rsidP="008D3E5E">
      <w:pPr>
        <w:autoSpaceDE w:val="0"/>
        <w:autoSpaceDN w:val="0"/>
        <w:adjustRightInd w:val="0"/>
        <w:spacing w:after="240"/>
        <w:jc w:val="both"/>
        <w:rPr>
          <w:rFonts w:ascii="Calibri" w:hAnsi="Calibri" w:cs="Calibri"/>
          <w:sz w:val="22"/>
        </w:rPr>
      </w:pPr>
      <w:r w:rsidRPr="00F63F72">
        <w:rPr>
          <w:rFonts w:ascii="Calibri" w:hAnsi="Calibri" w:cs="Calibri"/>
          <w:b/>
          <w:sz w:val="22"/>
        </w:rPr>
        <w:t>Measures of fiscal adjustments;</w:t>
      </w:r>
      <w:r w:rsidRPr="00F63F72">
        <w:rPr>
          <w:rFonts w:ascii="Calibri" w:hAnsi="Calibri" w:cs="Calibri"/>
          <w:sz w:val="22"/>
        </w:rPr>
        <w:t xml:space="preserve"> aiming to ensure fiscal consolidation and stabilization of public finances, the Government adopted a set of fiscal adjustment measures. Due to the need of a sustainable pension system in the situation of aging population and the unfavorable ratio of the number of insured persons to pensioners, as well as due to a higher share of the expenditure for pensions in GDP, there is an interim freeze on pensions in 2013. Amendments to the Law on Pension and Disability Insurance (in late 2012) prescribe that, in 2013, pensions will not be harmonized with the movement of consumer prices and average earnings (and new subsidies to pensioners – one-off financial assistance and participation in housing loans were introduced). Amendments to the Law on Personal Income Tax increased the rate of income tax on gross earnings exceeding 720 € per month (or net earnings exceeding 480 €) from 9% to 15%, which will be applied in 2013. The expected effects of these measures in 2013 are given in Section 3.1.3.</w:t>
      </w:r>
    </w:p>
    <w:p w:rsidR="008D3E5E" w:rsidRPr="00F63F72" w:rsidRDefault="008D3E5E" w:rsidP="008D3E5E">
      <w:pPr>
        <w:spacing w:after="240"/>
        <w:jc w:val="both"/>
        <w:rPr>
          <w:rFonts w:ascii="Calibri" w:hAnsi="Calibri" w:cs="Calibri"/>
          <w:sz w:val="22"/>
        </w:rPr>
      </w:pPr>
      <w:r w:rsidRPr="00F63F72">
        <w:rPr>
          <w:rFonts w:ascii="Calibri" w:hAnsi="Calibri" w:cs="Calibri"/>
          <w:sz w:val="22"/>
        </w:rPr>
        <w:t xml:space="preserve">The provision of </w:t>
      </w:r>
      <w:r w:rsidRPr="00F63F72">
        <w:rPr>
          <w:rFonts w:ascii="Calibri" w:hAnsi="Calibri" w:cs="Calibri"/>
          <w:b/>
          <w:sz w:val="22"/>
        </w:rPr>
        <w:t>funds for financing the budget needs</w:t>
      </w:r>
      <w:r w:rsidRPr="00F63F72">
        <w:rPr>
          <w:rFonts w:ascii="Calibri" w:hAnsi="Calibri" w:cs="Calibri"/>
          <w:sz w:val="22"/>
        </w:rPr>
        <w:t xml:space="preserve">; due to the unstable situation in the financial markets and high interest rates, alternative models of borrowing on the domestic and foreign market were sought in 2012. A credit arrangement was concluded with Credit Suisse and the World Bank in the amount of 100.0 million €, of which 60% is covered by the World Bank guarantee (Policy Based </w:t>
      </w:r>
      <w:r w:rsidRPr="00F63F72">
        <w:rPr>
          <w:rFonts w:ascii="Calibri" w:hAnsi="Calibri" w:cs="Calibri"/>
          <w:sz w:val="22"/>
        </w:rPr>
        <w:lastRenderedPageBreak/>
        <w:t>Guarantee, PBG). More favorable credit conditions were granted in relation to those of the Eurobond issues in 2010 and in 2011, when the maturity was 5 years and the interest rate was 7.85% and 7.25%, respectively. In 2013, it is planned to borrow for the purpose of financing the deficit, debt servicing and the creation of fiscal reserves in the amount of 230.0 million €, which will be realized with the issuing of bonds and bills, and credit facilities. The use of the World Bank Public Sector Development Policy Loan is certain (PEDPL), as a support to the budget in the amount of 50.0 million $, with an interest rate of about 1% and long grace and repayment periods.</w:t>
      </w:r>
    </w:p>
    <w:p w:rsidR="008D3E5E" w:rsidRPr="00F63F72" w:rsidRDefault="008D3E5E" w:rsidP="008D3E5E">
      <w:pPr>
        <w:spacing w:after="240"/>
        <w:jc w:val="both"/>
        <w:rPr>
          <w:rFonts w:ascii="Calibri" w:hAnsi="Calibri" w:cs="Calibri"/>
          <w:sz w:val="22"/>
        </w:rPr>
      </w:pPr>
      <w:r w:rsidRPr="00F63F72">
        <w:rPr>
          <w:rFonts w:ascii="Calibri" w:hAnsi="Calibri" w:cs="Calibri"/>
          <w:sz w:val="22"/>
        </w:rPr>
        <w:t xml:space="preserve">The Ministry of Finance established several priorities in order to improve the quality of public finances in 2013: </w:t>
      </w:r>
    </w:p>
    <w:p w:rsidR="008D3E5E" w:rsidRPr="00F63F72" w:rsidRDefault="008D3E5E" w:rsidP="008D3E5E">
      <w:pPr>
        <w:numPr>
          <w:ilvl w:val="0"/>
          <w:numId w:val="34"/>
        </w:numPr>
        <w:spacing w:after="240"/>
        <w:jc w:val="both"/>
        <w:rPr>
          <w:rFonts w:ascii="Calibri" w:hAnsi="Calibri" w:cs="Calibri"/>
          <w:sz w:val="22"/>
        </w:rPr>
      </w:pPr>
      <w:r w:rsidRPr="00F63F72">
        <w:rPr>
          <w:rFonts w:ascii="Calibri" w:hAnsi="Calibri" w:cs="Calibri"/>
          <w:b/>
          <w:sz w:val="22"/>
        </w:rPr>
        <w:t>Preservation of fiscal and financial stability</w:t>
      </w:r>
      <w:r w:rsidRPr="00F63F72">
        <w:rPr>
          <w:rFonts w:ascii="Calibri" w:hAnsi="Calibri" w:cs="Calibri"/>
          <w:sz w:val="22"/>
        </w:rPr>
        <w:t xml:space="preserve"> by stopping deterioration in fiscal parameters, the budget deficit and the resulting public debt. This implies fiscal consolidation of both the expenditure and revenue sides of the budget.</w:t>
      </w:r>
    </w:p>
    <w:p w:rsidR="008D3E5E" w:rsidRPr="00F63F72" w:rsidRDefault="008D3E5E" w:rsidP="008D3E5E">
      <w:pPr>
        <w:numPr>
          <w:ilvl w:val="0"/>
          <w:numId w:val="34"/>
        </w:numPr>
        <w:spacing w:after="240"/>
        <w:jc w:val="both"/>
        <w:rPr>
          <w:rFonts w:ascii="Calibri" w:hAnsi="Calibri" w:cs="Calibri"/>
          <w:sz w:val="22"/>
        </w:rPr>
      </w:pPr>
      <w:r w:rsidRPr="00F63F72">
        <w:rPr>
          <w:rFonts w:ascii="Calibri" w:hAnsi="Calibri" w:cs="Calibri"/>
          <w:b/>
          <w:sz w:val="22"/>
        </w:rPr>
        <w:t>The public debt restructuring</w:t>
      </w:r>
      <w:r w:rsidRPr="00F63F72">
        <w:rPr>
          <w:rFonts w:ascii="Calibri" w:hAnsi="Calibri" w:cs="Calibri"/>
          <w:sz w:val="22"/>
        </w:rPr>
        <w:t xml:space="preserve"> will be carried out on the basis of a public debt analysis and the possibility of its restructuring on the international financial market with a view to maintaining the debt level within the Maastricht Criteria and ensuring a sustainable public debt and fiscal stability. </w:t>
      </w:r>
    </w:p>
    <w:p w:rsidR="008D3E5E" w:rsidRPr="00F63F72" w:rsidRDefault="008D3E5E" w:rsidP="008D3E5E">
      <w:pPr>
        <w:numPr>
          <w:ilvl w:val="0"/>
          <w:numId w:val="34"/>
        </w:numPr>
        <w:spacing w:after="240"/>
        <w:jc w:val="both"/>
        <w:rPr>
          <w:rFonts w:ascii="Calibri" w:hAnsi="Calibri" w:cs="Calibri"/>
          <w:i/>
          <w:sz w:val="22"/>
        </w:rPr>
      </w:pPr>
      <w:r w:rsidRPr="00F63F72">
        <w:rPr>
          <w:rFonts w:ascii="Calibri" w:hAnsi="Calibri" w:cs="Calibri"/>
          <w:b/>
          <w:sz w:val="22"/>
        </w:rPr>
        <w:t>Reducing gray economy</w:t>
      </w:r>
      <w:r w:rsidRPr="00F63F72">
        <w:rPr>
          <w:rFonts w:ascii="Calibri" w:hAnsi="Calibri" w:cs="Calibri"/>
          <w:sz w:val="22"/>
        </w:rPr>
        <w:t xml:space="preserve">; the Committee for combating gray economy has been preparing the action plan to combat gray economy, which contains a set of measures to strengthen the institutional capacity of competent institutions and introduce stricter penalties. Reducing gray economy is to improve the business environment and fiscal stability. </w:t>
      </w:r>
      <w:r w:rsidRPr="00F63F72">
        <w:rPr>
          <w:rFonts w:ascii="Calibri" w:hAnsi="Calibri" w:cs="Calibri"/>
          <w:i/>
          <w:sz w:val="22"/>
        </w:rPr>
        <w:t xml:space="preserve"> </w:t>
      </w:r>
    </w:p>
    <w:p w:rsidR="008D3E5E" w:rsidRPr="00F63F72" w:rsidRDefault="008D3E5E" w:rsidP="008D3E5E">
      <w:pPr>
        <w:numPr>
          <w:ilvl w:val="0"/>
          <w:numId w:val="34"/>
        </w:numPr>
        <w:spacing w:after="240"/>
        <w:jc w:val="both"/>
        <w:rPr>
          <w:rFonts w:ascii="Calibri" w:hAnsi="Calibri" w:cs="Calibri"/>
          <w:sz w:val="22"/>
        </w:rPr>
      </w:pPr>
      <w:r w:rsidRPr="00F63F72">
        <w:rPr>
          <w:rFonts w:ascii="Calibri" w:hAnsi="Calibri" w:cs="Calibri"/>
          <w:b/>
          <w:sz w:val="22"/>
        </w:rPr>
        <w:t xml:space="preserve">Tax debt resolution </w:t>
      </w:r>
      <w:r w:rsidRPr="00F63F72">
        <w:rPr>
          <w:rFonts w:ascii="Calibri" w:hAnsi="Calibri" w:cs="Calibri"/>
          <w:sz w:val="22"/>
        </w:rPr>
        <w:t>will be done on the basis of an analysis of tax claims of the state, their level and structure, as well as the assessment of their collectability. The aim is to improve fiscal discipline by stimulating orderly taxpayers.</w:t>
      </w:r>
    </w:p>
    <w:p w:rsidR="008D3E5E" w:rsidRPr="00F63F72" w:rsidRDefault="008D3E5E" w:rsidP="008D3E5E">
      <w:pPr>
        <w:pStyle w:val="ListParagraph"/>
        <w:numPr>
          <w:ilvl w:val="1"/>
          <w:numId w:val="24"/>
        </w:numPr>
        <w:spacing w:after="240"/>
        <w:contextualSpacing/>
        <w:jc w:val="both"/>
        <w:rPr>
          <w:rFonts w:ascii="Calibri" w:hAnsi="Calibri" w:cs="Calibri"/>
          <w:b/>
          <w:sz w:val="22"/>
        </w:rPr>
      </w:pPr>
      <w:r w:rsidRPr="00F63F72">
        <w:rPr>
          <w:rFonts w:ascii="Calibri" w:hAnsi="Calibri" w:cs="Calibri"/>
          <w:b/>
          <w:sz w:val="22"/>
        </w:rPr>
        <w:t>Institutional framework of public finances</w:t>
      </w:r>
    </w:p>
    <w:p w:rsidR="008D3E5E" w:rsidRPr="00F63F72" w:rsidRDefault="008D3E5E" w:rsidP="008D3E5E">
      <w:pPr>
        <w:autoSpaceDE w:val="0"/>
        <w:autoSpaceDN w:val="0"/>
        <w:adjustRightInd w:val="0"/>
        <w:spacing w:after="240"/>
        <w:jc w:val="both"/>
        <w:rPr>
          <w:rFonts w:ascii="Calibri" w:hAnsi="Calibri" w:cs="Calibri"/>
          <w:sz w:val="22"/>
        </w:rPr>
      </w:pPr>
      <w:r w:rsidRPr="00F63F72">
        <w:rPr>
          <w:rFonts w:ascii="Calibri" w:hAnsi="Calibri" w:cs="Calibri"/>
          <w:sz w:val="22"/>
        </w:rPr>
        <w:t>In 2012, the Sector for Economic Policy and Development in the Ministry of Finance implemented the planned activities and commenced the regular production of spring and autumn analyses wherein they reviewed macroeconomic trends over the past period, as well as macroeconomic and fiscal projections for the next three-year period. They are the analytical framework in the process of budgeting both for the next year and for the preparation of other medium-term documents (PEP). Montenegro acceded to the General Data Dissemination System (GDDS) of the International Monetary Fund (IMF) and the aforesaid sector regularly (monthly and quarterly) publishes GDDS Table containing fiscal and public debt data. This provided for improved quality and timeliness of data.</w:t>
      </w:r>
    </w:p>
    <w:p w:rsidR="008D3E5E" w:rsidRPr="00F63F72" w:rsidRDefault="008D3E5E" w:rsidP="008D3E5E">
      <w:pPr>
        <w:spacing w:after="240"/>
        <w:jc w:val="both"/>
        <w:rPr>
          <w:rFonts w:ascii="Calibri" w:hAnsi="Calibri" w:cs="Calibri"/>
          <w:sz w:val="22"/>
        </w:rPr>
      </w:pPr>
      <w:r w:rsidRPr="00F63F72">
        <w:rPr>
          <w:rFonts w:ascii="Calibri" w:hAnsi="Calibri" w:cs="Calibri"/>
          <w:sz w:val="22"/>
        </w:rPr>
        <w:t xml:space="preserve">Over the past period, the Ministry of Finance was working on the development of the legal framework, as well as on the drafting of necessary documentation and procedures for efficient use of the IPA funds, in accordance with the requirements of the European Commission. Necessary structures were formed, and after obtaining the approval from the European Commission, they will independently conduct activities related to the programming and implementation of EU pre-accession funds. An institutional and legal framework necessary for the transfer of responsibilities from the European Commission to Montenegro's institutions for the programming and implementation (use) of EU funds was established. By submitting the accreditation package to the European Commission, the process of assigning national accreditation to the arrangements in place for the future independent programming and implementation of the IPA components I-IV is in the final stage. Since the administrative capacity, i.e. training and quality of staff, is crucial to the dynamics and success of the negotiation process and the management of EU funds, training conducted by the Sector for Financing and Contracting of the EU </w:t>
      </w:r>
      <w:r w:rsidRPr="00F63F72">
        <w:rPr>
          <w:rFonts w:ascii="Calibri" w:hAnsi="Calibri" w:cs="Calibri"/>
          <w:sz w:val="22"/>
        </w:rPr>
        <w:lastRenderedPageBreak/>
        <w:t>Assistance is continued with a view to strengthening the capacity of the Project Implementation Units in line ministries.</w:t>
      </w:r>
    </w:p>
    <w:p w:rsidR="008D3E5E" w:rsidRPr="00F63F72" w:rsidRDefault="008D3E5E" w:rsidP="008D3E5E">
      <w:pPr>
        <w:spacing w:after="240"/>
        <w:jc w:val="both"/>
        <w:rPr>
          <w:rFonts w:ascii="Calibri" w:hAnsi="Calibri" w:cs="Calibri"/>
          <w:sz w:val="22"/>
        </w:rPr>
      </w:pPr>
      <w:r w:rsidRPr="00F63F72">
        <w:rPr>
          <w:rFonts w:ascii="Calibri" w:hAnsi="Calibri" w:cs="Calibri"/>
          <w:sz w:val="22"/>
        </w:rPr>
        <w:t>The program of priority areas for improving the business environment, regulatory and structural reforms in 2013 covers the key areas that will be the subject of reforms during 2013. In the part of improving the business environment, the following priorities are specified: the issuing of building permits, the reform of the fiscal levies at the local level, the registration of companies, and contract execution. The implementation of structural reforms in the following areas is also planned: education, the pension system and health care, as well as regulatory reform in the public administration.</w:t>
      </w:r>
    </w:p>
    <w:p w:rsidR="008D3E5E" w:rsidRPr="00F63F72" w:rsidRDefault="008D3E5E" w:rsidP="008D3E5E">
      <w:pPr>
        <w:spacing w:after="240"/>
        <w:rPr>
          <w:rFonts w:ascii="Calibri" w:hAnsi="Calibri" w:cs="Calibri"/>
          <w:sz w:val="22"/>
        </w:rPr>
      </w:pPr>
      <w:r w:rsidRPr="00F63F72">
        <w:rPr>
          <w:rFonts w:ascii="Calibri" w:hAnsi="Calibri" w:cs="Calibri"/>
          <w:sz w:val="22"/>
        </w:rPr>
        <w:t>The priorities of the Ministry of Finance in 2013 that are to improve the institutional framework of public finance are:</w:t>
      </w:r>
    </w:p>
    <w:p w:rsidR="008D3E5E" w:rsidRPr="00F63F72" w:rsidRDefault="008D3E5E" w:rsidP="008D3E5E">
      <w:pPr>
        <w:numPr>
          <w:ilvl w:val="0"/>
          <w:numId w:val="45"/>
        </w:numPr>
        <w:jc w:val="both"/>
        <w:rPr>
          <w:rFonts w:ascii="Calibri" w:hAnsi="Calibri" w:cs="Calibri"/>
          <w:sz w:val="22"/>
        </w:rPr>
      </w:pPr>
      <w:r w:rsidRPr="00F63F72">
        <w:rPr>
          <w:rFonts w:ascii="Calibri" w:hAnsi="Calibri" w:cs="Calibri"/>
          <w:b/>
          <w:sz w:val="22"/>
        </w:rPr>
        <w:t>Adoption of the planning document Montenegro’s Development 2013-2016;</w:t>
      </w:r>
      <w:r w:rsidRPr="00F63F72">
        <w:rPr>
          <w:rFonts w:ascii="Calibri" w:hAnsi="Calibri" w:cs="Calibri"/>
          <w:sz w:val="22"/>
        </w:rPr>
        <w:t xml:space="preserve"> Montenegro, as a candidate country for the EU membership, has adopted the national development plan which establishes a vision of the social and economic development. The plan includes a detailed analysis of all existing strategies and projects in order to define the strategic priorities, the dynamics of their realization, and their fiscal impact. It includes the investment plan, development measures for th</w:t>
      </w:r>
      <w:r>
        <w:rPr>
          <w:rFonts w:ascii="Calibri" w:hAnsi="Calibri" w:cs="Calibri"/>
          <w:sz w:val="22"/>
        </w:rPr>
        <w:t>eir implementation with harmoniz</w:t>
      </w:r>
      <w:r w:rsidRPr="00F63F72">
        <w:rPr>
          <w:rFonts w:ascii="Calibri" w:hAnsi="Calibri" w:cs="Calibri"/>
          <w:sz w:val="22"/>
        </w:rPr>
        <w:t>ed objectives of sectoral and national strategies in various areas of development. This document aims to improve the consistency of sectoral policies, consolidation of medium-term investment and development plans, as well as their compliance with the directions of development of the European Union (EU Strategy 2020 - Smart, Sustainable, Inclusive growth)</w:t>
      </w:r>
    </w:p>
    <w:p w:rsidR="008D3E5E" w:rsidRPr="00F63F72" w:rsidRDefault="008D3E5E" w:rsidP="008D3E5E">
      <w:pPr>
        <w:ind w:left="360"/>
        <w:jc w:val="both"/>
        <w:rPr>
          <w:rFonts w:ascii="Calibri" w:hAnsi="Calibri" w:cs="Calibri"/>
          <w:sz w:val="22"/>
        </w:rPr>
      </w:pPr>
    </w:p>
    <w:p w:rsidR="008D3E5E" w:rsidRPr="00F63F72" w:rsidRDefault="008D3E5E" w:rsidP="008D3E5E">
      <w:pPr>
        <w:pStyle w:val="xmsonormal"/>
        <w:numPr>
          <w:ilvl w:val="0"/>
          <w:numId w:val="34"/>
        </w:numPr>
        <w:spacing w:before="0" w:beforeAutospacing="0" w:after="240" w:afterAutospacing="0"/>
        <w:ind w:right="109"/>
        <w:jc w:val="both"/>
        <w:rPr>
          <w:rFonts w:ascii="Calibri" w:hAnsi="Calibri" w:cs="Calibri"/>
          <w:sz w:val="22"/>
        </w:rPr>
      </w:pPr>
      <w:r w:rsidRPr="00F63F72">
        <w:rPr>
          <w:rFonts w:ascii="Calibri" w:hAnsi="Calibri" w:cs="Calibri"/>
          <w:b/>
          <w:sz w:val="22"/>
        </w:rPr>
        <w:t>Providing prerequisites for creating additional value;</w:t>
      </w:r>
      <w:r w:rsidRPr="00F63F72">
        <w:rPr>
          <w:rFonts w:ascii="Calibri" w:hAnsi="Calibri" w:cs="Calibri"/>
          <w:sz w:val="22"/>
        </w:rPr>
        <w:t xml:space="preserve"> the economic policy measures will be implemented with a view to fostering economic recovery, growth and development, creating new jobs, in parallel with a more equitable sharing of the crisis burden and improving the quality of life of the citizens. To this end, structural reforms and improving the business environment for business development and attracting foreign investment will continue in order to provide a more dynamic economic growth and improve Montenegro’s rating in international reports.</w:t>
      </w:r>
    </w:p>
    <w:p w:rsidR="008D3E5E" w:rsidRPr="00F63F72" w:rsidRDefault="008D3E5E" w:rsidP="008D3E5E">
      <w:pPr>
        <w:rPr>
          <w:rFonts w:ascii="Calibri" w:hAnsi="Calibri" w:cs="Calibri"/>
        </w:rPr>
      </w:pPr>
    </w:p>
    <w:p w:rsidR="008D3E5E" w:rsidRPr="00F63F72" w:rsidRDefault="008D3E5E" w:rsidP="008D3E5E">
      <w:pPr>
        <w:rPr>
          <w:rFonts w:ascii="Calibri" w:hAnsi="Calibri" w:cs="Calibri"/>
          <w:b/>
          <w:sz w:val="22"/>
          <w:szCs w:val="22"/>
        </w:rPr>
      </w:pPr>
    </w:p>
    <w:p w:rsidR="008D3E5E" w:rsidRPr="00F63F72" w:rsidRDefault="008D3E5E" w:rsidP="008D3E5E">
      <w:pPr>
        <w:rPr>
          <w:rFonts w:ascii="Calibri" w:hAnsi="Calibri" w:cs="Calibri"/>
          <w:b/>
          <w:sz w:val="22"/>
          <w:szCs w:val="22"/>
        </w:rPr>
      </w:pPr>
    </w:p>
    <w:p w:rsidR="008D3E5E" w:rsidRPr="00F63F72" w:rsidRDefault="008D3E5E" w:rsidP="008D3E5E">
      <w:pPr>
        <w:pStyle w:val="Title"/>
        <w:ind w:left="360"/>
        <w:rPr>
          <w:rFonts w:ascii="Calibri" w:hAnsi="Calibri" w:cs="Calibri"/>
          <w:sz w:val="24"/>
        </w:rPr>
      </w:pPr>
      <w:r w:rsidRPr="00F63F72">
        <w:rPr>
          <w:rFonts w:ascii="Calibri" w:hAnsi="Calibri" w:cs="Calibri"/>
          <w:sz w:val="24"/>
        </w:rPr>
        <w:br w:type="page"/>
      </w:r>
      <w:r w:rsidRPr="00F63F72">
        <w:rPr>
          <w:rFonts w:ascii="Calibri" w:hAnsi="Calibri" w:cs="Calibri"/>
          <w:sz w:val="24"/>
        </w:rPr>
        <w:lastRenderedPageBreak/>
        <w:t>Annex 1: Tables on public revenues and expenditures</w:t>
      </w:r>
    </w:p>
    <w:p w:rsidR="008D3E5E" w:rsidRPr="00F63F72" w:rsidRDefault="008D3E5E" w:rsidP="008D3E5E">
      <w:pPr>
        <w:pStyle w:val="ListParagraph"/>
        <w:ind w:left="360"/>
        <w:rPr>
          <w:rFonts w:cs="Calibri"/>
          <w:highlight w:val="yellow"/>
        </w:rPr>
      </w:pPr>
    </w:p>
    <w:p w:rsidR="008D3E5E" w:rsidRPr="00F63F72" w:rsidRDefault="008D3E5E" w:rsidP="008D3E5E">
      <w:pPr>
        <w:pStyle w:val="Caption"/>
        <w:keepNext/>
        <w:rPr>
          <w:rFonts w:ascii="Calibri" w:hAnsi="Calibri" w:cs="Calibri"/>
          <w:sz w:val="18"/>
          <w:lang w:val="en-US"/>
        </w:rPr>
      </w:pPr>
      <w:r w:rsidRPr="00F63F72">
        <w:rPr>
          <w:rFonts w:ascii="Calibri" w:hAnsi="Calibri" w:cs="Calibri"/>
          <w:sz w:val="18"/>
          <w:lang w:val="en-US"/>
        </w:rPr>
        <w:t xml:space="preserve">Table </w:t>
      </w:r>
      <w:r w:rsidR="00033B25" w:rsidRPr="00F63F72">
        <w:rPr>
          <w:rFonts w:ascii="Calibri" w:hAnsi="Calibri" w:cs="Calibri"/>
          <w:sz w:val="18"/>
          <w:lang w:val="en-US"/>
        </w:rPr>
        <w:fldChar w:fldCharType="begin"/>
      </w:r>
      <w:r w:rsidRPr="00F63F72">
        <w:rPr>
          <w:rFonts w:ascii="Calibri" w:hAnsi="Calibri" w:cs="Calibri"/>
          <w:sz w:val="18"/>
          <w:lang w:val="en-US"/>
        </w:rPr>
        <w:instrText xml:space="preserve"> SEQ Tabela \* ARABIC </w:instrText>
      </w:r>
      <w:r w:rsidR="00033B25" w:rsidRPr="00F63F72">
        <w:rPr>
          <w:rFonts w:ascii="Calibri" w:hAnsi="Calibri" w:cs="Calibri"/>
          <w:sz w:val="18"/>
          <w:lang w:val="en-US"/>
        </w:rPr>
        <w:fldChar w:fldCharType="separate"/>
      </w:r>
      <w:r w:rsidR="005669F0">
        <w:rPr>
          <w:rFonts w:ascii="Calibri" w:hAnsi="Calibri" w:cs="Calibri"/>
          <w:noProof/>
          <w:sz w:val="18"/>
          <w:lang w:val="en-US"/>
        </w:rPr>
        <w:t>9</w:t>
      </w:r>
      <w:r w:rsidR="00033B25" w:rsidRPr="00F63F72">
        <w:rPr>
          <w:rFonts w:ascii="Calibri" w:hAnsi="Calibri" w:cs="Calibri"/>
          <w:sz w:val="18"/>
          <w:lang w:val="en-US"/>
        </w:rPr>
        <w:fldChar w:fldCharType="end"/>
      </w:r>
    </w:p>
    <w:tbl>
      <w:tblPr>
        <w:tblW w:w="5083" w:type="pct"/>
        <w:tblBorders>
          <w:top w:val="single" w:sz="4" w:space="0" w:color="auto"/>
          <w:insideH w:val="single" w:sz="4" w:space="0" w:color="auto"/>
        </w:tblBorders>
        <w:tblLook w:val="00A0"/>
      </w:tblPr>
      <w:tblGrid>
        <w:gridCol w:w="2007"/>
        <w:gridCol w:w="700"/>
        <w:gridCol w:w="592"/>
        <w:gridCol w:w="701"/>
        <w:gridCol w:w="547"/>
        <w:gridCol w:w="701"/>
        <w:gridCol w:w="547"/>
        <w:gridCol w:w="703"/>
        <w:gridCol w:w="547"/>
        <w:gridCol w:w="703"/>
        <w:gridCol w:w="595"/>
        <w:gridCol w:w="703"/>
        <w:gridCol w:w="551"/>
      </w:tblGrid>
      <w:tr w:rsidR="008D3E5E" w:rsidRPr="00F63F72" w:rsidTr="004C45D3">
        <w:trPr>
          <w:trHeight w:hRule="exact" w:val="284"/>
        </w:trPr>
        <w:tc>
          <w:tcPr>
            <w:tcW w:w="1046" w:type="pct"/>
            <w:vMerge w:val="restart"/>
            <w:shd w:val="clear" w:color="000000" w:fill="632523"/>
            <w:noWrap/>
            <w:tcMar>
              <w:left w:w="28" w:type="dxa"/>
              <w:right w:w="57" w:type="dxa"/>
            </w:tcMar>
            <w:vAlign w:val="center"/>
          </w:tcPr>
          <w:p w:rsidR="008D3E5E" w:rsidRPr="00F63F72" w:rsidRDefault="008D3E5E" w:rsidP="004C45D3">
            <w:pPr>
              <w:jc w:val="center"/>
              <w:rPr>
                <w:rFonts w:ascii="Calibri" w:hAnsi="Calibri" w:cs="Calibri"/>
                <w:b/>
                <w:bCs/>
                <w:color w:val="FFFFFF"/>
                <w:sz w:val="16"/>
                <w:szCs w:val="16"/>
              </w:rPr>
            </w:pPr>
            <w:r w:rsidRPr="00F63F72">
              <w:rPr>
                <w:rFonts w:ascii="Calibri" w:hAnsi="Calibri" w:cs="Calibri"/>
                <w:b/>
                <w:bCs/>
                <w:color w:val="FFFFFF"/>
                <w:sz w:val="16"/>
                <w:szCs w:val="16"/>
              </w:rPr>
              <w:t>Public consumption</w:t>
            </w:r>
          </w:p>
        </w:tc>
        <w:tc>
          <w:tcPr>
            <w:tcW w:w="674" w:type="pct"/>
            <w:gridSpan w:val="2"/>
            <w:shd w:val="clear" w:color="000000" w:fill="E6B9B8"/>
            <w:noWrap/>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2012*</w:t>
            </w:r>
          </w:p>
        </w:tc>
        <w:tc>
          <w:tcPr>
            <w:tcW w:w="650" w:type="pct"/>
            <w:gridSpan w:val="2"/>
            <w:shd w:val="clear" w:color="000000" w:fill="E6B9B8"/>
            <w:noWrap/>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2013 Plan</w:t>
            </w:r>
          </w:p>
        </w:tc>
        <w:tc>
          <w:tcPr>
            <w:tcW w:w="650" w:type="pct"/>
            <w:gridSpan w:val="2"/>
            <w:shd w:val="clear" w:color="000000" w:fill="E6B9B8"/>
            <w:noWrap/>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2013 Estimate</w:t>
            </w:r>
          </w:p>
        </w:tc>
        <w:tc>
          <w:tcPr>
            <w:tcW w:w="651" w:type="pct"/>
            <w:gridSpan w:val="2"/>
            <w:shd w:val="clear" w:color="000000" w:fill="E6B9B8"/>
            <w:noWrap/>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2014</w:t>
            </w:r>
          </w:p>
        </w:tc>
        <w:tc>
          <w:tcPr>
            <w:tcW w:w="675" w:type="pct"/>
            <w:gridSpan w:val="2"/>
            <w:shd w:val="clear" w:color="000000" w:fill="E6B9B8"/>
            <w:noWrap/>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2015</w:t>
            </w:r>
          </w:p>
        </w:tc>
        <w:tc>
          <w:tcPr>
            <w:tcW w:w="653" w:type="pct"/>
            <w:gridSpan w:val="2"/>
            <w:shd w:val="clear" w:color="000000" w:fill="E6B9B8"/>
            <w:noWrap/>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2016</w:t>
            </w:r>
          </w:p>
        </w:tc>
      </w:tr>
      <w:tr w:rsidR="008D3E5E" w:rsidRPr="00F63F72" w:rsidTr="004C45D3">
        <w:trPr>
          <w:trHeight w:hRule="exact" w:val="368"/>
        </w:trPr>
        <w:tc>
          <w:tcPr>
            <w:tcW w:w="1046" w:type="pct"/>
            <w:vMerge/>
            <w:tcMar>
              <w:left w:w="28" w:type="dxa"/>
              <w:right w:w="57" w:type="dxa"/>
            </w:tcMar>
            <w:vAlign w:val="center"/>
          </w:tcPr>
          <w:p w:rsidR="008D3E5E" w:rsidRPr="00F63F72" w:rsidRDefault="008D3E5E" w:rsidP="004C45D3">
            <w:pPr>
              <w:rPr>
                <w:rFonts w:ascii="Calibri" w:hAnsi="Calibri" w:cs="Calibri"/>
                <w:b/>
                <w:bCs/>
                <w:color w:val="FFFFFF"/>
                <w:sz w:val="16"/>
                <w:szCs w:val="16"/>
              </w:rPr>
            </w:pPr>
          </w:p>
        </w:tc>
        <w:tc>
          <w:tcPr>
            <w:tcW w:w="365"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309"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365"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284"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365"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285"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366"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285"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366"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310"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366"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288" w:type="pct"/>
            <w:shd w:val="clear" w:color="000000" w:fill="E6B9B8"/>
            <w:tcMar>
              <w:left w:w="28" w:type="dxa"/>
              <w:right w:w="57" w:type="dxa"/>
            </w:tcMar>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r>
      <w:tr w:rsidR="008D3E5E" w:rsidRPr="00F63F72" w:rsidTr="004C45D3">
        <w:trPr>
          <w:trHeight w:hRule="exact" w:val="284"/>
        </w:trPr>
        <w:tc>
          <w:tcPr>
            <w:tcW w:w="1046" w:type="pct"/>
            <w:shd w:val="clear" w:color="000000" w:fill="E6B9B8"/>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revenues</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1298.83</w:t>
            </w:r>
          </w:p>
        </w:tc>
        <w:tc>
          <w:tcPr>
            <w:tcW w:w="309"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38.91</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1294.10</w:t>
            </w:r>
          </w:p>
        </w:tc>
        <w:tc>
          <w:tcPr>
            <w:tcW w:w="284"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36.80</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1318.93</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37.50</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1341.61</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35.92</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1379.65</w:t>
            </w:r>
          </w:p>
        </w:tc>
        <w:tc>
          <w:tcPr>
            <w:tcW w:w="310"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34.65</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1429.03</w:t>
            </w:r>
          </w:p>
        </w:tc>
        <w:tc>
          <w:tcPr>
            <w:tcW w:w="288"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33.51</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Taxes</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785.99</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23.55</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773.23</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21.99</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806.41</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22.93</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824.28</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22.07</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847.84</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21.29</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879.05</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20.61</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Contributions</w:t>
            </w:r>
          </w:p>
        </w:tc>
        <w:tc>
          <w:tcPr>
            <w:tcW w:w="36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362.25</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10.85</w:t>
            </w:r>
          </w:p>
        </w:tc>
        <w:tc>
          <w:tcPr>
            <w:tcW w:w="36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384.22</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10.92</w:t>
            </w:r>
          </w:p>
        </w:tc>
        <w:tc>
          <w:tcPr>
            <w:tcW w:w="36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376.80</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10.71</w:t>
            </w:r>
          </w:p>
        </w:tc>
        <w:tc>
          <w:tcPr>
            <w:tcW w:w="366"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388.10</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10.39</w:t>
            </w:r>
          </w:p>
        </w:tc>
        <w:tc>
          <w:tcPr>
            <w:tcW w:w="366"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399.74</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10.04</w:t>
            </w:r>
          </w:p>
        </w:tc>
        <w:tc>
          <w:tcPr>
            <w:tcW w:w="366"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413.73</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9.70</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Duties</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23.50</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0.70</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35.62</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1.01</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32.37</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0.92</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21.17</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0.57</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21.69</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0.54</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22.25</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0.52</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Fees</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73.75</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2.21</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54.16</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1.54</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55.46</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1.58</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59.04</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1.58</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60.25</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1.51</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62.65</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1.47</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Other revenues</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48.85</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1.46</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42.07</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1.20</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43.24</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1.23</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44.25</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1.18</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45.24</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1.14</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46.31</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1.09</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Receipts from the repayment of loans</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4.49</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0.13</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4.81</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0.14</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4.65</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0.13</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4.77</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0.13</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4.89</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0.12</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5.03</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0.12</w:t>
            </w:r>
          </w:p>
        </w:tc>
      </w:tr>
      <w:tr w:rsidR="008D3E5E" w:rsidRPr="00F63F72" w:rsidTr="004C45D3">
        <w:trPr>
          <w:trHeight w:hRule="exact" w:val="227"/>
        </w:trPr>
        <w:tc>
          <w:tcPr>
            <w:tcW w:w="1046" w:type="pct"/>
            <w:shd w:val="clear" w:color="000000" w:fill="E6B9B8"/>
            <w:noWrap/>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Public consumption</w:t>
            </w:r>
          </w:p>
        </w:tc>
        <w:tc>
          <w:tcPr>
            <w:tcW w:w="365"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1430.81</w:t>
            </w:r>
          </w:p>
        </w:tc>
        <w:tc>
          <w:tcPr>
            <w:tcW w:w="309"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42.86</w:t>
            </w:r>
          </w:p>
        </w:tc>
        <w:tc>
          <w:tcPr>
            <w:tcW w:w="365"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1375.77</w:t>
            </w:r>
          </w:p>
        </w:tc>
        <w:tc>
          <w:tcPr>
            <w:tcW w:w="284"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39.12</w:t>
            </w:r>
          </w:p>
        </w:tc>
        <w:tc>
          <w:tcPr>
            <w:tcW w:w="365"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1386.04</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39.41</w:t>
            </w:r>
          </w:p>
        </w:tc>
        <w:tc>
          <w:tcPr>
            <w:tcW w:w="366"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1380.37</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36.96</w:t>
            </w:r>
          </w:p>
        </w:tc>
        <w:tc>
          <w:tcPr>
            <w:tcW w:w="366"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1411.79</w:t>
            </w:r>
          </w:p>
        </w:tc>
        <w:tc>
          <w:tcPr>
            <w:tcW w:w="310"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35.45</w:t>
            </w:r>
          </w:p>
        </w:tc>
        <w:tc>
          <w:tcPr>
            <w:tcW w:w="366"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1455.08</w:t>
            </w:r>
          </w:p>
        </w:tc>
        <w:tc>
          <w:tcPr>
            <w:tcW w:w="288"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34.12</w:t>
            </w:r>
          </w:p>
        </w:tc>
      </w:tr>
      <w:tr w:rsidR="008D3E5E" w:rsidRPr="00F63F72" w:rsidTr="004C45D3">
        <w:trPr>
          <w:trHeight w:hRule="exact" w:val="227"/>
        </w:trPr>
        <w:tc>
          <w:tcPr>
            <w:tcW w:w="1046" w:type="pct"/>
            <w:shd w:val="clear" w:color="000000" w:fill="E6B9B8"/>
            <w:noWrap/>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public consumption</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1323.75</w:t>
            </w:r>
          </w:p>
        </w:tc>
        <w:tc>
          <w:tcPr>
            <w:tcW w:w="309"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39.66</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1280.13</w:t>
            </w:r>
          </w:p>
        </w:tc>
        <w:tc>
          <w:tcPr>
            <w:tcW w:w="284"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36.40</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1288.40</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36.63</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1278.37</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34.23</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1303.71</w:t>
            </w:r>
          </w:p>
        </w:tc>
        <w:tc>
          <w:tcPr>
            <w:tcW w:w="310"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32.74</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1344.20</w:t>
            </w:r>
          </w:p>
        </w:tc>
        <w:tc>
          <w:tcPr>
            <w:tcW w:w="288"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31.52</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expenditures</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728.84</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21.83</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646.27</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18.38</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656.14</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18.66</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702.87</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18.82</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710.16</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17.83</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731.61</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17.15</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Transfers to social protection</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482.09</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14.44</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498.26</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14.17</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492.27</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14.00</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503.18</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13.47</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520.37</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13.07</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537.89</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12.61</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Transfers to institutions, individuals, NGOs and public sector</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63.61</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1.91</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121.01</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3.44</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125.19</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3.56</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56.91</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1.52</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57.57</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1.45</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58.97</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1.38</w:t>
            </w:r>
          </w:p>
        </w:tc>
      </w:tr>
      <w:tr w:rsidR="008D3E5E" w:rsidRPr="00F63F72" w:rsidTr="004C45D3">
        <w:trPr>
          <w:trHeight w:hRule="exact" w:val="284"/>
        </w:trPr>
        <w:tc>
          <w:tcPr>
            <w:tcW w:w="1046" w:type="pct"/>
            <w:shd w:val="clear" w:color="000000" w:fill="E6B9B8"/>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Capital expenditures</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107.05</w:t>
            </w:r>
          </w:p>
        </w:tc>
        <w:tc>
          <w:tcPr>
            <w:tcW w:w="309"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3.21</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95.64</w:t>
            </w:r>
          </w:p>
        </w:tc>
        <w:tc>
          <w:tcPr>
            <w:tcW w:w="284"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2.72</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97.64</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2.78</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102.00</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2.73</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108.08</w:t>
            </w:r>
          </w:p>
        </w:tc>
        <w:tc>
          <w:tcPr>
            <w:tcW w:w="310"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2.71</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110.88</w:t>
            </w:r>
          </w:p>
        </w:tc>
        <w:tc>
          <w:tcPr>
            <w:tcW w:w="288"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2.60</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Borrowings and loans</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2.96</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0.09</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3.73</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0.11</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3.87</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0.11</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3.56</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0.10</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3.61</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0.09</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3.65</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0.09</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Reserves</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21.54</w:t>
            </w:r>
          </w:p>
        </w:tc>
        <w:tc>
          <w:tcPr>
            <w:tcW w:w="309"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0.65</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10.86</w:t>
            </w:r>
          </w:p>
        </w:tc>
        <w:tc>
          <w:tcPr>
            <w:tcW w:w="284"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0.31</w:t>
            </w:r>
          </w:p>
        </w:tc>
        <w:tc>
          <w:tcPr>
            <w:tcW w:w="365"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10.93</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0.31</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11.85</w:t>
            </w:r>
          </w:p>
        </w:tc>
        <w:tc>
          <w:tcPr>
            <w:tcW w:w="285"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0.32</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12.00</w:t>
            </w:r>
          </w:p>
        </w:tc>
        <w:tc>
          <w:tcPr>
            <w:tcW w:w="310"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0.30</w:t>
            </w:r>
          </w:p>
        </w:tc>
        <w:tc>
          <w:tcPr>
            <w:tcW w:w="366" w:type="pct"/>
            <w:shd w:val="clear" w:color="000000" w:fill="FFFFFF"/>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12.08</w:t>
            </w:r>
          </w:p>
        </w:tc>
        <w:tc>
          <w:tcPr>
            <w:tcW w:w="288" w:type="pct"/>
            <w:shd w:val="clear" w:color="000000" w:fill="FFFFFF"/>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0.28</w:t>
            </w:r>
          </w:p>
        </w:tc>
      </w:tr>
      <w:tr w:rsidR="008D3E5E" w:rsidRPr="00F63F72" w:rsidTr="004C45D3">
        <w:trPr>
          <w:trHeight w:hRule="exact" w:val="227"/>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guarantees</w:t>
            </w:r>
          </w:p>
        </w:tc>
        <w:tc>
          <w:tcPr>
            <w:tcW w:w="365" w:type="pct"/>
            <w:shd w:val="clear" w:color="000000" w:fill="FFFFFF"/>
            <w:noWrap/>
            <w:tcMar>
              <w:left w:w="28" w:type="dxa"/>
              <w:right w:w="57" w:type="dxa"/>
            </w:tcMar>
            <w:vAlign w:val="bottom"/>
          </w:tcPr>
          <w:p w:rsidR="008D3E5E" w:rsidRPr="00F63F72" w:rsidRDefault="008D3E5E" w:rsidP="004C45D3">
            <w:pPr>
              <w:jc w:val="right"/>
              <w:rPr>
                <w:sz w:val="14"/>
                <w:szCs w:val="16"/>
              </w:rPr>
            </w:pPr>
            <w:r w:rsidRPr="00F63F72">
              <w:rPr>
                <w:sz w:val="14"/>
                <w:szCs w:val="16"/>
              </w:rPr>
              <w:t>24.72</w:t>
            </w:r>
          </w:p>
        </w:tc>
        <w:tc>
          <w:tcPr>
            <w:tcW w:w="309"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0.74</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284"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10"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0.00</w:t>
            </w:r>
          </w:p>
        </w:tc>
        <w:tc>
          <w:tcPr>
            <w:tcW w:w="288"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0.00</w:t>
            </w:r>
          </w:p>
        </w:tc>
      </w:tr>
      <w:tr w:rsidR="008D3E5E" w:rsidRPr="00F63F72" w:rsidTr="004C45D3">
        <w:trPr>
          <w:trHeight w:hRule="exact" w:val="227"/>
        </w:trPr>
        <w:tc>
          <w:tcPr>
            <w:tcW w:w="1046" w:type="pct"/>
            <w:shd w:val="clear" w:color="000000" w:fill="E6B9B8"/>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Surplus/deficit</w:t>
            </w:r>
          </w:p>
        </w:tc>
        <w:tc>
          <w:tcPr>
            <w:tcW w:w="365"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-131.98</w:t>
            </w:r>
          </w:p>
        </w:tc>
        <w:tc>
          <w:tcPr>
            <w:tcW w:w="309"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-3.95</w:t>
            </w:r>
          </w:p>
        </w:tc>
        <w:tc>
          <w:tcPr>
            <w:tcW w:w="365"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-81.67</w:t>
            </w:r>
          </w:p>
        </w:tc>
        <w:tc>
          <w:tcPr>
            <w:tcW w:w="284"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-2.32</w:t>
            </w:r>
          </w:p>
        </w:tc>
        <w:tc>
          <w:tcPr>
            <w:tcW w:w="365"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-67.11</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-1.91</w:t>
            </w:r>
          </w:p>
        </w:tc>
        <w:tc>
          <w:tcPr>
            <w:tcW w:w="366"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-38.76</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-1.04</w:t>
            </w:r>
          </w:p>
        </w:tc>
        <w:tc>
          <w:tcPr>
            <w:tcW w:w="366"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-32.15</w:t>
            </w:r>
          </w:p>
        </w:tc>
        <w:tc>
          <w:tcPr>
            <w:tcW w:w="310"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-0.81</w:t>
            </w:r>
          </w:p>
        </w:tc>
        <w:tc>
          <w:tcPr>
            <w:tcW w:w="366" w:type="pct"/>
            <w:shd w:val="clear" w:color="000000" w:fill="E6B9B8"/>
            <w:noWrap/>
            <w:tcMar>
              <w:left w:w="28" w:type="dxa"/>
              <w:right w:w="57" w:type="dxa"/>
            </w:tcMar>
            <w:vAlign w:val="center"/>
          </w:tcPr>
          <w:p w:rsidR="008D3E5E" w:rsidRPr="00F63F72" w:rsidRDefault="008D3E5E" w:rsidP="004C45D3">
            <w:pPr>
              <w:jc w:val="right"/>
              <w:rPr>
                <w:b/>
                <w:bCs/>
                <w:color w:val="323E1A"/>
                <w:sz w:val="14"/>
                <w:szCs w:val="16"/>
              </w:rPr>
            </w:pPr>
            <w:r w:rsidRPr="00F63F72">
              <w:rPr>
                <w:b/>
                <w:bCs/>
                <w:color w:val="323E1A"/>
                <w:sz w:val="14"/>
                <w:szCs w:val="16"/>
              </w:rPr>
              <w:t>-26.05</w:t>
            </w:r>
          </w:p>
        </w:tc>
        <w:tc>
          <w:tcPr>
            <w:tcW w:w="288"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-0.61</w:t>
            </w:r>
          </w:p>
        </w:tc>
      </w:tr>
      <w:tr w:rsidR="008D3E5E" w:rsidRPr="00F63F72" w:rsidTr="004C45D3">
        <w:trPr>
          <w:trHeight w:hRule="exact" w:val="227"/>
        </w:trPr>
        <w:tc>
          <w:tcPr>
            <w:tcW w:w="1046" w:type="pct"/>
            <w:shd w:val="clear" w:color="000000" w:fill="E6B9B8"/>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Primary deficit</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-73.13</w:t>
            </w:r>
          </w:p>
        </w:tc>
        <w:tc>
          <w:tcPr>
            <w:tcW w:w="309"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-2.19</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-7.35</w:t>
            </w:r>
          </w:p>
        </w:tc>
        <w:tc>
          <w:tcPr>
            <w:tcW w:w="284"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-0.21</w:t>
            </w:r>
          </w:p>
        </w:tc>
        <w:tc>
          <w:tcPr>
            <w:tcW w:w="365"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7.29</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0.21</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51.02</w:t>
            </w:r>
          </w:p>
        </w:tc>
        <w:tc>
          <w:tcPr>
            <w:tcW w:w="285"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1.37</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74.82</w:t>
            </w:r>
          </w:p>
        </w:tc>
        <w:tc>
          <w:tcPr>
            <w:tcW w:w="310"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1.88</w:t>
            </w:r>
          </w:p>
        </w:tc>
        <w:tc>
          <w:tcPr>
            <w:tcW w:w="366" w:type="pct"/>
            <w:shd w:val="clear" w:color="000000" w:fill="E6B9B8"/>
            <w:noWrap/>
            <w:tcMar>
              <w:left w:w="28" w:type="dxa"/>
              <w:right w:w="57" w:type="dxa"/>
            </w:tcMar>
            <w:vAlign w:val="center"/>
          </w:tcPr>
          <w:p w:rsidR="008D3E5E" w:rsidRPr="00F63F72" w:rsidRDefault="008D3E5E" w:rsidP="004C45D3">
            <w:pPr>
              <w:jc w:val="right"/>
              <w:rPr>
                <w:b/>
                <w:bCs/>
                <w:sz w:val="14"/>
                <w:szCs w:val="16"/>
              </w:rPr>
            </w:pPr>
            <w:r w:rsidRPr="00F63F72">
              <w:rPr>
                <w:b/>
                <w:bCs/>
                <w:sz w:val="14"/>
                <w:szCs w:val="16"/>
              </w:rPr>
              <w:t>100.46</w:t>
            </w:r>
          </w:p>
        </w:tc>
        <w:tc>
          <w:tcPr>
            <w:tcW w:w="288" w:type="pct"/>
            <w:shd w:val="clear" w:color="000000" w:fill="E6B9B8"/>
            <w:noWrap/>
            <w:tcMar>
              <w:left w:w="28" w:type="dxa"/>
              <w:right w:w="57" w:type="dxa"/>
            </w:tcMar>
            <w:vAlign w:val="center"/>
          </w:tcPr>
          <w:p w:rsidR="008D3E5E" w:rsidRPr="00F63F72" w:rsidRDefault="008D3E5E" w:rsidP="004C45D3">
            <w:pPr>
              <w:jc w:val="right"/>
              <w:rPr>
                <w:b/>
                <w:bCs/>
                <w:color w:val="953735"/>
                <w:sz w:val="14"/>
                <w:szCs w:val="16"/>
              </w:rPr>
            </w:pPr>
            <w:r w:rsidRPr="00F63F72">
              <w:rPr>
                <w:b/>
                <w:bCs/>
                <w:color w:val="953735"/>
                <w:sz w:val="14"/>
                <w:szCs w:val="16"/>
              </w:rPr>
              <w:t>2.36</w:t>
            </w:r>
          </w:p>
        </w:tc>
      </w:tr>
      <w:tr w:rsidR="008D3E5E" w:rsidRPr="00F63F72" w:rsidTr="004C45D3">
        <w:trPr>
          <w:trHeight w:hRule="exact" w:val="227"/>
        </w:trPr>
        <w:tc>
          <w:tcPr>
            <w:tcW w:w="1046" w:type="pct"/>
            <w:shd w:val="clear" w:color="000000" w:fill="E6B9B8"/>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Debt repayment</w:t>
            </w:r>
          </w:p>
        </w:tc>
        <w:tc>
          <w:tcPr>
            <w:tcW w:w="365"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223.65</w:t>
            </w:r>
          </w:p>
        </w:tc>
        <w:tc>
          <w:tcPr>
            <w:tcW w:w="309"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6.70</w:t>
            </w:r>
          </w:p>
        </w:tc>
        <w:tc>
          <w:tcPr>
            <w:tcW w:w="365"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160.68</w:t>
            </w:r>
          </w:p>
        </w:tc>
        <w:tc>
          <w:tcPr>
            <w:tcW w:w="284"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4.57</w:t>
            </w:r>
          </w:p>
        </w:tc>
        <w:tc>
          <w:tcPr>
            <w:tcW w:w="365"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161.68</w:t>
            </w:r>
          </w:p>
        </w:tc>
        <w:tc>
          <w:tcPr>
            <w:tcW w:w="285"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4.60</w:t>
            </w:r>
          </w:p>
        </w:tc>
        <w:tc>
          <w:tcPr>
            <w:tcW w:w="366"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175.50</w:t>
            </w:r>
          </w:p>
        </w:tc>
        <w:tc>
          <w:tcPr>
            <w:tcW w:w="285"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4.70</w:t>
            </w:r>
          </w:p>
        </w:tc>
        <w:tc>
          <w:tcPr>
            <w:tcW w:w="366"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375.00</w:t>
            </w:r>
          </w:p>
        </w:tc>
        <w:tc>
          <w:tcPr>
            <w:tcW w:w="310"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9.42</w:t>
            </w:r>
          </w:p>
        </w:tc>
        <w:tc>
          <w:tcPr>
            <w:tcW w:w="366"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339.10</w:t>
            </w:r>
          </w:p>
        </w:tc>
        <w:tc>
          <w:tcPr>
            <w:tcW w:w="288"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7.95</w:t>
            </w:r>
          </w:p>
        </w:tc>
      </w:tr>
      <w:tr w:rsidR="008D3E5E" w:rsidRPr="00F63F72" w:rsidTr="004C45D3">
        <w:trPr>
          <w:trHeight w:hRule="exact" w:val="510"/>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principal to residents</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83.43</w:t>
            </w:r>
          </w:p>
        </w:tc>
        <w:tc>
          <w:tcPr>
            <w:tcW w:w="309"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2.50</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27.80</w:t>
            </w:r>
          </w:p>
        </w:tc>
        <w:tc>
          <w:tcPr>
            <w:tcW w:w="284"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0.79</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28.30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0.80</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28.60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0.77</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32.60</w:t>
            </w:r>
          </w:p>
        </w:tc>
        <w:tc>
          <w:tcPr>
            <w:tcW w:w="310"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0.82</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27.50</w:t>
            </w:r>
          </w:p>
        </w:tc>
        <w:tc>
          <w:tcPr>
            <w:tcW w:w="288"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0.64</w:t>
            </w:r>
          </w:p>
        </w:tc>
      </w:tr>
      <w:tr w:rsidR="008D3E5E" w:rsidRPr="00F63F72" w:rsidTr="004C45D3">
        <w:trPr>
          <w:trHeight w:hRule="exact" w:val="510"/>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principal to non-residents</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59.87</w:t>
            </w:r>
          </w:p>
        </w:tc>
        <w:tc>
          <w:tcPr>
            <w:tcW w:w="309"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1.79</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66.70</w:t>
            </w:r>
          </w:p>
        </w:tc>
        <w:tc>
          <w:tcPr>
            <w:tcW w:w="284"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1.90</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67.20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1.91</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99.00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2.65</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299.90</w:t>
            </w:r>
          </w:p>
        </w:tc>
        <w:tc>
          <w:tcPr>
            <w:tcW w:w="310"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7.53</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276.90</w:t>
            </w:r>
          </w:p>
        </w:tc>
        <w:tc>
          <w:tcPr>
            <w:tcW w:w="288"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6.49</w:t>
            </w:r>
          </w:p>
        </w:tc>
      </w:tr>
      <w:tr w:rsidR="008D3E5E" w:rsidRPr="00F63F72" w:rsidTr="004C45D3">
        <w:trPr>
          <w:trHeight w:hRule="exact" w:val="510"/>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liabilities from previous period</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80.35</w:t>
            </w:r>
          </w:p>
        </w:tc>
        <w:tc>
          <w:tcPr>
            <w:tcW w:w="309"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2.41</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66.18</w:t>
            </w:r>
          </w:p>
        </w:tc>
        <w:tc>
          <w:tcPr>
            <w:tcW w:w="284"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1.88</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66.18</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1.88</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47.90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1.28</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42.50</w:t>
            </w:r>
          </w:p>
        </w:tc>
        <w:tc>
          <w:tcPr>
            <w:tcW w:w="310"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1.07</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34.70</w:t>
            </w:r>
          </w:p>
        </w:tc>
        <w:tc>
          <w:tcPr>
            <w:tcW w:w="288"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0.81</w:t>
            </w:r>
          </w:p>
        </w:tc>
      </w:tr>
      <w:tr w:rsidR="008D3E5E" w:rsidRPr="00F63F72" w:rsidTr="004C45D3">
        <w:trPr>
          <w:trHeight w:hRule="exact" w:val="227"/>
        </w:trPr>
        <w:tc>
          <w:tcPr>
            <w:tcW w:w="1046" w:type="pct"/>
            <w:shd w:val="clear" w:color="000000" w:fill="E6B9B8"/>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Financing needs</w:t>
            </w:r>
          </w:p>
        </w:tc>
        <w:tc>
          <w:tcPr>
            <w:tcW w:w="365"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-355.63</w:t>
            </w:r>
          </w:p>
        </w:tc>
        <w:tc>
          <w:tcPr>
            <w:tcW w:w="309"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-10.65</w:t>
            </w:r>
          </w:p>
        </w:tc>
        <w:tc>
          <w:tcPr>
            <w:tcW w:w="365"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-242.35</w:t>
            </w:r>
          </w:p>
        </w:tc>
        <w:tc>
          <w:tcPr>
            <w:tcW w:w="284"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-6.89</w:t>
            </w:r>
          </w:p>
        </w:tc>
        <w:tc>
          <w:tcPr>
            <w:tcW w:w="365"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-228.79</w:t>
            </w:r>
          </w:p>
        </w:tc>
        <w:tc>
          <w:tcPr>
            <w:tcW w:w="285"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-6.51</w:t>
            </w:r>
          </w:p>
        </w:tc>
        <w:tc>
          <w:tcPr>
            <w:tcW w:w="366"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-214.26</w:t>
            </w:r>
          </w:p>
        </w:tc>
        <w:tc>
          <w:tcPr>
            <w:tcW w:w="285"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-5.74</w:t>
            </w:r>
          </w:p>
        </w:tc>
        <w:tc>
          <w:tcPr>
            <w:tcW w:w="366"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-407.15</w:t>
            </w:r>
          </w:p>
        </w:tc>
        <w:tc>
          <w:tcPr>
            <w:tcW w:w="310"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-10.22</w:t>
            </w:r>
          </w:p>
        </w:tc>
        <w:tc>
          <w:tcPr>
            <w:tcW w:w="366"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-365.15</w:t>
            </w:r>
          </w:p>
        </w:tc>
        <w:tc>
          <w:tcPr>
            <w:tcW w:w="288"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-8.56</w:t>
            </w:r>
          </w:p>
        </w:tc>
      </w:tr>
      <w:tr w:rsidR="008D3E5E" w:rsidRPr="00F63F72" w:rsidTr="004C45D3">
        <w:trPr>
          <w:trHeight w:hRule="exact" w:val="227"/>
        </w:trPr>
        <w:tc>
          <w:tcPr>
            <w:tcW w:w="1046" w:type="pct"/>
            <w:shd w:val="clear" w:color="000000" w:fill="E6B9B8"/>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Financing</w:t>
            </w:r>
          </w:p>
        </w:tc>
        <w:tc>
          <w:tcPr>
            <w:tcW w:w="365"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355.63</w:t>
            </w:r>
          </w:p>
        </w:tc>
        <w:tc>
          <w:tcPr>
            <w:tcW w:w="309"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10.65</w:t>
            </w:r>
          </w:p>
        </w:tc>
        <w:tc>
          <w:tcPr>
            <w:tcW w:w="365"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242.35</w:t>
            </w:r>
          </w:p>
        </w:tc>
        <w:tc>
          <w:tcPr>
            <w:tcW w:w="284"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6.89</w:t>
            </w:r>
          </w:p>
        </w:tc>
        <w:tc>
          <w:tcPr>
            <w:tcW w:w="365"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228.79</w:t>
            </w:r>
          </w:p>
        </w:tc>
        <w:tc>
          <w:tcPr>
            <w:tcW w:w="285"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6.51</w:t>
            </w:r>
          </w:p>
        </w:tc>
        <w:tc>
          <w:tcPr>
            <w:tcW w:w="366"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214.26</w:t>
            </w:r>
          </w:p>
        </w:tc>
        <w:tc>
          <w:tcPr>
            <w:tcW w:w="285"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5.74</w:t>
            </w:r>
          </w:p>
        </w:tc>
        <w:tc>
          <w:tcPr>
            <w:tcW w:w="366"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407.15</w:t>
            </w:r>
          </w:p>
        </w:tc>
        <w:tc>
          <w:tcPr>
            <w:tcW w:w="310"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10.22</w:t>
            </w:r>
          </w:p>
        </w:tc>
        <w:tc>
          <w:tcPr>
            <w:tcW w:w="366" w:type="pct"/>
            <w:shd w:val="clear" w:color="000000" w:fill="E6B9B8"/>
            <w:noWrap/>
            <w:tcMar>
              <w:left w:w="28" w:type="dxa"/>
              <w:right w:w="57" w:type="dxa"/>
            </w:tcMar>
            <w:vAlign w:val="bottom"/>
          </w:tcPr>
          <w:p w:rsidR="008D3E5E" w:rsidRPr="00F63F72" w:rsidRDefault="008D3E5E" w:rsidP="004C45D3">
            <w:pPr>
              <w:jc w:val="right"/>
              <w:rPr>
                <w:b/>
                <w:bCs/>
                <w:sz w:val="14"/>
                <w:szCs w:val="16"/>
              </w:rPr>
            </w:pPr>
            <w:r w:rsidRPr="00F63F72">
              <w:rPr>
                <w:b/>
                <w:bCs/>
                <w:sz w:val="14"/>
                <w:szCs w:val="16"/>
              </w:rPr>
              <w:t>365.15</w:t>
            </w:r>
          </w:p>
        </w:tc>
        <w:tc>
          <w:tcPr>
            <w:tcW w:w="288" w:type="pct"/>
            <w:shd w:val="clear" w:color="000000" w:fill="E6B9B8"/>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8.56</w:t>
            </w:r>
          </w:p>
        </w:tc>
      </w:tr>
      <w:tr w:rsidR="008D3E5E" w:rsidRPr="00F63F72" w:rsidTr="004C45D3">
        <w:trPr>
          <w:trHeight w:hRule="exact" w:val="510"/>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Borrowings and loans from domestic sources</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71.27</w:t>
            </w:r>
          </w:p>
        </w:tc>
        <w:tc>
          <w:tcPr>
            <w:tcW w:w="309"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2.14</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8.00</w:t>
            </w:r>
          </w:p>
        </w:tc>
        <w:tc>
          <w:tcPr>
            <w:tcW w:w="284"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0.23</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8.00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0.23</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6.00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0.16</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6.00</w:t>
            </w:r>
          </w:p>
        </w:tc>
        <w:tc>
          <w:tcPr>
            <w:tcW w:w="310"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0.15</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6.00</w:t>
            </w:r>
          </w:p>
        </w:tc>
        <w:tc>
          <w:tcPr>
            <w:tcW w:w="288"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0.14</w:t>
            </w:r>
          </w:p>
        </w:tc>
      </w:tr>
      <w:tr w:rsidR="008D3E5E" w:rsidRPr="00F63F72" w:rsidTr="004C45D3">
        <w:trPr>
          <w:trHeight w:hRule="exact" w:val="510"/>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Borrowings and loans from abroad</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258.13</w:t>
            </w:r>
          </w:p>
        </w:tc>
        <w:tc>
          <w:tcPr>
            <w:tcW w:w="309"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7.73</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205.99</w:t>
            </w:r>
          </w:p>
        </w:tc>
        <w:tc>
          <w:tcPr>
            <w:tcW w:w="284"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5.86</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205.99</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5.86</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199.85</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5.35</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365.43</w:t>
            </w:r>
          </w:p>
        </w:tc>
        <w:tc>
          <w:tcPr>
            <w:tcW w:w="310"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9.18</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356.00</w:t>
            </w:r>
          </w:p>
        </w:tc>
        <w:tc>
          <w:tcPr>
            <w:tcW w:w="288"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8.35</w:t>
            </w:r>
          </w:p>
        </w:tc>
      </w:tr>
      <w:tr w:rsidR="008D3E5E" w:rsidRPr="00F63F72" w:rsidTr="004C45D3">
        <w:trPr>
          <w:trHeight w:hRule="exact" w:val="284"/>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Donations</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7.92</w:t>
            </w:r>
          </w:p>
        </w:tc>
        <w:tc>
          <w:tcPr>
            <w:tcW w:w="309"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0.24</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2.00</w:t>
            </w:r>
          </w:p>
        </w:tc>
        <w:tc>
          <w:tcPr>
            <w:tcW w:w="284"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0.06</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2.00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0.06</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2.00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0.05</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2.00</w:t>
            </w:r>
          </w:p>
        </w:tc>
        <w:tc>
          <w:tcPr>
            <w:tcW w:w="310"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0.05</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2.00</w:t>
            </w:r>
          </w:p>
        </w:tc>
        <w:tc>
          <w:tcPr>
            <w:tcW w:w="288"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0.05</w:t>
            </w:r>
          </w:p>
        </w:tc>
      </w:tr>
      <w:tr w:rsidR="008D3E5E" w:rsidRPr="00F63F72" w:rsidTr="004C45D3">
        <w:trPr>
          <w:trHeight w:hRule="exact" w:val="284"/>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Privatization revenues</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14.02</w:t>
            </w:r>
          </w:p>
        </w:tc>
        <w:tc>
          <w:tcPr>
            <w:tcW w:w="309"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0.42</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19.00</w:t>
            </w:r>
          </w:p>
        </w:tc>
        <w:tc>
          <w:tcPr>
            <w:tcW w:w="284"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0.54</w:t>
            </w:r>
          </w:p>
        </w:tc>
        <w:tc>
          <w:tcPr>
            <w:tcW w:w="36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19.00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0.54</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22.00</w:t>
            </w:r>
          </w:p>
        </w:tc>
        <w:tc>
          <w:tcPr>
            <w:tcW w:w="285"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0.59</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20.00</w:t>
            </w:r>
          </w:p>
        </w:tc>
        <w:tc>
          <w:tcPr>
            <w:tcW w:w="310"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0.50</w:t>
            </w:r>
          </w:p>
        </w:tc>
        <w:tc>
          <w:tcPr>
            <w:tcW w:w="366"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10.00</w:t>
            </w:r>
          </w:p>
        </w:tc>
        <w:tc>
          <w:tcPr>
            <w:tcW w:w="288" w:type="pct"/>
            <w:shd w:val="clear" w:color="000000" w:fill="FFFFFF"/>
            <w:noWrap/>
            <w:tcMar>
              <w:left w:w="28" w:type="dxa"/>
              <w:right w:w="57" w:type="dxa"/>
            </w:tcMar>
            <w:vAlign w:val="bottom"/>
          </w:tcPr>
          <w:p w:rsidR="008D3E5E" w:rsidRPr="00F63F72" w:rsidRDefault="008D3E5E" w:rsidP="004C45D3">
            <w:pPr>
              <w:jc w:val="right"/>
              <w:rPr>
                <w:color w:val="953735"/>
                <w:sz w:val="14"/>
                <w:szCs w:val="16"/>
              </w:rPr>
            </w:pPr>
            <w:r w:rsidRPr="00F63F72">
              <w:rPr>
                <w:color w:val="953735"/>
                <w:sz w:val="14"/>
                <w:szCs w:val="16"/>
              </w:rPr>
              <w:t>0.23</w:t>
            </w:r>
          </w:p>
        </w:tc>
      </w:tr>
      <w:tr w:rsidR="008D3E5E" w:rsidRPr="00F63F72" w:rsidTr="004C45D3">
        <w:trPr>
          <w:trHeight w:hRule="exact" w:val="510"/>
        </w:trPr>
        <w:tc>
          <w:tcPr>
            <w:tcW w:w="1046" w:type="pct"/>
            <w:shd w:val="clear" w:color="000000" w:fill="FFFFFF"/>
            <w:tcMar>
              <w:left w:w="28" w:type="dxa"/>
              <w:right w:w="57"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Use of the state deposits</w:t>
            </w:r>
          </w:p>
        </w:tc>
        <w:tc>
          <w:tcPr>
            <w:tcW w:w="365"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4.30</w:t>
            </w:r>
          </w:p>
        </w:tc>
        <w:tc>
          <w:tcPr>
            <w:tcW w:w="309"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0.13</w:t>
            </w:r>
          </w:p>
        </w:tc>
        <w:tc>
          <w:tcPr>
            <w:tcW w:w="365"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7.35</w:t>
            </w:r>
          </w:p>
        </w:tc>
        <w:tc>
          <w:tcPr>
            <w:tcW w:w="284"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0.21</w:t>
            </w:r>
          </w:p>
        </w:tc>
        <w:tc>
          <w:tcPr>
            <w:tcW w:w="365"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-6.20</w:t>
            </w:r>
          </w:p>
        </w:tc>
        <w:tc>
          <w:tcPr>
            <w:tcW w:w="285"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-0.18</w:t>
            </w:r>
          </w:p>
        </w:tc>
        <w:tc>
          <w:tcPr>
            <w:tcW w:w="366"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-15.59</w:t>
            </w:r>
          </w:p>
        </w:tc>
        <w:tc>
          <w:tcPr>
            <w:tcW w:w="285"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-0.42</w:t>
            </w:r>
          </w:p>
        </w:tc>
        <w:tc>
          <w:tcPr>
            <w:tcW w:w="366"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13.72</w:t>
            </w:r>
          </w:p>
        </w:tc>
        <w:tc>
          <w:tcPr>
            <w:tcW w:w="310"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0.34</w:t>
            </w:r>
          </w:p>
        </w:tc>
        <w:tc>
          <w:tcPr>
            <w:tcW w:w="366"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-8.85</w:t>
            </w:r>
          </w:p>
        </w:tc>
        <w:tc>
          <w:tcPr>
            <w:tcW w:w="288" w:type="pct"/>
            <w:shd w:val="clear" w:color="000000" w:fill="FFFFFF"/>
            <w:noWrap/>
            <w:tcMar>
              <w:left w:w="28" w:type="dxa"/>
              <w:right w:w="57" w:type="dxa"/>
            </w:tcMar>
            <w:vAlign w:val="bottom"/>
          </w:tcPr>
          <w:p w:rsidR="008D3E5E" w:rsidRPr="00F63F72" w:rsidRDefault="008D3E5E" w:rsidP="004C45D3">
            <w:pPr>
              <w:jc w:val="right"/>
              <w:rPr>
                <w:b/>
                <w:bCs/>
                <w:color w:val="953735"/>
                <w:sz w:val="14"/>
                <w:szCs w:val="16"/>
              </w:rPr>
            </w:pPr>
            <w:r w:rsidRPr="00F63F72">
              <w:rPr>
                <w:b/>
                <w:bCs/>
                <w:color w:val="953735"/>
                <w:sz w:val="14"/>
                <w:szCs w:val="16"/>
              </w:rPr>
              <w:t>-0.21</w:t>
            </w:r>
          </w:p>
        </w:tc>
      </w:tr>
      <w:tr w:rsidR="008D3E5E" w:rsidRPr="00F63F72" w:rsidTr="004C45D3">
        <w:trPr>
          <w:trHeight w:hRule="exact" w:val="284"/>
        </w:trPr>
        <w:tc>
          <w:tcPr>
            <w:tcW w:w="5000" w:type="pct"/>
            <w:gridSpan w:val="13"/>
            <w:shd w:val="clear" w:color="000000" w:fill="FFFFFF"/>
            <w:tcMar>
              <w:left w:w="28" w:type="dxa"/>
              <w:right w:w="57" w:type="dxa"/>
            </w:tcMar>
            <w:vAlign w:val="bottom"/>
          </w:tcPr>
          <w:p w:rsidR="008D3E5E" w:rsidRPr="00F63F72" w:rsidRDefault="008D3E5E" w:rsidP="004C45D3">
            <w:pPr>
              <w:rPr>
                <w:rFonts w:ascii="Calibri" w:hAnsi="Calibri" w:cs="Calibri"/>
                <w:sz w:val="16"/>
                <w:szCs w:val="16"/>
              </w:rPr>
            </w:pPr>
            <w:r w:rsidRPr="00F63F72">
              <w:rPr>
                <w:rFonts w:ascii="Calibri" w:hAnsi="Calibri" w:cs="Calibri"/>
                <w:b/>
                <w:bCs/>
                <w:i/>
                <w:iCs/>
                <w:sz w:val="16"/>
                <w:szCs w:val="16"/>
              </w:rPr>
              <w:t>Source: Ministry of Finance of Montenegro</w:t>
            </w:r>
            <w:r w:rsidRPr="00F63F72">
              <w:rPr>
                <w:rFonts w:ascii="Calibri" w:hAnsi="Calibri" w:cs="Calibri"/>
                <w:sz w:val="16"/>
                <w:szCs w:val="16"/>
              </w:rPr>
              <w:t> </w:t>
            </w:r>
          </w:p>
        </w:tc>
      </w:tr>
    </w:tbl>
    <w:p w:rsidR="008D3E5E" w:rsidRPr="00F63F72" w:rsidRDefault="008D3E5E" w:rsidP="008D3E5E">
      <w:pPr>
        <w:rPr>
          <w:rFonts w:ascii="Calibri" w:hAnsi="Calibri" w:cs="Calibri"/>
          <w:sz w:val="16"/>
          <w:szCs w:val="16"/>
        </w:rPr>
        <w:sectPr w:rsidR="008D3E5E" w:rsidRPr="00F63F72" w:rsidSect="004C45D3">
          <w:headerReference w:type="default" r:id="rId9"/>
          <w:footerReference w:type="default" r:id="rId10"/>
          <w:headerReference w:type="first" r:id="rId11"/>
          <w:pgSz w:w="11907" w:h="16839" w:code="9"/>
          <w:pgMar w:top="720" w:right="1134" w:bottom="720" w:left="1418" w:header="708" w:footer="708" w:gutter="0"/>
          <w:cols w:space="708"/>
          <w:titlePg/>
          <w:docGrid w:linePitch="360"/>
        </w:sectPr>
      </w:pPr>
      <w:r w:rsidRPr="00F63F72">
        <w:rPr>
          <w:rFonts w:ascii="Calibri" w:hAnsi="Calibri" w:cs="Calibri"/>
          <w:sz w:val="16"/>
          <w:szCs w:val="16"/>
        </w:rPr>
        <w:t>*preliminary data</w:t>
      </w:r>
    </w:p>
    <w:p w:rsidR="008D3E5E" w:rsidRPr="00F63F72" w:rsidRDefault="008D3E5E" w:rsidP="008D3E5E">
      <w:pPr>
        <w:pStyle w:val="ListParagraph"/>
        <w:ind w:left="360"/>
        <w:rPr>
          <w:rFonts w:cs="Calibri"/>
          <w:highlight w:val="yellow"/>
        </w:rPr>
      </w:pPr>
    </w:p>
    <w:p w:rsidR="008D3E5E" w:rsidRPr="00F63F72" w:rsidRDefault="008D3E5E" w:rsidP="008D3E5E">
      <w:pPr>
        <w:pStyle w:val="Caption"/>
        <w:keepNext/>
        <w:rPr>
          <w:rFonts w:ascii="Calibri" w:hAnsi="Calibri" w:cs="Calibri"/>
          <w:sz w:val="18"/>
          <w:lang w:val="en-US"/>
        </w:rPr>
      </w:pPr>
    </w:p>
    <w:p w:rsidR="008D3E5E" w:rsidRPr="00F63F72" w:rsidRDefault="008D3E5E" w:rsidP="008D3E5E">
      <w:pPr>
        <w:pStyle w:val="Caption"/>
        <w:keepNext/>
        <w:rPr>
          <w:rFonts w:ascii="Calibri" w:hAnsi="Calibri" w:cs="Calibri"/>
          <w:sz w:val="18"/>
          <w:lang w:val="en-US"/>
        </w:rPr>
      </w:pPr>
      <w:r w:rsidRPr="00F63F72">
        <w:rPr>
          <w:rFonts w:ascii="Calibri" w:hAnsi="Calibri" w:cs="Calibri"/>
          <w:sz w:val="18"/>
          <w:lang w:val="en-US"/>
        </w:rPr>
        <w:t xml:space="preserve">Table </w:t>
      </w:r>
      <w:r w:rsidR="00033B25" w:rsidRPr="00F63F72">
        <w:rPr>
          <w:rFonts w:ascii="Calibri" w:hAnsi="Calibri" w:cs="Calibri"/>
          <w:sz w:val="18"/>
          <w:lang w:val="en-US"/>
        </w:rPr>
        <w:fldChar w:fldCharType="begin"/>
      </w:r>
      <w:r w:rsidRPr="00F63F72">
        <w:rPr>
          <w:rFonts w:ascii="Calibri" w:hAnsi="Calibri" w:cs="Calibri"/>
          <w:sz w:val="18"/>
          <w:lang w:val="en-US"/>
        </w:rPr>
        <w:instrText xml:space="preserve"> SEQ Tabela \* ARABIC </w:instrText>
      </w:r>
      <w:r w:rsidR="00033B25" w:rsidRPr="00F63F72">
        <w:rPr>
          <w:rFonts w:ascii="Calibri" w:hAnsi="Calibri" w:cs="Calibri"/>
          <w:sz w:val="18"/>
          <w:lang w:val="en-US"/>
        </w:rPr>
        <w:fldChar w:fldCharType="separate"/>
      </w:r>
      <w:r w:rsidR="005669F0">
        <w:rPr>
          <w:rFonts w:ascii="Calibri" w:hAnsi="Calibri" w:cs="Calibri"/>
          <w:noProof/>
          <w:sz w:val="18"/>
          <w:lang w:val="en-US"/>
        </w:rPr>
        <w:t>10</w:t>
      </w:r>
      <w:r w:rsidR="00033B25" w:rsidRPr="00F63F72">
        <w:rPr>
          <w:rFonts w:ascii="Calibri" w:hAnsi="Calibri" w:cs="Calibri"/>
          <w:sz w:val="18"/>
          <w:lang w:val="en-US"/>
        </w:rPr>
        <w:fldChar w:fldCharType="end"/>
      </w:r>
    </w:p>
    <w:tbl>
      <w:tblPr>
        <w:tblW w:w="5000" w:type="pct"/>
        <w:tblBorders>
          <w:top w:val="single" w:sz="4" w:space="0" w:color="auto"/>
          <w:bottom w:val="single" w:sz="4" w:space="0" w:color="auto"/>
          <w:insideH w:val="single" w:sz="4" w:space="0" w:color="auto"/>
        </w:tblBorders>
        <w:tblCellMar>
          <w:left w:w="70" w:type="dxa"/>
          <w:right w:w="70" w:type="dxa"/>
        </w:tblCellMar>
        <w:tblLook w:val="00A0"/>
      </w:tblPr>
      <w:tblGrid>
        <w:gridCol w:w="3516"/>
        <w:gridCol w:w="632"/>
        <w:gridCol w:w="558"/>
        <w:gridCol w:w="632"/>
        <w:gridCol w:w="558"/>
        <w:gridCol w:w="632"/>
        <w:gridCol w:w="558"/>
        <w:gridCol w:w="632"/>
        <w:gridCol w:w="558"/>
        <w:gridCol w:w="651"/>
        <w:gridCol w:w="560"/>
        <w:gridCol w:w="619"/>
        <w:gridCol w:w="501"/>
      </w:tblGrid>
      <w:tr w:rsidR="008D3E5E" w:rsidRPr="00F63F72" w:rsidTr="004C45D3">
        <w:trPr>
          <w:trHeight w:val="315"/>
        </w:trPr>
        <w:tc>
          <w:tcPr>
            <w:tcW w:w="1657" w:type="pct"/>
            <w:vMerge w:val="restart"/>
            <w:shd w:val="clear" w:color="000000" w:fill="0F253F"/>
            <w:noWrap/>
            <w:vAlign w:val="center"/>
          </w:tcPr>
          <w:p w:rsidR="008D3E5E" w:rsidRPr="00F63F72" w:rsidRDefault="008D3E5E" w:rsidP="004C45D3">
            <w:pPr>
              <w:jc w:val="center"/>
              <w:rPr>
                <w:rFonts w:cs="Calibri"/>
                <w:b/>
                <w:bCs/>
                <w:color w:val="FFFFFF"/>
                <w:sz w:val="14"/>
                <w:lang w:eastAsia="sr-Latn-CS"/>
              </w:rPr>
            </w:pPr>
            <w:r w:rsidRPr="00F63F72">
              <w:rPr>
                <w:rFonts w:cs="Calibri"/>
                <w:b/>
                <w:bCs/>
                <w:color w:val="FFFFFF"/>
                <w:sz w:val="14"/>
                <w:lang w:eastAsia="sr-Latn-CS"/>
              </w:rPr>
              <w:t>Budget of Montenegro</w:t>
            </w:r>
          </w:p>
        </w:tc>
        <w:tc>
          <w:tcPr>
            <w:tcW w:w="561" w:type="pct"/>
            <w:gridSpan w:val="2"/>
            <w:shd w:val="clear" w:color="000000" w:fill="B8CCE4"/>
            <w:noWrap/>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2012</w:t>
            </w:r>
          </w:p>
        </w:tc>
        <w:tc>
          <w:tcPr>
            <w:tcW w:w="561" w:type="pct"/>
            <w:gridSpan w:val="2"/>
            <w:shd w:val="clear" w:color="000000" w:fill="B8CCE4"/>
            <w:noWrap/>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2013</w:t>
            </w:r>
          </w:p>
        </w:tc>
        <w:tc>
          <w:tcPr>
            <w:tcW w:w="561" w:type="pct"/>
            <w:gridSpan w:val="2"/>
            <w:shd w:val="clear" w:color="000000" w:fill="B8CCE4"/>
            <w:noWrap/>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2013* EST.</w:t>
            </w:r>
          </w:p>
        </w:tc>
        <w:tc>
          <w:tcPr>
            <w:tcW w:w="561" w:type="pct"/>
            <w:gridSpan w:val="2"/>
            <w:shd w:val="clear" w:color="000000" w:fill="B8CCE4"/>
            <w:noWrap/>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2014</w:t>
            </w:r>
          </w:p>
        </w:tc>
        <w:tc>
          <w:tcPr>
            <w:tcW w:w="571" w:type="pct"/>
            <w:gridSpan w:val="2"/>
            <w:shd w:val="clear" w:color="000000" w:fill="B8CCE4"/>
            <w:noWrap/>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2015</w:t>
            </w:r>
          </w:p>
        </w:tc>
        <w:tc>
          <w:tcPr>
            <w:tcW w:w="530" w:type="pct"/>
            <w:gridSpan w:val="2"/>
            <w:shd w:val="clear" w:color="000000" w:fill="B8CCE4"/>
            <w:noWrap/>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2016</w:t>
            </w:r>
          </w:p>
        </w:tc>
      </w:tr>
      <w:tr w:rsidR="008D3E5E" w:rsidRPr="00F63F72" w:rsidTr="004C45D3">
        <w:trPr>
          <w:trHeight w:val="300"/>
        </w:trPr>
        <w:tc>
          <w:tcPr>
            <w:tcW w:w="1657" w:type="pct"/>
            <w:vMerge/>
            <w:vAlign w:val="center"/>
          </w:tcPr>
          <w:p w:rsidR="008D3E5E" w:rsidRPr="00F63F72" w:rsidRDefault="008D3E5E" w:rsidP="004C45D3">
            <w:pPr>
              <w:rPr>
                <w:rFonts w:cs="Calibri"/>
                <w:b/>
                <w:bCs/>
                <w:color w:val="FFFFFF"/>
                <w:sz w:val="14"/>
                <w:lang w:eastAsia="sr-Latn-CS"/>
              </w:rPr>
            </w:pPr>
          </w:p>
        </w:tc>
        <w:tc>
          <w:tcPr>
            <w:tcW w:w="298"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million €</w:t>
            </w:r>
          </w:p>
        </w:tc>
        <w:tc>
          <w:tcPr>
            <w:tcW w:w="262"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 GDP</w:t>
            </w:r>
          </w:p>
        </w:tc>
        <w:tc>
          <w:tcPr>
            <w:tcW w:w="298"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million €</w:t>
            </w:r>
          </w:p>
        </w:tc>
        <w:tc>
          <w:tcPr>
            <w:tcW w:w="262"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 GDP</w:t>
            </w:r>
          </w:p>
        </w:tc>
        <w:tc>
          <w:tcPr>
            <w:tcW w:w="298"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million €</w:t>
            </w:r>
          </w:p>
        </w:tc>
        <w:tc>
          <w:tcPr>
            <w:tcW w:w="262"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 GDP</w:t>
            </w:r>
          </w:p>
        </w:tc>
        <w:tc>
          <w:tcPr>
            <w:tcW w:w="298"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million €</w:t>
            </w:r>
          </w:p>
        </w:tc>
        <w:tc>
          <w:tcPr>
            <w:tcW w:w="262"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 GDP</w:t>
            </w:r>
          </w:p>
        </w:tc>
        <w:tc>
          <w:tcPr>
            <w:tcW w:w="307"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million €</w:t>
            </w:r>
          </w:p>
        </w:tc>
        <w:tc>
          <w:tcPr>
            <w:tcW w:w="264"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 GDP</w:t>
            </w:r>
          </w:p>
        </w:tc>
        <w:tc>
          <w:tcPr>
            <w:tcW w:w="292"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million €</w:t>
            </w:r>
          </w:p>
        </w:tc>
        <w:tc>
          <w:tcPr>
            <w:tcW w:w="238" w:type="pct"/>
            <w:shd w:val="clear" w:color="000000" w:fill="B8CCE4"/>
            <w:vAlign w:val="center"/>
          </w:tcPr>
          <w:p w:rsidR="008D3E5E" w:rsidRPr="00F63F72" w:rsidRDefault="008D3E5E" w:rsidP="004C45D3">
            <w:pPr>
              <w:jc w:val="center"/>
              <w:rPr>
                <w:rFonts w:cs="Calibri"/>
                <w:b/>
                <w:bCs/>
                <w:sz w:val="14"/>
                <w:szCs w:val="20"/>
                <w:lang w:eastAsia="sr-Latn-CS"/>
              </w:rPr>
            </w:pPr>
            <w:r w:rsidRPr="00F63F72">
              <w:rPr>
                <w:rFonts w:cs="Calibri"/>
                <w:b/>
                <w:bCs/>
                <w:sz w:val="14"/>
                <w:szCs w:val="20"/>
                <w:lang w:eastAsia="sr-Latn-CS"/>
              </w:rPr>
              <w:t>% GDP</w:t>
            </w:r>
          </w:p>
        </w:tc>
      </w:tr>
      <w:tr w:rsidR="008D3E5E" w:rsidRPr="00F63F72" w:rsidTr="004C45D3">
        <w:trPr>
          <w:trHeight w:val="300"/>
        </w:trPr>
        <w:tc>
          <w:tcPr>
            <w:tcW w:w="1657" w:type="pct"/>
            <w:shd w:val="clear" w:color="000000" w:fill="B8CCE4"/>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Current revenues</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1119,94</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33,55</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1161,80</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33,03</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1182,63</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33,63</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1200,60</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32,14</w:t>
            </w:r>
          </w:p>
        </w:tc>
        <w:tc>
          <w:tcPr>
            <w:tcW w:w="307"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1236,10</w:t>
            </w:r>
          </w:p>
        </w:tc>
        <w:tc>
          <w:tcPr>
            <w:tcW w:w="264"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31,04</w:t>
            </w:r>
          </w:p>
        </w:tc>
        <w:tc>
          <w:tcPr>
            <w:tcW w:w="29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1282,51</w:t>
            </w:r>
          </w:p>
        </w:tc>
        <w:tc>
          <w:tcPr>
            <w:tcW w:w="23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30,07</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Taxes</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687,44</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20,59</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700,43</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19,92</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732,16</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20,82</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748,92</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20,05</w:t>
            </w:r>
          </w:p>
        </w:tc>
        <w:tc>
          <w:tcPr>
            <w:tcW w:w="307"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771,18</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19,37</w:t>
            </w:r>
          </w:p>
        </w:tc>
        <w:tc>
          <w:tcPr>
            <w:tcW w:w="29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801,66</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18,80</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Contributions</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362,25</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10,85</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384,22</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10,92</w:t>
            </w:r>
          </w:p>
        </w:tc>
        <w:tc>
          <w:tcPr>
            <w:tcW w:w="298" w:type="pct"/>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376,80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10,71</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388,10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10,39</w:t>
            </w:r>
          </w:p>
        </w:tc>
        <w:tc>
          <w:tcPr>
            <w:tcW w:w="307"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399,74</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10,04</w:t>
            </w:r>
          </w:p>
        </w:tc>
        <w:tc>
          <w:tcPr>
            <w:tcW w:w="29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413,73</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9,70</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Duties</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18,00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0,54</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29,07</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0,83</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25,69</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0,73</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14,39</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0,39</w:t>
            </w:r>
          </w:p>
        </w:tc>
        <w:tc>
          <w:tcPr>
            <w:tcW w:w="307"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14,75</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0,37</w:t>
            </w:r>
          </w:p>
        </w:tc>
        <w:tc>
          <w:tcPr>
            <w:tcW w:w="29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15,19</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0,36</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Fees</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12,71</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0,38</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13,86</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0,39</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13,00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0,37</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13,33</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0,36</w:t>
            </w:r>
          </w:p>
        </w:tc>
        <w:tc>
          <w:tcPr>
            <w:tcW w:w="307"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13,66</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0,34</w:t>
            </w:r>
          </w:p>
        </w:tc>
        <w:tc>
          <w:tcPr>
            <w:tcW w:w="29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14,07</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0,33</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Other revenues</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35,04</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1,05</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29,42</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0,84</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30,34</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0,86</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31,10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0,83</w:t>
            </w:r>
          </w:p>
        </w:tc>
        <w:tc>
          <w:tcPr>
            <w:tcW w:w="307"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31,88</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0,80</w:t>
            </w:r>
          </w:p>
        </w:tc>
        <w:tc>
          <w:tcPr>
            <w:tcW w:w="29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32,83</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0,77</w:t>
            </w:r>
          </w:p>
        </w:tc>
      </w:tr>
      <w:tr w:rsidR="008D3E5E" w:rsidRPr="00F63F72" w:rsidTr="004C45D3">
        <w:trPr>
          <w:trHeight w:val="270"/>
        </w:trPr>
        <w:tc>
          <w:tcPr>
            <w:tcW w:w="1657" w:type="pct"/>
            <w:shd w:val="clear" w:color="000000" w:fill="FFFFFF"/>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Receipts from the repayment of loans and funds transferred from previous year</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4,49</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0,13</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4,81</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0,14</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4,65</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0,13</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4,77</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0,13</w:t>
            </w:r>
          </w:p>
        </w:tc>
        <w:tc>
          <w:tcPr>
            <w:tcW w:w="307"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4,89</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0,12</w:t>
            </w:r>
          </w:p>
        </w:tc>
        <w:tc>
          <w:tcPr>
            <w:tcW w:w="29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5,03</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0,12</w:t>
            </w:r>
          </w:p>
        </w:tc>
      </w:tr>
      <w:tr w:rsidR="008D3E5E" w:rsidRPr="00F63F72" w:rsidTr="004C45D3">
        <w:trPr>
          <w:trHeight w:val="300"/>
        </w:trPr>
        <w:tc>
          <w:tcPr>
            <w:tcW w:w="1657" w:type="pct"/>
            <w:shd w:val="clear" w:color="000000" w:fill="B8CCE4"/>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Expenditures</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1282,62</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38,42</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1257,12</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35,74</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1263,62</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35,93</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1250,82</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33,49</w:t>
            </w:r>
          </w:p>
        </w:tc>
        <w:tc>
          <w:tcPr>
            <w:tcW w:w="307"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1276,74</w:t>
            </w:r>
          </w:p>
        </w:tc>
        <w:tc>
          <w:tcPr>
            <w:tcW w:w="264"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32,06</w:t>
            </w:r>
          </w:p>
        </w:tc>
        <w:tc>
          <w:tcPr>
            <w:tcW w:w="292"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1316,16</w:t>
            </w:r>
          </w:p>
        </w:tc>
        <w:tc>
          <w:tcPr>
            <w:tcW w:w="23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30,86</w:t>
            </w:r>
          </w:p>
        </w:tc>
      </w:tr>
      <w:tr w:rsidR="008D3E5E" w:rsidRPr="00F63F72" w:rsidTr="004C45D3">
        <w:trPr>
          <w:trHeight w:val="270"/>
        </w:trPr>
        <w:tc>
          <w:tcPr>
            <w:tcW w:w="1657" w:type="pct"/>
            <w:shd w:val="clear" w:color="000000" w:fill="B8CCE4"/>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Current expenditures</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1210,49</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36,26</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1182,16</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33,61</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1182,86</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33,63</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1174,96</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31,46</w:t>
            </w:r>
          </w:p>
        </w:tc>
        <w:tc>
          <w:tcPr>
            <w:tcW w:w="307"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1197,20</w:t>
            </w:r>
          </w:p>
        </w:tc>
        <w:tc>
          <w:tcPr>
            <w:tcW w:w="264"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30,07</w:t>
            </w:r>
          </w:p>
        </w:tc>
        <w:tc>
          <w:tcPr>
            <w:tcW w:w="292"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1234,78</w:t>
            </w:r>
          </w:p>
        </w:tc>
        <w:tc>
          <w:tcPr>
            <w:tcW w:w="23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28,95</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Current expenditures</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666,16</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19,96</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592,65</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16,85</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601,45</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17,10</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645,03</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17,27</w:t>
            </w:r>
          </w:p>
        </w:tc>
        <w:tc>
          <w:tcPr>
            <w:tcW w:w="307"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649,83</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16,32</w:t>
            </w:r>
          </w:p>
        </w:tc>
        <w:tc>
          <w:tcPr>
            <w:tcW w:w="292"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669,69</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15,70</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Transfers to social protection</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481,64</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14,43</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497,87</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14,16</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491,87</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13,99</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502,59</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13,46</w:t>
            </w:r>
          </w:p>
        </w:tc>
        <w:tc>
          <w:tcPr>
            <w:tcW w:w="307"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519,77</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13,05</w:t>
            </w:r>
          </w:p>
        </w:tc>
        <w:tc>
          <w:tcPr>
            <w:tcW w:w="292"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537,28</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12,60</w:t>
            </w:r>
          </w:p>
        </w:tc>
      </w:tr>
      <w:tr w:rsidR="008D3E5E" w:rsidRPr="00F63F72" w:rsidTr="004C45D3">
        <w:trPr>
          <w:trHeight w:val="270"/>
        </w:trPr>
        <w:tc>
          <w:tcPr>
            <w:tcW w:w="1657" w:type="pct"/>
            <w:shd w:val="clear" w:color="000000" w:fill="FFFFFF"/>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Transfers to institutions, individuals, NGOs and public sector</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31,51</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0,94</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91,88</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2,61</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95,48</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2,71</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25,84</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0,69</w:t>
            </w:r>
          </w:p>
        </w:tc>
        <w:tc>
          <w:tcPr>
            <w:tcW w:w="307"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25,71</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0,65</w:t>
            </w:r>
          </w:p>
        </w:tc>
        <w:tc>
          <w:tcPr>
            <w:tcW w:w="292"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25,91</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0,61</w:t>
            </w:r>
          </w:p>
        </w:tc>
      </w:tr>
      <w:tr w:rsidR="008D3E5E" w:rsidRPr="00F63F72" w:rsidTr="004C45D3">
        <w:trPr>
          <w:trHeight w:val="300"/>
        </w:trPr>
        <w:tc>
          <w:tcPr>
            <w:tcW w:w="1657" w:type="pct"/>
            <w:shd w:val="clear" w:color="000000" w:fill="B8CCE4"/>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Capital budget</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58,74</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1,76</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65,64</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1,87</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65,64</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1,87</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68,00</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1,82</w:t>
            </w:r>
          </w:p>
        </w:tc>
        <w:tc>
          <w:tcPr>
            <w:tcW w:w="307"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72,08</w:t>
            </w:r>
          </w:p>
        </w:tc>
        <w:tc>
          <w:tcPr>
            <w:tcW w:w="264"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1,81</w:t>
            </w:r>
          </w:p>
        </w:tc>
        <w:tc>
          <w:tcPr>
            <w:tcW w:w="29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73,88</w:t>
            </w:r>
          </w:p>
        </w:tc>
        <w:tc>
          <w:tcPr>
            <w:tcW w:w="23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1,73</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Borrowings and loans</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1,78</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0,05</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1,72</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0,05</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1,82</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0,05</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1,35</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0,04</w:t>
            </w:r>
          </w:p>
        </w:tc>
        <w:tc>
          <w:tcPr>
            <w:tcW w:w="307"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1,35</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0,03</w:t>
            </w:r>
          </w:p>
        </w:tc>
        <w:tc>
          <w:tcPr>
            <w:tcW w:w="29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1,36</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0,03</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Reserves</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18,08</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0,54</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7,36</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0,21</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7,36</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0,21</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8,00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0,21</w:t>
            </w:r>
          </w:p>
        </w:tc>
        <w:tc>
          <w:tcPr>
            <w:tcW w:w="307"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8,00</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0,20</w:t>
            </w:r>
          </w:p>
        </w:tc>
        <w:tc>
          <w:tcPr>
            <w:tcW w:w="29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8,04</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0,19</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sz w:val="14"/>
                <w:szCs w:val="20"/>
                <w:lang w:eastAsia="sr-Latn-CS"/>
              </w:rPr>
            </w:pPr>
            <w:r w:rsidRPr="00F63F72">
              <w:rPr>
                <w:rFonts w:cs="Calibri"/>
                <w:sz w:val="14"/>
                <w:szCs w:val="20"/>
                <w:lang w:eastAsia="sr-Latn-CS"/>
              </w:rPr>
              <w:t>Repayment of guarantees</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24,72</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0,74</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307"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4"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9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3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Net increase in liabilities</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9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307"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9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r>
      <w:tr w:rsidR="008D3E5E" w:rsidRPr="00F63F72" w:rsidTr="004C45D3">
        <w:trPr>
          <w:trHeight w:val="300"/>
        </w:trPr>
        <w:tc>
          <w:tcPr>
            <w:tcW w:w="1657" w:type="pct"/>
            <w:shd w:val="clear" w:color="000000" w:fill="B8CCE4"/>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Surplus/ Deficit</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-162,69</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-4,87</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-95,32</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-2,71</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-80,99</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-2,30</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-50,22</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-1,34</w:t>
            </w:r>
          </w:p>
        </w:tc>
        <w:tc>
          <w:tcPr>
            <w:tcW w:w="307"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-40,65</w:t>
            </w:r>
          </w:p>
        </w:tc>
        <w:tc>
          <w:tcPr>
            <w:tcW w:w="264"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-1,02</w:t>
            </w:r>
          </w:p>
        </w:tc>
        <w:tc>
          <w:tcPr>
            <w:tcW w:w="292"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-33,64</w:t>
            </w:r>
          </w:p>
        </w:tc>
        <w:tc>
          <w:tcPr>
            <w:tcW w:w="23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-0,79</w:t>
            </w:r>
          </w:p>
        </w:tc>
      </w:tr>
      <w:tr w:rsidR="008D3E5E" w:rsidRPr="00F63F72" w:rsidTr="004C45D3">
        <w:trPr>
          <w:trHeight w:val="300"/>
        </w:trPr>
        <w:tc>
          <w:tcPr>
            <w:tcW w:w="1657" w:type="pct"/>
            <w:shd w:val="clear" w:color="000000" w:fill="B8CCE4"/>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Primary deficit</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-106,69</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-3,20</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-24,91</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-0,71</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-10,58</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-0,30</w:t>
            </w:r>
          </w:p>
        </w:tc>
        <w:tc>
          <w:tcPr>
            <w:tcW w:w="298"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35,21</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0,94</w:t>
            </w:r>
          </w:p>
        </w:tc>
        <w:tc>
          <w:tcPr>
            <w:tcW w:w="307"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61,30</w:t>
            </w:r>
          </w:p>
        </w:tc>
        <w:tc>
          <w:tcPr>
            <w:tcW w:w="264"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1,54</w:t>
            </w:r>
          </w:p>
        </w:tc>
        <w:tc>
          <w:tcPr>
            <w:tcW w:w="292" w:type="pct"/>
            <w:shd w:val="clear" w:color="000000" w:fill="B8CCE4"/>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87,31</w:t>
            </w:r>
          </w:p>
        </w:tc>
        <w:tc>
          <w:tcPr>
            <w:tcW w:w="23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2,05</w:t>
            </w:r>
          </w:p>
        </w:tc>
      </w:tr>
      <w:tr w:rsidR="008D3E5E" w:rsidRPr="00F63F72" w:rsidTr="004C45D3">
        <w:trPr>
          <w:trHeight w:val="300"/>
        </w:trPr>
        <w:tc>
          <w:tcPr>
            <w:tcW w:w="1657" w:type="pct"/>
            <w:shd w:val="clear" w:color="000000" w:fill="B8CCE4"/>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Debt repayment</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168,70</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5,05</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118,68</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3,37</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118,68</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3,37</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137,50</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3,68</w:t>
            </w:r>
          </w:p>
        </w:tc>
        <w:tc>
          <w:tcPr>
            <w:tcW w:w="307"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340,00</w:t>
            </w:r>
          </w:p>
        </w:tc>
        <w:tc>
          <w:tcPr>
            <w:tcW w:w="264"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8,54</w:t>
            </w:r>
          </w:p>
        </w:tc>
        <w:tc>
          <w:tcPr>
            <w:tcW w:w="29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309,10</w:t>
            </w:r>
          </w:p>
        </w:tc>
        <w:tc>
          <w:tcPr>
            <w:tcW w:w="23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7,25</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sz w:val="14"/>
                <w:szCs w:val="20"/>
                <w:lang w:eastAsia="sr-Latn-CS"/>
              </w:rPr>
            </w:pPr>
            <w:r w:rsidRPr="00F63F72">
              <w:rPr>
                <w:rFonts w:cs="Calibri"/>
                <w:sz w:val="14"/>
                <w:szCs w:val="20"/>
                <w:lang w:eastAsia="sr-Latn-CS"/>
              </w:rPr>
              <w:t>Debt repayment to residents</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77,94</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2,33</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23,80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0,68</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23,80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0,68</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24,60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0,66</w:t>
            </w:r>
          </w:p>
        </w:tc>
        <w:tc>
          <w:tcPr>
            <w:tcW w:w="307"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27,60</w:t>
            </w:r>
          </w:p>
        </w:tc>
        <w:tc>
          <w:tcPr>
            <w:tcW w:w="264"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0,69</w:t>
            </w:r>
          </w:p>
        </w:tc>
        <w:tc>
          <w:tcPr>
            <w:tcW w:w="29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22,50</w:t>
            </w:r>
          </w:p>
        </w:tc>
        <w:tc>
          <w:tcPr>
            <w:tcW w:w="23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0,53</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sz w:val="14"/>
                <w:szCs w:val="20"/>
                <w:lang w:eastAsia="sr-Latn-CS"/>
              </w:rPr>
            </w:pPr>
            <w:r w:rsidRPr="00F63F72">
              <w:rPr>
                <w:rFonts w:cs="Calibri"/>
                <w:sz w:val="14"/>
                <w:szCs w:val="20"/>
                <w:lang w:eastAsia="sr-Latn-CS"/>
              </w:rPr>
              <w:t>Debt repayment to non-residents</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54,87</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1,64</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62,70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1,78</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62,70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1,78</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95,00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2,54</w:t>
            </w:r>
          </w:p>
        </w:tc>
        <w:tc>
          <w:tcPr>
            <w:tcW w:w="307"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294,90</w:t>
            </w:r>
          </w:p>
        </w:tc>
        <w:tc>
          <w:tcPr>
            <w:tcW w:w="264"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7,41</w:t>
            </w:r>
          </w:p>
        </w:tc>
        <w:tc>
          <w:tcPr>
            <w:tcW w:w="29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271,90</w:t>
            </w:r>
          </w:p>
        </w:tc>
        <w:tc>
          <w:tcPr>
            <w:tcW w:w="23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6,38</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sz w:val="14"/>
                <w:szCs w:val="20"/>
                <w:lang w:eastAsia="sr-Latn-CS"/>
              </w:rPr>
            </w:pPr>
            <w:r w:rsidRPr="00F63F72">
              <w:rPr>
                <w:rFonts w:cs="Calibri"/>
                <w:sz w:val="14"/>
                <w:szCs w:val="20"/>
                <w:lang w:eastAsia="sr-Latn-CS"/>
              </w:rPr>
              <w:t>Repayment of liabilities from previous period</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35,88</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1,08</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32,18</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0,91</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32,18</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0,91</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17,90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0,48</w:t>
            </w:r>
          </w:p>
        </w:tc>
        <w:tc>
          <w:tcPr>
            <w:tcW w:w="307"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17,50</w:t>
            </w:r>
          </w:p>
        </w:tc>
        <w:tc>
          <w:tcPr>
            <w:tcW w:w="264"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0,44</w:t>
            </w:r>
          </w:p>
        </w:tc>
        <w:tc>
          <w:tcPr>
            <w:tcW w:w="29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14,70</w:t>
            </w:r>
          </w:p>
        </w:tc>
        <w:tc>
          <w:tcPr>
            <w:tcW w:w="23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0,34</w:t>
            </w:r>
          </w:p>
        </w:tc>
      </w:tr>
      <w:tr w:rsidR="008D3E5E" w:rsidRPr="00F63F72" w:rsidTr="004C45D3">
        <w:trPr>
          <w:trHeight w:val="300"/>
        </w:trPr>
        <w:tc>
          <w:tcPr>
            <w:tcW w:w="1657" w:type="pct"/>
            <w:shd w:val="clear" w:color="000000" w:fill="B8CCE4"/>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Financing needs</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-331,39</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-9,93</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-213,99</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-6,08</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-199,66</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-5,68</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-187,72</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-5,03</w:t>
            </w:r>
          </w:p>
        </w:tc>
        <w:tc>
          <w:tcPr>
            <w:tcW w:w="307"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-380,65</w:t>
            </w:r>
          </w:p>
        </w:tc>
        <w:tc>
          <w:tcPr>
            <w:tcW w:w="264"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-9,56</w:t>
            </w:r>
          </w:p>
        </w:tc>
        <w:tc>
          <w:tcPr>
            <w:tcW w:w="29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-342,74</w:t>
            </w:r>
          </w:p>
        </w:tc>
        <w:tc>
          <w:tcPr>
            <w:tcW w:w="23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-8,04</w:t>
            </w:r>
          </w:p>
        </w:tc>
      </w:tr>
      <w:tr w:rsidR="008D3E5E" w:rsidRPr="00F63F72" w:rsidTr="004C45D3">
        <w:trPr>
          <w:trHeight w:val="300"/>
        </w:trPr>
        <w:tc>
          <w:tcPr>
            <w:tcW w:w="1657" w:type="pct"/>
            <w:shd w:val="clear" w:color="000000" w:fill="B8CCE4"/>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Financing</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331,39</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9,93</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213,99</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6,08</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199,66</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5,68</w:t>
            </w:r>
          </w:p>
        </w:tc>
        <w:tc>
          <w:tcPr>
            <w:tcW w:w="29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187,72</w:t>
            </w:r>
          </w:p>
        </w:tc>
        <w:tc>
          <w:tcPr>
            <w:tcW w:w="26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5,03</w:t>
            </w:r>
          </w:p>
        </w:tc>
        <w:tc>
          <w:tcPr>
            <w:tcW w:w="307"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380,65</w:t>
            </w:r>
          </w:p>
        </w:tc>
        <w:tc>
          <w:tcPr>
            <w:tcW w:w="264"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9,56</w:t>
            </w:r>
          </w:p>
        </w:tc>
        <w:tc>
          <w:tcPr>
            <w:tcW w:w="292"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342,74</w:t>
            </w:r>
          </w:p>
        </w:tc>
        <w:tc>
          <w:tcPr>
            <w:tcW w:w="238" w:type="pct"/>
            <w:shd w:val="clear" w:color="000000" w:fill="B8CCE4"/>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8,04</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sz w:val="14"/>
                <w:szCs w:val="20"/>
                <w:lang w:eastAsia="sr-Latn-CS"/>
              </w:rPr>
            </w:pPr>
            <w:r w:rsidRPr="00F63F72">
              <w:rPr>
                <w:rFonts w:cs="Calibri"/>
                <w:sz w:val="14"/>
                <w:szCs w:val="20"/>
                <w:lang w:eastAsia="sr-Latn-CS"/>
              </w:rPr>
              <w:t>Borrowings and loans from domestic sources</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63,45</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1,90</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307"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4"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9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3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sz w:val="14"/>
                <w:szCs w:val="20"/>
                <w:lang w:eastAsia="sr-Latn-CS"/>
              </w:rPr>
            </w:pPr>
            <w:r w:rsidRPr="00F63F72">
              <w:rPr>
                <w:rFonts w:cs="Calibri"/>
                <w:sz w:val="14"/>
                <w:szCs w:val="20"/>
                <w:lang w:eastAsia="sr-Latn-CS"/>
              </w:rPr>
              <w:t>Borrowings and loans from abroad</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258,13</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7,73</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205,99</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5,86</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205,99</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5,86</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199,85</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5,35</w:t>
            </w:r>
          </w:p>
        </w:tc>
        <w:tc>
          <w:tcPr>
            <w:tcW w:w="307"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365,43</w:t>
            </w:r>
          </w:p>
        </w:tc>
        <w:tc>
          <w:tcPr>
            <w:tcW w:w="264"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9,18</w:t>
            </w:r>
          </w:p>
        </w:tc>
        <w:tc>
          <w:tcPr>
            <w:tcW w:w="29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356,00</w:t>
            </w:r>
          </w:p>
        </w:tc>
        <w:tc>
          <w:tcPr>
            <w:tcW w:w="23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8,35</w:t>
            </w:r>
          </w:p>
        </w:tc>
      </w:tr>
      <w:tr w:rsidR="008D3E5E" w:rsidRPr="00F63F72" w:rsidTr="004C45D3">
        <w:trPr>
          <w:trHeight w:val="300"/>
        </w:trPr>
        <w:tc>
          <w:tcPr>
            <w:tcW w:w="1657" w:type="pct"/>
            <w:shd w:val="clear" w:color="000000" w:fill="FFFFFF"/>
            <w:noWrap/>
            <w:vAlign w:val="center"/>
          </w:tcPr>
          <w:p w:rsidR="008D3E5E" w:rsidRPr="00F63F72" w:rsidRDefault="008D3E5E" w:rsidP="004C45D3">
            <w:pPr>
              <w:rPr>
                <w:rFonts w:cs="Calibri"/>
                <w:sz w:val="14"/>
                <w:szCs w:val="20"/>
                <w:lang w:eastAsia="sr-Latn-CS"/>
              </w:rPr>
            </w:pPr>
            <w:r w:rsidRPr="00F63F72">
              <w:rPr>
                <w:rFonts w:cs="Calibri"/>
                <w:sz w:val="14"/>
                <w:szCs w:val="20"/>
                <w:lang w:eastAsia="sr-Latn-CS"/>
              </w:rPr>
              <w:t>Donations</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5,04</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0,15</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307"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64"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9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3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r>
      <w:tr w:rsidR="008D3E5E" w:rsidRPr="00F63F72" w:rsidTr="004C45D3">
        <w:trPr>
          <w:trHeight w:val="250"/>
        </w:trPr>
        <w:tc>
          <w:tcPr>
            <w:tcW w:w="1657" w:type="pct"/>
            <w:shd w:val="clear" w:color="000000" w:fill="FFFFFF"/>
            <w:noWrap/>
            <w:vAlign w:val="center"/>
          </w:tcPr>
          <w:p w:rsidR="008D3E5E" w:rsidRPr="00F63F72" w:rsidRDefault="008D3E5E" w:rsidP="004C45D3">
            <w:pPr>
              <w:rPr>
                <w:rFonts w:cs="Calibri"/>
                <w:sz w:val="14"/>
                <w:szCs w:val="20"/>
                <w:lang w:eastAsia="sr-Latn-CS"/>
              </w:rPr>
            </w:pPr>
            <w:r w:rsidRPr="00F63F72">
              <w:rPr>
                <w:rFonts w:cs="Calibri"/>
                <w:sz w:val="14"/>
                <w:szCs w:val="20"/>
                <w:lang w:eastAsia="sr-Latn-CS"/>
              </w:rPr>
              <w:t>Privatization revenues</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3,48</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0,10</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8,00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0,23</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8,00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0,23</w:t>
            </w:r>
          </w:p>
        </w:tc>
        <w:tc>
          <w:tcPr>
            <w:tcW w:w="29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10,00</w:t>
            </w:r>
          </w:p>
        </w:tc>
        <w:tc>
          <w:tcPr>
            <w:tcW w:w="26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0,27</w:t>
            </w:r>
          </w:p>
        </w:tc>
        <w:tc>
          <w:tcPr>
            <w:tcW w:w="307"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10,00</w:t>
            </w:r>
          </w:p>
        </w:tc>
        <w:tc>
          <w:tcPr>
            <w:tcW w:w="264"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0,25</w:t>
            </w:r>
          </w:p>
        </w:tc>
        <w:tc>
          <w:tcPr>
            <w:tcW w:w="292"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c>
          <w:tcPr>
            <w:tcW w:w="238" w:type="pct"/>
            <w:shd w:val="clear" w:color="000000" w:fill="FFFFFF"/>
            <w:noWrap/>
            <w:vAlign w:val="center"/>
          </w:tcPr>
          <w:p w:rsidR="008D3E5E" w:rsidRPr="00F63F72" w:rsidRDefault="008D3E5E" w:rsidP="004C45D3">
            <w:pPr>
              <w:jc w:val="right"/>
              <w:rPr>
                <w:rFonts w:cs="Calibri"/>
                <w:color w:val="17375D"/>
                <w:sz w:val="14"/>
                <w:szCs w:val="20"/>
                <w:lang w:eastAsia="sr-Latn-CS"/>
              </w:rPr>
            </w:pPr>
            <w:r w:rsidRPr="00F63F72">
              <w:rPr>
                <w:rFonts w:cs="Calibri"/>
                <w:color w:val="17375D"/>
                <w:sz w:val="14"/>
                <w:szCs w:val="20"/>
                <w:lang w:eastAsia="sr-Latn-CS"/>
              </w:rPr>
              <w:t>0,00</w:t>
            </w:r>
          </w:p>
        </w:tc>
      </w:tr>
      <w:tr w:rsidR="008D3E5E" w:rsidRPr="00F63F72" w:rsidTr="004C45D3">
        <w:trPr>
          <w:trHeight w:val="270"/>
        </w:trPr>
        <w:tc>
          <w:tcPr>
            <w:tcW w:w="1657" w:type="pct"/>
            <w:shd w:val="clear" w:color="000000" w:fill="FFFFFF"/>
            <w:noWrap/>
            <w:vAlign w:val="center"/>
          </w:tcPr>
          <w:p w:rsidR="008D3E5E" w:rsidRPr="00F63F72" w:rsidRDefault="008D3E5E" w:rsidP="004C45D3">
            <w:pPr>
              <w:rPr>
                <w:rFonts w:cs="Calibri"/>
                <w:b/>
                <w:bCs/>
                <w:sz w:val="14"/>
                <w:szCs w:val="20"/>
                <w:lang w:eastAsia="sr-Latn-CS"/>
              </w:rPr>
            </w:pPr>
            <w:r w:rsidRPr="00F63F72">
              <w:rPr>
                <w:rFonts w:cs="Calibri"/>
                <w:b/>
                <w:bCs/>
                <w:sz w:val="14"/>
                <w:szCs w:val="20"/>
                <w:lang w:eastAsia="sr-Latn-CS"/>
              </w:rPr>
              <w:t>Deposits increase/decrease</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1,28</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0,04</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0,00</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0,00</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-14,33</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-0,41</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-22,13</w:t>
            </w: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-0,59</w:t>
            </w:r>
          </w:p>
        </w:tc>
        <w:tc>
          <w:tcPr>
            <w:tcW w:w="307"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5,22</w:t>
            </w: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0,13</w:t>
            </w:r>
          </w:p>
        </w:tc>
        <w:tc>
          <w:tcPr>
            <w:tcW w:w="292" w:type="pct"/>
            <w:shd w:val="clear" w:color="000000" w:fill="FFFFFF"/>
            <w:noWrap/>
            <w:vAlign w:val="center"/>
          </w:tcPr>
          <w:p w:rsidR="008D3E5E" w:rsidRPr="00F63F72" w:rsidRDefault="008D3E5E" w:rsidP="004C45D3">
            <w:pPr>
              <w:jc w:val="right"/>
              <w:rPr>
                <w:rFonts w:cs="Calibri"/>
                <w:b/>
                <w:bCs/>
                <w:sz w:val="14"/>
                <w:szCs w:val="20"/>
                <w:lang w:eastAsia="sr-Latn-CS"/>
              </w:rPr>
            </w:pPr>
            <w:r w:rsidRPr="00F63F72">
              <w:rPr>
                <w:rFonts w:cs="Calibri"/>
                <w:b/>
                <w:bCs/>
                <w:sz w:val="14"/>
                <w:szCs w:val="20"/>
                <w:lang w:eastAsia="sr-Latn-CS"/>
              </w:rPr>
              <w:t>-13,26</w:t>
            </w: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r w:rsidRPr="00F63F72">
              <w:rPr>
                <w:rFonts w:cs="Calibri"/>
                <w:b/>
                <w:bCs/>
                <w:color w:val="17375D"/>
                <w:sz w:val="14"/>
                <w:szCs w:val="20"/>
                <w:lang w:eastAsia="sr-Latn-CS"/>
              </w:rPr>
              <w:t>-0,31</w:t>
            </w:r>
          </w:p>
        </w:tc>
      </w:tr>
      <w:tr w:rsidR="008D3E5E" w:rsidRPr="00F63F72" w:rsidTr="004C45D3">
        <w:trPr>
          <w:trHeight w:val="270"/>
        </w:trPr>
        <w:tc>
          <w:tcPr>
            <w:tcW w:w="1657" w:type="pct"/>
            <w:shd w:val="clear" w:color="000000" w:fill="FFFFFF"/>
            <w:noWrap/>
            <w:vAlign w:val="center"/>
          </w:tcPr>
          <w:p w:rsidR="008D3E5E" w:rsidRPr="00F63F72" w:rsidRDefault="008D3E5E" w:rsidP="004C45D3">
            <w:pPr>
              <w:rPr>
                <w:rFonts w:cs="Calibri"/>
                <w:b/>
                <w:bCs/>
                <w:i/>
                <w:sz w:val="14"/>
                <w:szCs w:val="20"/>
                <w:lang w:eastAsia="sr-Latn-CS"/>
              </w:rPr>
            </w:pPr>
            <w:r w:rsidRPr="00F63F72">
              <w:rPr>
                <w:rFonts w:cs="Calibri"/>
                <w:b/>
                <w:bCs/>
                <w:i/>
                <w:sz w:val="14"/>
                <w:szCs w:val="20"/>
                <w:lang w:eastAsia="sr-Latn-CS"/>
              </w:rPr>
              <w:t>Source: Ministry of Finance</w:t>
            </w: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p>
        </w:tc>
        <w:tc>
          <w:tcPr>
            <w:tcW w:w="298" w:type="pct"/>
            <w:shd w:val="clear" w:color="000000" w:fill="FFFFFF"/>
            <w:noWrap/>
            <w:vAlign w:val="center"/>
          </w:tcPr>
          <w:p w:rsidR="008D3E5E" w:rsidRPr="00F63F72" w:rsidRDefault="008D3E5E" w:rsidP="004C45D3">
            <w:pPr>
              <w:jc w:val="right"/>
              <w:rPr>
                <w:rFonts w:cs="Calibri"/>
                <w:b/>
                <w:bCs/>
                <w:sz w:val="14"/>
                <w:szCs w:val="20"/>
                <w:lang w:eastAsia="sr-Latn-CS"/>
              </w:rPr>
            </w:pPr>
          </w:p>
        </w:tc>
        <w:tc>
          <w:tcPr>
            <w:tcW w:w="262"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p>
        </w:tc>
        <w:tc>
          <w:tcPr>
            <w:tcW w:w="307" w:type="pct"/>
            <w:shd w:val="clear" w:color="000000" w:fill="FFFFFF"/>
            <w:noWrap/>
            <w:vAlign w:val="center"/>
          </w:tcPr>
          <w:p w:rsidR="008D3E5E" w:rsidRPr="00F63F72" w:rsidRDefault="008D3E5E" w:rsidP="004C45D3">
            <w:pPr>
              <w:jc w:val="right"/>
              <w:rPr>
                <w:rFonts w:cs="Calibri"/>
                <w:b/>
                <w:bCs/>
                <w:sz w:val="14"/>
                <w:szCs w:val="20"/>
                <w:lang w:eastAsia="sr-Latn-CS"/>
              </w:rPr>
            </w:pPr>
          </w:p>
        </w:tc>
        <w:tc>
          <w:tcPr>
            <w:tcW w:w="264"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p>
        </w:tc>
        <w:tc>
          <w:tcPr>
            <w:tcW w:w="292" w:type="pct"/>
            <w:shd w:val="clear" w:color="000000" w:fill="FFFFFF"/>
            <w:noWrap/>
            <w:vAlign w:val="center"/>
          </w:tcPr>
          <w:p w:rsidR="008D3E5E" w:rsidRPr="00F63F72" w:rsidRDefault="008D3E5E" w:rsidP="004C45D3">
            <w:pPr>
              <w:jc w:val="right"/>
              <w:rPr>
                <w:rFonts w:cs="Calibri"/>
                <w:b/>
                <w:bCs/>
                <w:sz w:val="14"/>
                <w:szCs w:val="20"/>
                <w:lang w:eastAsia="sr-Latn-CS"/>
              </w:rPr>
            </w:pPr>
          </w:p>
        </w:tc>
        <w:tc>
          <w:tcPr>
            <w:tcW w:w="238" w:type="pct"/>
            <w:shd w:val="clear" w:color="000000" w:fill="FFFFFF"/>
            <w:noWrap/>
            <w:vAlign w:val="center"/>
          </w:tcPr>
          <w:p w:rsidR="008D3E5E" w:rsidRPr="00F63F72" w:rsidRDefault="008D3E5E" w:rsidP="004C45D3">
            <w:pPr>
              <w:jc w:val="right"/>
              <w:rPr>
                <w:rFonts w:cs="Calibri"/>
                <w:b/>
                <w:bCs/>
                <w:color w:val="17375D"/>
                <w:sz w:val="14"/>
                <w:szCs w:val="20"/>
                <w:lang w:eastAsia="sr-Latn-CS"/>
              </w:rPr>
            </w:pPr>
          </w:p>
        </w:tc>
      </w:tr>
    </w:tbl>
    <w:p w:rsidR="008D3E5E" w:rsidRPr="00F63F72" w:rsidRDefault="008D3E5E" w:rsidP="008D3E5E">
      <w:pPr>
        <w:pStyle w:val="ListParagraph"/>
        <w:ind w:left="360"/>
        <w:rPr>
          <w:rFonts w:ascii="Calibri" w:hAnsi="Calibri" w:cs="Calibri"/>
          <w:b/>
          <w:sz w:val="16"/>
        </w:rPr>
      </w:pPr>
      <w:r w:rsidRPr="00F63F72">
        <w:rPr>
          <w:rFonts w:ascii="Calibri" w:hAnsi="Calibri" w:cs="Calibri"/>
          <w:b/>
          <w:sz w:val="16"/>
        </w:rPr>
        <w:t>*preliminary data</w:t>
      </w:r>
    </w:p>
    <w:p w:rsidR="008D3E5E" w:rsidRPr="00F63F72" w:rsidRDefault="008D3E5E" w:rsidP="008D3E5E">
      <w:pPr>
        <w:pStyle w:val="ListParagraph"/>
        <w:ind w:left="360"/>
        <w:rPr>
          <w:rFonts w:cs="Calibri"/>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numPr>
          <w:ilvl w:val="0"/>
          <w:numId w:val="25"/>
        </w:numPr>
        <w:spacing w:line="290" w:lineRule="auto"/>
        <w:contextualSpacing/>
        <w:jc w:val="both"/>
        <w:rPr>
          <w:rFonts w:cs="Calibri"/>
          <w:highlight w:val="yellow"/>
        </w:rPr>
        <w:sectPr w:rsidR="008D3E5E" w:rsidRPr="00F63F72" w:rsidSect="004C45D3">
          <w:headerReference w:type="default" r:id="rId12"/>
          <w:pgSz w:w="11907" w:h="16839" w:code="9"/>
          <w:pgMar w:top="720" w:right="720" w:bottom="720" w:left="720" w:header="708" w:footer="708" w:gutter="0"/>
          <w:cols w:space="708"/>
          <w:docGrid w:linePitch="360"/>
        </w:sectPr>
      </w:pPr>
    </w:p>
    <w:p w:rsidR="008D3E5E" w:rsidRPr="00F63F72" w:rsidRDefault="008D3E5E" w:rsidP="008D3E5E">
      <w:pPr>
        <w:pStyle w:val="Caption"/>
        <w:keepNext/>
        <w:rPr>
          <w:rFonts w:ascii="Calibri" w:hAnsi="Calibri" w:cs="Calibri"/>
          <w:sz w:val="18"/>
          <w:lang w:val="en-US"/>
        </w:rPr>
      </w:pPr>
      <w:r w:rsidRPr="00F63F72">
        <w:rPr>
          <w:rFonts w:ascii="Calibri" w:hAnsi="Calibri" w:cs="Calibri"/>
          <w:sz w:val="18"/>
          <w:lang w:val="en-US"/>
        </w:rPr>
        <w:lastRenderedPageBreak/>
        <w:t xml:space="preserve">Table </w:t>
      </w:r>
      <w:r w:rsidR="00033B25" w:rsidRPr="00F63F72">
        <w:rPr>
          <w:rFonts w:ascii="Calibri" w:hAnsi="Calibri" w:cs="Calibri"/>
          <w:sz w:val="18"/>
          <w:lang w:val="en-US"/>
        </w:rPr>
        <w:fldChar w:fldCharType="begin"/>
      </w:r>
      <w:r w:rsidRPr="00F63F72">
        <w:rPr>
          <w:rFonts w:ascii="Calibri" w:hAnsi="Calibri" w:cs="Calibri"/>
          <w:sz w:val="18"/>
          <w:lang w:val="en-US"/>
        </w:rPr>
        <w:instrText xml:space="preserve"> SEQ Tabela \* ARABIC </w:instrText>
      </w:r>
      <w:r w:rsidR="00033B25" w:rsidRPr="00F63F72">
        <w:rPr>
          <w:rFonts w:ascii="Calibri" w:hAnsi="Calibri" w:cs="Calibri"/>
          <w:sz w:val="18"/>
          <w:lang w:val="en-US"/>
        </w:rPr>
        <w:fldChar w:fldCharType="separate"/>
      </w:r>
      <w:r w:rsidR="005669F0">
        <w:rPr>
          <w:rFonts w:ascii="Calibri" w:hAnsi="Calibri" w:cs="Calibri"/>
          <w:noProof/>
          <w:sz w:val="18"/>
          <w:lang w:val="en-US"/>
        </w:rPr>
        <w:t>11</w:t>
      </w:r>
      <w:r w:rsidR="00033B25" w:rsidRPr="00F63F72">
        <w:rPr>
          <w:rFonts w:ascii="Calibri" w:hAnsi="Calibri" w:cs="Calibri"/>
          <w:sz w:val="18"/>
          <w:lang w:val="en-US"/>
        </w:rPr>
        <w:fldChar w:fldCharType="end"/>
      </w:r>
    </w:p>
    <w:tbl>
      <w:tblPr>
        <w:tblW w:w="5000" w:type="pct"/>
        <w:tblBorders>
          <w:top w:val="single" w:sz="4" w:space="0" w:color="auto"/>
          <w:bottom w:val="single" w:sz="4" w:space="0" w:color="auto"/>
          <w:insideH w:val="single" w:sz="4" w:space="0" w:color="auto"/>
        </w:tblBorders>
        <w:tblLook w:val="00A0"/>
      </w:tblPr>
      <w:tblGrid>
        <w:gridCol w:w="3690"/>
        <w:gridCol w:w="710"/>
        <w:gridCol w:w="728"/>
        <w:gridCol w:w="762"/>
        <w:gridCol w:w="730"/>
        <w:gridCol w:w="1257"/>
        <w:gridCol w:w="1366"/>
      </w:tblGrid>
      <w:tr w:rsidR="008D3E5E" w:rsidRPr="00F63F72" w:rsidTr="004C45D3">
        <w:trPr>
          <w:trHeight w:val="284"/>
        </w:trPr>
        <w:tc>
          <w:tcPr>
            <w:tcW w:w="1996" w:type="pct"/>
            <w:shd w:val="clear" w:color="000000" w:fill="632523"/>
            <w:noWrap/>
            <w:vAlign w:val="center"/>
          </w:tcPr>
          <w:p w:rsidR="008D3E5E" w:rsidRPr="00F63F72" w:rsidRDefault="008D3E5E" w:rsidP="004C45D3">
            <w:pPr>
              <w:jc w:val="center"/>
              <w:rPr>
                <w:rFonts w:ascii="Calibri" w:hAnsi="Calibri" w:cs="Calibri"/>
                <w:color w:val="FFFFFF"/>
                <w:sz w:val="16"/>
                <w:szCs w:val="16"/>
              </w:rPr>
            </w:pPr>
            <w:r w:rsidRPr="00F63F72">
              <w:rPr>
                <w:rFonts w:ascii="Calibri" w:hAnsi="Calibri" w:cs="Calibri"/>
                <w:color w:val="FFFFFF"/>
                <w:sz w:val="16"/>
                <w:szCs w:val="16"/>
              </w:rPr>
              <w:br w:type="page"/>
              <w:t>GDP (u million €)</w:t>
            </w:r>
          </w:p>
        </w:tc>
        <w:tc>
          <w:tcPr>
            <w:tcW w:w="778" w:type="pct"/>
            <w:gridSpan w:val="2"/>
            <w:shd w:val="clear" w:color="000000" w:fill="E6B9B8"/>
            <w:noWrap/>
            <w:vAlign w:val="center"/>
          </w:tcPr>
          <w:p w:rsidR="008D3E5E" w:rsidRPr="00F63F72" w:rsidRDefault="008D3E5E" w:rsidP="004C45D3">
            <w:pPr>
              <w:jc w:val="center"/>
              <w:rPr>
                <w:rFonts w:ascii="Calibri" w:hAnsi="Calibri" w:cs="Calibri"/>
                <w:sz w:val="16"/>
                <w:szCs w:val="16"/>
              </w:rPr>
            </w:pPr>
            <w:r w:rsidRPr="00F63F72">
              <w:rPr>
                <w:rFonts w:ascii="Calibri" w:hAnsi="Calibri" w:cs="Calibri"/>
                <w:sz w:val="16"/>
                <w:szCs w:val="16"/>
              </w:rPr>
              <w:t>3517,0</w:t>
            </w:r>
          </w:p>
        </w:tc>
        <w:tc>
          <w:tcPr>
            <w:tcW w:w="807" w:type="pct"/>
            <w:gridSpan w:val="2"/>
            <w:shd w:val="clear" w:color="000000" w:fill="E6B9B8"/>
            <w:noWrap/>
            <w:vAlign w:val="center"/>
          </w:tcPr>
          <w:p w:rsidR="008D3E5E" w:rsidRPr="00F63F72" w:rsidRDefault="008D3E5E" w:rsidP="004C45D3">
            <w:pPr>
              <w:jc w:val="center"/>
              <w:rPr>
                <w:rFonts w:ascii="Calibri" w:hAnsi="Calibri" w:cs="Calibri"/>
                <w:sz w:val="16"/>
                <w:szCs w:val="16"/>
              </w:rPr>
            </w:pPr>
            <w:r w:rsidRPr="00F63F72">
              <w:rPr>
                <w:rFonts w:ascii="Calibri" w:hAnsi="Calibri" w:cs="Calibri"/>
                <w:sz w:val="16"/>
                <w:szCs w:val="16"/>
              </w:rPr>
              <w:t>3338,0</w:t>
            </w:r>
          </w:p>
        </w:tc>
        <w:tc>
          <w:tcPr>
            <w:tcW w:w="1419" w:type="pct"/>
            <w:gridSpan w:val="2"/>
            <w:vMerge w:val="restart"/>
            <w:shd w:val="clear" w:color="auto" w:fill="E5B8B7"/>
            <w:noWrap/>
            <w:vAlign w:val="center"/>
          </w:tcPr>
          <w:p w:rsidR="008D3E5E" w:rsidRPr="00F63F72" w:rsidRDefault="008D3E5E" w:rsidP="004C45D3">
            <w:pPr>
              <w:jc w:val="center"/>
              <w:rPr>
                <w:rFonts w:ascii="Calibri" w:hAnsi="Calibri" w:cs="Calibri"/>
                <w:sz w:val="16"/>
                <w:szCs w:val="16"/>
              </w:rPr>
            </w:pPr>
            <w:r w:rsidRPr="00F63F72">
              <w:rPr>
                <w:rFonts w:ascii="Calibri" w:hAnsi="Calibri" w:cs="Calibri"/>
                <w:b/>
                <w:bCs/>
                <w:sz w:val="16"/>
                <w:szCs w:val="16"/>
              </w:rPr>
              <w:t>Analytics</w:t>
            </w:r>
          </w:p>
        </w:tc>
      </w:tr>
      <w:tr w:rsidR="008D3E5E" w:rsidRPr="00F63F72" w:rsidTr="004C45D3">
        <w:trPr>
          <w:trHeight w:val="405"/>
        </w:trPr>
        <w:tc>
          <w:tcPr>
            <w:tcW w:w="1996" w:type="pct"/>
            <w:vMerge w:val="restart"/>
            <w:shd w:val="clear" w:color="000000" w:fill="632523"/>
            <w:noWrap/>
            <w:vAlign w:val="center"/>
          </w:tcPr>
          <w:p w:rsidR="008D3E5E" w:rsidRPr="00F63F72" w:rsidRDefault="008D3E5E" w:rsidP="004C45D3">
            <w:pPr>
              <w:jc w:val="center"/>
              <w:rPr>
                <w:rFonts w:ascii="Calibri" w:hAnsi="Calibri" w:cs="Calibri"/>
                <w:b/>
                <w:bCs/>
                <w:color w:val="FFFFFF"/>
                <w:sz w:val="16"/>
                <w:szCs w:val="16"/>
              </w:rPr>
            </w:pPr>
            <w:r w:rsidRPr="00F63F72">
              <w:rPr>
                <w:rFonts w:ascii="Calibri" w:hAnsi="Calibri" w:cs="Calibri"/>
                <w:b/>
                <w:bCs/>
                <w:color w:val="FFFFFF"/>
                <w:sz w:val="16"/>
                <w:szCs w:val="16"/>
              </w:rPr>
              <w:t>Public consumption</w:t>
            </w:r>
          </w:p>
        </w:tc>
        <w:tc>
          <w:tcPr>
            <w:tcW w:w="778" w:type="pct"/>
            <w:gridSpan w:val="2"/>
            <w:shd w:val="clear" w:color="000000" w:fill="E6B9B8"/>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I - III 2013</w:t>
            </w:r>
          </w:p>
        </w:tc>
        <w:tc>
          <w:tcPr>
            <w:tcW w:w="807" w:type="pct"/>
            <w:gridSpan w:val="2"/>
            <w:shd w:val="clear" w:color="000000" w:fill="E6B9B8"/>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I - III 2012</w:t>
            </w:r>
          </w:p>
        </w:tc>
        <w:tc>
          <w:tcPr>
            <w:tcW w:w="1419" w:type="pct"/>
            <w:gridSpan w:val="2"/>
            <w:vMerge/>
            <w:shd w:val="clear" w:color="auto" w:fill="E5B8B7"/>
            <w:noWrap/>
            <w:vAlign w:val="center"/>
          </w:tcPr>
          <w:p w:rsidR="008D3E5E" w:rsidRPr="00F63F72" w:rsidRDefault="008D3E5E" w:rsidP="004C45D3">
            <w:pPr>
              <w:jc w:val="center"/>
              <w:rPr>
                <w:rFonts w:ascii="Calibri" w:hAnsi="Calibri" w:cs="Calibri"/>
                <w:b/>
                <w:bCs/>
                <w:sz w:val="16"/>
                <w:szCs w:val="16"/>
              </w:rPr>
            </w:pPr>
          </w:p>
        </w:tc>
      </w:tr>
      <w:tr w:rsidR="008D3E5E" w:rsidRPr="00F63F72" w:rsidTr="004C45D3">
        <w:trPr>
          <w:trHeight w:val="118"/>
        </w:trPr>
        <w:tc>
          <w:tcPr>
            <w:tcW w:w="1996" w:type="pct"/>
            <w:vMerge/>
            <w:vAlign w:val="center"/>
          </w:tcPr>
          <w:p w:rsidR="008D3E5E" w:rsidRPr="00F63F72" w:rsidRDefault="008D3E5E" w:rsidP="004C45D3">
            <w:pPr>
              <w:rPr>
                <w:rFonts w:ascii="Calibri" w:hAnsi="Calibri" w:cs="Calibri"/>
                <w:b/>
                <w:bCs/>
                <w:sz w:val="16"/>
                <w:szCs w:val="16"/>
              </w:rPr>
            </w:pPr>
          </w:p>
        </w:tc>
        <w:tc>
          <w:tcPr>
            <w:tcW w:w="384"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394"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412"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395"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xml:space="preserve"> % GDP</w:t>
            </w:r>
          </w:p>
        </w:tc>
        <w:tc>
          <w:tcPr>
            <w:tcW w:w="680"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Difference in million €</w:t>
            </w:r>
          </w:p>
        </w:tc>
        <w:tc>
          <w:tcPr>
            <w:tcW w:w="739" w:type="pct"/>
            <w:shd w:val="clear" w:color="000000" w:fill="E6B9B8"/>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Deviation (%)</w:t>
            </w:r>
          </w:p>
        </w:tc>
      </w:tr>
      <w:tr w:rsidR="008D3E5E" w:rsidRPr="00F63F72" w:rsidTr="004C45D3">
        <w:trPr>
          <w:trHeight w:val="56"/>
        </w:trPr>
        <w:tc>
          <w:tcPr>
            <w:tcW w:w="1996"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revenues</w:t>
            </w:r>
          </w:p>
        </w:tc>
        <w:tc>
          <w:tcPr>
            <w:tcW w:w="38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243,28</w:t>
            </w:r>
          </w:p>
        </w:tc>
        <w:tc>
          <w:tcPr>
            <w:tcW w:w="39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6.92</w:t>
            </w:r>
          </w:p>
        </w:tc>
        <w:tc>
          <w:tcPr>
            <w:tcW w:w="412"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223,27</w:t>
            </w:r>
          </w:p>
        </w:tc>
        <w:tc>
          <w:tcPr>
            <w:tcW w:w="395"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6,69</w:t>
            </w:r>
          </w:p>
        </w:tc>
        <w:tc>
          <w:tcPr>
            <w:tcW w:w="680"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20,01</w:t>
            </w:r>
          </w:p>
        </w:tc>
        <w:tc>
          <w:tcPr>
            <w:tcW w:w="739"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8,96</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Taxes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149,76</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4.26</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134,22</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4,02</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15,54</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11,58</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Personal income tax</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20,65</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0.59</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19,46</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0,58</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1,19</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6,14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Corporate profit tax</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6,64</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0.19</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5,39</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0,16</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1,25</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23,29</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Real estate turnover tax</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3,57</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0.10</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4,00</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0,12</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-0,43</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-10,76</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Value added tax</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79,10</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2.25</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66,28</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1,99</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12,82</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19,34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Excise duties</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28,60</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0.81</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24,73</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0,74</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3,87</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15,64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International trade and transactions tax</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4,28</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0.12</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7,61</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0,23</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-3,33</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-43,77</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Local taxes</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6,00</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0.17</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5,95</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0,18</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0,05</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0,84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Other taxes</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0,92</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0.03</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0,80</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0,02</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0,11</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13,98</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Contributions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68,62</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1.95</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61,76</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1,85</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6,87</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11,12</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Pension and disability insurance contribution</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40,25</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1.14</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36,57</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1,10</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3,67</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10,05</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Health insurance contribution</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24,52</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0.70</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21,52</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0,64</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3,00</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13,94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Unemployment insurance contribution</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1,97</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0.06</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1,74</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0,05</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0,23</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13,04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Other contributions</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1,88</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0.05</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1,92</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0,06</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-0,04</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-1,85</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Duties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6,01</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0.17</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3,79</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0,11</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2,22</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58,54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Fees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11,96</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0.34</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14,15</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0,42</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-2,19</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-15,49</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Other revenues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6,18</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0.18</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8,22</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0,25</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-2,03</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-24,72</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Receipts from the repayment of loans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0,74</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0.02</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1,13</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0,03</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-0,39</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-34,49</w:t>
            </w:r>
          </w:p>
        </w:tc>
      </w:tr>
      <w:tr w:rsidR="008D3E5E" w:rsidRPr="00F63F72" w:rsidTr="004C45D3">
        <w:trPr>
          <w:trHeight w:val="56"/>
        </w:trPr>
        <w:tc>
          <w:tcPr>
            <w:tcW w:w="1996" w:type="pct"/>
            <w:shd w:val="clear" w:color="000000" w:fill="E6B9B8"/>
            <w:noWrap/>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Public consumption</w:t>
            </w:r>
          </w:p>
        </w:tc>
        <w:tc>
          <w:tcPr>
            <w:tcW w:w="38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298,44</w:t>
            </w:r>
          </w:p>
        </w:tc>
        <w:tc>
          <w:tcPr>
            <w:tcW w:w="39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8.49</w:t>
            </w:r>
          </w:p>
        </w:tc>
        <w:tc>
          <w:tcPr>
            <w:tcW w:w="412"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280,61</w:t>
            </w:r>
          </w:p>
        </w:tc>
        <w:tc>
          <w:tcPr>
            <w:tcW w:w="395"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8,41</w:t>
            </w:r>
          </w:p>
        </w:tc>
        <w:tc>
          <w:tcPr>
            <w:tcW w:w="680"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17,83</w:t>
            </w:r>
          </w:p>
        </w:tc>
        <w:tc>
          <w:tcPr>
            <w:tcW w:w="739"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6,35</w:t>
            </w:r>
          </w:p>
        </w:tc>
      </w:tr>
      <w:tr w:rsidR="008D3E5E" w:rsidRPr="00F63F72" w:rsidTr="004C45D3">
        <w:trPr>
          <w:trHeight w:val="56"/>
        </w:trPr>
        <w:tc>
          <w:tcPr>
            <w:tcW w:w="1996" w:type="pct"/>
            <w:shd w:val="clear" w:color="000000" w:fill="E6B9B8"/>
            <w:noWrap/>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public consumption</w:t>
            </w:r>
          </w:p>
        </w:tc>
        <w:tc>
          <w:tcPr>
            <w:tcW w:w="38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287,15</w:t>
            </w:r>
          </w:p>
        </w:tc>
        <w:tc>
          <w:tcPr>
            <w:tcW w:w="39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8.16</w:t>
            </w:r>
          </w:p>
        </w:tc>
        <w:tc>
          <w:tcPr>
            <w:tcW w:w="412"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268,13</w:t>
            </w:r>
          </w:p>
        </w:tc>
        <w:tc>
          <w:tcPr>
            <w:tcW w:w="395"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8,03</w:t>
            </w:r>
          </w:p>
        </w:tc>
        <w:tc>
          <w:tcPr>
            <w:tcW w:w="680"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19,02</w:t>
            </w:r>
          </w:p>
        </w:tc>
        <w:tc>
          <w:tcPr>
            <w:tcW w:w="739"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7,09</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expenditures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137,98</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3.92</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144,40</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4,33</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-6,43</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-4,45</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Gross wages and contributions charged to employer</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98,95</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2.81</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93,66</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2,81</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5,29</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5,64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Other personal income</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3,87</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0.11</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2,01</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0,06</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1,87</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93,11</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Expenditure for material and services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19,80</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0.56</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23,98</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0,72</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-4,18</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-17,44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maintenance</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3,37</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0.10</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2,36</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0,07</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1,02</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43,05</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Interest</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4,37</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0.12</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8,79</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0,26</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-4,41</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-50,22</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Rent</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1,85</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0.05</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1,20</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0,04</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0,65</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54,09</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Subsidies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4,40</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0.13</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10,91</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0,33</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-6,51</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-59,69</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Other expenditures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1,36</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0.04</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1,50</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0,04</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-0,14</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-9,37</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Transfers to social protection</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121,00</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3.44</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113,26</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3,39</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7,75</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6,84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Social protection rights</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17,11</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0.49</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15,42</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0,46</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1,70</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11,01</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Severance pay</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3,49</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0.10</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4,87</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0,15</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-1,38</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-28,36</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Pension and disability insurance rights</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95,93</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2.73</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90,24</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2,70</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5,68</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6,30</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Other health protection rights</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2,84</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0.08</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1,72</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0,05</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1,12</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64,97</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Other health insurance rights</w:t>
            </w:r>
          </w:p>
        </w:tc>
        <w:tc>
          <w:tcPr>
            <w:tcW w:w="384"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1,63</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0.05</w:t>
            </w:r>
          </w:p>
        </w:tc>
        <w:tc>
          <w:tcPr>
            <w:tcW w:w="412"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1,00</w:t>
            </w:r>
          </w:p>
        </w:tc>
        <w:tc>
          <w:tcPr>
            <w:tcW w:w="395" w:type="pct"/>
            <w:shd w:val="clear" w:color="000000" w:fill="FFFFFF"/>
            <w:noWrap/>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0,03</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0,63</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62,54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Transfers to public institutions, individuals, NGOs and public sector</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26,29</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0.75</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4,23</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0,13</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22,07</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522,06</w:t>
            </w:r>
          </w:p>
        </w:tc>
      </w:tr>
      <w:tr w:rsidR="008D3E5E" w:rsidRPr="00F63F72" w:rsidTr="004C45D3">
        <w:trPr>
          <w:trHeight w:val="56"/>
        </w:trPr>
        <w:tc>
          <w:tcPr>
            <w:tcW w:w="1996"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Capital expenditures</w:t>
            </w:r>
          </w:p>
        </w:tc>
        <w:tc>
          <w:tcPr>
            <w:tcW w:w="38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11,29</w:t>
            </w:r>
          </w:p>
        </w:tc>
        <w:tc>
          <w:tcPr>
            <w:tcW w:w="39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0.32</w:t>
            </w:r>
          </w:p>
        </w:tc>
        <w:tc>
          <w:tcPr>
            <w:tcW w:w="412"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12,48</w:t>
            </w:r>
          </w:p>
        </w:tc>
        <w:tc>
          <w:tcPr>
            <w:tcW w:w="395"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0,37</w:t>
            </w:r>
          </w:p>
        </w:tc>
        <w:tc>
          <w:tcPr>
            <w:tcW w:w="680"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-1,19</w:t>
            </w:r>
          </w:p>
        </w:tc>
        <w:tc>
          <w:tcPr>
            <w:tcW w:w="739"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-9,54</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Borrowings and loans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0,78</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0.02</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1,09</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0,03</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-0,31</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-28,73</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Reserves</w:t>
            </w:r>
          </w:p>
        </w:tc>
        <w:tc>
          <w:tcPr>
            <w:tcW w:w="38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1,10</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0.03</w:t>
            </w:r>
          </w:p>
        </w:tc>
        <w:tc>
          <w:tcPr>
            <w:tcW w:w="412"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5,16</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0,15</w:t>
            </w:r>
          </w:p>
        </w:tc>
        <w:tc>
          <w:tcPr>
            <w:tcW w:w="680"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-4,05</w:t>
            </w:r>
          </w:p>
        </w:tc>
        <w:tc>
          <w:tcPr>
            <w:tcW w:w="739" w:type="pct"/>
            <w:shd w:val="clear" w:color="000000" w:fill="FFFFFF"/>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-78,59</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guarantees</w:t>
            </w:r>
          </w:p>
        </w:tc>
        <w:tc>
          <w:tcPr>
            <w:tcW w:w="384"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0,00</w:t>
            </w:r>
          </w:p>
        </w:tc>
        <w:tc>
          <w:tcPr>
            <w:tcW w:w="394"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0.00</w:t>
            </w:r>
          </w:p>
        </w:tc>
        <w:tc>
          <w:tcPr>
            <w:tcW w:w="412"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0,00</w:t>
            </w:r>
          </w:p>
        </w:tc>
        <w:tc>
          <w:tcPr>
            <w:tcW w:w="395" w:type="pct"/>
            <w:shd w:val="clear" w:color="000000" w:fill="FFFFFF"/>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0,00</w:t>
            </w:r>
          </w:p>
        </w:tc>
        <w:tc>
          <w:tcPr>
            <w:tcW w:w="680"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0,00</w:t>
            </w:r>
          </w:p>
        </w:tc>
        <w:tc>
          <w:tcPr>
            <w:tcW w:w="739"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0,00</w:t>
            </w:r>
          </w:p>
        </w:tc>
      </w:tr>
      <w:tr w:rsidR="008D3E5E" w:rsidRPr="00F63F72" w:rsidTr="004C45D3">
        <w:trPr>
          <w:trHeight w:val="56"/>
        </w:trPr>
        <w:tc>
          <w:tcPr>
            <w:tcW w:w="1996"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Surplus/deficit</w:t>
            </w:r>
          </w:p>
        </w:tc>
        <w:tc>
          <w:tcPr>
            <w:tcW w:w="38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-55,16</w:t>
            </w:r>
          </w:p>
        </w:tc>
        <w:tc>
          <w:tcPr>
            <w:tcW w:w="39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-1.57</w:t>
            </w:r>
          </w:p>
        </w:tc>
        <w:tc>
          <w:tcPr>
            <w:tcW w:w="412"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-57,34</w:t>
            </w:r>
          </w:p>
        </w:tc>
        <w:tc>
          <w:tcPr>
            <w:tcW w:w="395"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-1,72</w:t>
            </w:r>
          </w:p>
        </w:tc>
        <w:tc>
          <w:tcPr>
            <w:tcW w:w="680"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2,18</w:t>
            </w:r>
          </w:p>
        </w:tc>
        <w:tc>
          <w:tcPr>
            <w:tcW w:w="739"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-3,80</w:t>
            </w:r>
          </w:p>
        </w:tc>
      </w:tr>
      <w:tr w:rsidR="008D3E5E" w:rsidRPr="00F63F72" w:rsidTr="004C45D3">
        <w:trPr>
          <w:trHeight w:val="56"/>
        </w:trPr>
        <w:tc>
          <w:tcPr>
            <w:tcW w:w="1996"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Primary deficit</w:t>
            </w:r>
          </w:p>
        </w:tc>
        <w:tc>
          <w:tcPr>
            <w:tcW w:w="38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-50,79</w:t>
            </w:r>
          </w:p>
        </w:tc>
        <w:tc>
          <w:tcPr>
            <w:tcW w:w="394"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-1.44</w:t>
            </w:r>
          </w:p>
        </w:tc>
        <w:tc>
          <w:tcPr>
            <w:tcW w:w="412"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-48,55</w:t>
            </w:r>
          </w:p>
        </w:tc>
        <w:tc>
          <w:tcPr>
            <w:tcW w:w="395" w:type="pct"/>
            <w:shd w:val="clear" w:color="000000" w:fill="E6B9B8"/>
            <w:noWrap/>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-1,45</w:t>
            </w:r>
          </w:p>
        </w:tc>
        <w:tc>
          <w:tcPr>
            <w:tcW w:w="680"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-2,24</w:t>
            </w:r>
          </w:p>
        </w:tc>
        <w:tc>
          <w:tcPr>
            <w:tcW w:w="739" w:type="pct"/>
            <w:shd w:val="clear" w:color="000000" w:fill="E6B9B8"/>
            <w:noWrap/>
            <w:tcMar>
              <w:right w:w="454"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4,60</w:t>
            </w:r>
          </w:p>
        </w:tc>
      </w:tr>
      <w:tr w:rsidR="008D3E5E" w:rsidRPr="00F63F72" w:rsidTr="004C45D3">
        <w:trPr>
          <w:trHeight w:val="56"/>
        </w:trPr>
        <w:tc>
          <w:tcPr>
            <w:tcW w:w="1996"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Debt repayment</w:t>
            </w:r>
          </w:p>
        </w:tc>
        <w:tc>
          <w:tcPr>
            <w:tcW w:w="384"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42,85</w:t>
            </w:r>
          </w:p>
        </w:tc>
        <w:tc>
          <w:tcPr>
            <w:tcW w:w="394"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1.22</w:t>
            </w:r>
          </w:p>
        </w:tc>
        <w:tc>
          <w:tcPr>
            <w:tcW w:w="412"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48,19</w:t>
            </w:r>
          </w:p>
        </w:tc>
        <w:tc>
          <w:tcPr>
            <w:tcW w:w="395"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1,44</w:t>
            </w:r>
          </w:p>
        </w:tc>
        <w:tc>
          <w:tcPr>
            <w:tcW w:w="680" w:type="pct"/>
            <w:shd w:val="clear" w:color="000000" w:fill="E6B9B8"/>
            <w:noWrap/>
            <w:tcMar>
              <w:right w:w="454" w:type="dxa"/>
            </w:tcMar>
            <w:vAlign w:val="bottom"/>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-5,33</w:t>
            </w:r>
          </w:p>
        </w:tc>
        <w:tc>
          <w:tcPr>
            <w:tcW w:w="739" w:type="pct"/>
            <w:shd w:val="clear" w:color="000000" w:fill="E6B9B8"/>
            <w:noWrap/>
            <w:tcMar>
              <w:right w:w="454" w:type="dxa"/>
            </w:tcMar>
            <w:vAlign w:val="bottom"/>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-11,07</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principal to residents</w:t>
            </w:r>
          </w:p>
        </w:tc>
        <w:tc>
          <w:tcPr>
            <w:tcW w:w="384"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15,54</w:t>
            </w:r>
          </w:p>
        </w:tc>
        <w:tc>
          <w:tcPr>
            <w:tcW w:w="394"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0.44</w:t>
            </w:r>
          </w:p>
        </w:tc>
        <w:tc>
          <w:tcPr>
            <w:tcW w:w="412"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15,84</w:t>
            </w:r>
          </w:p>
        </w:tc>
        <w:tc>
          <w:tcPr>
            <w:tcW w:w="395"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0,47</w:t>
            </w:r>
          </w:p>
        </w:tc>
        <w:tc>
          <w:tcPr>
            <w:tcW w:w="680"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-0,30</w:t>
            </w:r>
          </w:p>
        </w:tc>
        <w:tc>
          <w:tcPr>
            <w:tcW w:w="739"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-1,91</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principal to non-residents</w:t>
            </w:r>
          </w:p>
        </w:tc>
        <w:tc>
          <w:tcPr>
            <w:tcW w:w="384"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6,31</w:t>
            </w:r>
          </w:p>
        </w:tc>
        <w:tc>
          <w:tcPr>
            <w:tcW w:w="394"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0.18</w:t>
            </w:r>
          </w:p>
        </w:tc>
        <w:tc>
          <w:tcPr>
            <w:tcW w:w="412"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17,39</w:t>
            </w:r>
          </w:p>
        </w:tc>
        <w:tc>
          <w:tcPr>
            <w:tcW w:w="395"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0,52</w:t>
            </w:r>
          </w:p>
        </w:tc>
        <w:tc>
          <w:tcPr>
            <w:tcW w:w="680"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-11,08</w:t>
            </w:r>
          </w:p>
        </w:tc>
        <w:tc>
          <w:tcPr>
            <w:tcW w:w="739"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-63,70</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liabilities from previous period</w:t>
            </w:r>
          </w:p>
        </w:tc>
        <w:tc>
          <w:tcPr>
            <w:tcW w:w="384"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21,00</w:t>
            </w:r>
          </w:p>
        </w:tc>
        <w:tc>
          <w:tcPr>
            <w:tcW w:w="394"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0.60</w:t>
            </w:r>
          </w:p>
        </w:tc>
        <w:tc>
          <w:tcPr>
            <w:tcW w:w="412"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14,96</w:t>
            </w:r>
          </w:p>
        </w:tc>
        <w:tc>
          <w:tcPr>
            <w:tcW w:w="395"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0,45</w:t>
            </w:r>
          </w:p>
        </w:tc>
        <w:tc>
          <w:tcPr>
            <w:tcW w:w="680"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6,04</w:t>
            </w:r>
          </w:p>
        </w:tc>
        <w:tc>
          <w:tcPr>
            <w:tcW w:w="739"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40,42</w:t>
            </w:r>
          </w:p>
        </w:tc>
      </w:tr>
      <w:tr w:rsidR="008D3E5E" w:rsidRPr="00F63F72" w:rsidTr="004C45D3">
        <w:trPr>
          <w:trHeight w:val="56"/>
        </w:trPr>
        <w:tc>
          <w:tcPr>
            <w:tcW w:w="1996"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Financing needs</w:t>
            </w:r>
          </w:p>
        </w:tc>
        <w:tc>
          <w:tcPr>
            <w:tcW w:w="384"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-98,02</w:t>
            </w:r>
          </w:p>
        </w:tc>
        <w:tc>
          <w:tcPr>
            <w:tcW w:w="394"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-2.79</w:t>
            </w:r>
          </w:p>
        </w:tc>
        <w:tc>
          <w:tcPr>
            <w:tcW w:w="412"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-105,53</w:t>
            </w:r>
          </w:p>
        </w:tc>
        <w:tc>
          <w:tcPr>
            <w:tcW w:w="395"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-3,16</w:t>
            </w:r>
          </w:p>
        </w:tc>
        <w:tc>
          <w:tcPr>
            <w:tcW w:w="680" w:type="pct"/>
            <w:shd w:val="clear" w:color="000000" w:fill="E6B9B8"/>
            <w:noWrap/>
            <w:tcMar>
              <w:right w:w="454" w:type="dxa"/>
            </w:tcMar>
            <w:vAlign w:val="bottom"/>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7,51</w:t>
            </w:r>
          </w:p>
        </w:tc>
        <w:tc>
          <w:tcPr>
            <w:tcW w:w="739" w:type="pct"/>
            <w:shd w:val="clear" w:color="000000" w:fill="E6B9B8"/>
            <w:noWrap/>
            <w:tcMar>
              <w:right w:w="454" w:type="dxa"/>
            </w:tcMar>
            <w:vAlign w:val="bottom"/>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-7,12</w:t>
            </w:r>
          </w:p>
        </w:tc>
      </w:tr>
      <w:tr w:rsidR="008D3E5E" w:rsidRPr="00F63F72" w:rsidTr="004C45D3">
        <w:trPr>
          <w:trHeight w:val="56"/>
        </w:trPr>
        <w:tc>
          <w:tcPr>
            <w:tcW w:w="1996" w:type="pct"/>
            <w:shd w:val="clear" w:color="000000" w:fill="E6B9B8"/>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Financing</w:t>
            </w:r>
          </w:p>
        </w:tc>
        <w:tc>
          <w:tcPr>
            <w:tcW w:w="384"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98,02</w:t>
            </w:r>
          </w:p>
        </w:tc>
        <w:tc>
          <w:tcPr>
            <w:tcW w:w="394"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2.79</w:t>
            </w:r>
          </w:p>
        </w:tc>
        <w:tc>
          <w:tcPr>
            <w:tcW w:w="412"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105,53</w:t>
            </w:r>
          </w:p>
        </w:tc>
        <w:tc>
          <w:tcPr>
            <w:tcW w:w="395" w:type="pct"/>
            <w:shd w:val="clear" w:color="000000" w:fill="E6B9B8"/>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3,16</w:t>
            </w:r>
          </w:p>
        </w:tc>
        <w:tc>
          <w:tcPr>
            <w:tcW w:w="680" w:type="pct"/>
            <w:shd w:val="clear" w:color="000000" w:fill="E6B9B8"/>
            <w:noWrap/>
            <w:tcMar>
              <w:right w:w="454" w:type="dxa"/>
            </w:tcMar>
            <w:vAlign w:val="bottom"/>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-7,51</w:t>
            </w:r>
          </w:p>
        </w:tc>
        <w:tc>
          <w:tcPr>
            <w:tcW w:w="739" w:type="pct"/>
            <w:shd w:val="clear" w:color="000000" w:fill="E6B9B8"/>
            <w:noWrap/>
            <w:tcMar>
              <w:right w:w="454" w:type="dxa"/>
            </w:tcMar>
            <w:vAlign w:val="bottom"/>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-7,12</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Borrowings and loans from domestic sources</w:t>
            </w:r>
          </w:p>
        </w:tc>
        <w:tc>
          <w:tcPr>
            <w:tcW w:w="384"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27,99</w:t>
            </w:r>
          </w:p>
        </w:tc>
        <w:tc>
          <w:tcPr>
            <w:tcW w:w="394"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0.80</w:t>
            </w:r>
          </w:p>
        </w:tc>
        <w:tc>
          <w:tcPr>
            <w:tcW w:w="412"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17,23</w:t>
            </w:r>
          </w:p>
        </w:tc>
        <w:tc>
          <w:tcPr>
            <w:tcW w:w="395"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0,52</w:t>
            </w:r>
          </w:p>
        </w:tc>
        <w:tc>
          <w:tcPr>
            <w:tcW w:w="680"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10,75</w:t>
            </w:r>
          </w:p>
        </w:tc>
        <w:tc>
          <w:tcPr>
            <w:tcW w:w="739"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62,41</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Borrowings and loans from abroad</w:t>
            </w:r>
          </w:p>
        </w:tc>
        <w:tc>
          <w:tcPr>
            <w:tcW w:w="384"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38,34</w:t>
            </w:r>
          </w:p>
        </w:tc>
        <w:tc>
          <w:tcPr>
            <w:tcW w:w="394"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1.09</w:t>
            </w:r>
          </w:p>
        </w:tc>
        <w:tc>
          <w:tcPr>
            <w:tcW w:w="412"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59,83</w:t>
            </w:r>
          </w:p>
        </w:tc>
        <w:tc>
          <w:tcPr>
            <w:tcW w:w="395"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1,79</w:t>
            </w:r>
          </w:p>
        </w:tc>
        <w:tc>
          <w:tcPr>
            <w:tcW w:w="680"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-21,49</w:t>
            </w:r>
          </w:p>
        </w:tc>
        <w:tc>
          <w:tcPr>
            <w:tcW w:w="739"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-35,91</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Donations</w:t>
            </w:r>
          </w:p>
        </w:tc>
        <w:tc>
          <w:tcPr>
            <w:tcW w:w="384"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1,15</w:t>
            </w:r>
          </w:p>
        </w:tc>
        <w:tc>
          <w:tcPr>
            <w:tcW w:w="394"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0.03</w:t>
            </w:r>
          </w:p>
        </w:tc>
        <w:tc>
          <w:tcPr>
            <w:tcW w:w="412"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1,43</w:t>
            </w:r>
          </w:p>
        </w:tc>
        <w:tc>
          <w:tcPr>
            <w:tcW w:w="395"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0,04</w:t>
            </w:r>
          </w:p>
        </w:tc>
        <w:tc>
          <w:tcPr>
            <w:tcW w:w="680"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-0,29</w:t>
            </w:r>
          </w:p>
        </w:tc>
        <w:tc>
          <w:tcPr>
            <w:tcW w:w="739"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-20,08</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sz w:val="16"/>
                <w:szCs w:val="16"/>
              </w:rPr>
            </w:pPr>
            <w:r>
              <w:rPr>
                <w:rFonts w:ascii="Calibri" w:hAnsi="Calibri" w:cs="Calibri"/>
                <w:sz w:val="16"/>
                <w:szCs w:val="16"/>
              </w:rPr>
              <w:t>Revenues from privatiz</w:t>
            </w:r>
            <w:r w:rsidRPr="00F63F72">
              <w:rPr>
                <w:rFonts w:ascii="Calibri" w:hAnsi="Calibri" w:cs="Calibri"/>
                <w:sz w:val="16"/>
                <w:szCs w:val="16"/>
              </w:rPr>
              <w:t>ation and property sale</w:t>
            </w:r>
          </w:p>
        </w:tc>
        <w:tc>
          <w:tcPr>
            <w:tcW w:w="384"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0,46</w:t>
            </w:r>
          </w:p>
        </w:tc>
        <w:tc>
          <w:tcPr>
            <w:tcW w:w="394"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0.01</w:t>
            </w:r>
          </w:p>
        </w:tc>
        <w:tc>
          <w:tcPr>
            <w:tcW w:w="412"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3,56</w:t>
            </w:r>
          </w:p>
        </w:tc>
        <w:tc>
          <w:tcPr>
            <w:tcW w:w="395" w:type="pct"/>
            <w:shd w:val="clear" w:color="000000" w:fill="FFFFFF"/>
            <w:noWrap/>
            <w:vAlign w:val="bottom"/>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0,11</w:t>
            </w:r>
          </w:p>
        </w:tc>
        <w:tc>
          <w:tcPr>
            <w:tcW w:w="680"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-3,10</w:t>
            </w:r>
          </w:p>
        </w:tc>
        <w:tc>
          <w:tcPr>
            <w:tcW w:w="739" w:type="pct"/>
            <w:shd w:val="clear" w:color="000000" w:fill="FFFFFF"/>
            <w:noWrap/>
            <w:tcMar>
              <w:right w:w="454" w:type="dxa"/>
            </w:tcMar>
            <w:vAlign w:val="bottom"/>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-87,15</w:t>
            </w:r>
          </w:p>
        </w:tc>
      </w:tr>
      <w:tr w:rsidR="008D3E5E" w:rsidRPr="00F63F72" w:rsidTr="004C45D3">
        <w:trPr>
          <w:trHeight w:val="56"/>
        </w:trPr>
        <w:tc>
          <w:tcPr>
            <w:tcW w:w="1996" w:type="pct"/>
            <w:shd w:val="clear" w:color="000000" w:fill="FFFFFF"/>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Deposits increase/decrease</w:t>
            </w:r>
          </w:p>
        </w:tc>
        <w:tc>
          <w:tcPr>
            <w:tcW w:w="384"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30,09</w:t>
            </w:r>
          </w:p>
        </w:tc>
        <w:tc>
          <w:tcPr>
            <w:tcW w:w="394"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0.86</w:t>
            </w:r>
          </w:p>
        </w:tc>
        <w:tc>
          <w:tcPr>
            <w:tcW w:w="412"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23,48</w:t>
            </w:r>
          </w:p>
        </w:tc>
        <w:tc>
          <w:tcPr>
            <w:tcW w:w="395" w:type="pct"/>
            <w:shd w:val="clear" w:color="000000" w:fill="FFFFFF"/>
            <w:noWrap/>
            <w:vAlign w:val="bottom"/>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0,70</w:t>
            </w:r>
          </w:p>
        </w:tc>
        <w:tc>
          <w:tcPr>
            <w:tcW w:w="680" w:type="pct"/>
            <w:shd w:val="clear" w:color="000000" w:fill="FFFFFF"/>
            <w:noWrap/>
            <w:tcMar>
              <w:right w:w="454" w:type="dxa"/>
            </w:tcMar>
            <w:vAlign w:val="bottom"/>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6,61</w:t>
            </w:r>
          </w:p>
        </w:tc>
        <w:tc>
          <w:tcPr>
            <w:tcW w:w="739" w:type="pct"/>
            <w:shd w:val="clear" w:color="000000" w:fill="FFFFFF"/>
            <w:noWrap/>
            <w:tcMar>
              <w:right w:w="454" w:type="dxa"/>
            </w:tcMar>
            <w:vAlign w:val="bottom"/>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28,16</w:t>
            </w:r>
          </w:p>
        </w:tc>
      </w:tr>
      <w:tr w:rsidR="008D3E5E" w:rsidRPr="00F63F72" w:rsidTr="004C45D3">
        <w:trPr>
          <w:trHeight w:val="56"/>
        </w:trPr>
        <w:tc>
          <w:tcPr>
            <w:tcW w:w="1996" w:type="pct"/>
            <w:shd w:val="clear" w:color="000000" w:fill="FFFFFF"/>
            <w:vAlign w:val="bottom"/>
          </w:tcPr>
          <w:p w:rsidR="008D3E5E" w:rsidRPr="00F63F72" w:rsidRDefault="008D3E5E" w:rsidP="004C45D3">
            <w:pPr>
              <w:rPr>
                <w:rFonts w:ascii="Calibri" w:hAnsi="Calibri" w:cs="Calibri"/>
                <w:b/>
                <w:bCs/>
                <w:i/>
                <w:iCs/>
                <w:sz w:val="16"/>
                <w:szCs w:val="16"/>
              </w:rPr>
            </w:pPr>
            <w:r w:rsidRPr="00F63F72">
              <w:rPr>
                <w:rFonts w:ascii="Calibri" w:hAnsi="Calibri" w:cs="Calibri"/>
                <w:b/>
                <w:bCs/>
                <w:i/>
                <w:iCs/>
                <w:sz w:val="16"/>
                <w:szCs w:val="16"/>
              </w:rPr>
              <w:t>Source: Ministry of Finance of Montenegro</w:t>
            </w:r>
          </w:p>
        </w:tc>
        <w:tc>
          <w:tcPr>
            <w:tcW w:w="384" w:type="pct"/>
            <w:shd w:val="clear" w:color="000000" w:fill="FFFFFF"/>
            <w:noWrap/>
            <w:vAlign w:val="bottom"/>
          </w:tcPr>
          <w:p w:rsidR="008D3E5E" w:rsidRPr="00F63F72" w:rsidRDefault="008D3E5E" w:rsidP="004C45D3">
            <w:pPr>
              <w:rPr>
                <w:rFonts w:ascii="Calibri" w:hAnsi="Calibri" w:cs="Calibri"/>
                <w:sz w:val="16"/>
                <w:szCs w:val="16"/>
              </w:rPr>
            </w:pPr>
            <w:r w:rsidRPr="00F63F72">
              <w:rPr>
                <w:rFonts w:ascii="Calibri" w:hAnsi="Calibri" w:cs="Calibri"/>
                <w:sz w:val="16"/>
                <w:szCs w:val="16"/>
              </w:rPr>
              <w:t> </w:t>
            </w:r>
          </w:p>
        </w:tc>
        <w:tc>
          <w:tcPr>
            <w:tcW w:w="394" w:type="pct"/>
            <w:shd w:val="clear" w:color="000000" w:fill="FFFFFF"/>
            <w:noWrap/>
            <w:vAlign w:val="bottom"/>
          </w:tcPr>
          <w:p w:rsidR="008D3E5E" w:rsidRPr="00F63F72" w:rsidRDefault="008D3E5E" w:rsidP="004C45D3">
            <w:pPr>
              <w:rPr>
                <w:rFonts w:ascii="Calibri" w:hAnsi="Calibri" w:cs="Calibri"/>
                <w:sz w:val="16"/>
                <w:szCs w:val="16"/>
              </w:rPr>
            </w:pPr>
            <w:r w:rsidRPr="00F63F72">
              <w:rPr>
                <w:rFonts w:ascii="Calibri" w:hAnsi="Calibri" w:cs="Calibri"/>
                <w:sz w:val="16"/>
                <w:szCs w:val="16"/>
              </w:rPr>
              <w:t> </w:t>
            </w:r>
          </w:p>
        </w:tc>
        <w:tc>
          <w:tcPr>
            <w:tcW w:w="412" w:type="pct"/>
            <w:shd w:val="clear" w:color="000000" w:fill="FFFFFF"/>
            <w:noWrap/>
            <w:vAlign w:val="bottom"/>
          </w:tcPr>
          <w:p w:rsidR="008D3E5E" w:rsidRPr="00F63F72" w:rsidRDefault="008D3E5E" w:rsidP="004C45D3">
            <w:pPr>
              <w:rPr>
                <w:rFonts w:ascii="Calibri" w:hAnsi="Calibri" w:cs="Calibri"/>
                <w:sz w:val="16"/>
                <w:szCs w:val="16"/>
              </w:rPr>
            </w:pPr>
            <w:r w:rsidRPr="00F63F72">
              <w:rPr>
                <w:rFonts w:ascii="Calibri" w:hAnsi="Calibri" w:cs="Calibri"/>
                <w:sz w:val="16"/>
                <w:szCs w:val="16"/>
              </w:rPr>
              <w:t> </w:t>
            </w:r>
          </w:p>
        </w:tc>
        <w:tc>
          <w:tcPr>
            <w:tcW w:w="395" w:type="pct"/>
            <w:shd w:val="clear" w:color="000000" w:fill="FFFFFF"/>
            <w:noWrap/>
            <w:vAlign w:val="bottom"/>
          </w:tcPr>
          <w:p w:rsidR="008D3E5E" w:rsidRPr="00F63F72" w:rsidRDefault="008D3E5E" w:rsidP="004C45D3">
            <w:pPr>
              <w:rPr>
                <w:rFonts w:ascii="Calibri" w:hAnsi="Calibri" w:cs="Calibri"/>
                <w:sz w:val="16"/>
                <w:szCs w:val="16"/>
              </w:rPr>
            </w:pPr>
            <w:r w:rsidRPr="00F63F72">
              <w:rPr>
                <w:rFonts w:ascii="Calibri" w:hAnsi="Calibri" w:cs="Calibri"/>
                <w:sz w:val="16"/>
                <w:szCs w:val="16"/>
              </w:rPr>
              <w:t> </w:t>
            </w:r>
          </w:p>
        </w:tc>
        <w:tc>
          <w:tcPr>
            <w:tcW w:w="680" w:type="pct"/>
            <w:noWrap/>
            <w:vAlign w:val="bottom"/>
          </w:tcPr>
          <w:p w:rsidR="008D3E5E" w:rsidRPr="00F63F72" w:rsidRDefault="008D3E5E" w:rsidP="004C45D3">
            <w:pPr>
              <w:rPr>
                <w:rFonts w:ascii="Calibri" w:hAnsi="Calibri" w:cs="Calibri"/>
                <w:b/>
                <w:bCs/>
                <w:sz w:val="16"/>
                <w:szCs w:val="16"/>
              </w:rPr>
            </w:pPr>
          </w:p>
        </w:tc>
        <w:tc>
          <w:tcPr>
            <w:tcW w:w="739" w:type="pct"/>
            <w:noWrap/>
            <w:vAlign w:val="bottom"/>
          </w:tcPr>
          <w:p w:rsidR="008D3E5E" w:rsidRPr="00F63F72" w:rsidRDefault="008D3E5E" w:rsidP="004C45D3">
            <w:pPr>
              <w:rPr>
                <w:rFonts w:ascii="Calibri" w:hAnsi="Calibri" w:cs="Calibri"/>
                <w:b/>
                <w:bCs/>
                <w:sz w:val="16"/>
                <w:szCs w:val="16"/>
              </w:rPr>
            </w:pPr>
          </w:p>
        </w:tc>
      </w:tr>
    </w:tbl>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Caption"/>
        <w:keepNext/>
        <w:rPr>
          <w:rFonts w:ascii="Calibri" w:hAnsi="Calibri" w:cs="Calibri"/>
          <w:sz w:val="18"/>
          <w:lang w:val="en-US"/>
        </w:rPr>
      </w:pPr>
      <w:r w:rsidRPr="00F63F72">
        <w:rPr>
          <w:rFonts w:ascii="Calibri" w:hAnsi="Calibri" w:cs="Calibri"/>
          <w:sz w:val="18"/>
          <w:lang w:val="en-US"/>
        </w:rPr>
        <w:t xml:space="preserve">Table </w:t>
      </w:r>
      <w:r w:rsidR="00033B25" w:rsidRPr="00F63F72">
        <w:rPr>
          <w:rFonts w:ascii="Calibri" w:hAnsi="Calibri" w:cs="Calibri"/>
          <w:sz w:val="18"/>
          <w:lang w:val="en-US"/>
        </w:rPr>
        <w:fldChar w:fldCharType="begin"/>
      </w:r>
      <w:r w:rsidRPr="00F63F72">
        <w:rPr>
          <w:rFonts w:ascii="Calibri" w:hAnsi="Calibri" w:cs="Calibri"/>
          <w:sz w:val="18"/>
          <w:lang w:val="en-US"/>
        </w:rPr>
        <w:instrText xml:space="preserve"> SEQ Tabela \* ARABIC </w:instrText>
      </w:r>
      <w:r w:rsidR="00033B25" w:rsidRPr="00F63F72">
        <w:rPr>
          <w:rFonts w:ascii="Calibri" w:hAnsi="Calibri" w:cs="Calibri"/>
          <w:sz w:val="18"/>
          <w:lang w:val="en-US"/>
        </w:rPr>
        <w:fldChar w:fldCharType="separate"/>
      </w:r>
      <w:r w:rsidR="005669F0">
        <w:rPr>
          <w:rFonts w:ascii="Calibri" w:hAnsi="Calibri" w:cs="Calibri"/>
          <w:noProof/>
          <w:sz w:val="18"/>
          <w:lang w:val="en-US"/>
        </w:rPr>
        <w:t>12</w:t>
      </w:r>
      <w:r w:rsidR="00033B25" w:rsidRPr="00F63F72">
        <w:rPr>
          <w:rFonts w:ascii="Calibri" w:hAnsi="Calibri" w:cs="Calibri"/>
          <w:sz w:val="18"/>
          <w:lang w:val="en-US"/>
        </w:rPr>
        <w:fldChar w:fldCharType="end"/>
      </w:r>
    </w:p>
    <w:p w:rsidR="008D3E5E" w:rsidRPr="00F63F72" w:rsidRDefault="008D3E5E" w:rsidP="008D3E5E"/>
    <w:tbl>
      <w:tblPr>
        <w:tblpPr w:leftFromText="180" w:rightFromText="180" w:vertAnchor="text" w:horzAnchor="margin" w:tblpY="-206"/>
        <w:tblW w:w="5009" w:type="pct"/>
        <w:tblBorders>
          <w:top w:val="single" w:sz="4" w:space="0" w:color="auto"/>
          <w:bottom w:val="single" w:sz="4" w:space="0" w:color="auto"/>
          <w:insideH w:val="single" w:sz="4" w:space="0" w:color="auto"/>
        </w:tblBorders>
        <w:tblCellMar>
          <w:left w:w="0" w:type="dxa"/>
          <w:right w:w="0" w:type="dxa"/>
        </w:tblCellMar>
        <w:tblLook w:val="00A0"/>
      </w:tblPr>
      <w:tblGrid>
        <w:gridCol w:w="4150"/>
        <w:gridCol w:w="879"/>
        <w:gridCol w:w="695"/>
        <w:gridCol w:w="657"/>
        <w:gridCol w:w="658"/>
        <w:gridCol w:w="1013"/>
        <w:gridCol w:w="991"/>
      </w:tblGrid>
      <w:tr w:rsidR="008D3E5E" w:rsidRPr="00F63F72" w:rsidTr="004C45D3">
        <w:trPr>
          <w:trHeight w:hRule="exact" w:val="228"/>
        </w:trPr>
        <w:tc>
          <w:tcPr>
            <w:tcW w:w="2295" w:type="pct"/>
            <w:vMerge w:val="restart"/>
            <w:shd w:val="clear" w:color="000000" w:fill="0F253F"/>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sz w:val="16"/>
                <w:szCs w:val="16"/>
              </w:rPr>
              <w:br w:type="page"/>
            </w:r>
            <w:r w:rsidRPr="00F63F72">
              <w:rPr>
                <w:rFonts w:ascii="Calibri" w:hAnsi="Calibri" w:cs="Calibri"/>
                <w:b/>
                <w:bCs/>
                <w:sz w:val="16"/>
                <w:szCs w:val="16"/>
              </w:rPr>
              <w:t>Budget of Montenegro</w:t>
            </w:r>
          </w:p>
        </w:tc>
        <w:tc>
          <w:tcPr>
            <w:tcW w:w="870" w:type="pct"/>
            <w:gridSpan w:val="2"/>
            <w:shd w:val="clear" w:color="000000" w:fill="B8CCE4"/>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I - III 2013</w:t>
            </w:r>
          </w:p>
        </w:tc>
        <w:tc>
          <w:tcPr>
            <w:tcW w:w="727" w:type="pct"/>
            <w:gridSpan w:val="2"/>
            <w:shd w:val="clear" w:color="000000" w:fill="B8CCE4"/>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I - III 2012</w:t>
            </w:r>
          </w:p>
        </w:tc>
        <w:tc>
          <w:tcPr>
            <w:tcW w:w="1109" w:type="pct"/>
            <w:gridSpan w:val="2"/>
            <w:shd w:val="clear" w:color="000000" w:fill="B8CCE4"/>
            <w:noWrap/>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Analytics</w:t>
            </w:r>
          </w:p>
        </w:tc>
      </w:tr>
      <w:tr w:rsidR="008D3E5E" w:rsidRPr="00F63F72" w:rsidTr="004C45D3">
        <w:trPr>
          <w:trHeight w:hRule="exact" w:val="228"/>
        </w:trPr>
        <w:tc>
          <w:tcPr>
            <w:tcW w:w="2295" w:type="pct"/>
            <w:vMerge/>
            <w:vAlign w:val="center"/>
          </w:tcPr>
          <w:p w:rsidR="008D3E5E" w:rsidRPr="00F63F72" w:rsidRDefault="008D3E5E" w:rsidP="004C45D3">
            <w:pPr>
              <w:rPr>
                <w:rFonts w:ascii="Calibri" w:hAnsi="Calibri" w:cs="Calibri"/>
                <w:b/>
                <w:bCs/>
                <w:sz w:val="16"/>
                <w:szCs w:val="16"/>
              </w:rPr>
            </w:pPr>
          </w:p>
        </w:tc>
        <w:tc>
          <w:tcPr>
            <w:tcW w:w="486" w:type="pct"/>
            <w:shd w:val="clear" w:color="000000" w:fill="B8CCE4"/>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384" w:type="pct"/>
            <w:shd w:val="clear" w:color="000000" w:fill="B8CCE4"/>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GDP</w:t>
            </w:r>
          </w:p>
        </w:tc>
        <w:tc>
          <w:tcPr>
            <w:tcW w:w="363" w:type="pct"/>
            <w:shd w:val="clear" w:color="000000" w:fill="B8CCE4"/>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million €</w:t>
            </w:r>
          </w:p>
        </w:tc>
        <w:tc>
          <w:tcPr>
            <w:tcW w:w="364" w:type="pct"/>
            <w:shd w:val="clear" w:color="000000" w:fill="B8CCE4"/>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 GDP</w:t>
            </w:r>
          </w:p>
        </w:tc>
        <w:tc>
          <w:tcPr>
            <w:tcW w:w="560" w:type="pct"/>
            <w:shd w:val="clear" w:color="000000" w:fill="B8CCE4"/>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Difference-million €</w:t>
            </w:r>
          </w:p>
        </w:tc>
        <w:tc>
          <w:tcPr>
            <w:tcW w:w="549" w:type="pct"/>
            <w:shd w:val="clear" w:color="000000" w:fill="B8CCE4"/>
            <w:vAlign w:val="center"/>
          </w:tcPr>
          <w:p w:rsidR="008D3E5E" w:rsidRPr="00F63F72" w:rsidRDefault="008D3E5E" w:rsidP="004C45D3">
            <w:pPr>
              <w:jc w:val="center"/>
              <w:rPr>
                <w:rFonts w:ascii="Calibri" w:hAnsi="Calibri" w:cs="Calibri"/>
                <w:b/>
                <w:bCs/>
                <w:sz w:val="16"/>
                <w:szCs w:val="16"/>
              </w:rPr>
            </w:pPr>
            <w:r w:rsidRPr="00F63F72">
              <w:rPr>
                <w:rFonts w:ascii="Calibri" w:hAnsi="Calibri" w:cs="Calibri"/>
                <w:b/>
                <w:bCs/>
                <w:sz w:val="16"/>
                <w:szCs w:val="16"/>
              </w:rPr>
              <w:t>Deviation-%</w:t>
            </w:r>
          </w:p>
        </w:tc>
      </w:tr>
      <w:tr w:rsidR="008D3E5E" w:rsidRPr="00F63F72" w:rsidTr="004C45D3">
        <w:trPr>
          <w:trHeight w:hRule="exact" w:val="228"/>
        </w:trPr>
        <w:tc>
          <w:tcPr>
            <w:tcW w:w="2295" w:type="pct"/>
            <w:shd w:val="clear" w:color="000000" w:fill="B8CCE4"/>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revenues</w:t>
            </w:r>
          </w:p>
        </w:tc>
        <w:tc>
          <w:tcPr>
            <w:tcW w:w="486" w:type="pct"/>
            <w:shd w:val="clear" w:color="000000" w:fill="B8CCE4"/>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218,47</w:t>
            </w:r>
          </w:p>
        </w:tc>
        <w:tc>
          <w:tcPr>
            <w:tcW w:w="38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6.21</w:t>
            </w:r>
          </w:p>
        </w:tc>
        <w:tc>
          <w:tcPr>
            <w:tcW w:w="363"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192,76</w:t>
            </w:r>
          </w:p>
        </w:tc>
        <w:tc>
          <w:tcPr>
            <w:tcW w:w="36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5,77</w:t>
            </w:r>
          </w:p>
        </w:tc>
        <w:tc>
          <w:tcPr>
            <w:tcW w:w="560"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25,71</w:t>
            </w:r>
          </w:p>
        </w:tc>
        <w:tc>
          <w:tcPr>
            <w:tcW w:w="549"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13,34</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Taxes</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135,66</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3.86</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119,42</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3,58</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16,24</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13,60</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Personal income tax</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15,75</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0.45</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14,26</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0,43</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1,49</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10,48</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Corporate profit tax</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6,64</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0.19</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5,39</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0,16</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1,25</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23,29</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Real estate turnover tax</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0,37</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0.01</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0,35</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0,01</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0,02</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5,48</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Value added tax</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79,10</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2.25</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66,28</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1,99</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12,82</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19,34</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Excise duties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28,60</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0.81</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24,73</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0,74</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3,87</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15,64</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International trade and transactions tax</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4,28</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0.12</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7,61</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0,23</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-3,33</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-43,77</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Other revenues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0,92</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0.03</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0,80</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0,02</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0,11</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13,98</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Contributions</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68,62</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1.95</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61,76</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1,85</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6,87</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11,12</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Pension and disability insurance contribution</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40,25</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1.14</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36,57</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1,10</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3,67</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10,05</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Health insurance contribution</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24,52</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0.70</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21,52</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0,64</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3,00</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13,94</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Unemployment insurance contribution</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1,97</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0.06</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1,74</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0,05</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0,23</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13,04</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Other contributions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1,88</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0.05</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1,92</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0,06</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-0,04</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-1,85</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Duties</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4,99</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0.14</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2,71</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0,08</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2,28</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84,08</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Fees</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3,46</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0.10</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2,37</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0,07</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1,08</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45,54</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Other revenues</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5,00</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0.14</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5,37</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0,16</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-0,37</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-6,82</w:t>
            </w:r>
          </w:p>
        </w:tc>
      </w:tr>
      <w:tr w:rsidR="008D3E5E" w:rsidRPr="00F63F72" w:rsidTr="004C45D3">
        <w:trPr>
          <w:trHeight w:hRule="exact" w:val="228"/>
        </w:trPr>
        <w:tc>
          <w:tcPr>
            <w:tcW w:w="2295" w:type="pct"/>
            <w:shd w:val="clear" w:color="000000" w:fill="FFFFFF"/>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Receipts from the repayment of loans and funds transferred from previous year</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0,74</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0.02</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1,13</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0,03</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-0,39</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-34,49</w:t>
            </w:r>
          </w:p>
        </w:tc>
      </w:tr>
      <w:tr w:rsidR="008D3E5E" w:rsidRPr="00F63F72" w:rsidTr="004C45D3">
        <w:trPr>
          <w:trHeight w:hRule="exact" w:val="228"/>
        </w:trPr>
        <w:tc>
          <w:tcPr>
            <w:tcW w:w="2295" w:type="pct"/>
            <w:shd w:val="clear" w:color="000000" w:fill="B8CCE4"/>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Expenditures</w:t>
            </w:r>
          </w:p>
        </w:tc>
        <w:tc>
          <w:tcPr>
            <w:tcW w:w="486" w:type="pct"/>
            <w:shd w:val="clear" w:color="000000" w:fill="B8CCE4"/>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278,18</w:t>
            </w:r>
          </w:p>
        </w:tc>
        <w:tc>
          <w:tcPr>
            <w:tcW w:w="38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7.91</w:t>
            </w:r>
          </w:p>
        </w:tc>
        <w:tc>
          <w:tcPr>
            <w:tcW w:w="363"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268,70</w:t>
            </w:r>
          </w:p>
        </w:tc>
        <w:tc>
          <w:tcPr>
            <w:tcW w:w="36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8,05</w:t>
            </w:r>
          </w:p>
        </w:tc>
        <w:tc>
          <w:tcPr>
            <w:tcW w:w="560"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9,47</w:t>
            </w:r>
          </w:p>
        </w:tc>
        <w:tc>
          <w:tcPr>
            <w:tcW w:w="549"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3,53</w:t>
            </w:r>
          </w:p>
        </w:tc>
      </w:tr>
      <w:tr w:rsidR="008D3E5E" w:rsidRPr="00F63F72" w:rsidTr="004C45D3">
        <w:trPr>
          <w:trHeight w:hRule="exact" w:val="228"/>
        </w:trPr>
        <w:tc>
          <w:tcPr>
            <w:tcW w:w="2295" w:type="pct"/>
            <w:shd w:val="clear" w:color="000000" w:fill="B8CCE4"/>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expenditures</w:t>
            </w:r>
          </w:p>
        </w:tc>
        <w:tc>
          <w:tcPr>
            <w:tcW w:w="486" w:type="pct"/>
            <w:shd w:val="clear" w:color="000000" w:fill="B8CCE4"/>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271,61</w:t>
            </w:r>
          </w:p>
        </w:tc>
        <w:tc>
          <w:tcPr>
            <w:tcW w:w="38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7.72</w:t>
            </w:r>
          </w:p>
        </w:tc>
        <w:tc>
          <w:tcPr>
            <w:tcW w:w="363"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262,04</w:t>
            </w:r>
          </w:p>
        </w:tc>
        <w:tc>
          <w:tcPr>
            <w:tcW w:w="36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7,85</w:t>
            </w:r>
          </w:p>
        </w:tc>
        <w:tc>
          <w:tcPr>
            <w:tcW w:w="560"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9,57</w:t>
            </w:r>
          </w:p>
        </w:tc>
        <w:tc>
          <w:tcPr>
            <w:tcW w:w="549"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3,65</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expenditures</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128,48</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3.65</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139,68</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4,18</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-11,20</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-8,02</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Gross wages and contributions charged to employer</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92,95</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2.64</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93,66</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2,81</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-0,71</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-0,76</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Other personal income</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3,27</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0.09</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1,54</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0,05</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1,74</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113,29</w:t>
            </w:r>
          </w:p>
        </w:tc>
      </w:tr>
      <w:tr w:rsidR="008D3E5E" w:rsidRPr="00F63F72" w:rsidTr="004C45D3">
        <w:trPr>
          <w:trHeight w:hRule="exact" w:val="228"/>
        </w:trPr>
        <w:tc>
          <w:tcPr>
            <w:tcW w:w="2295" w:type="pct"/>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Expenditure for material and services</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17,90</w:t>
            </w:r>
          </w:p>
        </w:tc>
        <w:tc>
          <w:tcPr>
            <w:tcW w:w="384"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0.51</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21,43</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0,64</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-3,54</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-16,51</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Current maintenance</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2,97</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0.08</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1,77</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0,05</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1,20</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68,05</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Interest</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3,37</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0.10</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7,95</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0,24</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-4,57</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-57,54</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Rent</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1,82</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0.05</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1,16</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0,03</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0,66</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56,92</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Subsidies</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4,32</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0.12</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10,83</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0,32</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-6,52</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-60,15</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Other expenditures</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1,16</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0.03</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1,34</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0,04</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-0,18</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-13,45</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Capital expenditures in the current budget</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0,72</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0.02</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0,00</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0,00</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0,72</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0,00</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Transfers to social protection</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120,95</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3.44</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113,26</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3,39</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7,70</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6,80</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Social protection rights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17,06</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0.49</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15,42</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0,46</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1,65</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10,68</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Severance pay</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3,49</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0.10</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4,87</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0,15</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-1,38</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-28,36</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Pension and disability insurance rights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95,93</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2.73</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90,24</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2,70</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5,68</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6,30</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Other health protection rights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2,84</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0.08</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1,72</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0,05</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1,12</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64,97</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Other health insurance rights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1,63</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0.05</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1,00</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0,03</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0,63</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62,54</w:t>
            </w:r>
          </w:p>
        </w:tc>
      </w:tr>
      <w:tr w:rsidR="008D3E5E" w:rsidRPr="00F63F72" w:rsidTr="004C45D3">
        <w:trPr>
          <w:trHeight w:hRule="exact" w:val="228"/>
        </w:trPr>
        <w:tc>
          <w:tcPr>
            <w:tcW w:w="2295" w:type="pct"/>
            <w:shd w:val="clear" w:color="000000" w:fill="FFFFFF"/>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Transfers to institutions, individuals, NGOs and public sector</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20,90</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0.59</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4,24</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0,13</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16,66</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392,74</w:t>
            </w:r>
          </w:p>
        </w:tc>
      </w:tr>
      <w:tr w:rsidR="008D3E5E" w:rsidRPr="00F63F72" w:rsidTr="004C45D3">
        <w:trPr>
          <w:trHeight w:hRule="exact" w:val="228"/>
        </w:trPr>
        <w:tc>
          <w:tcPr>
            <w:tcW w:w="2295" w:type="pct"/>
            <w:shd w:val="clear" w:color="000000" w:fill="B8CCE4"/>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Capital budget</w:t>
            </w:r>
          </w:p>
        </w:tc>
        <w:tc>
          <w:tcPr>
            <w:tcW w:w="486" w:type="pct"/>
            <w:shd w:val="clear" w:color="000000" w:fill="B8CCE4"/>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6,57</w:t>
            </w:r>
          </w:p>
        </w:tc>
        <w:tc>
          <w:tcPr>
            <w:tcW w:w="38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0.19</w:t>
            </w:r>
          </w:p>
        </w:tc>
        <w:tc>
          <w:tcPr>
            <w:tcW w:w="363"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6,67</w:t>
            </w:r>
          </w:p>
        </w:tc>
        <w:tc>
          <w:tcPr>
            <w:tcW w:w="36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0,20</w:t>
            </w:r>
          </w:p>
        </w:tc>
        <w:tc>
          <w:tcPr>
            <w:tcW w:w="560"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-0,10</w:t>
            </w:r>
          </w:p>
        </w:tc>
        <w:tc>
          <w:tcPr>
            <w:tcW w:w="549"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-1,45</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Borrowings and loans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0,68</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0.02</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0,45</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0,01</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0,22</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49,25</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Reserves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0,60</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0.02</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4,41</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0,13</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-3,81</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guarantees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0,00</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0.00</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0,00</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0,00</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0,00</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w:t>
            </w:r>
          </w:p>
        </w:tc>
      </w:tr>
      <w:tr w:rsidR="008D3E5E" w:rsidRPr="00F63F72" w:rsidTr="004C45D3">
        <w:trPr>
          <w:trHeight w:hRule="exact" w:val="228"/>
        </w:trPr>
        <w:tc>
          <w:tcPr>
            <w:tcW w:w="2295" w:type="pct"/>
            <w:shd w:val="clear" w:color="000000" w:fill="B8CCE4"/>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Surplus/ Deficit</w:t>
            </w:r>
          </w:p>
        </w:tc>
        <w:tc>
          <w:tcPr>
            <w:tcW w:w="486" w:type="pct"/>
            <w:shd w:val="clear" w:color="000000" w:fill="B8CCE4"/>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-59,71</w:t>
            </w:r>
          </w:p>
        </w:tc>
        <w:tc>
          <w:tcPr>
            <w:tcW w:w="38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-1.70</w:t>
            </w:r>
          </w:p>
        </w:tc>
        <w:tc>
          <w:tcPr>
            <w:tcW w:w="363"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-75,94</w:t>
            </w:r>
          </w:p>
        </w:tc>
        <w:tc>
          <w:tcPr>
            <w:tcW w:w="36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-2,28</w:t>
            </w:r>
          </w:p>
        </w:tc>
        <w:tc>
          <w:tcPr>
            <w:tcW w:w="560"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16,23</w:t>
            </w:r>
          </w:p>
        </w:tc>
        <w:tc>
          <w:tcPr>
            <w:tcW w:w="549"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-21,38</w:t>
            </w:r>
          </w:p>
        </w:tc>
      </w:tr>
      <w:tr w:rsidR="008D3E5E" w:rsidRPr="00F63F72" w:rsidTr="004C45D3">
        <w:trPr>
          <w:trHeight w:hRule="exact" w:val="228"/>
        </w:trPr>
        <w:tc>
          <w:tcPr>
            <w:tcW w:w="2295" w:type="pct"/>
            <w:shd w:val="clear" w:color="000000" w:fill="B8CCE4"/>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Primary deficit</w:t>
            </w:r>
          </w:p>
        </w:tc>
        <w:tc>
          <w:tcPr>
            <w:tcW w:w="486" w:type="pct"/>
            <w:shd w:val="clear" w:color="000000" w:fill="B8CCE4"/>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-56,33</w:t>
            </w:r>
          </w:p>
        </w:tc>
        <w:tc>
          <w:tcPr>
            <w:tcW w:w="38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-1.60</w:t>
            </w:r>
          </w:p>
        </w:tc>
        <w:tc>
          <w:tcPr>
            <w:tcW w:w="363"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-67,99</w:t>
            </w:r>
          </w:p>
        </w:tc>
        <w:tc>
          <w:tcPr>
            <w:tcW w:w="36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-2,04</w:t>
            </w:r>
          </w:p>
        </w:tc>
        <w:tc>
          <w:tcPr>
            <w:tcW w:w="560"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11,66</w:t>
            </w:r>
          </w:p>
        </w:tc>
        <w:tc>
          <w:tcPr>
            <w:tcW w:w="549"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-17,15</w:t>
            </w:r>
          </w:p>
        </w:tc>
      </w:tr>
      <w:tr w:rsidR="008D3E5E" w:rsidRPr="00F63F72" w:rsidTr="004C45D3">
        <w:trPr>
          <w:trHeight w:hRule="exact" w:val="228"/>
        </w:trPr>
        <w:tc>
          <w:tcPr>
            <w:tcW w:w="2295" w:type="pct"/>
            <w:shd w:val="clear" w:color="000000" w:fill="B8CCE4"/>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Debt repayment</w:t>
            </w:r>
          </w:p>
        </w:tc>
        <w:tc>
          <w:tcPr>
            <w:tcW w:w="486" w:type="pct"/>
            <w:shd w:val="clear" w:color="000000" w:fill="B8CCE4"/>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30,35</w:t>
            </w:r>
          </w:p>
        </w:tc>
        <w:tc>
          <w:tcPr>
            <w:tcW w:w="38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0.86</w:t>
            </w:r>
          </w:p>
        </w:tc>
        <w:tc>
          <w:tcPr>
            <w:tcW w:w="363"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35,67</w:t>
            </w:r>
          </w:p>
        </w:tc>
        <w:tc>
          <w:tcPr>
            <w:tcW w:w="36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1,07</w:t>
            </w:r>
          </w:p>
        </w:tc>
        <w:tc>
          <w:tcPr>
            <w:tcW w:w="560"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-5,32</w:t>
            </w:r>
          </w:p>
        </w:tc>
        <w:tc>
          <w:tcPr>
            <w:tcW w:w="549"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-14,91</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Debt repayment to residents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13,04</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0.37</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13,74</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0,41</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-0,70</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-5,10</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Debt repayment to non-residents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6,31</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0.18</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17,39</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0,52</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-11,08</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-63,70</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Repayment of liabilities from previous period</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11,00</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0.31</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4,54</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0,14</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6,46</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w:t>
            </w:r>
          </w:p>
        </w:tc>
      </w:tr>
      <w:tr w:rsidR="008D3E5E" w:rsidRPr="00F63F72" w:rsidTr="004C45D3">
        <w:trPr>
          <w:trHeight w:hRule="exact" w:val="228"/>
        </w:trPr>
        <w:tc>
          <w:tcPr>
            <w:tcW w:w="2295" w:type="pct"/>
            <w:shd w:val="clear" w:color="000000" w:fill="B8CCE4"/>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Financing needs</w:t>
            </w:r>
          </w:p>
        </w:tc>
        <w:tc>
          <w:tcPr>
            <w:tcW w:w="486" w:type="pct"/>
            <w:shd w:val="clear" w:color="000000" w:fill="B8CCE4"/>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-90,06</w:t>
            </w:r>
          </w:p>
        </w:tc>
        <w:tc>
          <w:tcPr>
            <w:tcW w:w="38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-2.56</w:t>
            </w:r>
          </w:p>
        </w:tc>
        <w:tc>
          <w:tcPr>
            <w:tcW w:w="363"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-111,61</w:t>
            </w:r>
          </w:p>
        </w:tc>
        <w:tc>
          <w:tcPr>
            <w:tcW w:w="36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-3,34</w:t>
            </w:r>
          </w:p>
        </w:tc>
        <w:tc>
          <w:tcPr>
            <w:tcW w:w="560"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21,55</w:t>
            </w:r>
          </w:p>
        </w:tc>
        <w:tc>
          <w:tcPr>
            <w:tcW w:w="549"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-19,31</w:t>
            </w:r>
          </w:p>
        </w:tc>
      </w:tr>
      <w:tr w:rsidR="008D3E5E" w:rsidRPr="00F63F72" w:rsidTr="004C45D3">
        <w:trPr>
          <w:trHeight w:hRule="exact" w:val="228"/>
        </w:trPr>
        <w:tc>
          <w:tcPr>
            <w:tcW w:w="2295" w:type="pct"/>
            <w:shd w:val="clear" w:color="000000" w:fill="B8CCE4"/>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Financing</w:t>
            </w:r>
          </w:p>
        </w:tc>
        <w:tc>
          <w:tcPr>
            <w:tcW w:w="486" w:type="pct"/>
            <w:shd w:val="clear" w:color="000000" w:fill="B8CCE4"/>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90,06</w:t>
            </w:r>
          </w:p>
        </w:tc>
        <w:tc>
          <w:tcPr>
            <w:tcW w:w="38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2.56</w:t>
            </w:r>
          </w:p>
        </w:tc>
        <w:tc>
          <w:tcPr>
            <w:tcW w:w="363"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111,61</w:t>
            </w:r>
          </w:p>
        </w:tc>
        <w:tc>
          <w:tcPr>
            <w:tcW w:w="364" w:type="pct"/>
            <w:shd w:val="clear" w:color="000000" w:fill="B8CCE4"/>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3,34</w:t>
            </w:r>
          </w:p>
        </w:tc>
        <w:tc>
          <w:tcPr>
            <w:tcW w:w="560"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-21,55</w:t>
            </w:r>
          </w:p>
        </w:tc>
        <w:tc>
          <w:tcPr>
            <w:tcW w:w="549" w:type="pct"/>
            <w:shd w:val="clear" w:color="000000" w:fill="B8CCE4"/>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-19,31</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Borrowings and loans from domestic sources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25,99</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0.74</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16,59</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0,50</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9,40</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56,63</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Borrowings and loans from abroad</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37,64</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1.07</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59,83</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1,79</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-22,19</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-37,08</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Donations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0,95</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0.03</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0,98</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0,03</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-0,04</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-3,63</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Privatization revenues</w:t>
            </w:r>
          </w:p>
        </w:tc>
        <w:tc>
          <w:tcPr>
            <w:tcW w:w="486" w:type="pct"/>
            <w:noWrap/>
            <w:tcMar>
              <w:left w:w="85" w:type="dxa"/>
              <w:right w:w="227"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0,06</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0.00</w:t>
            </w:r>
          </w:p>
        </w:tc>
        <w:tc>
          <w:tcPr>
            <w:tcW w:w="363" w:type="pct"/>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0,39</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sz w:val="16"/>
                <w:szCs w:val="16"/>
              </w:rPr>
            </w:pPr>
            <w:r w:rsidRPr="00F63F72">
              <w:rPr>
                <w:rFonts w:ascii="Calibri" w:hAnsi="Calibri" w:cs="Calibri"/>
                <w:sz w:val="16"/>
                <w:szCs w:val="16"/>
              </w:rPr>
              <w:t>0,01</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-0,33</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i/>
                <w:iCs/>
                <w:sz w:val="16"/>
                <w:szCs w:val="16"/>
              </w:rPr>
            </w:pPr>
            <w:r w:rsidRPr="00F63F72">
              <w:rPr>
                <w:rFonts w:ascii="Calibri" w:hAnsi="Calibri" w:cs="Calibri"/>
                <w:i/>
                <w:iCs/>
                <w:sz w:val="16"/>
                <w:szCs w:val="16"/>
              </w:rPr>
              <w:t>-85,05</w:t>
            </w:r>
          </w:p>
        </w:tc>
      </w:tr>
      <w:tr w:rsidR="008D3E5E" w:rsidRPr="00F63F72" w:rsidTr="004C45D3">
        <w:trPr>
          <w:trHeight w:hRule="exact" w:val="228"/>
        </w:trPr>
        <w:tc>
          <w:tcPr>
            <w:tcW w:w="2295" w:type="pct"/>
            <w:shd w:val="clear" w:color="000000" w:fill="FFFFFF"/>
            <w:noWrap/>
            <w:tcMar>
              <w:left w:w="85" w:type="dxa"/>
            </w:tcMar>
            <w:vAlign w:val="center"/>
          </w:tcPr>
          <w:p w:rsidR="008D3E5E" w:rsidRPr="00F63F72" w:rsidRDefault="008D3E5E" w:rsidP="004C45D3">
            <w:pPr>
              <w:rPr>
                <w:rFonts w:ascii="Calibri" w:hAnsi="Calibri" w:cs="Calibri"/>
                <w:b/>
                <w:bCs/>
                <w:sz w:val="16"/>
                <w:szCs w:val="16"/>
              </w:rPr>
            </w:pPr>
            <w:r w:rsidRPr="00F63F72">
              <w:rPr>
                <w:rFonts w:ascii="Calibri" w:hAnsi="Calibri" w:cs="Calibri"/>
                <w:b/>
                <w:bCs/>
                <w:sz w:val="16"/>
                <w:szCs w:val="16"/>
              </w:rPr>
              <w:t>Deposits increase/decrease</w:t>
            </w:r>
          </w:p>
        </w:tc>
        <w:tc>
          <w:tcPr>
            <w:tcW w:w="486" w:type="pct"/>
            <w:noWrap/>
            <w:tcMar>
              <w:left w:w="85" w:type="dxa"/>
              <w:right w:w="227"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25,43</w:t>
            </w:r>
          </w:p>
        </w:tc>
        <w:tc>
          <w:tcPr>
            <w:tcW w:w="38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0.72</w:t>
            </w:r>
          </w:p>
        </w:tc>
        <w:tc>
          <w:tcPr>
            <w:tcW w:w="363" w:type="pct"/>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33,82</w:t>
            </w:r>
          </w:p>
        </w:tc>
        <w:tc>
          <w:tcPr>
            <w:tcW w:w="364" w:type="pct"/>
            <w:shd w:val="clear" w:color="000000" w:fill="FFFFFF"/>
            <w:noWrap/>
            <w:tcMar>
              <w:left w:w="85" w:type="dxa"/>
            </w:tcMar>
            <w:vAlign w:val="center"/>
          </w:tcPr>
          <w:p w:rsidR="008D3E5E" w:rsidRPr="00F63F72" w:rsidRDefault="008D3E5E" w:rsidP="004C45D3">
            <w:pPr>
              <w:jc w:val="right"/>
              <w:rPr>
                <w:rFonts w:ascii="Calibri" w:hAnsi="Calibri" w:cs="Calibri"/>
                <w:b/>
                <w:bCs/>
                <w:sz w:val="16"/>
                <w:szCs w:val="16"/>
              </w:rPr>
            </w:pPr>
            <w:r w:rsidRPr="00F63F72">
              <w:rPr>
                <w:rFonts w:ascii="Calibri" w:hAnsi="Calibri" w:cs="Calibri"/>
                <w:b/>
                <w:bCs/>
                <w:sz w:val="16"/>
                <w:szCs w:val="16"/>
              </w:rPr>
              <w:t>1,01</w:t>
            </w:r>
          </w:p>
        </w:tc>
        <w:tc>
          <w:tcPr>
            <w:tcW w:w="560"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-8,39</w:t>
            </w:r>
          </w:p>
        </w:tc>
        <w:tc>
          <w:tcPr>
            <w:tcW w:w="549" w:type="pct"/>
            <w:shd w:val="clear" w:color="000000" w:fill="FFFFFF"/>
            <w:noWrap/>
            <w:tcMar>
              <w:left w:w="85" w:type="dxa"/>
            </w:tcMar>
            <w:vAlign w:val="center"/>
          </w:tcPr>
          <w:p w:rsidR="008D3E5E" w:rsidRPr="00F63F72" w:rsidRDefault="008D3E5E" w:rsidP="004C45D3">
            <w:pPr>
              <w:jc w:val="right"/>
              <w:rPr>
                <w:rFonts w:ascii="Calibri" w:hAnsi="Calibri" w:cs="Calibri"/>
                <w:b/>
                <w:bCs/>
                <w:i/>
                <w:iCs/>
                <w:sz w:val="16"/>
                <w:szCs w:val="16"/>
              </w:rPr>
            </w:pPr>
            <w:r w:rsidRPr="00F63F72">
              <w:rPr>
                <w:rFonts w:ascii="Calibri" w:hAnsi="Calibri" w:cs="Calibri"/>
                <w:b/>
                <w:bCs/>
                <w:i/>
                <w:iCs/>
                <w:sz w:val="16"/>
                <w:szCs w:val="16"/>
              </w:rPr>
              <w:t>-24,82</w:t>
            </w:r>
          </w:p>
        </w:tc>
      </w:tr>
      <w:tr w:rsidR="008D3E5E" w:rsidRPr="00F63F72" w:rsidTr="004C45D3">
        <w:trPr>
          <w:trHeight w:hRule="exact" w:val="397"/>
        </w:trPr>
        <w:tc>
          <w:tcPr>
            <w:tcW w:w="2295" w:type="pct"/>
            <w:shd w:val="clear" w:color="000000" w:fill="FFFFFF"/>
            <w:noWrap/>
            <w:vAlign w:val="center"/>
          </w:tcPr>
          <w:p w:rsidR="008D3E5E" w:rsidRPr="00F63F72" w:rsidRDefault="008D3E5E" w:rsidP="004C45D3">
            <w:pPr>
              <w:rPr>
                <w:rFonts w:ascii="Calibri" w:hAnsi="Calibri" w:cs="Calibri"/>
                <w:b/>
                <w:bCs/>
                <w:i/>
                <w:iCs/>
                <w:sz w:val="16"/>
                <w:szCs w:val="16"/>
              </w:rPr>
            </w:pPr>
            <w:r w:rsidRPr="00F63F72">
              <w:rPr>
                <w:rFonts w:ascii="Calibri" w:hAnsi="Calibri" w:cs="Calibri"/>
                <w:b/>
                <w:bCs/>
                <w:i/>
                <w:iCs/>
                <w:sz w:val="16"/>
                <w:szCs w:val="16"/>
              </w:rPr>
              <w:t xml:space="preserve">Source: Ministry of Finance of Montenegro      </w:t>
            </w:r>
          </w:p>
          <w:p w:rsidR="008D3E5E" w:rsidRPr="00F63F72" w:rsidRDefault="008D3E5E" w:rsidP="004C45D3">
            <w:pPr>
              <w:rPr>
                <w:rFonts w:ascii="Calibri" w:hAnsi="Calibri" w:cs="Calibri"/>
                <w:b/>
                <w:bCs/>
                <w:i/>
                <w:iCs/>
                <w:sz w:val="16"/>
                <w:szCs w:val="16"/>
              </w:rPr>
            </w:pPr>
          </w:p>
        </w:tc>
        <w:tc>
          <w:tcPr>
            <w:tcW w:w="486" w:type="pct"/>
            <w:vAlign w:val="center"/>
          </w:tcPr>
          <w:p w:rsidR="008D3E5E" w:rsidRPr="00F63F72" w:rsidRDefault="008D3E5E" w:rsidP="004C45D3">
            <w:pPr>
              <w:rPr>
                <w:rFonts w:ascii="Calibri" w:hAnsi="Calibri" w:cs="Calibri"/>
                <w:sz w:val="16"/>
                <w:szCs w:val="16"/>
              </w:rPr>
            </w:pPr>
          </w:p>
        </w:tc>
        <w:tc>
          <w:tcPr>
            <w:tcW w:w="384" w:type="pct"/>
            <w:shd w:val="clear" w:color="000000" w:fill="FFFFFF"/>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 </w:t>
            </w:r>
          </w:p>
        </w:tc>
        <w:tc>
          <w:tcPr>
            <w:tcW w:w="363" w:type="pct"/>
            <w:noWrap/>
            <w:vAlign w:val="center"/>
          </w:tcPr>
          <w:p w:rsidR="008D3E5E" w:rsidRPr="00F63F72" w:rsidRDefault="008D3E5E" w:rsidP="004C45D3">
            <w:pPr>
              <w:rPr>
                <w:rFonts w:ascii="Calibri" w:hAnsi="Calibri" w:cs="Calibri"/>
                <w:sz w:val="16"/>
                <w:szCs w:val="16"/>
              </w:rPr>
            </w:pPr>
          </w:p>
        </w:tc>
        <w:tc>
          <w:tcPr>
            <w:tcW w:w="364" w:type="pct"/>
            <w:shd w:val="clear" w:color="000000" w:fill="FFFFFF"/>
            <w:noWrap/>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 </w:t>
            </w:r>
          </w:p>
        </w:tc>
        <w:tc>
          <w:tcPr>
            <w:tcW w:w="560" w:type="pct"/>
            <w:shd w:val="clear" w:color="000000" w:fill="FFFFFF"/>
            <w:noWrap/>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 </w:t>
            </w:r>
          </w:p>
        </w:tc>
        <w:tc>
          <w:tcPr>
            <w:tcW w:w="549" w:type="pct"/>
            <w:shd w:val="clear" w:color="000000" w:fill="FFFFFF"/>
            <w:noWrap/>
            <w:vAlign w:val="center"/>
          </w:tcPr>
          <w:p w:rsidR="008D3E5E" w:rsidRPr="00F63F72" w:rsidRDefault="008D3E5E" w:rsidP="004C45D3">
            <w:pPr>
              <w:rPr>
                <w:rFonts w:ascii="Calibri" w:hAnsi="Calibri" w:cs="Calibri"/>
                <w:sz w:val="16"/>
                <w:szCs w:val="16"/>
              </w:rPr>
            </w:pPr>
            <w:r w:rsidRPr="00F63F72">
              <w:rPr>
                <w:rFonts w:ascii="Calibri" w:hAnsi="Calibri" w:cs="Calibri"/>
                <w:sz w:val="16"/>
                <w:szCs w:val="16"/>
              </w:rPr>
              <w:t> </w:t>
            </w:r>
          </w:p>
        </w:tc>
      </w:tr>
    </w:tbl>
    <w:p w:rsidR="008D3E5E" w:rsidRPr="00F63F72" w:rsidRDefault="008D3E5E" w:rsidP="008D3E5E">
      <w:pPr>
        <w:pStyle w:val="ListParagraph"/>
        <w:ind w:left="360"/>
        <w:rPr>
          <w:rFonts w:cs="Calibri"/>
          <w:highlight w:val="yellow"/>
        </w:rPr>
        <w:sectPr w:rsidR="008D3E5E" w:rsidRPr="00F63F72" w:rsidSect="004C45D3">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276" w:left="1440" w:header="708" w:footer="708" w:gutter="0"/>
          <w:cols w:space="708"/>
          <w:docGrid w:linePitch="36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A0"/>
      </w:tblPr>
      <w:tblGrid>
        <w:gridCol w:w="375"/>
        <w:gridCol w:w="1371"/>
        <w:gridCol w:w="1091"/>
        <w:gridCol w:w="842"/>
        <w:gridCol w:w="980"/>
        <w:gridCol w:w="916"/>
        <w:gridCol w:w="1114"/>
        <w:gridCol w:w="893"/>
        <w:gridCol w:w="766"/>
        <w:gridCol w:w="712"/>
        <w:gridCol w:w="657"/>
        <w:gridCol w:w="611"/>
        <w:gridCol w:w="583"/>
        <w:gridCol w:w="465"/>
        <w:gridCol w:w="4163"/>
      </w:tblGrid>
      <w:tr w:rsidR="008D3E5E" w:rsidRPr="00F63F72" w:rsidTr="004C45D3">
        <w:trPr>
          <w:trHeight w:val="259"/>
        </w:trPr>
        <w:tc>
          <w:tcPr>
            <w:tcW w:w="3743" w:type="pct"/>
            <w:gridSpan w:val="13"/>
            <w:shd w:val="clear" w:color="000000" w:fill="FFFFFF"/>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lastRenderedPageBreak/>
              <w:t>EXPECTED INVESTMENTS IN THE 2013- 2016 PERIOD</w:t>
            </w:r>
          </w:p>
        </w:tc>
        <w:tc>
          <w:tcPr>
            <w:tcW w:w="331" w:type="pct"/>
            <w:shd w:val="clear" w:color="000000" w:fill="FFFFFF"/>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926" w:type="pct"/>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36"/>
        </w:trPr>
        <w:tc>
          <w:tcPr>
            <w:tcW w:w="198" w:type="pct"/>
            <w:vMerge w:val="restart"/>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No.</w:t>
            </w:r>
          </w:p>
        </w:tc>
        <w:tc>
          <w:tcPr>
            <w:tcW w:w="656" w:type="pct"/>
            <w:vMerge w:val="restart"/>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PROJECT</w:t>
            </w:r>
          </w:p>
        </w:tc>
        <w:tc>
          <w:tcPr>
            <w:tcW w:w="358" w:type="pct"/>
            <w:vMerge w:val="restart"/>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Investor</w:t>
            </w:r>
          </w:p>
        </w:tc>
        <w:tc>
          <w:tcPr>
            <w:tcW w:w="715" w:type="pct"/>
            <w:gridSpan w:val="3"/>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Type of investment</w:t>
            </w:r>
          </w:p>
        </w:tc>
        <w:tc>
          <w:tcPr>
            <w:tcW w:w="1817" w:type="pct"/>
            <w:gridSpan w:val="7"/>
            <w:noWrap/>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 million €</w:t>
            </w:r>
          </w:p>
        </w:tc>
        <w:tc>
          <w:tcPr>
            <w:tcW w:w="331" w:type="pct"/>
            <w:noWrap/>
            <w:vAlign w:val="bottom"/>
          </w:tcPr>
          <w:p w:rsidR="008D3E5E" w:rsidRPr="00F63F72" w:rsidRDefault="008D3E5E" w:rsidP="004C45D3">
            <w:pPr>
              <w:jc w:val="center"/>
              <w:rPr>
                <w:rFonts w:ascii="Calibri" w:hAnsi="Calibri" w:cs="Calibri"/>
                <w:b/>
                <w:bCs/>
                <w:shadow/>
                <w:sz w:val="16"/>
                <w:szCs w:val="16"/>
                <w:lang w:eastAsia="sr-Latn-CS"/>
              </w:rPr>
            </w:pPr>
          </w:p>
        </w:tc>
        <w:tc>
          <w:tcPr>
            <w:tcW w:w="926" w:type="pct"/>
            <w:noWrap/>
            <w:vAlign w:val="bottom"/>
          </w:tcPr>
          <w:p w:rsidR="008D3E5E" w:rsidRPr="00F63F72" w:rsidRDefault="008D3E5E" w:rsidP="004C45D3">
            <w:pPr>
              <w:rPr>
                <w:rFonts w:ascii="Calibri" w:hAnsi="Calibri" w:cs="Calibri"/>
                <w:color w:val="FF0000"/>
                <w:sz w:val="16"/>
                <w:szCs w:val="16"/>
                <w:lang w:eastAsia="sr-Latn-CS"/>
              </w:rPr>
            </w:pPr>
            <w:r w:rsidRPr="00F63F72">
              <w:rPr>
                <w:rFonts w:ascii="Calibri" w:hAnsi="Calibri" w:cs="Calibri"/>
                <w:color w:val="FF0000"/>
                <w:sz w:val="16"/>
                <w:szCs w:val="16"/>
                <w:lang w:eastAsia="sr-Latn-CS"/>
              </w:rPr>
              <w:t> </w:t>
            </w:r>
          </w:p>
        </w:tc>
      </w:tr>
      <w:tr w:rsidR="008D3E5E" w:rsidRPr="00F63F72" w:rsidTr="004C45D3">
        <w:trPr>
          <w:trHeight w:val="528"/>
        </w:trPr>
        <w:tc>
          <w:tcPr>
            <w:tcW w:w="198" w:type="pct"/>
            <w:vMerge/>
            <w:vAlign w:val="center"/>
          </w:tcPr>
          <w:p w:rsidR="008D3E5E" w:rsidRPr="00F63F72" w:rsidRDefault="008D3E5E" w:rsidP="004C45D3">
            <w:pPr>
              <w:rPr>
                <w:rFonts w:ascii="Calibri" w:hAnsi="Calibri" w:cs="Calibri"/>
                <w:b/>
                <w:bCs/>
                <w:shadow/>
                <w:sz w:val="16"/>
                <w:szCs w:val="16"/>
                <w:lang w:eastAsia="sr-Latn-CS"/>
              </w:rPr>
            </w:pPr>
          </w:p>
        </w:tc>
        <w:tc>
          <w:tcPr>
            <w:tcW w:w="656" w:type="pct"/>
            <w:vMerge/>
            <w:vAlign w:val="center"/>
          </w:tcPr>
          <w:p w:rsidR="008D3E5E" w:rsidRPr="00F63F72" w:rsidRDefault="008D3E5E" w:rsidP="004C45D3">
            <w:pPr>
              <w:rPr>
                <w:rFonts w:ascii="Calibri" w:hAnsi="Calibri" w:cs="Calibri"/>
                <w:b/>
                <w:bCs/>
                <w:shadow/>
                <w:sz w:val="16"/>
                <w:szCs w:val="16"/>
                <w:lang w:eastAsia="sr-Latn-CS"/>
              </w:rPr>
            </w:pPr>
          </w:p>
        </w:tc>
        <w:tc>
          <w:tcPr>
            <w:tcW w:w="358" w:type="pct"/>
            <w:vMerge/>
            <w:vAlign w:val="center"/>
          </w:tcPr>
          <w:p w:rsidR="008D3E5E" w:rsidRPr="00F63F72" w:rsidRDefault="008D3E5E" w:rsidP="004C45D3">
            <w:pPr>
              <w:rPr>
                <w:rFonts w:ascii="Calibri" w:hAnsi="Calibri" w:cs="Calibri"/>
                <w:b/>
                <w:bCs/>
                <w:shadow/>
                <w:sz w:val="16"/>
                <w:szCs w:val="16"/>
                <w:lang w:eastAsia="sr-Latn-CS"/>
              </w:rPr>
            </w:pPr>
          </w:p>
        </w:tc>
        <w:tc>
          <w:tcPr>
            <w:tcW w:w="205" w:type="pct"/>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Greenfield</w:t>
            </w:r>
          </w:p>
        </w:tc>
        <w:tc>
          <w:tcPr>
            <w:tcW w:w="247" w:type="pct"/>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Privatization</w:t>
            </w:r>
          </w:p>
        </w:tc>
        <w:tc>
          <w:tcPr>
            <w:tcW w:w="263" w:type="pct"/>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Public-private partnership</w:t>
            </w:r>
          </w:p>
        </w:tc>
        <w:tc>
          <w:tcPr>
            <w:tcW w:w="643" w:type="pct"/>
            <w:vAlign w:val="bottom"/>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Project completion</w:t>
            </w:r>
          </w:p>
        </w:tc>
        <w:tc>
          <w:tcPr>
            <w:tcW w:w="273" w:type="pct"/>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Total investment value</w:t>
            </w:r>
          </w:p>
        </w:tc>
        <w:tc>
          <w:tcPr>
            <w:tcW w:w="343" w:type="pct"/>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Invested to date</w:t>
            </w:r>
          </w:p>
        </w:tc>
        <w:tc>
          <w:tcPr>
            <w:tcW w:w="155" w:type="pct"/>
            <w:noWrap/>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2013</w:t>
            </w:r>
          </w:p>
        </w:tc>
        <w:tc>
          <w:tcPr>
            <w:tcW w:w="143" w:type="pct"/>
            <w:noWrap/>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2014</w:t>
            </w:r>
          </w:p>
        </w:tc>
        <w:tc>
          <w:tcPr>
            <w:tcW w:w="133" w:type="pct"/>
            <w:noWrap/>
            <w:vAlign w:val="bottom"/>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2015</w:t>
            </w:r>
          </w:p>
        </w:tc>
        <w:tc>
          <w:tcPr>
            <w:tcW w:w="126" w:type="pct"/>
            <w:noWrap/>
            <w:vAlign w:val="bottom"/>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2016</w:t>
            </w:r>
          </w:p>
        </w:tc>
        <w:tc>
          <w:tcPr>
            <w:tcW w:w="331" w:type="pct"/>
            <w:noWrap/>
            <w:vAlign w:val="bottom"/>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2017</w:t>
            </w:r>
          </w:p>
        </w:tc>
        <w:tc>
          <w:tcPr>
            <w:tcW w:w="926" w:type="pct"/>
            <w:shd w:val="clear" w:color="000000" w:fill="E6B9B8"/>
            <w:vAlign w:val="bottom"/>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Investments envisaged under planning documents for individual locations</w:t>
            </w:r>
          </w:p>
        </w:tc>
      </w:tr>
      <w:tr w:rsidR="008D3E5E" w:rsidRPr="00F63F72" w:rsidTr="004C45D3">
        <w:trPr>
          <w:trHeight w:val="300"/>
        </w:trPr>
        <w:tc>
          <w:tcPr>
            <w:tcW w:w="3743" w:type="pct"/>
            <w:gridSpan w:val="13"/>
            <w:noWrap/>
            <w:vAlign w:val="bottom"/>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TOURISM</w:t>
            </w:r>
          </w:p>
        </w:tc>
        <w:tc>
          <w:tcPr>
            <w:tcW w:w="331" w:type="pct"/>
            <w:noWrap/>
            <w:vAlign w:val="bottom"/>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926" w:type="pct"/>
            <w:shd w:val="clear" w:color="000000" w:fill="E6B9B8"/>
            <w:vAlign w:val="bottom"/>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799"/>
        </w:trPr>
        <w:tc>
          <w:tcPr>
            <w:tcW w:w="198" w:type="pct"/>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Luštica bay resort</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'Luštica Development'' AD Podgorica</w:t>
            </w:r>
          </w:p>
        </w:tc>
        <w:tc>
          <w:tcPr>
            <w:tcW w:w="205"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47"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63"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6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first stage 2016</w:t>
            </w:r>
          </w:p>
        </w:tc>
        <w:tc>
          <w:tcPr>
            <w:tcW w:w="27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1100,00</w:t>
            </w:r>
          </w:p>
        </w:tc>
        <w:tc>
          <w:tcPr>
            <w:tcW w:w="34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20,00</w:t>
            </w:r>
          </w:p>
        </w:tc>
        <w:tc>
          <w:tcPr>
            <w:tcW w:w="558" w:type="pct"/>
            <w:gridSpan w:val="4"/>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projection for the next 5 years- 150,00</w:t>
            </w:r>
          </w:p>
        </w:tc>
        <w:tc>
          <w:tcPr>
            <w:tcW w:w="331"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926" w:type="pct"/>
            <w:shd w:val="clear" w:color="000000" w:fill="E6B9B8"/>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xml:space="preserve">46 million €                                                                   </w:t>
            </w:r>
          </w:p>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xml:space="preserve">Issued building permit for C and D phases of the Luštica Bay resort in Tivat                                                            </w:t>
            </w:r>
          </w:p>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xml:space="preserve">Estimated value: 10,39million € </w:t>
            </w:r>
          </w:p>
        </w:tc>
      </w:tr>
      <w:tr w:rsidR="008D3E5E" w:rsidRPr="00F63F72" w:rsidTr="004C45D3">
        <w:trPr>
          <w:trHeight w:val="999"/>
        </w:trPr>
        <w:tc>
          <w:tcPr>
            <w:tcW w:w="198" w:type="pct"/>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Port of Monte-negro (Marina in Tivat, Regent Hotel and Resorts, Adriatic Shipyard Bijela)</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Adriatic Marinas</w:t>
            </w:r>
          </w:p>
        </w:tc>
        <w:tc>
          <w:tcPr>
            <w:tcW w:w="205"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247"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6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6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7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100,00</w:t>
            </w:r>
          </w:p>
        </w:tc>
        <w:tc>
          <w:tcPr>
            <w:tcW w:w="34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11,00</w:t>
            </w:r>
          </w:p>
        </w:tc>
        <w:tc>
          <w:tcPr>
            <w:tcW w:w="558" w:type="pct"/>
            <w:gridSpan w:val="4"/>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xml:space="preserve">in 2013 - 24.4 million €; in 2014 - 17.4 million € </w:t>
            </w:r>
          </w:p>
        </w:tc>
        <w:tc>
          <w:tcPr>
            <w:tcW w:w="331"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926" w:type="pct"/>
            <w:shd w:val="clear" w:color="000000" w:fill="E6B9B8"/>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269-405 million €</w:t>
            </w:r>
          </w:p>
        </w:tc>
      </w:tr>
      <w:tr w:rsidR="008D3E5E" w:rsidRPr="00F63F72" w:rsidTr="004C45D3">
        <w:trPr>
          <w:trHeight w:val="434"/>
        </w:trPr>
        <w:tc>
          <w:tcPr>
            <w:tcW w:w="198" w:type="pct"/>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Plavi horizonti</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Qatari Diar</w:t>
            </w:r>
          </w:p>
        </w:tc>
        <w:tc>
          <w:tcPr>
            <w:tcW w:w="205"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47"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26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6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September 2014</w:t>
            </w:r>
          </w:p>
        </w:tc>
        <w:tc>
          <w:tcPr>
            <w:tcW w:w="27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250</w:t>
            </w:r>
          </w:p>
        </w:tc>
        <w:tc>
          <w:tcPr>
            <w:tcW w:w="3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xml:space="preserve">42,00 (the purchase of 28,00 included) </w:t>
            </w:r>
          </w:p>
        </w:tc>
        <w:tc>
          <w:tcPr>
            <w:tcW w:w="558" w:type="pct"/>
            <w:gridSpan w:val="4"/>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projection for the next 3 years- 250,00</w:t>
            </w:r>
          </w:p>
        </w:tc>
        <w:tc>
          <w:tcPr>
            <w:tcW w:w="331"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926" w:type="pct"/>
            <w:shd w:val="clear" w:color="000000" w:fill="E6B9B8"/>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127 million €</w:t>
            </w:r>
          </w:p>
        </w:tc>
      </w:tr>
      <w:tr w:rsidR="008D3E5E" w:rsidRPr="00F63F72" w:rsidTr="004C45D3">
        <w:trPr>
          <w:trHeight w:val="1534"/>
        </w:trPr>
        <w:tc>
          <w:tcPr>
            <w:tcW w:w="198" w:type="pct"/>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4</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Hotel AS</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Nega tours Montenegro</w:t>
            </w:r>
          </w:p>
        </w:tc>
        <w:tc>
          <w:tcPr>
            <w:tcW w:w="205"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47"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26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6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73" w:type="pct"/>
            <w:shd w:val="clear" w:color="000000" w:fill="FFFFFF"/>
            <w:vAlign w:val="bottom"/>
          </w:tcPr>
          <w:p w:rsidR="008D3E5E" w:rsidRPr="00F63F72" w:rsidRDefault="008D3E5E" w:rsidP="004C45D3">
            <w:pPr>
              <w:jc w:val="right"/>
              <w:rPr>
                <w:rFonts w:ascii="Calibri" w:hAnsi="Calibri" w:cs="Calibri"/>
                <w:b/>
                <w:bCs/>
                <w:shadow/>
                <w:sz w:val="16"/>
                <w:szCs w:val="16"/>
                <w:lang w:eastAsia="sr-Latn-CS"/>
              </w:rPr>
            </w:pPr>
            <w:r w:rsidRPr="00F63F72">
              <w:rPr>
                <w:rFonts w:ascii="Calibri" w:hAnsi="Calibri" w:cs="Calibri"/>
                <w:b/>
                <w:bCs/>
                <w:shadow/>
                <w:sz w:val="16"/>
                <w:szCs w:val="16"/>
                <w:lang w:eastAsia="sr-Latn-CS"/>
              </w:rPr>
              <w:t>120</w:t>
            </w:r>
          </w:p>
        </w:tc>
        <w:tc>
          <w:tcPr>
            <w:tcW w:w="343" w:type="pct"/>
            <w:shd w:val="clear" w:color="000000" w:fill="FFFFFF"/>
            <w:vAlign w:val="bottom"/>
          </w:tcPr>
          <w:p w:rsidR="008D3E5E" w:rsidRPr="00F63F72" w:rsidRDefault="008D3E5E" w:rsidP="004C45D3">
            <w:pPr>
              <w:jc w:val="right"/>
              <w:rPr>
                <w:rFonts w:ascii="Calibri" w:hAnsi="Calibri" w:cs="Calibri"/>
                <w:b/>
                <w:bCs/>
                <w:shadow/>
                <w:sz w:val="16"/>
                <w:szCs w:val="16"/>
                <w:lang w:eastAsia="sr-Latn-CS"/>
              </w:rPr>
            </w:pPr>
            <w:r w:rsidRPr="00F63F72">
              <w:rPr>
                <w:rFonts w:ascii="Calibri" w:hAnsi="Calibri" w:cs="Calibri"/>
                <w:b/>
                <w:bCs/>
                <w:shadow/>
                <w:sz w:val="16"/>
                <w:szCs w:val="16"/>
                <w:lang w:eastAsia="sr-Latn-CS"/>
              </w:rPr>
              <w:t>50</w:t>
            </w:r>
          </w:p>
        </w:tc>
        <w:tc>
          <w:tcPr>
            <w:tcW w:w="558" w:type="pct"/>
            <w:gridSpan w:val="4"/>
            <w:shd w:val="clear" w:color="000000" w:fill="FFFFFF"/>
            <w:vAlign w:val="bottom"/>
          </w:tcPr>
          <w:p w:rsidR="008D3E5E" w:rsidRPr="00F63F72" w:rsidRDefault="008D3E5E" w:rsidP="008D3E5E">
            <w:pPr>
              <w:jc w:val="center"/>
              <w:rPr>
                <w:rFonts w:ascii="Calibri" w:hAnsi="Calibri" w:cs="Calibri"/>
                <w:shadow/>
                <w:sz w:val="16"/>
                <w:szCs w:val="16"/>
                <w:lang w:eastAsia="sr-Latn-CS"/>
              </w:rPr>
            </w:pPr>
            <w:r w:rsidRPr="00F63F72">
              <w:rPr>
                <w:rFonts w:ascii="Calibri" w:hAnsi="Calibri" w:cs="Calibri"/>
                <w:shadow/>
                <w:sz w:val="16"/>
                <w:szCs w:val="16"/>
                <w:lang w:eastAsia="sr-Latn-CS"/>
              </w:rPr>
              <w:t>Council for Privatization and Capital Projects has accepted the proposal of the Working Group for the contract termination – Shortfall in funds for the completion amounts to 70 million euro. According to announcements of the investor, with the support from a partner or loan, the hotel should be opened in 2015</w:t>
            </w:r>
          </w:p>
        </w:tc>
        <w:tc>
          <w:tcPr>
            <w:tcW w:w="331"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926" w:type="pct"/>
            <w:shd w:val="clear" w:color="000000" w:fill="E6B9B8"/>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no planning document (detailed plan)</w:t>
            </w:r>
          </w:p>
        </w:tc>
      </w:tr>
      <w:tr w:rsidR="008D3E5E" w:rsidRPr="00F63F72" w:rsidTr="004C45D3">
        <w:trPr>
          <w:trHeight w:val="224"/>
        </w:trPr>
        <w:tc>
          <w:tcPr>
            <w:tcW w:w="198" w:type="pct"/>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5</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Queen`s Beach Milocer</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Adriatic properties</w:t>
            </w:r>
          </w:p>
        </w:tc>
        <w:tc>
          <w:tcPr>
            <w:tcW w:w="205"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47"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63"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6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7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71,60</w:t>
            </w:r>
          </w:p>
        </w:tc>
        <w:tc>
          <w:tcPr>
            <w:tcW w:w="34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w:t>
            </w:r>
          </w:p>
        </w:tc>
        <w:tc>
          <w:tcPr>
            <w:tcW w:w="558" w:type="pct"/>
            <w:gridSpan w:val="4"/>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projection for the next 2 years- 30,00</w:t>
            </w:r>
          </w:p>
        </w:tc>
        <w:tc>
          <w:tcPr>
            <w:tcW w:w="331"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926" w:type="pct"/>
            <w:shd w:val="clear" w:color="000000" w:fill="E6B9B8"/>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no planning document (detailed plan)</w:t>
            </w:r>
          </w:p>
        </w:tc>
      </w:tr>
      <w:tr w:rsidR="008D3E5E" w:rsidRPr="00F63F72" w:rsidTr="004C45D3">
        <w:trPr>
          <w:trHeight w:val="102"/>
        </w:trPr>
        <w:tc>
          <w:tcPr>
            <w:tcW w:w="198" w:type="pct"/>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6</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Hotel Jadran Ulcinj</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Star of Montenegro</w:t>
            </w:r>
          </w:p>
        </w:tc>
        <w:tc>
          <w:tcPr>
            <w:tcW w:w="205"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47"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63"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6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7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45,00</w:t>
            </w:r>
          </w:p>
        </w:tc>
        <w:tc>
          <w:tcPr>
            <w:tcW w:w="3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58" w:type="pct"/>
            <w:gridSpan w:val="4"/>
            <w:shd w:val="clear" w:color="000000" w:fill="FFFFFF"/>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projection for the next 2 years- 25,00</w:t>
            </w:r>
          </w:p>
        </w:tc>
        <w:tc>
          <w:tcPr>
            <w:tcW w:w="331" w:type="pct"/>
            <w:shd w:val="clear" w:color="000000" w:fill="FFFFFF"/>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926" w:type="pct"/>
            <w:shd w:val="clear" w:color="000000" w:fill="E6B9B8"/>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31 million €</w:t>
            </w:r>
          </w:p>
        </w:tc>
      </w:tr>
      <w:tr w:rsidR="008D3E5E" w:rsidRPr="00F63F72" w:rsidTr="004C45D3">
        <w:trPr>
          <w:trHeight w:val="619"/>
        </w:trPr>
        <w:tc>
          <w:tcPr>
            <w:tcW w:w="198" w:type="pct"/>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7</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Kumbor</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SOCAR</w:t>
            </w:r>
          </w:p>
        </w:tc>
        <w:tc>
          <w:tcPr>
            <w:tcW w:w="205"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47"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63"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6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Date when the Supervisory authority issues the  certificate of completion</w:t>
            </w:r>
          </w:p>
        </w:tc>
        <w:tc>
          <w:tcPr>
            <w:tcW w:w="27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258,00</w:t>
            </w:r>
          </w:p>
        </w:tc>
        <w:tc>
          <w:tcPr>
            <w:tcW w:w="3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10.9 (Payment for a 45-year lease)</w:t>
            </w:r>
          </w:p>
        </w:tc>
        <w:tc>
          <w:tcPr>
            <w:tcW w:w="558" w:type="pct"/>
            <w:gridSpan w:val="4"/>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xml:space="preserve">Contract entered into force on 08.02.2013 </w:t>
            </w:r>
          </w:p>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Projection for the next 4 years: 2013-19.924, 2014-45.871; 2015-11.754; 2016-40.508</w:t>
            </w:r>
          </w:p>
        </w:tc>
        <w:tc>
          <w:tcPr>
            <w:tcW w:w="331"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926" w:type="pct"/>
            <w:shd w:val="clear" w:color="000000" w:fill="E6B9B8"/>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172 million €</w:t>
            </w:r>
          </w:p>
        </w:tc>
      </w:tr>
      <w:tr w:rsidR="008D3E5E" w:rsidRPr="00F63F72" w:rsidTr="004C45D3">
        <w:trPr>
          <w:trHeight w:val="194"/>
        </w:trPr>
        <w:tc>
          <w:tcPr>
            <w:tcW w:w="198" w:type="pct"/>
            <w:shd w:val="clear" w:color="000000" w:fill="FFFFFF"/>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8</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Hilton Podgorica</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Hotel Crna Gora</w:t>
            </w:r>
          </w:p>
        </w:tc>
        <w:tc>
          <w:tcPr>
            <w:tcW w:w="205"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47"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6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6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7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44,00</w:t>
            </w:r>
          </w:p>
        </w:tc>
        <w:tc>
          <w:tcPr>
            <w:tcW w:w="3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55"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43"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33"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6" w:type="pct"/>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31" w:type="pct"/>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926" w:type="pct"/>
            <w:shd w:val="clear" w:color="000000" w:fill="E6B9B8"/>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31 million €</w:t>
            </w:r>
          </w:p>
        </w:tc>
      </w:tr>
      <w:tr w:rsidR="008D3E5E" w:rsidRPr="00F63F72" w:rsidTr="004C45D3">
        <w:trPr>
          <w:trHeight w:val="214"/>
        </w:trPr>
        <w:tc>
          <w:tcPr>
            <w:tcW w:w="198" w:type="pct"/>
            <w:shd w:val="clear" w:color="000000" w:fill="FFFFFF"/>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9</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Hotel Žabljak</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xml:space="preserve">Hotel M (HM) Durmitor </w:t>
            </w:r>
          </w:p>
        </w:tc>
        <w:tc>
          <w:tcPr>
            <w:tcW w:w="205" w:type="pct"/>
            <w:shd w:val="clear" w:color="000000" w:fill="FFFFFF"/>
            <w:vAlign w:val="bottom"/>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247"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263" w:type="pct"/>
            <w:shd w:val="clear" w:color="000000" w:fill="FFFFFF"/>
            <w:vAlign w:val="bottom"/>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643" w:type="pct"/>
            <w:shd w:val="clear" w:color="000000" w:fill="FFFFFF"/>
            <w:vAlign w:val="bottom"/>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27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1,50</w:t>
            </w:r>
          </w:p>
        </w:tc>
        <w:tc>
          <w:tcPr>
            <w:tcW w:w="343" w:type="pct"/>
            <w:shd w:val="clear" w:color="000000" w:fill="FFFFFF"/>
            <w:vAlign w:val="bottom"/>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155"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43"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33"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6" w:type="pct"/>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31" w:type="pct"/>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926" w:type="pct"/>
            <w:shd w:val="clear" w:color="000000" w:fill="E6B9B8"/>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 / use tourist permit issued as per Spatial Urban Plan (SUP)</w:t>
            </w:r>
          </w:p>
        </w:tc>
      </w:tr>
      <w:tr w:rsidR="008D3E5E" w:rsidRPr="00F63F72" w:rsidTr="004C45D3">
        <w:trPr>
          <w:trHeight w:val="300"/>
        </w:trPr>
        <w:tc>
          <w:tcPr>
            <w:tcW w:w="198" w:type="pct"/>
            <w:shd w:val="clear" w:color="000000" w:fill="FFFFFF"/>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10</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Hotel Planinka, Žabljak</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HTP Primorje</w:t>
            </w:r>
          </w:p>
        </w:tc>
        <w:tc>
          <w:tcPr>
            <w:tcW w:w="205"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47"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26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6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73" w:type="pct"/>
            <w:shd w:val="clear" w:color="000000" w:fill="FFFFFF"/>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8,70</w:t>
            </w:r>
          </w:p>
        </w:tc>
        <w:tc>
          <w:tcPr>
            <w:tcW w:w="3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55"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43"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33"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6" w:type="pct"/>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31" w:type="pct"/>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926" w:type="pct"/>
            <w:shd w:val="clear" w:color="000000" w:fill="E6B9B8"/>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36"/>
        </w:trPr>
        <w:tc>
          <w:tcPr>
            <w:tcW w:w="198" w:type="pct"/>
            <w:shd w:val="clear" w:color="000000" w:fill="FFFFFF"/>
            <w:noWrap/>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lastRenderedPageBreak/>
              <w:t>11</w:t>
            </w:r>
          </w:p>
        </w:tc>
        <w:tc>
          <w:tcPr>
            <w:tcW w:w="656"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Hotel Cristal Palace Petrovac</w:t>
            </w:r>
          </w:p>
        </w:tc>
        <w:tc>
          <w:tcPr>
            <w:tcW w:w="358"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HG Budvanska rivijera and EuroMix Budva</w:t>
            </w:r>
          </w:p>
        </w:tc>
        <w:tc>
          <w:tcPr>
            <w:tcW w:w="205"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47"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26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6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73" w:type="pct"/>
            <w:shd w:val="clear" w:color="000000" w:fill="FFFFFF"/>
            <w:vAlign w:val="bottom"/>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total 14.55 first stage 10,10</w:t>
            </w:r>
          </w:p>
        </w:tc>
        <w:tc>
          <w:tcPr>
            <w:tcW w:w="343" w:type="pct"/>
            <w:shd w:val="clear" w:color="000000" w:fill="FFFFFF"/>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55" w:type="pct"/>
            <w:shd w:val="clear" w:color="000000" w:fill="FFFFFF"/>
            <w:noWrap/>
            <w:vAlign w:val="bottom"/>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43"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33" w:type="pct"/>
            <w:shd w:val="clear" w:color="000000" w:fill="FFFFFF"/>
            <w:noWrap/>
            <w:vAlign w:val="bottom"/>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6" w:type="pct"/>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31" w:type="pct"/>
            <w:noWrap/>
            <w:vAlign w:val="bottom"/>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926" w:type="pct"/>
            <w:shd w:val="clear" w:color="000000" w:fill="E6B9B8"/>
            <w:vAlign w:val="bottom"/>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No planned value for the relevant location (the plan covers several locations).</w:t>
            </w:r>
          </w:p>
        </w:tc>
      </w:tr>
    </w:tbl>
    <w:p w:rsidR="008D3E5E" w:rsidRPr="00F63F72" w:rsidRDefault="008D3E5E" w:rsidP="008D3E5E">
      <w:pPr>
        <w:pStyle w:val="ListParagraph"/>
        <w:ind w:left="360"/>
        <w:rPr>
          <w:rFonts w:cs="Calibri"/>
          <w:highlight w:val="yellow"/>
        </w:rPr>
      </w:pPr>
    </w:p>
    <w:tbl>
      <w:tblPr>
        <w:tblW w:w="5000" w:type="pct"/>
        <w:tblCellMar>
          <w:left w:w="70" w:type="dxa"/>
          <w:right w:w="70" w:type="dxa"/>
        </w:tblCellMar>
        <w:tblLook w:val="00A0"/>
      </w:tblPr>
      <w:tblGrid>
        <w:gridCol w:w="469"/>
        <w:gridCol w:w="1803"/>
        <w:gridCol w:w="1327"/>
        <w:gridCol w:w="970"/>
        <w:gridCol w:w="1085"/>
        <w:gridCol w:w="1063"/>
        <w:gridCol w:w="1644"/>
        <w:gridCol w:w="932"/>
        <w:gridCol w:w="1420"/>
        <w:gridCol w:w="575"/>
        <w:gridCol w:w="575"/>
        <w:gridCol w:w="575"/>
        <w:gridCol w:w="584"/>
        <w:gridCol w:w="575"/>
        <w:gridCol w:w="1942"/>
      </w:tblGrid>
      <w:tr w:rsidR="008D3E5E" w:rsidRPr="00F63F72" w:rsidTr="004C45D3">
        <w:trPr>
          <w:trHeight w:val="217"/>
        </w:trPr>
        <w:tc>
          <w:tcPr>
            <w:tcW w:w="151"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No.</w:t>
            </w:r>
          </w:p>
        </w:tc>
        <w:tc>
          <w:tcPr>
            <w:tcW w:w="580"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PROJECT</w:t>
            </w:r>
          </w:p>
        </w:tc>
        <w:tc>
          <w:tcPr>
            <w:tcW w:w="427"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Investor</w:t>
            </w:r>
          </w:p>
        </w:tc>
        <w:tc>
          <w:tcPr>
            <w:tcW w:w="1003" w:type="pct"/>
            <w:gridSpan w:val="3"/>
            <w:tcBorders>
              <w:top w:val="single" w:sz="4" w:space="0" w:color="auto"/>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Type of investment</w:t>
            </w:r>
          </w:p>
        </w:tc>
        <w:tc>
          <w:tcPr>
            <w:tcW w:w="2029" w:type="pct"/>
            <w:gridSpan w:val="7"/>
            <w:tcBorders>
              <w:top w:val="single" w:sz="4" w:space="0" w:color="auto"/>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 million €</w:t>
            </w:r>
          </w:p>
        </w:tc>
        <w:tc>
          <w:tcPr>
            <w:tcW w:w="185" w:type="pct"/>
            <w:tcBorders>
              <w:top w:val="single" w:sz="4" w:space="0" w:color="auto"/>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626" w:type="pct"/>
            <w:tcBorders>
              <w:top w:val="single" w:sz="4" w:space="0" w:color="auto"/>
              <w:left w:val="nil"/>
              <w:bottom w:val="single" w:sz="4" w:space="0" w:color="auto"/>
              <w:right w:val="single" w:sz="4" w:space="0" w:color="auto"/>
            </w:tcBorders>
            <w:noWrap/>
            <w:vAlign w:val="center"/>
          </w:tcPr>
          <w:p w:rsidR="008D3E5E" w:rsidRPr="00F63F72" w:rsidRDefault="008D3E5E" w:rsidP="004C45D3">
            <w:pPr>
              <w:rPr>
                <w:rFonts w:ascii="Calibri" w:hAnsi="Calibri" w:cs="Calibri"/>
                <w:color w:val="FF0000"/>
                <w:sz w:val="16"/>
                <w:szCs w:val="16"/>
                <w:lang w:eastAsia="sr-Latn-CS"/>
              </w:rPr>
            </w:pPr>
            <w:r w:rsidRPr="00F63F72">
              <w:rPr>
                <w:rFonts w:ascii="Calibri" w:hAnsi="Calibri" w:cs="Calibri"/>
                <w:color w:val="FF0000"/>
                <w:sz w:val="16"/>
                <w:szCs w:val="16"/>
                <w:lang w:eastAsia="sr-Latn-CS"/>
              </w:rPr>
              <w:t> </w:t>
            </w:r>
          </w:p>
        </w:tc>
      </w:tr>
      <w:tr w:rsidR="008D3E5E" w:rsidRPr="00F63F72" w:rsidTr="004C45D3">
        <w:trPr>
          <w:trHeight w:val="730"/>
        </w:trPr>
        <w:tc>
          <w:tcPr>
            <w:tcW w:w="151"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580"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312"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Greenfield</w:t>
            </w:r>
          </w:p>
        </w:tc>
        <w:tc>
          <w:tcPr>
            <w:tcW w:w="349"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Privatization</w:t>
            </w:r>
          </w:p>
        </w:tc>
        <w:tc>
          <w:tcPr>
            <w:tcW w:w="342"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Public-private partnership</w:t>
            </w:r>
          </w:p>
        </w:tc>
        <w:tc>
          <w:tcPr>
            <w:tcW w:w="529"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Project completion</w:t>
            </w:r>
          </w:p>
        </w:tc>
        <w:tc>
          <w:tcPr>
            <w:tcW w:w="300"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Total investment value</w:t>
            </w:r>
          </w:p>
        </w:tc>
        <w:tc>
          <w:tcPr>
            <w:tcW w:w="457"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Invested to date</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2013</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2014</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2015</w:t>
            </w:r>
          </w:p>
        </w:tc>
        <w:tc>
          <w:tcPr>
            <w:tcW w:w="187"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2016</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2017</w:t>
            </w:r>
          </w:p>
        </w:tc>
        <w:tc>
          <w:tcPr>
            <w:tcW w:w="626"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Investments envisaged under planning documents for individual locations</w:t>
            </w:r>
          </w:p>
        </w:tc>
      </w:tr>
      <w:tr w:rsidR="008D3E5E" w:rsidRPr="00F63F72" w:rsidTr="004C45D3">
        <w:trPr>
          <w:trHeight w:val="2289"/>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12</w:t>
            </w:r>
          </w:p>
        </w:tc>
        <w:tc>
          <w:tcPr>
            <w:tcW w:w="58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xml:space="preserve">Construction of golf courses in Tivat with the supporting tourist facilities </w:t>
            </w:r>
          </w:p>
        </w:tc>
        <w:tc>
          <w:tcPr>
            <w:tcW w:w="42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Boka Group / LPGD</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xml:space="preserve"> X   (long term lease)</w:t>
            </w:r>
          </w:p>
        </w:tc>
        <w:tc>
          <w:tcPr>
            <w:tcW w:w="52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2021</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xml:space="preserve"> </w:t>
            </w:r>
            <w:r w:rsidRPr="00F63F72">
              <w:rPr>
                <w:rFonts w:ascii="Calibri" w:hAnsi="Calibri" w:cs="Calibri"/>
                <w:b/>
                <w:bCs/>
                <w:shadow/>
                <w:sz w:val="16"/>
                <w:szCs w:val="16"/>
                <w:lang w:eastAsia="sr-Latn-CS"/>
              </w:rPr>
              <w:t>115.7</w:t>
            </w:r>
          </w:p>
        </w:tc>
        <w:tc>
          <w:tcPr>
            <w:tcW w:w="45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b/>
                <w:bCs/>
                <w:shadow/>
                <w:sz w:val="16"/>
                <w:szCs w:val="16"/>
                <w:lang w:eastAsia="sr-Latn-CS"/>
              </w:rPr>
              <w:t>According to the plan of investment company "Montepranzo", the investment in the next five-year period is planned in</w:t>
            </w:r>
            <w:r>
              <w:rPr>
                <w:rFonts w:ascii="Calibri" w:hAnsi="Calibri" w:cs="Calibri"/>
                <w:b/>
                <w:bCs/>
                <w:shadow/>
                <w:sz w:val="16"/>
                <w:szCs w:val="16"/>
                <w:lang w:eastAsia="sr-Latn-CS"/>
              </w:rPr>
              <w:t xml:space="preserve"> the amount of 115,664,290 euro</w:t>
            </w:r>
            <w:r w:rsidRPr="00F63F72">
              <w:rPr>
                <w:rFonts w:ascii="Calibri" w:hAnsi="Calibri" w:cs="Calibri"/>
                <w:b/>
                <w:bCs/>
                <w:shadow/>
                <w:sz w:val="16"/>
                <w:szCs w:val="16"/>
                <w:lang w:eastAsia="sr-Latn-CS"/>
              </w:rPr>
              <w:t xml:space="preserve">. </w:t>
            </w:r>
            <w:r w:rsidRPr="00F63F72">
              <w:rPr>
                <w:rFonts w:ascii="Calibri" w:hAnsi="Calibri" w:cs="Calibri"/>
                <w:bCs/>
                <w:shadow/>
                <w:sz w:val="16"/>
                <w:szCs w:val="16"/>
                <w:lang w:eastAsia="sr-Latn-CS"/>
              </w:rPr>
              <w:t>The contract was signed in October 2012</w:t>
            </w:r>
            <w:r w:rsidRPr="00F63F72">
              <w:rPr>
                <w:rFonts w:ascii="Calibri" w:hAnsi="Calibri" w:cs="Calibri"/>
                <w:b/>
                <w:bCs/>
                <w:shadow/>
                <w:sz w:val="16"/>
                <w:szCs w:val="16"/>
                <w:lang w:eastAsia="sr-Latn-CS"/>
              </w:rPr>
              <w:t>;</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8,2</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14,0</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35,9</w:t>
            </w:r>
          </w:p>
        </w:tc>
        <w:tc>
          <w:tcPr>
            <w:tcW w:w="187" w:type="pct"/>
            <w:tcBorders>
              <w:top w:val="nil"/>
              <w:left w:val="nil"/>
              <w:bottom w:val="single" w:sz="4" w:space="0" w:color="auto"/>
              <w:right w:val="single" w:sz="4" w:space="0" w:color="auto"/>
            </w:tcBorders>
            <w:vAlign w:val="center"/>
          </w:tcPr>
          <w:p w:rsidR="008D3E5E" w:rsidRPr="00F63F72" w:rsidRDefault="008D3E5E" w:rsidP="004C45D3">
            <w:pPr>
              <w:jc w:val="right"/>
              <w:rPr>
                <w:rFonts w:ascii="Calibri" w:hAnsi="Calibri" w:cs="Calibri"/>
                <w:sz w:val="16"/>
                <w:szCs w:val="16"/>
                <w:lang w:eastAsia="sr-Latn-CS"/>
              </w:rPr>
            </w:pPr>
            <w:r w:rsidRPr="00F63F72">
              <w:rPr>
                <w:rFonts w:ascii="Calibri" w:hAnsi="Calibri" w:cs="Calibri"/>
                <w:sz w:val="16"/>
                <w:szCs w:val="16"/>
                <w:lang w:eastAsia="sr-Latn-CS"/>
              </w:rPr>
              <w:t xml:space="preserve">34.48                 </w:t>
            </w:r>
          </w:p>
        </w:tc>
        <w:tc>
          <w:tcPr>
            <w:tcW w:w="185" w:type="pct"/>
            <w:tcBorders>
              <w:top w:val="nil"/>
              <w:left w:val="nil"/>
              <w:bottom w:val="single" w:sz="4" w:space="0" w:color="auto"/>
              <w:right w:val="single" w:sz="4" w:space="0" w:color="auto"/>
            </w:tcBorders>
            <w:vAlign w:val="center"/>
          </w:tcPr>
          <w:p w:rsidR="008D3E5E" w:rsidRPr="00F63F72" w:rsidRDefault="008D3E5E" w:rsidP="004C45D3">
            <w:pPr>
              <w:jc w:val="right"/>
              <w:rPr>
                <w:rFonts w:ascii="Calibri" w:hAnsi="Calibri" w:cs="Calibri"/>
                <w:sz w:val="16"/>
                <w:szCs w:val="16"/>
                <w:lang w:eastAsia="sr-Latn-CS"/>
              </w:rPr>
            </w:pPr>
            <w:r w:rsidRPr="00F63F72">
              <w:rPr>
                <w:rFonts w:ascii="Calibri" w:hAnsi="Calibri" w:cs="Calibri"/>
                <w:sz w:val="16"/>
                <w:szCs w:val="16"/>
                <w:lang w:eastAsia="sr-Latn-CS"/>
              </w:rPr>
              <w:t>23,1</w:t>
            </w:r>
          </w:p>
        </w:tc>
        <w:tc>
          <w:tcPr>
            <w:tcW w:w="626"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672"/>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13</w:t>
            </w:r>
          </w:p>
        </w:tc>
        <w:tc>
          <w:tcPr>
            <w:tcW w:w="58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Queen`s Beach - Dubovica</w:t>
            </w:r>
          </w:p>
        </w:tc>
        <w:tc>
          <w:tcPr>
            <w:tcW w:w="42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Negotiations with the first-ranked bidder in progress</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4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2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202,0</w:t>
            </w:r>
          </w:p>
        </w:tc>
        <w:tc>
          <w:tcPr>
            <w:tcW w:w="45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27,4</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41,7</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50,1</w:t>
            </w:r>
          </w:p>
        </w:tc>
        <w:tc>
          <w:tcPr>
            <w:tcW w:w="187" w:type="pct"/>
            <w:tcBorders>
              <w:top w:val="nil"/>
              <w:left w:val="nil"/>
              <w:bottom w:val="single" w:sz="4" w:space="0" w:color="auto"/>
              <w:right w:val="single" w:sz="4" w:space="0" w:color="auto"/>
            </w:tcBorders>
            <w:noWrap/>
            <w:vAlign w:val="center"/>
          </w:tcPr>
          <w:p w:rsidR="008D3E5E" w:rsidRPr="00F63F72" w:rsidRDefault="008D3E5E" w:rsidP="004C45D3">
            <w:pPr>
              <w:jc w:val="right"/>
              <w:rPr>
                <w:rFonts w:ascii="Calibri" w:hAnsi="Calibri" w:cs="Calibri"/>
                <w:sz w:val="16"/>
                <w:szCs w:val="16"/>
                <w:lang w:eastAsia="sr-Latn-CS"/>
              </w:rPr>
            </w:pPr>
            <w:r w:rsidRPr="00F63F72">
              <w:rPr>
                <w:rFonts w:ascii="Calibri" w:hAnsi="Calibri" w:cs="Calibri"/>
                <w:sz w:val="16"/>
                <w:szCs w:val="16"/>
                <w:lang w:eastAsia="sr-Latn-CS"/>
              </w:rPr>
              <w:t>5,4</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626"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49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14</w:t>
            </w:r>
          </w:p>
        </w:tc>
        <w:tc>
          <w:tcPr>
            <w:tcW w:w="58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Kondo hotel with the addition in Petrovac</w:t>
            </w:r>
          </w:p>
        </w:tc>
        <w:tc>
          <w:tcPr>
            <w:tcW w:w="42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Zetagradnja - Ljetopis DOO</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2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8,6</w:t>
            </w:r>
          </w:p>
        </w:tc>
        <w:tc>
          <w:tcPr>
            <w:tcW w:w="45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Building permit issued on 30.01.2012</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7"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626"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49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15</w:t>
            </w:r>
          </w:p>
        </w:tc>
        <w:tc>
          <w:tcPr>
            <w:tcW w:w="58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Spa centre 0 Queen`s Beach˝, Miločer</w:t>
            </w:r>
          </w:p>
        </w:tc>
        <w:tc>
          <w:tcPr>
            <w:tcW w:w="42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HTP ˝Miločer˝DOO</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2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5,2</w:t>
            </w:r>
          </w:p>
        </w:tc>
        <w:tc>
          <w:tcPr>
            <w:tcW w:w="45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Building permit issued on 27.04.2012</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7"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626"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29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16</w:t>
            </w:r>
          </w:p>
        </w:tc>
        <w:tc>
          <w:tcPr>
            <w:tcW w:w="58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Hotel ˝12 mjeseci˝ in Bar</w:t>
            </w:r>
          </w:p>
        </w:tc>
        <w:tc>
          <w:tcPr>
            <w:tcW w:w="42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˝12 mjeseci˝</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2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3,4</w:t>
            </w:r>
          </w:p>
        </w:tc>
        <w:tc>
          <w:tcPr>
            <w:tcW w:w="45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7"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626"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456"/>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17</w:t>
            </w:r>
          </w:p>
        </w:tc>
        <w:tc>
          <w:tcPr>
            <w:tcW w:w="58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Reconstruction of the Hotel ˝Budva˝ in Budva</w:t>
            </w:r>
          </w:p>
        </w:tc>
        <w:tc>
          <w:tcPr>
            <w:tcW w:w="42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˝UNIPROM˝ DOO</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2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3,0</w:t>
            </w:r>
          </w:p>
        </w:tc>
        <w:tc>
          <w:tcPr>
            <w:tcW w:w="45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Building permit issued on 16.10.2012</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right"/>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7"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626"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290"/>
        </w:trPr>
        <w:tc>
          <w:tcPr>
            <w:tcW w:w="4374" w:type="pct"/>
            <w:gridSpan w:val="14"/>
            <w:tcBorders>
              <w:top w:val="single" w:sz="4" w:space="0" w:color="auto"/>
              <w:left w:val="single" w:sz="4" w:space="0" w:color="auto"/>
              <w:bottom w:val="single" w:sz="4" w:space="0" w:color="auto"/>
              <w:right w:val="single" w:sz="4" w:space="0" w:color="000000"/>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Investor STAR OF MONTENEGRO filed an application to this Ministry on 1 February 2013 for the building permit to build the hotel and tourist facility in Ulcinj 01.02.2013 and the investor was issued a decision on suspension on 29.03.2013 because of the fee for land development - utilities.</w:t>
            </w:r>
          </w:p>
        </w:tc>
        <w:tc>
          <w:tcPr>
            <w:tcW w:w="626"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290"/>
        </w:trPr>
        <w:tc>
          <w:tcPr>
            <w:tcW w:w="4189" w:type="pct"/>
            <w:gridSpan w:val="13"/>
            <w:tcBorders>
              <w:top w:val="single" w:sz="4" w:space="0" w:color="auto"/>
              <w:left w:val="single" w:sz="4" w:space="0" w:color="auto"/>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INDUSTRY</w:t>
            </w:r>
          </w:p>
        </w:tc>
        <w:tc>
          <w:tcPr>
            <w:tcW w:w="18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62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r>
      <w:tr w:rsidR="008D3E5E" w:rsidRPr="00F63F72" w:rsidTr="004C45D3">
        <w:trPr>
          <w:trHeight w:val="29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18</w:t>
            </w:r>
          </w:p>
        </w:tc>
        <w:tc>
          <w:tcPr>
            <w:tcW w:w="58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Investments in „Tosčelik Nikšić</w:t>
            </w:r>
          </w:p>
        </w:tc>
        <w:tc>
          <w:tcPr>
            <w:tcW w:w="42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TOSYALI Group</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4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29"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35,0</w:t>
            </w:r>
          </w:p>
        </w:tc>
        <w:tc>
          <w:tcPr>
            <w:tcW w:w="45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1,0</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5,5</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6,5</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8,4</w:t>
            </w:r>
          </w:p>
        </w:tc>
        <w:tc>
          <w:tcPr>
            <w:tcW w:w="187" w:type="pct"/>
            <w:tcBorders>
              <w:top w:val="nil"/>
              <w:left w:val="nil"/>
              <w:bottom w:val="single" w:sz="4" w:space="0" w:color="auto"/>
              <w:right w:val="single" w:sz="4" w:space="0" w:color="auto"/>
            </w:tcBorders>
            <w:noWrap/>
            <w:vAlign w:val="center"/>
          </w:tcPr>
          <w:p w:rsidR="008D3E5E" w:rsidRPr="00F63F72" w:rsidRDefault="008D3E5E" w:rsidP="004C45D3">
            <w:pPr>
              <w:jc w:val="right"/>
              <w:rPr>
                <w:rFonts w:ascii="Calibri" w:hAnsi="Calibri" w:cs="Calibri"/>
                <w:sz w:val="16"/>
                <w:szCs w:val="16"/>
                <w:lang w:eastAsia="sr-Latn-CS"/>
              </w:rPr>
            </w:pPr>
            <w:r w:rsidRPr="00F63F72">
              <w:rPr>
                <w:rFonts w:ascii="Calibri" w:hAnsi="Calibri" w:cs="Calibri"/>
                <w:sz w:val="16"/>
                <w:szCs w:val="16"/>
                <w:lang w:eastAsia="sr-Latn-CS"/>
              </w:rPr>
              <w:t>8,3</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626"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r>
    </w:tbl>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tbl>
      <w:tblPr>
        <w:tblW w:w="5012" w:type="pct"/>
        <w:tblCellMar>
          <w:left w:w="70" w:type="dxa"/>
          <w:right w:w="70" w:type="dxa"/>
        </w:tblCellMar>
        <w:tblLook w:val="00A0"/>
      </w:tblPr>
      <w:tblGrid>
        <w:gridCol w:w="471"/>
        <w:gridCol w:w="1858"/>
        <w:gridCol w:w="1352"/>
        <w:gridCol w:w="972"/>
        <w:gridCol w:w="1093"/>
        <w:gridCol w:w="1131"/>
        <w:gridCol w:w="1688"/>
        <w:gridCol w:w="935"/>
        <w:gridCol w:w="788"/>
        <w:gridCol w:w="576"/>
        <w:gridCol w:w="576"/>
        <w:gridCol w:w="576"/>
        <w:gridCol w:w="579"/>
        <w:gridCol w:w="576"/>
        <w:gridCol w:w="2405"/>
      </w:tblGrid>
      <w:tr w:rsidR="008D3E5E" w:rsidRPr="00F63F72" w:rsidTr="004C45D3">
        <w:trPr>
          <w:trHeight w:val="290"/>
        </w:trPr>
        <w:tc>
          <w:tcPr>
            <w:tcW w:w="151"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No.</w:t>
            </w:r>
          </w:p>
        </w:tc>
        <w:tc>
          <w:tcPr>
            <w:tcW w:w="596"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PROJECT</w:t>
            </w:r>
          </w:p>
        </w:tc>
        <w:tc>
          <w:tcPr>
            <w:tcW w:w="434"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Investor</w:t>
            </w:r>
          </w:p>
        </w:tc>
        <w:tc>
          <w:tcPr>
            <w:tcW w:w="1026" w:type="pct"/>
            <w:gridSpan w:val="3"/>
            <w:tcBorders>
              <w:top w:val="single" w:sz="4" w:space="0" w:color="auto"/>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Type of investment</w:t>
            </w:r>
          </w:p>
        </w:tc>
        <w:tc>
          <w:tcPr>
            <w:tcW w:w="1836" w:type="pct"/>
            <w:gridSpan w:val="7"/>
            <w:tcBorders>
              <w:top w:val="single" w:sz="4" w:space="0" w:color="auto"/>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 million €</w:t>
            </w:r>
          </w:p>
        </w:tc>
        <w:tc>
          <w:tcPr>
            <w:tcW w:w="185" w:type="pct"/>
            <w:tcBorders>
              <w:top w:val="single" w:sz="4" w:space="0" w:color="auto"/>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772" w:type="pct"/>
            <w:tcBorders>
              <w:top w:val="single" w:sz="4" w:space="0" w:color="auto"/>
              <w:left w:val="nil"/>
              <w:bottom w:val="single" w:sz="4" w:space="0" w:color="auto"/>
              <w:right w:val="single" w:sz="4" w:space="0" w:color="auto"/>
            </w:tcBorders>
            <w:noWrap/>
            <w:vAlign w:val="center"/>
          </w:tcPr>
          <w:p w:rsidR="008D3E5E" w:rsidRPr="00F63F72" w:rsidRDefault="008D3E5E" w:rsidP="004C45D3">
            <w:pPr>
              <w:rPr>
                <w:rFonts w:ascii="Calibri" w:hAnsi="Calibri" w:cs="Calibri"/>
                <w:color w:val="FF0000"/>
                <w:sz w:val="16"/>
                <w:szCs w:val="16"/>
                <w:lang w:eastAsia="sr-Latn-CS"/>
              </w:rPr>
            </w:pPr>
            <w:r w:rsidRPr="00F63F72">
              <w:rPr>
                <w:rFonts w:ascii="Calibri" w:hAnsi="Calibri" w:cs="Calibri"/>
                <w:color w:val="FF0000"/>
                <w:sz w:val="16"/>
                <w:szCs w:val="16"/>
                <w:lang w:eastAsia="sr-Latn-CS"/>
              </w:rPr>
              <w:t> </w:t>
            </w:r>
          </w:p>
        </w:tc>
      </w:tr>
      <w:tr w:rsidR="008D3E5E" w:rsidRPr="00F63F72" w:rsidTr="004C45D3">
        <w:trPr>
          <w:trHeight w:val="730"/>
        </w:trPr>
        <w:tc>
          <w:tcPr>
            <w:tcW w:w="151"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596"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434"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312"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Greenfield</w:t>
            </w:r>
          </w:p>
        </w:tc>
        <w:tc>
          <w:tcPr>
            <w:tcW w:w="351"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Privatization</w:t>
            </w:r>
          </w:p>
        </w:tc>
        <w:tc>
          <w:tcPr>
            <w:tcW w:w="363"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Public-private partnership</w:t>
            </w:r>
          </w:p>
        </w:tc>
        <w:tc>
          <w:tcPr>
            <w:tcW w:w="542"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Project completion</w:t>
            </w:r>
          </w:p>
        </w:tc>
        <w:tc>
          <w:tcPr>
            <w:tcW w:w="300"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Total investment value</w:t>
            </w:r>
          </w:p>
        </w:tc>
        <w:tc>
          <w:tcPr>
            <w:tcW w:w="253"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Invested to date</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2013</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2014</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2015</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2016</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2017</w:t>
            </w:r>
          </w:p>
        </w:tc>
        <w:tc>
          <w:tcPr>
            <w:tcW w:w="772"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Investments envisaged under planning documents for individual locations</w:t>
            </w:r>
          </w:p>
        </w:tc>
      </w:tr>
      <w:tr w:rsidR="008D3E5E" w:rsidRPr="00F63F72" w:rsidTr="004C45D3">
        <w:trPr>
          <w:trHeight w:val="290"/>
        </w:trPr>
        <w:tc>
          <w:tcPr>
            <w:tcW w:w="2207" w:type="pct"/>
            <w:gridSpan w:val="6"/>
            <w:tcBorders>
              <w:top w:val="single" w:sz="4" w:space="0" w:color="auto"/>
              <w:left w:val="single" w:sz="4" w:space="0" w:color="auto"/>
              <w:bottom w:val="single" w:sz="4" w:space="0" w:color="auto"/>
              <w:right w:val="single" w:sz="4" w:space="0" w:color="000000"/>
            </w:tcBorders>
            <w:vAlign w:val="center"/>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ENERGY</w:t>
            </w:r>
          </w:p>
        </w:tc>
        <w:tc>
          <w:tcPr>
            <w:tcW w:w="542"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2251" w:type="pct"/>
            <w:gridSpan w:val="8"/>
            <w:tcBorders>
              <w:top w:val="single" w:sz="4" w:space="0" w:color="auto"/>
              <w:left w:val="nil"/>
              <w:bottom w:val="single" w:sz="4" w:space="0" w:color="auto"/>
              <w:right w:val="single" w:sz="4" w:space="0" w:color="000000"/>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r>
      <w:tr w:rsidR="008D3E5E" w:rsidRPr="00F63F72" w:rsidTr="004C45D3">
        <w:trPr>
          <w:trHeight w:val="73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19</w:t>
            </w:r>
          </w:p>
        </w:tc>
        <w:tc>
          <w:tcPr>
            <w:tcW w:w="59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HVDC undersea interconnection cable Montenegro - Italy</w:t>
            </w:r>
          </w:p>
        </w:tc>
        <w:tc>
          <w:tcPr>
            <w:tcW w:w="43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TERNA – Rete Elettrica Nazionale S.p.A.</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5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2016</w:t>
            </w:r>
          </w:p>
        </w:tc>
        <w:tc>
          <w:tcPr>
            <w:tcW w:w="300"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bookmarkStart w:id="1" w:name="RANGE!I7"/>
            <w:bookmarkEnd w:id="1"/>
            <w:r w:rsidRPr="00F63F72">
              <w:rPr>
                <w:rFonts w:ascii="Calibri" w:hAnsi="Calibri" w:cs="Calibri"/>
                <w:sz w:val="16"/>
                <w:szCs w:val="16"/>
                <w:lang w:eastAsia="sr-Latn-CS"/>
              </w:rPr>
              <w:t>200,00 [1]</w:t>
            </w:r>
          </w:p>
        </w:tc>
        <w:tc>
          <w:tcPr>
            <w:tcW w:w="25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7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758 million €</w:t>
            </w:r>
          </w:p>
        </w:tc>
      </w:tr>
      <w:tr w:rsidR="008D3E5E" w:rsidRPr="00F63F72" w:rsidTr="004C45D3">
        <w:trPr>
          <w:trHeight w:val="73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w:t>
            </w:r>
          </w:p>
        </w:tc>
        <w:tc>
          <w:tcPr>
            <w:tcW w:w="59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Bistrica-right tributary of Lim</w:t>
            </w:r>
          </w:p>
        </w:tc>
        <w:tc>
          <w:tcPr>
            <w:tcW w:w="43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"Haider extrem energy" d.o.o. Podgorica</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5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2013</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24,0</w:t>
            </w:r>
          </w:p>
        </w:tc>
        <w:tc>
          <w:tcPr>
            <w:tcW w:w="25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14,4</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9,6</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7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49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21</w:t>
            </w:r>
          </w:p>
        </w:tc>
        <w:tc>
          <w:tcPr>
            <w:tcW w:w="59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Bistrica</w:t>
            </w:r>
          </w:p>
        </w:tc>
        <w:tc>
          <w:tcPr>
            <w:tcW w:w="43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"Hidroenergija" d.o.o., Berane</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5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2014</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20,0</w:t>
            </w:r>
          </w:p>
        </w:tc>
        <w:tc>
          <w:tcPr>
            <w:tcW w:w="25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5,0</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11,0</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4,0</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7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49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22</w:t>
            </w:r>
          </w:p>
        </w:tc>
        <w:tc>
          <w:tcPr>
            <w:tcW w:w="59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Šekularska</w:t>
            </w:r>
          </w:p>
        </w:tc>
        <w:tc>
          <w:tcPr>
            <w:tcW w:w="43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"Hidroenergija" d.o.o., Berane</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5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2014</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8,0</w:t>
            </w:r>
          </w:p>
        </w:tc>
        <w:tc>
          <w:tcPr>
            <w:tcW w:w="25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4,0</w:t>
            </w:r>
          </w:p>
        </w:tc>
        <w:tc>
          <w:tcPr>
            <w:tcW w:w="18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1,5</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7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49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23</w:t>
            </w:r>
          </w:p>
        </w:tc>
        <w:tc>
          <w:tcPr>
            <w:tcW w:w="59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Babinopoljska</w:t>
            </w:r>
          </w:p>
        </w:tc>
        <w:tc>
          <w:tcPr>
            <w:tcW w:w="43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"Kroling" d.o.o., Danilovgrad</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5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2014</w:t>
            </w:r>
          </w:p>
        </w:tc>
        <w:tc>
          <w:tcPr>
            <w:tcW w:w="30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9,0</w:t>
            </w:r>
          </w:p>
        </w:tc>
        <w:tc>
          <w:tcPr>
            <w:tcW w:w="25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3,0</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4,0</w:t>
            </w:r>
          </w:p>
        </w:tc>
        <w:tc>
          <w:tcPr>
            <w:tcW w:w="18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7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73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24</w:t>
            </w:r>
          </w:p>
        </w:tc>
        <w:tc>
          <w:tcPr>
            <w:tcW w:w="59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Bjelojevićka</w:t>
            </w:r>
          </w:p>
        </w:tc>
        <w:tc>
          <w:tcPr>
            <w:tcW w:w="43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"Haider extrem energy" d.o.o. Podgorica</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5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2013</w:t>
            </w:r>
          </w:p>
        </w:tc>
        <w:tc>
          <w:tcPr>
            <w:tcW w:w="30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15,0</w:t>
            </w:r>
          </w:p>
        </w:tc>
        <w:tc>
          <w:tcPr>
            <w:tcW w:w="25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7,0</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8,0</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7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49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25</w:t>
            </w:r>
          </w:p>
        </w:tc>
        <w:tc>
          <w:tcPr>
            <w:tcW w:w="59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Crnja</w:t>
            </w:r>
          </w:p>
        </w:tc>
        <w:tc>
          <w:tcPr>
            <w:tcW w:w="43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"Dekar" d.o.o., Podgorica</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5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2013</w:t>
            </w:r>
          </w:p>
        </w:tc>
        <w:tc>
          <w:tcPr>
            <w:tcW w:w="30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6,0</w:t>
            </w:r>
          </w:p>
        </w:tc>
        <w:tc>
          <w:tcPr>
            <w:tcW w:w="25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2,5</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3,5</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7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73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26</w:t>
            </w:r>
          </w:p>
        </w:tc>
        <w:tc>
          <w:tcPr>
            <w:tcW w:w="59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Grlja</w:t>
            </w:r>
          </w:p>
        </w:tc>
        <w:tc>
          <w:tcPr>
            <w:tcW w:w="43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"ECG male hidroelektrane" d.o.o., Podgorica</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5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2013</w:t>
            </w:r>
          </w:p>
        </w:tc>
        <w:tc>
          <w:tcPr>
            <w:tcW w:w="30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3,7</w:t>
            </w:r>
          </w:p>
        </w:tc>
        <w:tc>
          <w:tcPr>
            <w:tcW w:w="253"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0,2</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3,5</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7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49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27</w:t>
            </w:r>
          </w:p>
        </w:tc>
        <w:tc>
          <w:tcPr>
            <w:tcW w:w="59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Zaslapnica</w:t>
            </w:r>
          </w:p>
        </w:tc>
        <w:tc>
          <w:tcPr>
            <w:tcW w:w="43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"Bast" d.o.o., Nikšić</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5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2013</w:t>
            </w:r>
          </w:p>
        </w:tc>
        <w:tc>
          <w:tcPr>
            <w:tcW w:w="30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2,4</w:t>
            </w:r>
          </w:p>
        </w:tc>
        <w:tc>
          <w:tcPr>
            <w:tcW w:w="253"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0,1</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2,3</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7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490"/>
        </w:trPr>
        <w:tc>
          <w:tcPr>
            <w:tcW w:w="15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28</w:t>
            </w:r>
          </w:p>
        </w:tc>
        <w:tc>
          <w:tcPr>
            <w:tcW w:w="596"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xml:space="preserve">Construction of a small hydro power plant on watercourse Trepačka </w:t>
            </w:r>
            <w:r w:rsidRPr="00F63F72">
              <w:rPr>
                <w:rFonts w:ascii="Calibri" w:hAnsi="Calibri" w:cs="Calibri"/>
                <w:shadow/>
                <w:sz w:val="16"/>
                <w:szCs w:val="16"/>
                <w:lang w:eastAsia="sr-Latn-CS"/>
              </w:rPr>
              <w:lastRenderedPageBreak/>
              <w:t>Rijeka</w:t>
            </w:r>
          </w:p>
        </w:tc>
        <w:tc>
          <w:tcPr>
            <w:tcW w:w="43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lastRenderedPageBreak/>
              <w:t xml:space="preserve">Consortium "Dekar-Hidro" </w:t>
            </w:r>
          </w:p>
        </w:tc>
        <w:tc>
          <w:tcPr>
            <w:tcW w:w="31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5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5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2014</w:t>
            </w:r>
          </w:p>
        </w:tc>
        <w:tc>
          <w:tcPr>
            <w:tcW w:w="30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17,8</w:t>
            </w:r>
          </w:p>
        </w:tc>
        <w:tc>
          <w:tcPr>
            <w:tcW w:w="25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4,0</w:t>
            </w:r>
          </w:p>
        </w:tc>
        <w:tc>
          <w:tcPr>
            <w:tcW w:w="185"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8,5</w:t>
            </w:r>
          </w:p>
        </w:tc>
        <w:tc>
          <w:tcPr>
            <w:tcW w:w="18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5,3</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85"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7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bl>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p w:rsidR="008D3E5E" w:rsidRPr="00F63F72" w:rsidRDefault="008D3E5E" w:rsidP="008D3E5E">
      <w:pPr>
        <w:pStyle w:val="ListParagraph"/>
        <w:ind w:left="360"/>
        <w:rPr>
          <w:rFonts w:cs="Calibri"/>
          <w:highlight w:val="yellow"/>
        </w:rPr>
      </w:pPr>
    </w:p>
    <w:tbl>
      <w:tblPr>
        <w:tblW w:w="5000" w:type="pct"/>
        <w:tblCellMar>
          <w:left w:w="70" w:type="dxa"/>
          <w:right w:w="70" w:type="dxa"/>
        </w:tblCellMar>
        <w:tblLook w:val="00A0"/>
      </w:tblPr>
      <w:tblGrid>
        <w:gridCol w:w="582"/>
        <w:gridCol w:w="2608"/>
        <w:gridCol w:w="1433"/>
        <w:gridCol w:w="864"/>
        <w:gridCol w:w="980"/>
        <w:gridCol w:w="967"/>
        <w:gridCol w:w="2434"/>
        <w:gridCol w:w="1273"/>
        <w:gridCol w:w="830"/>
        <w:gridCol w:w="429"/>
        <w:gridCol w:w="429"/>
        <w:gridCol w:w="386"/>
        <w:gridCol w:w="389"/>
        <w:gridCol w:w="386"/>
        <w:gridCol w:w="1549"/>
      </w:tblGrid>
      <w:tr w:rsidR="008D3E5E" w:rsidRPr="00F63F72" w:rsidTr="004C45D3">
        <w:trPr>
          <w:trHeight w:val="290"/>
        </w:trPr>
        <w:tc>
          <w:tcPr>
            <w:tcW w:w="191"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No.</w:t>
            </w:r>
          </w:p>
        </w:tc>
        <w:tc>
          <w:tcPr>
            <w:tcW w:w="843"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PROJECT</w:t>
            </w:r>
          </w:p>
        </w:tc>
        <w:tc>
          <w:tcPr>
            <w:tcW w:w="465"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Investor</w:t>
            </w:r>
          </w:p>
        </w:tc>
        <w:tc>
          <w:tcPr>
            <w:tcW w:w="912" w:type="pct"/>
            <w:gridSpan w:val="3"/>
            <w:tcBorders>
              <w:top w:val="single" w:sz="4" w:space="0" w:color="auto"/>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Type of investment</w:t>
            </w:r>
          </w:p>
        </w:tc>
        <w:tc>
          <w:tcPr>
            <w:tcW w:w="1959" w:type="pct"/>
            <w:gridSpan w:val="7"/>
            <w:tcBorders>
              <w:top w:val="single" w:sz="4" w:space="0" w:color="auto"/>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 million €</w:t>
            </w:r>
          </w:p>
        </w:tc>
        <w:tc>
          <w:tcPr>
            <w:tcW w:w="128" w:type="pct"/>
            <w:tcBorders>
              <w:top w:val="single" w:sz="4" w:space="0" w:color="auto"/>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502" w:type="pct"/>
            <w:tcBorders>
              <w:top w:val="single" w:sz="4" w:space="0" w:color="auto"/>
              <w:left w:val="nil"/>
              <w:bottom w:val="single" w:sz="4" w:space="0" w:color="auto"/>
              <w:right w:val="single" w:sz="4" w:space="0" w:color="auto"/>
            </w:tcBorders>
            <w:noWrap/>
            <w:vAlign w:val="center"/>
          </w:tcPr>
          <w:p w:rsidR="008D3E5E" w:rsidRPr="00F63F72" w:rsidRDefault="008D3E5E" w:rsidP="004C45D3">
            <w:pPr>
              <w:rPr>
                <w:rFonts w:ascii="Calibri" w:hAnsi="Calibri" w:cs="Calibri"/>
                <w:color w:val="FF0000"/>
                <w:sz w:val="16"/>
                <w:szCs w:val="16"/>
                <w:lang w:eastAsia="sr-Latn-CS"/>
              </w:rPr>
            </w:pPr>
            <w:r w:rsidRPr="00F63F72">
              <w:rPr>
                <w:rFonts w:ascii="Calibri" w:hAnsi="Calibri" w:cs="Calibri"/>
                <w:color w:val="FF0000"/>
                <w:sz w:val="16"/>
                <w:szCs w:val="16"/>
                <w:lang w:eastAsia="sr-Latn-CS"/>
              </w:rPr>
              <w:t> </w:t>
            </w:r>
          </w:p>
        </w:tc>
      </w:tr>
      <w:tr w:rsidR="008D3E5E" w:rsidRPr="00F63F72" w:rsidTr="004C45D3">
        <w:trPr>
          <w:trHeight w:val="915"/>
        </w:trPr>
        <w:tc>
          <w:tcPr>
            <w:tcW w:w="191"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843"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465"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282"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Greenfield</w:t>
            </w:r>
          </w:p>
        </w:tc>
        <w:tc>
          <w:tcPr>
            <w:tcW w:w="315"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Privatization</w:t>
            </w:r>
          </w:p>
        </w:tc>
        <w:tc>
          <w:tcPr>
            <w:tcW w:w="314"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Public-private partnership</w:t>
            </w:r>
          </w:p>
        </w:tc>
        <w:tc>
          <w:tcPr>
            <w:tcW w:w="787"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Project completion</w:t>
            </w:r>
          </w:p>
        </w:tc>
        <w:tc>
          <w:tcPr>
            <w:tcW w:w="360"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Total investment value</w:t>
            </w:r>
          </w:p>
        </w:tc>
        <w:tc>
          <w:tcPr>
            <w:tcW w:w="271"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Invested to date</w:t>
            </w:r>
          </w:p>
        </w:tc>
        <w:tc>
          <w:tcPr>
            <w:tcW w:w="142" w:type="pct"/>
            <w:tcBorders>
              <w:top w:val="nil"/>
              <w:left w:val="nil"/>
              <w:bottom w:val="single" w:sz="4" w:space="0" w:color="auto"/>
              <w:right w:val="single" w:sz="4" w:space="0" w:color="auto"/>
            </w:tcBorders>
            <w:noWrap/>
            <w:tcMar>
              <w:left w:w="0" w:type="dxa"/>
              <w:right w:w="57" w:type="dxa"/>
            </w:tcMar>
            <w:vAlign w:val="center"/>
          </w:tcPr>
          <w:p w:rsidR="008D3E5E" w:rsidRPr="00F63F72" w:rsidRDefault="008D3E5E" w:rsidP="004C45D3">
            <w:pPr>
              <w:jc w:val="center"/>
              <w:rPr>
                <w:rFonts w:ascii="Calibri" w:hAnsi="Calibri" w:cs="Calibri"/>
                <w:bCs/>
                <w:shadow/>
                <w:sz w:val="16"/>
                <w:szCs w:val="16"/>
                <w:lang w:eastAsia="sr-Latn-CS"/>
              </w:rPr>
            </w:pPr>
            <w:r w:rsidRPr="00F63F72">
              <w:rPr>
                <w:rFonts w:ascii="Calibri" w:hAnsi="Calibri" w:cs="Calibri"/>
                <w:bCs/>
                <w:shadow/>
                <w:sz w:val="16"/>
                <w:szCs w:val="16"/>
                <w:lang w:eastAsia="sr-Latn-CS"/>
              </w:rPr>
              <w:t>2013</w:t>
            </w:r>
          </w:p>
        </w:tc>
        <w:tc>
          <w:tcPr>
            <w:tcW w:w="142" w:type="pct"/>
            <w:tcBorders>
              <w:top w:val="nil"/>
              <w:left w:val="nil"/>
              <w:bottom w:val="single" w:sz="4" w:space="0" w:color="auto"/>
              <w:right w:val="single" w:sz="4" w:space="0" w:color="auto"/>
            </w:tcBorders>
            <w:noWrap/>
            <w:tcMar>
              <w:left w:w="0" w:type="dxa"/>
              <w:right w:w="57" w:type="dxa"/>
            </w:tcMar>
            <w:vAlign w:val="center"/>
          </w:tcPr>
          <w:p w:rsidR="008D3E5E" w:rsidRPr="00F63F72" w:rsidRDefault="008D3E5E" w:rsidP="004C45D3">
            <w:pPr>
              <w:jc w:val="center"/>
              <w:rPr>
                <w:rFonts w:ascii="Calibri" w:hAnsi="Calibri" w:cs="Calibri"/>
                <w:bCs/>
                <w:shadow/>
                <w:sz w:val="16"/>
                <w:szCs w:val="16"/>
                <w:lang w:eastAsia="sr-Latn-CS"/>
              </w:rPr>
            </w:pPr>
            <w:r w:rsidRPr="00F63F72">
              <w:rPr>
                <w:rFonts w:ascii="Calibri" w:hAnsi="Calibri" w:cs="Calibri"/>
                <w:bCs/>
                <w:shadow/>
                <w:sz w:val="16"/>
                <w:szCs w:val="16"/>
                <w:lang w:eastAsia="sr-Latn-CS"/>
              </w:rPr>
              <w:t>2014</w:t>
            </w:r>
          </w:p>
        </w:tc>
        <w:tc>
          <w:tcPr>
            <w:tcW w:w="128" w:type="pct"/>
            <w:tcBorders>
              <w:top w:val="nil"/>
              <w:left w:val="nil"/>
              <w:bottom w:val="single" w:sz="4" w:space="0" w:color="auto"/>
              <w:right w:val="single" w:sz="4" w:space="0" w:color="auto"/>
            </w:tcBorders>
            <w:noWrap/>
            <w:tcMar>
              <w:left w:w="0" w:type="dxa"/>
              <w:right w:w="57" w:type="dxa"/>
            </w:tcMar>
            <w:vAlign w:val="center"/>
          </w:tcPr>
          <w:p w:rsidR="008D3E5E" w:rsidRPr="00F63F72" w:rsidRDefault="008D3E5E" w:rsidP="004C45D3">
            <w:pPr>
              <w:jc w:val="center"/>
              <w:rPr>
                <w:rFonts w:ascii="Calibri" w:hAnsi="Calibri" w:cs="Calibri"/>
                <w:bCs/>
                <w:shadow/>
                <w:sz w:val="16"/>
                <w:szCs w:val="16"/>
                <w:lang w:eastAsia="sr-Latn-CS"/>
              </w:rPr>
            </w:pPr>
            <w:r w:rsidRPr="00F63F72">
              <w:rPr>
                <w:rFonts w:ascii="Calibri" w:hAnsi="Calibri" w:cs="Calibri"/>
                <w:bCs/>
                <w:shadow/>
                <w:sz w:val="16"/>
                <w:szCs w:val="16"/>
                <w:lang w:eastAsia="sr-Latn-CS"/>
              </w:rPr>
              <w:t>2015</w:t>
            </w:r>
          </w:p>
        </w:tc>
        <w:tc>
          <w:tcPr>
            <w:tcW w:w="128" w:type="pct"/>
            <w:tcBorders>
              <w:top w:val="nil"/>
              <w:left w:val="nil"/>
              <w:bottom w:val="single" w:sz="4" w:space="0" w:color="auto"/>
              <w:right w:val="single" w:sz="4" w:space="0" w:color="auto"/>
            </w:tcBorders>
            <w:noWrap/>
            <w:tcMar>
              <w:left w:w="0" w:type="dxa"/>
              <w:right w:w="57" w:type="dxa"/>
            </w:tcMar>
            <w:vAlign w:val="center"/>
          </w:tcPr>
          <w:p w:rsidR="008D3E5E" w:rsidRPr="00F63F72" w:rsidRDefault="008D3E5E" w:rsidP="004C45D3">
            <w:pPr>
              <w:jc w:val="center"/>
              <w:rPr>
                <w:rFonts w:ascii="Calibri" w:hAnsi="Calibri" w:cs="Calibri"/>
                <w:bCs/>
                <w:sz w:val="16"/>
                <w:szCs w:val="16"/>
                <w:lang w:eastAsia="sr-Latn-CS"/>
              </w:rPr>
            </w:pPr>
            <w:r w:rsidRPr="00F63F72">
              <w:rPr>
                <w:rFonts w:ascii="Calibri" w:hAnsi="Calibri" w:cs="Calibri"/>
                <w:bCs/>
                <w:sz w:val="16"/>
                <w:szCs w:val="16"/>
                <w:lang w:eastAsia="sr-Latn-CS"/>
              </w:rPr>
              <w:t>2016</w:t>
            </w:r>
          </w:p>
        </w:tc>
        <w:tc>
          <w:tcPr>
            <w:tcW w:w="128" w:type="pct"/>
            <w:tcBorders>
              <w:top w:val="nil"/>
              <w:left w:val="nil"/>
              <w:bottom w:val="single" w:sz="4" w:space="0" w:color="auto"/>
              <w:right w:val="single" w:sz="4" w:space="0" w:color="auto"/>
            </w:tcBorders>
            <w:noWrap/>
            <w:tcMar>
              <w:left w:w="0" w:type="dxa"/>
              <w:right w:w="57" w:type="dxa"/>
            </w:tcMar>
            <w:vAlign w:val="center"/>
          </w:tcPr>
          <w:p w:rsidR="008D3E5E" w:rsidRPr="00F63F72" w:rsidRDefault="008D3E5E" w:rsidP="004C45D3">
            <w:pPr>
              <w:jc w:val="center"/>
              <w:rPr>
                <w:rFonts w:ascii="Calibri" w:hAnsi="Calibri" w:cs="Calibri"/>
                <w:bCs/>
                <w:sz w:val="16"/>
                <w:szCs w:val="16"/>
                <w:lang w:eastAsia="sr-Latn-CS"/>
              </w:rPr>
            </w:pPr>
            <w:r w:rsidRPr="00F63F72">
              <w:rPr>
                <w:rFonts w:ascii="Calibri" w:hAnsi="Calibri" w:cs="Calibri"/>
                <w:bCs/>
                <w:sz w:val="16"/>
                <w:szCs w:val="16"/>
                <w:lang w:eastAsia="sr-Latn-CS"/>
              </w:rPr>
              <w:t>2017</w:t>
            </w:r>
          </w:p>
        </w:tc>
        <w:tc>
          <w:tcPr>
            <w:tcW w:w="502"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Investments envisaged under planning documents for individual locations</w:t>
            </w:r>
          </w:p>
        </w:tc>
      </w:tr>
      <w:tr w:rsidR="008D3E5E" w:rsidRPr="00F63F72" w:rsidTr="004C45D3">
        <w:trPr>
          <w:trHeight w:val="490"/>
        </w:trPr>
        <w:tc>
          <w:tcPr>
            <w:tcW w:w="19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29</w:t>
            </w:r>
          </w:p>
        </w:tc>
        <w:tc>
          <w:tcPr>
            <w:tcW w:w="84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Tušina</w:t>
            </w:r>
          </w:p>
        </w:tc>
        <w:tc>
          <w:tcPr>
            <w:tcW w:w="46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"Kroling" d.o.o., Danilovgrad</w:t>
            </w:r>
          </w:p>
        </w:tc>
        <w:tc>
          <w:tcPr>
            <w:tcW w:w="28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1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78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2014</w:t>
            </w:r>
          </w:p>
        </w:tc>
        <w:tc>
          <w:tcPr>
            <w:tcW w:w="36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12,7</w:t>
            </w:r>
          </w:p>
        </w:tc>
        <w:tc>
          <w:tcPr>
            <w:tcW w:w="27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0,1</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7,0</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5,6</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730"/>
        </w:trPr>
        <w:tc>
          <w:tcPr>
            <w:tcW w:w="19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30</w:t>
            </w:r>
          </w:p>
        </w:tc>
        <w:tc>
          <w:tcPr>
            <w:tcW w:w="84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Murinska rijeka</w:t>
            </w:r>
          </w:p>
        </w:tc>
        <w:tc>
          <w:tcPr>
            <w:tcW w:w="46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Consortium "Elektrotehna-Radius"</w:t>
            </w:r>
          </w:p>
        </w:tc>
        <w:tc>
          <w:tcPr>
            <w:tcW w:w="28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1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78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2014</w:t>
            </w:r>
          </w:p>
        </w:tc>
        <w:tc>
          <w:tcPr>
            <w:tcW w:w="36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5,1</w:t>
            </w:r>
          </w:p>
        </w:tc>
        <w:tc>
          <w:tcPr>
            <w:tcW w:w="27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0,1</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3,0</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490"/>
        </w:trPr>
        <w:tc>
          <w:tcPr>
            <w:tcW w:w="19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31</w:t>
            </w:r>
          </w:p>
        </w:tc>
        <w:tc>
          <w:tcPr>
            <w:tcW w:w="84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Komarača</w:t>
            </w:r>
          </w:p>
        </w:tc>
        <w:tc>
          <w:tcPr>
            <w:tcW w:w="46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"Kroling" d.o.o., Danilovgrad</w:t>
            </w:r>
          </w:p>
        </w:tc>
        <w:tc>
          <w:tcPr>
            <w:tcW w:w="28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1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78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2014</w:t>
            </w:r>
          </w:p>
        </w:tc>
        <w:tc>
          <w:tcPr>
            <w:tcW w:w="36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6,1</w:t>
            </w:r>
          </w:p>
        </w:tc>
        <w:tc>
          <w:tcPr>
            <w:tcW w:w="27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0,1</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3,5</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2,5</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231"/>
        </w:trPr>
        <w:tc>
          <w:tcPr>
            <w:tcW w:w="19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32</w:t>
            </w:r>
          </w:p>
        </w:tc>
        <w:tc>
          <w:tcPr>
            <w:tcW w:w="84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Raštak</w:t>
            </w:r>
          </w:p>
        </w:tc>
        <w:tc>
          <w:tcPr>
            <w:tcW w:w="46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"Kolenergy" d.o.o., Kolašin</w:t>
            </w:r>
          </w:p>
        </w:tc>
        <w:tc>
          <w:tcPr>
            <w:tcW w:w="28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78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2013</w:t>
            </w:r>
          </w:p>
        </w:tc>
        <w:tc>
          <w:tcPr>
            <w:tcW w:w="36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1,2</w:t>
            </w:r>
          </w:p>
        </w:tc>
        <w:tc>
          <w:tcPr>
            <w:tcW w:w="27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0,2</w:t>
            </w:r>
          </w:p>
        </w:tc>
        <w:tc>
          <w:tcPr>
            <w:tcW w:w="1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1,0</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328"/>
        </w:trPr>
        <w:tc>
          <w:tcPr>
            <w:tcW w:w="19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33</w:t>
            </w:r>
          </w:p>
        </w:tc>
        <w:tc>
          <w:tcPr>
            <w:tcW w:w="84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Vrelo</w:t>
            </w:r>
          </w:p>
        </w:tc>
        <w:tc>
          <w:tcPr>
            <w:tcW w:w="46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xml:space="preserve">"Synergy" d.o.o., </w:t>
            </w:r>
          </w:p>
        </w:tc>
        <w:tc>
          <w:tcPr>
            <w:tcW w:w="28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1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78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2013</w:t>
            </w:r>
          </w:p>
        </w:tc>
        <w:tc>
          <w:tcPr>
            <w:tcW w:w="36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1,2</w:t>
            </w:r>
          </w:p>
        </w:tc>
        <w:tc>
          <w:tcPr>
            <w:tcW w:w="27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0,2</w:t>
            </w:r>
          </w:p>
        </w:tc>
        <w:tc>
          <w:tcPr>
            <w:tcW w:w="1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1,0</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590"/>
        </w:trPr>
        <w:tc>
          <w:tcPr>
            <w:tcW w:w="19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34</w:t>
            </w:r>
          </w:p>
        </w:tc>
        <w:tc>
          <w:tcPr>
            <w:tcW w:w="84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Construction of a small hydro power plant on watercourse without a name in the river basin of Gornje Morace</w:t>
            </w:r>
          </w:p>
        </w:tc>
        <w:tc>
          <w:tcPr>
            <w:tcW w:w="46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"Dekar" d.o.o., Podgorica</w:t>
            </w:r>
          </w:p>
        </w:tc>
        <w:tc>
          <w:tcPr>
            <w:tcW w:w="28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1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78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2013</w:t>
            </w:r>
          </w:p>
        </w:tc>
        <w:tc>
          <w:tcPr>
            <w:tcW w:w="360"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1,2</w:t>
            </w:r>
          </w:p>
        </w:tc>
        <w:tc>
          <w:tcPr>
            <w:tcW w:w="271"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0,2</w:t>
            </w:r>
          </w:p>
        </w:tc>
        <w:tc>
          <w:tcPr>
            <w:tcW w:w="14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1,0</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76"/>
        </w:trPr>
        <w:tc>
          <w:tcPr>
            <w:tcW w:w="19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35</w:t>
            </w:r>
          </w:p>
        </w:tc>
        <w:tc>
          <w:tcPr>
            <w:tcW w:w="84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xml:space="preserve">Construction of a wind farm on the Krnovo site </w:t>
            </w:r>
          </w:p>
        </w:tc>
        <w:tc>
          <w:tcPr>
            <w:tcW w:w="46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Consortium "MHI-IVICOM"</w:t>
            </w:r>
          </w:p>
        </w:tc>
        <w:tc>
          <w:tcPr>
            <w:tcW w:w="28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1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78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2014</w:t>
            </w:r>
          </w:p>
        </w:tc>
        <w:tc>
          <w:tcPr>
            <w:tcW w:w="36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110,0</w:t>
            </w:r>
          </w:p>
        </w:tc>
        <w:tc>
          <w:tcPr>
            <w:tcW w:w="271"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20,0</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60,0</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30,0</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490"/>
        </w:trPr>
        <w:tc>
          <w:tcPr>
            <w:tcW w:w="191" w:type="pc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36</w:t>
            </w:r>
          </w:p>
        </w:tc>
        <w:tc>
          <w:tcPr>
            <w:tcW w:w="843"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xml:space="preserve">Construction of a wind farm on the Možura site </w:t>
            </w:r>
          </w:p>
        </w:tc>
        <w:tc>
          <w:tcPr>
            <w:tcW w:w="46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Consortium "Fersa-Čelebić"</w:t>
            </w:r>
          </w:p>
        </w:tc>
        <w:tc>
          <w:tcPr>
            <w:tcW w:w="282"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15"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4"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787" w:type="pct"/>
            <w:tcBorders>
              <w:top w:val="nil"/>
              <w:left w:val="nil"/>
              <w:bottom w:val="single" w:sz="4" w:space="0" w:color="auto"/>
              <w:right w:val="single" w:sz="4" w:space="0" w:color="auto"/>
            </w:tcBorders>
            <w:shd w:val="clear" w:color="000000" w:fill="FFFFFF"/>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2013</w:t>
            </w:r>
          </w:p>
        </w:tc>
        <w:tc>
          <w:tcPr>
            <w:tcW w:w="36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70,0</w:t>
            </w:r>
          </w:p>
        </w:tc>
        <w:tc>
          <w:tcPr>
            <w:tcW w:w="271"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15,0</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55,0</w:t>
            </w:r>
          </w:p>
        </w:tc>
        <w:tc>
          <w:tcPr>
            <w:tcW w:w="142"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290"/>
        </w:trPr>
        <w:tc>
          <w:tcPr>
            <w:tcW w:w="191" w:type="pct"/>
            <w:vMerge w:val="restar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37</w:t>
            </w:r>
          </w:p>
        </w:tc>
        <w:tc>
          <w:tcPr>
            <w:tcW w:w="843" w:type="pct"/>
            <w:vMerge w:val="restart"/>
            <w:tcBorders>
              <w:top w:val="nil"/>
              <w:left w:val="single" w:sz="4" w:space="0" w:color="auto"/>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Coal  mine “Maoče” and construction of thermal power plant of 500MW power</w:t>
            </w:r>
          </w:p>
        </w:tc>
        <w:tc>
          <w:tcPr>
            <w:tcW w:w="465" w:type="pct"/>
            <w:vMerge w:val="restart"/>
            <w:tcBorders>
              <w:top w:val="nil"/>
              <w:left w:val="single" w:sz="4" w:space="0" w:color="auto"/>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282" w:type="pct"/>
            <w:vMerge w:val="restart"/>
            <w:tcBorders>
              <w:top w:val="nil"/>
              <w:left w:val="single" w:sz="4" w:space="0" w:color="auto"/>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15" w:type="pct"/>
            <w:vMerge w:val="restart"/>
            <w:tcBorders>
              <w:top w:val="nil"/>
              <w:left w:val="single" w:sz="4" w:space="0" w:color="auto"/>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14" w:type="pct"/>
            <w:vMerge w:val="restart"/>
            <w:tcBorders>
              <w:top w:val="nil"/>
              <w:left w:val="single" w:sz="4" w:space="0" w:color="auto"/>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87" w:type="pct"/>
            <w:vMerge w:val="restart"/>
            <w:tcBorders>
              <w:top w:val="nil"/>
              <w:left w:val="single" w:sz="4" w:space="0" w:color="auto"/>
              <w:bottom w:val="single" w:sz="4" w:space="0" w:color="auto"/>
              <w:right w:val="single" w:sz="4" w:space="0" w:color="auto"/>
            </w:tcBorders>
            <w:shd w:val="clear" w:color="000000" w:fill="FFFFFF"/>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6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Estimate</w:t>
            </w:r>
          </w:p>
        </w:tc>
        <w:tc>
          <w:tcPr>
            <w:tcW w:w="271" w:type="pct"/>
            <w:vMerge w:val="restar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42" w:type="pct"/>
            <w:vMerge w:val="restar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42" w:type="pct"/>
            <w:vMerge w:val="restart"/>
            <w:tcBorders>
              <w:top w:val="nil"/>
              <w:left w:val="single" w:sz="4" w:space="0" w:color="auto"/>
              <w:bottom w:val="single" w:sz="4" w:space="0" w:color="auto"/>
              <w:right w:val="single" w:sz="4" w:space="0" w:color="auto"/>
            </w:tcBorders>
            <w:shd w:val="clear" w:color="000000" w:fill="FFFFFF"/>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200"/>
        </w:trPr>
        <w:tc>
          <w:tcPr>
            <w:tcW w:w="191"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p>
        </w:tc>
        <w:tc>
          <w:tcPr>
            <w:tcW w:w="843"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p>
        </w:tc>
        <w:tc>
          <w:tcPr>
            <w:tcW w:w="465"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282"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315"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314"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787"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360" w:type="pct"/>
            <w:tcBorders>
              <w:top w:val="nil"/>
              <w:left w:val="nil"/>
              <w:bottom w:val="single" w:sz="4" w:space="0" w:color="auto"/>
              <w:right w:val="single" w:sz="4" w:space="0" w:color="auto"/>
            </w:tcBorders>
            <w:shd w:val="clear" w:color="000000" w:fill="FFFFFF"/>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400-500 million €</w:t>
            </w:r>
          </w:p>
        </w:tc>
        <w:tc>
          <w:tcPr>
            <w:tcW w:w="271"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142"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142"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128"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128"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128"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n/a</w:t>
            </w:r>
          </w:p>
        </w:tc>
      </w:tr>
      <w:tr w:rsidR="008D3E5E" w:rsidRPr="00F63F72" w:rsidTr="004C45D3">
        <w:trPr>
          <w:trHeight w:val="179"/>
        </w:trPr>
        <w:tc>
          <w:tcPr>
            <w:tcW w:w="4241" w:type="pct"/>
            <w:gridSpan w:val="12"/>
            <w:tcBorders>
              <w:top w:val="single" w:sz="4" w:space="0" w:color="auto"/>
              <w:left w:val="single" w:sz="4" w:space="0" w:color="auto"/>
              <w:bottom w:val="single" w:sz="4" w:space="0" w:color="auto"/>
              <w:right w:val="single" w:sz="4" w:space="0" w:color="auto"/>
            </w:tcBorders>
            <w:noWrap/>
            <w:vAlign w:val="center"/>
          </w:tcPr>
          <w:p w:rsidR="008D3E5E" w:rsidRPr="00F63F72" w:rsidRDefault="008D3E5E" w:rsidP="004C45D3">
            <w:pPr>
              <w:rPr>
                <w:rFonts w:ascii="Calibri" w:hAnsi="Calibri" w:cs="Calibri"/>
                <w:b/>
                <w:bCs/>
                <w:shadow/>
                <w:sz w:val="16"/>
                <w:szCs w:val="16"/>
                <w:lang w:eastAsia="sr-Latn-CS"/>
              </w:rPr>
            </w:pPr>
            <w:r w:rsidRPr="00F63F72">
              <w:rPr>
                <w:rFonts w:ascii="Calibri" w:hAnsi="Calibri" w:cs="Calibri"/>
                <w:b/>
                <w:bCs/>
                <w:shadow/>
                <w:sz w:val="16"/>
                <w:szCs w:val="16"/>
                <w:lang w:eastAsia="sr-Latn-CS"/>
              </w:rPr>
              <w:t>TRANSPORT</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290"/>
        </w:trPr>
        <w:tc>
          <w:tcPr>
            <w:tcW w:w="191"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38</w:t>
            </w:r>
          </w:p>
        </w:tc>
        <w:tc>
          <w:tcPr>
            <w:tcW w:w="843" w:type="pct"/>
            <w:vMerge w:val="restart"/>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Container Terminal General Cargo Bar</w:t>
            </w:r>
          </w:p>
        </w:tc>
        <w:tc>
          <w:tcPr>
            <w:tcW w:w="465" w:type="pct"/>
            <w:vMerge w:val="restart"/>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Tender under way</w:t>
            </w:r>
          </w:p>
        </w:tc>
        <w:tc>
          <w:tcPr>
            <w:tcW w:w="282" w:type="pct"/>
            <w:vMerge w:val="restart"/>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15" w:type="pct"/>
            <w:vMerge w:val="restart"/>
            <w:tcBorders>
              <w:top w:val="nil"/>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x</w:t>
            </w:r>
          </w:p>
        </w:tc>
        <w:tc>
          <w:tcPr>
            <w:tcW w:w="314" w:type="pct"/>
            <w:vMerge w:val="restart"/>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787" w:type="pct"/>
            <w:vMerge w:val="restart"/>
            <w:tcBorders>
              <w:top w:val="nil"/>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2013</w:t>
            </w:r>
          </w:p>
        </w:tc>
        <w:tc>
          <w:tcPr>
            <w:tcW w:w="360"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about 10-20</w:t>
            </w:r>
          </w:p>
        </w:tc>
        <w:tc>
          <w:tcPr>
            <w:tcW w:w="271"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8,5</w:t>
            </w:r>
          </w:p>
        </w:tc>
        <w:tc>
          <w:tcPr>
            <w:tcW w:w="142"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42"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vMerge w:val="restart"/>
            <w:tcBorders>
              <w:top w:val="nil"/>
              <w:left w:val="single" w:sz="4" w:space="0" w:color="auto"/>
              <w:bottom w:val="single" w:sz="4" w:space="0" w:color="auto"/>
              <w:right w:val="single" w:sz="4" w:space="0" w:color="auto"/>
            </w:tcBorders>
            <w:noWrap/>
            <w:vAlign w:val="center"/>
          </w:tcPr>
          <w:p w:rsidR="008D3E5E" w:rsidRPr="00F63F72" w:rsidRDefault="008D3E5E" w:rsidP="004C45D3">
            <w:pPr>
              <w:jc w:val="cente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290"/>
        </w:trPr>
        <w:tc>
          <w:tcPr>
            <w:tcW w:w="191"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p>
        </w:tc>
        <w:tc>
          <w:tcPr>
            <w:tcW w:w="843"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p>
        </w:tc>
        <w:tc>
          <w:tcPr>
            <w:tcW w:w="465"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p>
        </w:tc>
        <w:tc>
          <w:tcPr>
            <w:tcW w:w="282"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315"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p>
        </w:tc>
        <w:tc>
          <w:tcPr>
            <w:tcW w:w="314"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787"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p>
        </w:tc>
        <w:tc>
          <w:tcPr>
            <w:tcW w:w="360"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p>
        </w:tc>
        <w:tc>
          <w:tcPr>
            <w:tcW w:w="271"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p>
        </w:tc>
        <w:tc>
          <w:tcPr>
            <w:tcW w:w="142"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142"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128"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128"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128" w:type="pct"/>
            <w:vMerge/>
            <w:tcBorders>
              <w:top w:val="nil"/>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290"/>
        </w:trPr>
        <w:tc>
          <w:tcPr>
            <w:tcW w:w="191" w:type="pct"/>
            <w:tcBorders>
              <w:top w:val="nil"/>
              <w:left w:val="single" w:sz="4" w:space="0" w:color="auto"/>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39</w:t>
            </w:r>
          </w:p>
        </w:tc>
        <w:tc>
          <w:tcPr>
            <w:tcW w:w="843"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bookmarkStart w:id="2" w:name="RANGE!C19"/>
            <w:bookmarkEnd w:id="2"/>
            <w:r w:rsidRPr="00F63F72">
              <w:rPr>
                <w:rFonts w:ascii="Calibri" w:hAnsi="Calibri" w:cs="Calibri"/>
                <w:sz w:val="16"/>
                <w:szCs w:val="16"/>
                <w:lang w:eastAsia="sr-Latn-CS"/>
              </w:rPr>
              <w:t>Port of Bar[2]</w:t>
            </w:r>
          </w:p>
        </w:tc>
        <w:tc>
          <w:tcPr>
            <w:tcW w:w="465"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82"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5"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4"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787"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60"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271"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42"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42"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28"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502"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r>
    </w:tbl>
    <w:p w:rsidR="008D3E5E" w:rsidRPr="00F63F72" w:rsidRDefault="008D3E5E" w:rsidP="008D3E5E"/>
    <w:p w:rsidR="008D3E5E" w:rsidRPr="00F63F72" w:rsidRDefault="008D3E5E" w:rsidP="008D3E5E"/>
    <w:tbl>
      <w:tblPr>
        <w:tblW w:w="5000" w:type="pct"/>
        <w:tblCellMar>
          <w:left w:w="70" w:type="dxa"/>
          <w:right w:w="70" w:type="dxa"/>
        </w:tblCellMar>
        <w:tblLook w:val="00A0"/>
      </w:tblPr>
      <w:tblGrid>
        <w:gridCol w:w="608"/>
        <w:gridCol w:w="2861"/>
        <w:gridCol w:w="1471"/>
        <w:gridCol w:w="926"/>
        <w:gridCol w:w="1080"/>
        <w:gridCol w:w="1022"/>
        <w:gridCol w:w="2596"/>
        <w:gridCol w:w="883"/>
        <w:gridCol w:w="705"/>
        <w:gridCol w:w="160"/>
        <w:gridCol w:w="307"/>
        <w:gridCol w:w="461"/>
        <w:gridCol w:w="503"/>
        <w:gridCol w:w="503"/>
        <w:gridCol w:w="503"/>
        <w:gridCol w:w="950"/>
      </w:tblGrid>
      <w:tr w:rsidR="008D3E5E" w:rsidRPr="00F63F72" w:rsidTr="004C45D3">
        <w:trPr>
          <w:trHeight w:val="290"/>
        </w:trPr>
        <w:tc>
          <w:tcPr>
            <w:tcW w:w="185"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No.</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PROJECT</w:t>
            </w:r>
          </w:p>
        </w:tc>
        <w:tc>
          <w:tcPr>
            <w:tcW w:w="448" w:type="pct"/>
            <w:vMerge w:val="restart"/>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Investor</w:t>
            </w:r>
          </w:p>
        </w:tc>
        <w:tc>
          <w:tcPr>
            <w:tcW w:w="922" w:type="pct"/>
            <w:gridSpan w:val="3"/>
            <w:tcBorders>
              <w:top w:val="single" w:sz="4" w:space="0" w:color="auto"/>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Type of investment</w:t>
            </w:r>
          </w:p>
        </w:tc>
        <w:tc>
          <w:tcPr>
            <w:tcW w:w="2049" w:type="pct"/>
            <w:gridSpan w:val="8"/>
            <w:tcBorders>
              <w:top w:val="single" w:sz="4" w:space="0" w:color="auto"/>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 million €</w:t>
            </w:r>
          </w:p>
        </w:tc>
        <w:tc>
          <w:tcPr>
            <w:tcW w:w="170" w:type="pct"/>
            <w:tcBorders>
              <w:top w:val="single" w:sz="4" w:space="0" w:color="auto"/>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 </w:t>
            </w:r>
          </w:p>
        </w:tc>
        <w:tc>
          <w:tcPr>
            <w:tcW w:w="354" w:type="pct"/>
            <w:tcBorders>
              <w:top w:val="single" w:sz="4" w:space="0" w:color="auto"/>
              <w:left w:val="nil"/>
              <w:bottom w:val="single" w:sz="4" w:space="0" w:color="auto"/>
              <w:right w:val="single" w:sz="4" w:space="0" w:color="auto"/>
            </w:tcBorders>
            <w:noWrap/>
            <w:vAlign w:val="center"/>
          </w:tcPr>
          <w:p w:rsidR="008D3E5E" w:rsidRPr="00F63F72" w:rsidRDefault="008D3E5E" w:rsidP="004C45D3">
            <w:pPr>
              <w:rPr>
                <w:rFonts w:ascii="Calibri" w:hAnsi="Calibri" w:cs="Calibri"/>
                <w:color w:val="FF0000"/>
                <w:sz w:val="16"/>
                <w:szCs w:val="16"/>
                <w:lang w:eastAsia="sr-Latn-CS"/>
              </w:rPr>
            </w:pPr>
            <w:r w:rsidRPr="00F63F72">
              <w:rPr>
                <w:rFonts w:ascii="Calibri" w:hAnsi="Calibri" w:cs="Calibri"/>
                <w:color w:val="FF0000"/>
                <w:sz w:val="16"/>
                <w:szCs w:val="16"/>
                <w:lang w:eastAsia="sr-Latn-CS"/>
              </w:rPr>
              <w:t> </w:t>
            </w:r>
          </w:p>
        </w:tc>
      </w:tr>
      <w:tr w:rsidR="008D3E5E" w:rsidRPr="00F63F72" w:rsidTr="004C45D3">
        <w:trPr>
          <w:trHeight w:val="730"/>
        </w:trPr>
        <w:tc>
          <w:tcPr>
            <w:tcW w:w="185"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872"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448" w:type="pct"/>
            <w:vMerge/>
            <w:tcBorders>
              <w:top w:val="single" w:sz="4" w:space="0" w:color="auto"/>
              <w:left w:val="single" w:sz="4" w:space="0" w:color="auto"/>
              <w:bottom w:val="single" w:sz="4" w:space="0" w:color="auto"/>
              <w:right w:val="single" w:sz="4" w:space="0" w:color="auto"/>
            </w:tcBorders>
            <w:vAlign w:val="center"/>
          </w:tcPr>
          <w:p w:rsidR="008D3E5E" w:rsidRPr="00F63F72" w:rsidRDefault="008D3E5E" w:rsidP="004C45D3">
            <w:pPr>
              <w:rPr>
                <w:rFonts w:ascii="Calibri" w:hAnsi="Calibri" w:cs="Calibri"/>
                <w:b/>
                <w:bCs/>
                <w:shadow/>
                <w:sz w:val="16"/>
                <w:szCs w:val="16"/>
                <w:lang w:eastAsia="sr-Latn-CS"/>
              </w:rPr>
            </w:pPr>
          </w:p>
        </w:tc>
        <w:tc>
          <w:tcPr>
            <w:tcW w:w="282"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Greenfield</w:t>
            </w:r>
          </w:p>
        </w:tc>
        <w:tc>
          <w:tcPr>
            <w:tcW w:w="329"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Privatization</w:t>
            </w:r>
          </w:p>
        </w:tc>
        <w:tc>
          <w:tcPr>
            <w:tcW w:w="311"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Public-private partnership</w:t>
            </w:r>
          </w:p>
        </w:tc>
        <w:tc>
          <w:tcPr>
            <w:tcW w:w="791"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Project completion</w:t>
            </w:r>
          </w:p>
        </w:tc>
        <w:tc>
          <w:tcPr>
            <w:tcW w:w="299"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Total investment value</w:t>
            </w:r>
          </w:p>
        </w:tc>
        <w:tc>
          <w:tcPr>
            <w:tcW w:w="270"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Invested to date</w:t>
            </w:r>
          </w:p>
        </w:tc>
        <w:tc>
          <w:tcPr>
            <w:tcW w:w="182" w:type="pct"/>
            <w:gridSpan w:val="2"/>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2013</w:t>
            </w:r>
          </w:p>
        </w:tc>
        <w:tc>
          <w:tcPr>
            <w:tcW w:w="166"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2014</w:t>
            </w:r>
          </w:p>
        </w:tc>
        <w:tc>
          <w:tcPr>
            <w:tcW w:w="170"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hadow/>
                <w:sz w:val="16"/>
                <w:szCs w:val="16"/>
                <w:lang w:eastAsia="sr-Latn-CS"/>
              </w:rPr>
            </w:pPr>
            <w:r w:rsidRPr="00F63F72">
              <w:rPr>
                <w:rFonts w:ascii="Calibri" w:hAnsi="Calibri" w:cs="Calibri"/>
                <w:b/>
                <w:bCs/>
                <w:shadow/>
                <w:sz w:val="16"/>
                <w:szCs w:val="16"/>
                <w:lang w:eastAsia="sr-Latn-CS"/>
              </w:rPr>
              <w:t>2015.</w:t>
            </w:r>
          </w:p>
        </w:tc>
        <w:tc>
          <w:tcPr>
            <w:tcW w:w="170"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2016.</w:t>
            </w:r>
          </w:p>
        </w:tc>
        <w:tc>
          <w:tcPr>
            <w:tcW w:w="170"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2017.</w:t>
            </w:r>
          </w:p>
        </w:tc>
        <w:tc>
          <w:tcPr>
            <w:tcW w:w="354"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jc w:val="center"/>
              <w:rPr>
                <w:rFonts w:ascii="Calibri" w:hAnsi="Calibri" w:cs="Calibri"/>
                <w:b/>
                <w:bCs/>
                <w:sz w:val="16"/>
                <w:szCs w:val="16"/>
                <w:lang w:eastAsia="sr-Latn-CS"/>
              </w:rPr>
            </w:pPr>
            <w:r w:rsidRPr="00F63F72">
              <w:rPr>
                <w:rFonts w:ascii="Calibri" w:hAnsi="Calibri" w:cs="Calibri"/>
                <w:b/>
                <w:bCs/>
                <w:sz w:val="16"/>
                <w:szCs w:val="16"/>
                <w:lang w:eastAsia="sr-Latn-CS"/>
              </w:rPr>
              <w:t>Investments envisaged under planning documents for individual locations</w:t>
            </w:r>
          </w:p>
        </w:tc>
      </w:tr>
      <w:tr w:rsidR="008D3E5E" w:rsidRPr="00F63F72" w:rsidTr="004C45D3">
        <w:trPr>
          <w:trHeight w:val="1200"/>
        </w:trPr>
        <w:tc>
          <w:tcPr>
            <w:tcW w:w="185" w:type="pct"/>
            <w:tcBorders>
              <w:top w:val="nil"/>
              <w:left w:val="single" w:sz="4" w:space="0" w:color="auto"/>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40</w:t>
            </w:r>
          </w:p>
        </w:tc>
        <w:tc>
          <w:tcPr>
            <w:tcW w:w="872"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xml:space="preserve">Construction of the road and the bridge over the river Tara to connect the main road Kolašin-Mateševo with </w:t>
            </w:r>
            <w:r w:rsidRPr="00F63F72">
              <w:rPr>
                <w:rFonts w:ascii="Arial Unicode MS" w:eastAsia="Arial Unicode MS" w:hAnsi="Arial Unicode MS" w:cs="Arial Unicode MS"/>
                <w:sz w:val="16"/>
                <w:szCs w:val="16"/>
                <w:lang w:eastAsia="sr-Latn-CS"/>
              </w:rPr>
              <w:t>​​</w:t>
            </w:r>
            <w:r w:rsidRPr="00F63F72">
              <w:rPr>
                <w:rFonts w:ascii="Calibri" w:hAnsi="Calibri" w:cs="Calibri"/>
                <w:sz w:val="16"/>
                <w:szCs w:val="16"/>
                <w:lang w:eastAsia="sr-Latn-CS"/>
              </w:rPr>
              <w:t>the Adriatic main road Podgorica - Bijelo Polje</w:t>
            </w:r>
          </w:p>
        </w:tc>
        <w:tc>
          <w:tcPr>
            <w:tcW w:w="448"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Transport Directorate</w:t>
            </w:r>
          </w:p>
        </w:tc>
        <w:tc>
          <w:tcPr>
            <w:tcW w:w="282"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29"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1"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791"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Project completed</w:t>
            </w:r>
          </w:p>
        </w:tc>
        <w:tc>
          <w:tcPr>
            <w:tcW w:w="299"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2,9</w:t>
            </w:r>
          </w:p>
        </w:tc>
        <w:tc>
          <w:tcPr>
            <w:tcW w:w="331" w:type="pct"/>
            <w:gridSpan w:val="2"/>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Issued use permit on  10.04.2013</w:t>
            </w:r>
          </w:p>
        </w:tc>
        <w:tc>
          <w:tcPr>
            <w:tcW w:w="121" w:type="pct"/>
            <w:tcBorders>
              <w:top w:val="nil"/>
              <w:left w:val="nil"/>
              <w:bottom w:val="single" w:sz="4" w:space="0" w:color="auto"/>
              <w:right w:val="single" w:sz="4" w:space="0" w:color="auto"/>
            </w:tcBorders>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66"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70"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70"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70"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54" w:type="pct"/>
            <w:tcBorders>
              <w:top w:val="nil"/>
              <w:left w:val="nil"/>
              <w:bottom w:val="single" w:sz="4" w:space="0" w:color="auto"/>
              <w:right w:val="single" w:sz="4" w:space="0" w:color="auto"/>
            </w:tcBorders>
            <w:shd w:val="clear" w:color="000000" w:fill="E6B9B8"/>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r>
      <w:tr w:rsidR="008D3E5E" w:rsidRPr="00F63F72" w:rsidTr="004C45D3">
        <w:trPr>
          <w:trHeight w:val="730"/>
        </w:trPr>
        <w:tc>
          <w:tcPr>
            <w:tcW w:w="185" w:type="pct"/>
            <w:tcBorders>
              <w:top w:val="nil"/>
              <w:left w:val="single" w:sz="4" w:space="0" w:color="auto"/>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41</w:t>
            </w:r>
          </w:p>
        </w:tc>
        <w:tc>
          <w:tcPr>
            <w:tcW w:w="872"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xml:space="preserve">Reconstruction of facilities – the regional  R-10 Slijepač Most – Pljevlja  Municipality of Bijelo Polje                 </w:t>
            </w:r>
          </w:p>
        </w:tc>
        <w:tc>
          <w:tcPr>
            <w:tcW w:w="448"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Transport Directorate</w:t>
            </w:r>
          </w:p>
        </w:tc>
        <w:tc>
          <w:tcPr>
            <w:tcW w:w="282"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29"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311"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791" w:type="pct"/>
            <w:tcBorders>
              <w:top w:val="nil"/>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End-2013. Work on the section Pavino Polje-Kovren are in progress.</w:t>
            </w:r>
          </w:p>
        </w:tc>
        <w:tc>
          <w:tcPr>
            <w:tcW w:w="299"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3,9</w:t>
            </w:r>
          </w:p>
        </w:tc>
        <w:tc>
          <w:tcPr>
            <w:tcW w:w="452" w:type="pct"/>
            <w:gridSpan w:val="3"/>
            <w:tcBorders>
              <w:top w:val="single" w:sz="4" w:space="0" w:color="auto"/>
              <w:left w:val="nil"/>
              <w:bottom w:val="single" w:sz="4" w:space="0" w:color="auto"/>
              <w:right w:val="single" w:sz="4" w:space="0" w:color="auto"/>
            </w:tcBorders>
            <w:vAlign w:val="center"/>
          </w:tcPr>
          <w:p w:rsidR="008D3E5E" w:rsidRPr="00F63F72" w:rsidRDefault="008D3E5E" w:rsidP="004C45D3">
            <w:pPr>
              <w:rPr>
                <w:rFonts w:ascii="Calibri" w:hAnsi="Calibri" w:cs="Calibri"/>
                <w:shadow/>
                <w:sz w:val="16"/>
                <w:szCs w:val="16"/>
                <w:lang w:eastAsia="sr-Latn-CS"/>
              </w:rPr>
            </w:pPr>
            <w:r w:rsidRPr="00F63F72">
              <w:rPr>
                <w:rFonts w:ascii="Calibri" w:hAnsi="Calibri" w:cs="Calibri"/>
                <w:shadow/>
                <w:sz w:val="16"/>
                <w:szCs w:val="16"/>
                <w:lang w:eastAsia="sr-Latn-CS"/>
              </w:rPr>
              <w:t>Paid advance of 10% of the contracted value</w:t>
            </w:r>
          </w:p>
        </w:tc>
        <w:tc>
          <w:tcPr>
            <w:tcW w:w="166"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70" w:type="pct"/>
            <w:tcBorders>
              <w:top w:val="nil"/>
              <w:left w:val="nil"/>
              <w:bottom w:val="single" w:sz="4" w:space="0" w:color="auto"/>
              <w:right w:val="single" w:sz="4" w:space="0" w:color="auto"/>
            </w:tcBorders>
            <w:noWrap/>
            <w:vAlign w:val="center"/>
          </w:tcPr>
          <w:p w:rsidR="008D3E5E" w:rsidRPr="00F63F72" w:rsidRDefault="008D3E5E" w:rsidP="004C45D3">
            <w:pPr>
              <w:jc w:val="center"/>
              <w:rPr>
                <w:rFonts w:ascii="Calibri" w:hAnsi="Calibri" w:cs="Calibri"/>
                <w:shadow/>
                <w:sz w:val="16"/>
                <w:szCs w:val="16"/>
                <w:lang w:eastAsia="sr-Latn-CS"/>
              </w:rPr>
            </w:pPr>
            <w:r w:rsidRPr="00F63F72">
              <w:rPr>
                <w:rFonts w:ascii="Calibri" w:hAnsi="Calibri" w:cs="Calibri"/>
                <w:shadow/>
                <w:sz w:val="16"/>
                <w:szCs w:val="16"/>
                <w:lang w:eastAsia="sr-Latn-CS"/>
              </w:rPr>
              <w:t> </w:t>
            </w:r>
          </w:p>
        </w:tc>
        <w:tc>
          <w:tcPr>
            <w:tcW w:w="170"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170" w:type="pct"/>
            <w:tcBorders>
              <w:top w:val="nil"/>
              <w:left w:val="nil"/>
              <w:bottom w:val="single" w:sz="4" w:space="0" w:color="auto"/>
              <w:right w:val="single" w:sz="4" w:space="0" w:color="auto"/>
            </w:tcBorders>
            <w:noWrap/>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 </w:t>
            </w:r>
          </w:p>
        </w:tc>
        <w:tc>
          <w:tcPr>
            <w:tcW w:w="354" w:type="pct"/>
            <w:tcBorders>
              <w:top w:val="nil"/>
              <w:left w:val="nil"/>
              <w:bottom w:val="single" w:sz="4" w:space="0" w:color="auto"/>
              <w:right w:val="single" w:sz="4" w:space="0" w:color="auto"/>
            </w:tcBorders>
            <w:shd w:val="clear" w:color="000000" w:fill="E6B9B8"/>
            <w:vAlign w:val="center"/>
          </w:tcPr>
          <w:p w:rsidR="008D3E5E" w:rsidRPr="00F63F72" w:rsidRDefault="008D3E5E" w:rsidP="004C45D3">
            <w:pPr>
              <w:rPr>
                <w:rFonts w:ascii="Calibri" w:hAnsi="Calibri" w:cs="Calibri"/>
                <w:sz w:val="16"/>
                <w:szCs w:val="16"/>
                <w:lang w:eastAsia="sr-Latn-CS"/>
              </w:rPr>
            </w:pPr>
            <w:r w:rsidRPr="00F63F72">
              <w:rPr>
                <w:rFonts w:ascii="Calibri" w:hAnsi="Calibri" w:cs="Calibri"/>
                <w:sz w:val="16"/>
                <w:szCs w:val="16"/>
                <w:lang w:eastAsia="sr-Latn-CS"/>
              </w:rPr>
              <w:t>Issued building permit for the investment worth 3,9million €</w:t>
            </w:r>
          </w:p>
        </w:tc>
      </w:tr>
      <w:tr w:rsidR="008D3E5E" w:rsidRPr="00F63F72" w:rsidTr="004C45D3">
        <w:trPr>
          <w:trHeight w:val="290"/>
        </w:trPr>
        <w:tc>
          <w:tcPr>
            <w:tcW w:w="3217" w:type="pct"/>
            <w:gridSpan w:val="7"/>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bookmarkStart w:id="3" w:name="RANGE!B8"/>
            <w:bookmarkEnd w:id="3"/>
            <w:r w:rsidRPr="00F63F72">
              <w:rPr>
                <w:rFonts w:ascii="Calibri" w:hAnsi="Calibri" w:cs="Calibri"/>
                <w:sz w:val="16"/>
                <w:szCs w:val="16"/>
                <w:lang w:eastAsia="sr-Latn-CS"/>
              </w:rPr>
              <w:t>[1] The estimated value of the project implemented in Montenegro amounts to some 200 million €, while the details by the years will be available at end-October.</w:t>
            </w:r>
          </w:p>
        </w:tc>
        <w:tc>
          <w:tcPr>
            <w:tcW w:w="299"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331" w:type="pct"/>
            <w:gridSpan w:val="2"/>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121"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166"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170"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170"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170"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354"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r>
      <w:tr w:rsidR="008D3E5E" w:rsidRPr="00F63F72" w:rsidTr="004C45D3">
        <w:trPr>
          <w:trHeight w:val="290"/>
        </w:trPr>
        <w:tc>
          <w:tcPr>
            <w:tcW w:w="3217" w:type="pct"/>
            <w:gridSpan w:val="7"/>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bookmarkStart w:id="4" w:name="RANGE!B9"/>
            <w:bookmarkEnd w:id="4"/>
            <w:r w:rsidRPr="00F63F72">
              <w:rPr>
                <w:rFonts w:ascii="Calibri" w:hAnsi="Calibri" w:cs="Calibri"/>
                <w:sz w:val="16"/>
                <w:szCs w:val="16"/>
                <w:lang w:eastAsia="sr-Latn-CS"/>
              </w:rPr>
              <w:t>[2] The type investment for the Port of Bar will be known afte</w:t>
            </w:r>
            <w:r>
              <w:rPr>
                <w:rFonts w:ascii="Calibri" w:hAnsi="Calibri" w:cs="Calibri"/>
                <w:sz w:val="16"/>
                <w:szCs w:val="16"/>
                <w:lang w:eastAsia="sr-Latn-CS"/>
              </w:rPr>
              <w:t>r the completion of the privatiz</w:t>
            </w:r>
            <w:r w:rsidRPr="00F63F72">
              <w:rPr>
                <w:rFonts w:ascii="Calibri" w:hAnsi="Calibri" w:cs="Calibri"/>
                <w:sz w:val="16"/>
                <w:szCs w:val="16"/>
                <w:lang w:eastAsia="sr-Latn-CS"/>
              </w:rPr>
              <w:t>ation of Container Terminal General Cargo Bar.</w:t>
            </w:r>
          </w:p>
        </w:tc>
        <w:tc>
          <w:tcPr>
            <w:tcW w:w="299"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331" w:type="pct"/>
            <w:gridSpan w:val="2"/>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121"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166"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170"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170"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170"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c>
          <w:tcPr>
            <w:tcW w:w="354" w:type="pct"/>
            <w:tcBorders>
              <w:top w:val="nil"/>
              <w:left w:val="nil"/>
              <w:bottom w:val="nil"/>
              <w:right w:val="nil"/>
            </w:tcBorders>
            <w:noWrap/>
            <w:vAlign w:val="center"/>
          </w:tcPr>
          <w:p w:rsidR="008D3E5E" w:rsidRPr="00F63F72" w:rsidRDefault="008D3E5E" w:rsidP="004C45D3">
            <w:pPr>
              <w:rPr>
                <w:rFonts w:ascii="Calibri" w:hAnsi="Calibri" w:cs="Calibri"/>
                <w:sz w:val="16"/>
                <w:szCs w:val="16"/>
                <w:lang w:eastAsia="sr-Latn-CS"/>
              </w:rPr>
            </w:pPr>
          </w:p>
        </w:tc>
      </w:tr>
    </w:tbl>
    <w:p w:rsidR="008D3E5E" w:rsidRPr="00F63F72" w:rsidRDefault="008D3E5E" w:rsidP="008D3E5E">
      <w:pPr>
        <w:pStyle w:val="ListParagraph"/>
        <w:ind w:left="360"/>
        <w:rPr>
          <w:rFonts w:cs="Calibri"/>
          <w:highlight w:val="yellow"/>
        </w:rPr>
      </w:pPr>
    </w:p>
    <w:p w:rsidR="008D3E5E" w:rsidRPr="00F63F72" w:rsidRDefault="008D3E5E" w:rsidP="008D3E5E">
      <w:pPr>
        <w:pStyle w:val="Default"/>
        <w:jc w:val="both"/>
        <w:rPr>
          <w:rFonts w:asciiTheme="minorHAnsi" w:hAnsiTheme="minorHAnsi" w:cstheme="minorHAnsi"/>
          <w:sz w:val="22"/>
          <w:szCs w:val="22"/>
        </w:rPr>
      </w:pPr>
    </w:p>
    <w:p w:rsidR="008D53EE" w:rsidRDefault="008D53EE"/>
    <w:sectPr w:rsidR="008D53EE" w:rsidSect="004C45D3">
      <w:pgSz w:w="16839" w:h="11907" w:orient="landscape" w:code="9"/>
      <w:pgMar w:top="1418" w:right="720" w:bottom="1134"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F9C" w:rsidRDefault="00B91F9C" w:rsidP="008D3E5E">
      <w:r>
        <w:separator/>
      </w:r>
    </w:p>
  </w:endnote>
  <w:endnote w:type="continuationSeparator" w:id="0">
    <w:p w:rsidR="00B91F9C" w:rsidRDefault="00B91F9C" w:rsidP="008D3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D3" w:rsidRDefault="00033B25">
    <w:pPr>
      <w:pStyle w:val="Footer"/>
    </w:pPr>
    <w:r w:rsidRPr="00115673">
      <w:rPr>
        <w:sz w:val="16"/>
      </w:rPr>
      <w:fldChar w:fldCharType="begin"/>
    </w:r>
    <w:r w:rsidR="004C45D3" w:rsidRPr="00115673">
      <w:rPr>
        <w:sz w:val="16"/>
      </w:rPr>
      <w:instrText xml:space="preserve"> PAGE   \* MERGEFORMAT </w:instrText>
    </w:r>
    <w:r w:rsidRPr="00115673">
      <w:rPr>
        <w:sz w:val="16"/>
      </w:rPr>
      <w:fldChar w:fldCharType="separate"/>
    </w:r>
    <w:r w:rsidR="0002734E">
      <w:rPr>
        <w:noProof/>
        <w:sz w:val="16"/>
      </w:rPr>
      <w:t>17</w:t>
    </w:r>
    <w:r w:rsidRPr="00115673">
      <w:rPr>
        <w:sz w:val="16"/>
      </w:rPr>
      <w:fldChar w:fldCharType="end"/>
    </w:r>
  </w:p>
  <w:p w:rsidR="004C45D3" w:rsidRDefault="004C45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D3" w:rsidRDefault="004C45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D3" w:rsidRDefault="004C45D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D3" w:rsidRDefault="004C4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F9C" w:rsidRDefault="00B91F9C" w:rsidP="008D3E5E">
      <w:r>
        <w:separator/>
      </w:r>
    </w:p>
  </w:footnote>
  <w:footnote w:type="continuationSeparator" w:id="0">
    <w:p w:rsidR="00B91F9C" w:rsidRDefault="00B91F9C" w:rsidP="008D3E5E">
      <w:r>
        <w:continuationSeparator/>
      </w:r>
    </w:p>
  </w:footnote>
  <w:footnote w:id="1">
    <w:p w:rsidR="004C45D3" w:rsidRDefault="004C45D3" w:rsidP="008D3E5E">
      <w:pPr>
        <w:pStyle w:val="FootnoteText"/>
      </w:pPr>
      <w:r>
        <w:rPr>
          <w:rStyle w:val="FootnoteReference"/>
          <w:sz w:val="16"/>
          <w:szCs w:val="16"/>
        </w:rPr>
        <w:t>[1]</w:t>
      </w:r>
      <w:r>
        <w:rPr>
          <w:sz w:val="16"/>
          <w:szCs w:val="16"/>
        </w:rPr>
        <w:t xml:space="preserve"> </w:t>
      </w:r>
      <w:r>
        <w:rPr>
          <w:sz w:val="16"/>
          <w:szCs w:val="16"/>
          <w:lang w:val="sr-Latn-CS"/>
        </w:rPr>
        <w:t>Maximum allowed borrowing envisged for  2013 is 250 million €, of which  30 million € would be used for the creation of fiscal reserves (increasing deposits) and the remainder of 220 million € for the budget funding.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34E" w:rsidRPr="0002734E" w:rsidRDefault="0002734E" w:rsidP="0002734E">
    <w:pPr>
      <w:spacing w:after="200"/>
      <w:jc w:val="center"/>
      <w:rPr>
        <w:rFonts w:ascii="Calibri" w:hAnsi="Calibri" w:cs="Calibri"/>
        <w:b/>
        <w:bCs/>
        <w:i/>
        <w:sz w:val="20"/>
        <w:szCs w:val="20"/>
      </w:rPr>
    </w:pPr>
    <w:r w:rsidRPr="0002734E">
      <w:rPr>
        <w:rFonts w:ascii="Calibri" w:hAnsi="Calibri" w:cs="Calibri"/>
        <w:b/>
        <w:i/>
        <w:sz w:val="20"/>
        <w:szCs w:val="20"/>
      </w:rPr>
      <w:t>Directives of macro-economic and fiscal policy for the period 2013-2016</w:t>
    </w:r>
  </w:p>
  <w:p w:rsidR="004C45D3" w:rsidRPr="006926DF" w:rsidRDefault="004C45D3" w:rsidP="004C45D3">
    <w:pPr>
      <w:pStyle w:val="Header"/>
      <w:jc w:val="right"/>
      <w:outlineLvl w:val="1"/>
      <w:rPr>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D3" w:rsidRDefault="004C45D3">
    <w:pPr>
      <w:pStyle w:val="Header"/>
    </w:pPr>
  </w:p>
  <w:p w:rsidR="004C45D3" w:rsidRDefault="004C45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D3" w:rsidRPr="001D72EB" w:rsidRDefault="00033B25" w:rsidP="004C45D3">
    <w:pPr>
      <w:pStyle w:val="Header"/>
      <w:tabs>
        <w:tab w:val="clear" w:pos="4680"/>
      </w:tabs>
      <w:jc w:val="right"/>
      <w:rPr>
        <w:i/>
        <w:sz w:val="20"/>
        <w:szCs w:val="20"/>
      </w:rPr>
    </w:pPr>
    <w:r w:rsidRPr="00033B25">
      <w:rPr>
        <w:noProof/>
        <w:lang w:val="en-US"/>
      </w:rPr>
      <w:pict>
        <v:shapetype id="_x0000_t32" coordsize="21600,21600" o:spt="32" o:oned="t" path="m,l21600,21600e" filled="f">
          <v:path arrowok="t" fillok="f" o:connecttype="none"/>
          <o:lock v:ext="edit" shapetype="t"/>
        </v:shapetype>
        <v:shape id="_x0000_s2049" type="#_x0000_t32" style="position:absolute;left:0;text-align:left;margin-left:9pt;margin-top:11.85pt;width:525.75pt;height:.75pt;flip:x y;z-index:251657728" o:connectortype="straight"/>
      </w:pict>
    </w:r>
    <w:r w:rsidR="004C45D3" w:rsidRPr="001D72EB">
      <w:rPr>
        <w:i/>
        <w:sz w:val="20"/>
        <w:szCs w:val="20"/>
      </w:rPr>
      <w:t>Smjernice makroekonomske i fiskalne politike</w:t>
    </w:r>
    <w:r w:rsidR="004C45D3">
      <w:rPr>
        <w:i/>
        <w:sz w:val="20"/>
        <w:szCs w:val="20"/>
      </w:rPr>
      <w:t xml:space="preserve"> za period 2014-2016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D3" w:rsidRDefault="004C45D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D3" w:rsidRPr="001D72EB" w:rsidRDefault="00033B25" w:rsidP="004C45D3">
    <w:pPr>
      <w:pStyle w:val="Header"/>
      <w:tabs>
        <w:tab w:val="clear" w:pos="4680"/>
      </w:tabs>
      <w:jc w:val="right"/>
      <w:rPr>
        <w:i/>
        <w:sz w:val="20"/>
        <w:szCs w:val="20"/>
      </w:rPr>
    </w:pPr>
    <w:r w:rsidRPr="00033B25">
      <w:rPr>
        <w:noProof/>
        <w:lang w:val="en-US"/>
      </w:rPr>
      <w:pict>
        <v:shapetype id="_x0000_t32" coordsize="21600,21600" o:spt="32" o:oned="t" path="m,l21600,21600e" filled="f">
          <v:path arrowok="t" fillok="f" o:connecttype="none"/>
          <o:lock v:ext="edit" shapetype="t"/>
        </v:shapetype>
        <v:shape id="_x0000_s2050" type="#_x0000_t32" style="position:absolute;left:0;text-align:left;margin-left:9pt;margin-top:11.85pt;width:525.75pt;height:.75pt;flip:x y;z-index:251658752" o:connectortype="straight"/>
      </w:pict>
    </w:r>
    <w:r w:rsidR="004C45D3" w:rsidRPr="001D72EB">
      <w:rPr>
        <w:i/>
        <w:sz w:val="20"/>
        <w:szCs w:val="20"/>
      </w:rPr>
      <w:t>Smjernice makroekonomske i fiskalne politike</w:t>
    </w:r>
    <w:r w:rsidR="004C45D3">
      <w:rPr>
        <w:i/>
        <w:sz w:val="20"/>
        <w:szCs w:val="20"/>
      </w:rPr>
      <w:t xml:space="preserve"> za period 2014-2016</w:t>
    </w:r>
  </w:p>
  <w:p w:rsidR="004C45D3" w:rsidRPr="006D02FE" w:rsidRDefault="004C45D3" w:rsidP="004C45D3">
    <w:pPr>
      <w:pStyle w:val="Header"/>
      <w:rPr>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5D3" w:rsidRDefault="004C45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141F"/>
    <w:multiLevelType w:val="hybridMultilevel"/>
    <w:tmpl w:val="229065D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nsid w:val="04513EDE"/>
    <w:multiLevelType w:val="multilevel"/>
    <w:tmpl w:val="9642F0FA"/>
    <w:styleLink w:val="Style1"/>
    <w:lvl w:ilvl="0">
      <w:start w:val="2"/>
      <w:numFmt w:val="decimal"/>
      <w:lvlText w:val="%1."/>
      <w:lvlJc w:val="left"/>
      <w:pPr>
        <w:ind w:left="1071" w:hanging="357"/>
      </w:pPr>
      <w:rPr>
        <w:rFonts w:hint="default"/>
      </w:rPr>
    </w:lvl>
    <w:lvl w:ilvl="1">
      <w:start w:val="1"/>
      <w:numFmt w:val="decimal"/>
      <w:lvlText w:val="%1.%2."/>
      <w:lvlJc w:val="left"/>
      <w:pPr>
        <w:ind w:left="1428" w:hanging="357"/>
      </w:pPr>
      <w:rPr>
        <w:rFonts w:hint="default"/>
      </w:rPr>
    </w:lvl>
    <w:lvl w:ilvl="2">
      <w:start w:val="2"/>
      <w:numFmt w:val="decimal"/>
      <w:lvlText w:val="%1.%2.%3."/>
      <w:lvlJc w:val="left"/>
      <w:pPr>
        <w:ind w:left="1785" w:hanging="357"/>
      </w:pPr>
      <w:rPr>
        <w:rFonts w:hint="default"/>
        <w:b/>
        <w:sz w:val="22"/>
      </w:rPr>
    </w:lvl>
    <w:lvl w:ilvl="3">
      <w:start w:val="1"/>
      <w:numFmt w:val="decimal"/>
      <w:lvlText w:val="%1.%2.%3.%4."/>
      <w:lvlJc w:val="left"/>
      <w:pPr>
        <w:ind w:left="2142" w:hanging="357"/>
      </w:pPr>
      <w:rPr>
        <w:rFonts w:hint="default"/>
      </w:rPr>
    </w:lvl>
    <w:lvl w:ilvl="4">
      <w:start w:val="1"/>
      <w:numFmt w:val="decimal"/>
      <w:lvlText w:val="%1.%2.%3.%4.%5."/>
      <w:lvlJc w:val="left"/>
      <w:pPr>
        <w:ind w:left="2499" w:hanging="357"/>
      </w:pPr>
      <w:rPr>
        <w:rFonts w:hint="default"/>
      </w:rPr>
    </w:lvl>
    <w:lvl w:ilvl="5">
      <w:start w:val="1"/>
      <w:numFmt w:val="decimal"/>
      <w:lvlText w:val="%1.%2.%3.%4.%5.%6."/>
      <w:lvlJc w:val="left"/>
      <w:pPr>
        <w:ind w:left="2856" w:hanging="357"/>
      </w:pPr>
      <w:rPr>
        <w:rFonts w:hint="default"/>
      </w:rPr>
    </w:lvl>
    <w:lvl w:ilvl="6">
      <w:start w:val="1"/>
      <w:numFmt w:val="decimal"/>
      <w:lvlText w:val="%1.%2.%3.%4.%5.%6.%7."/>
      <w:lvlJc w:val="left"/>
      <w:pPr>
        <w:ind w:left="3213" w:hanging="357"/>
      </w:pPr>
      <w:rPr>
        <w:rFonts w:hint="default"/>
      </w:rPr>
    </w:lvl>
    <w:lvl w:ilvl="7">
      <w:start w:val="1"/>
      <w:numFmt w:val="decimal"/>
      <w:lvlText w:val="%1.%2.%3.%4.%5.%6.%7.%8."/>
      <w:lvlJc w:val="left"/>
      <w:pPr>
        <w:ind w:left="3570" w:hanging="357"/>
      </w:pPr>
      <w:rPr>
        <w:rFonts w:hint="default"/>
      </w:rPr>
    </w:lvl>
    <w:lvl w:ilvl="8">
      <w:start w:val="1"/>
      <w:numFmt w:val="decimal"/>
      <w:lvlText w:val="%1.%2.%3.%4.%5.%6.%7.%8.%9."/>
      <w:lvlJc w:val="left"/>
      <w:pPr>
        <w:ind w:left="3927" w:hanging="357"/>
      </w:pPr>
      <w:rPr>
        <w:rFonts w:hint="default"/>
      </w:rPr>
    </w:lvl>
  </w:abstractNum>
  <w:abstractNum w:abstractNumId="2">
    <w:nsid w:val="05831BF8"/>
    <w:multiLevelType w:val="hybridMultilevel"/>
    <w:tmpl w:val="60D64B28"/>
    <w:lvl w:ilvl="0" w:tplc="BC6E65BC">
      <w:start w:val="1"/>
      <w:numFmt w:val="decimal"/>
      <w:lvlText w:val="%1."/>
      <w:lvlJc w:val="left"/>
      <w:pPr>
        <w:ind w:left="720" w:hanging="360"/>
      </w:pPr>
      <w:rPr>
        <w:rFonts w:ascii="Calibri" w:hAnsi="Calibri"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77998"/>
    <w:multiLevelType w:val="hybridMultilevel"/>
    <w:tmpl w:val="3482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90EEB"/>
    <w:multiLevelType w:val="hybridMultilevel"/>
    <w:tmpl w:val="FA02E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4256F"/>
    <w:multiLevelType w:val="hybridMultilevel"/>
    <w:tmpl w:val="9DF43C2E"/>
    <w:lvl w:ilvl="0" w:tplc="081A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421D5F"/>
    <w:multiLevelType w:val="hybridMultilevel"/>
    <w:tmpl w:val="12C80696"/>
    <w:lvl w:ilvl="0" w:tplc="A5D8F44A">
      <w:start w:val="3"/>
      <w:numFmt w:val="bullet"/>
      <w:lvlText w:val="-"/>
      <w:lvlJc w:val="left"/>
      <w:pPr>
        <w:ind w:left="720" w:hanging="360"/>
      </w:pPr>
      <w:rPr>
        <w:rFonts w:ascii="ArialMT" w:eastAsia="ArialMT" w:hAnsi="Times New Roman" w:cs="Aria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0D2BED"/>
    <w:multiLevelType w:val="hybridMultilevel"/>
    <w:tmpl w:val="990629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AF0FC8"/>
    <w:multiLevelType w:val="hybridMultilevel"/>
    <w:tmpl w:val="E400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48496C"/>
    <w:multiLevelType w:val="hybridMultilevel"/>
    <w:tmpl w:val="4D70478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2F9204B"/>
    <w:multiLevelType w:val="hybridMultilevel"/>
    <w:tmpl w:val="31A60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4A1668"/>
    <w:multiLevelType w:val="hybridMultilevel"/>
    <w:tmpl w:val="7C94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E42EBF"/>
    <w:multiLevelType w:val="hybridMultilevel"/>
    <w:tmpl w:val="9992E81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CF19FA"/>
    <w:multiLevelType w:val="hybridMultilevel"/>
    <w:tmpl w:val="030C4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0F5D9D"/>
    <w:multiLevelType w:val="hybridMultilevel"/>
    <w:tmpl w:val="2D36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3C6CE5"/>
    <w:multiLevelType w:val="multilevel"/>
    <w:tmpl w:val="6714EAF8"/>
    <w:lvl w:ilvl="0">
      <w:start w:val="2"/>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2"/>
      <w:numFmt w:val="decimal"/>
      <w:lvlText w:val="%1.2.%3."/>
      <w:lvlJc w:val="left"/>
      <w:pPr>
        <w:ind w:left="1071" w:hanging="357"/>
      </w:pPr>
      <w:rPr>
        <w:rFonts w:hint="default"/>
        <w:b/>
        <w:sz w:val="22"/>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2B842171"/>
    <w:multiLevelType w:val="hybridMultilevel"/>
    <w:tmpl w:val="CA40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BD72B8"/>
    <w:multiLevelType w:val="hybridMultilevel"/>
    <w:tmpl w:val="9B2674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14612B6"/>
    <w:multiLevelType w:val="hybridMultilevel"/>
    <w:tmpl w:val="CBF63CEE"/>
    <w:lvl w:ilvl="0" w:tplc="CDCEF5A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5F1EEB"/>
    <w:multiLevelType w:val="hybridMultilevel"/>
    <w:tmpl w:val="C3AE78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6966DA"/>
    <w:multiLevelType w:val="hybridMultilevel"/>
    <w:tmpl w:val="1D84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C456EA"/>
    <w:multiLevelType w:val="hybridMultilevel"/>
    <w:tmpl w:val="2C8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3B020730"/>
    <w:multiLevelType w:val="multilevel"/>
    <w:tmpl w:val="9642F0FA"/>
    <w:numStyleLink w:val="Style1"/>
  </w:abstractNum>
  <w:abstractNum w:abstractNumId="23">
    <w:nsid w:val="3BC82E59"/>
    <w:multiLevelType w:val="hybridMultilevel"/>
    <w:tmpl w:val="1D06D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861DA0"/>
    <w:multiLevelType w:val="hybridMultilevel"/>
    <w:tmpl w:val="7992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AE7B89"/>
    <w:multiLevelType w:val="hybridMultilevel"/>
    <w:tmpl w:val="27962C4E"/>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AB73CF"/>
    <w:multiLevelType w:val="hybridMultilevel"/>
    <w:tmpl w:val="1D769338"/>
    <w:lvl w:ilvl="0" w:tplc="0CCC3E8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A10470"/>
    <w:multiLevelType w:val="multilevel"/>
    <w:tmpl w:val="01B003EA"/>
    <w:lvl w:ilvl="0">
      <w:start w:val="2"/>
      <w:numFmt w:val="decimal"/>
      <w:lvlText w:val="%1."/>
      <w:lvlJc w:val="left"/>
      <w:pPr>
        <w:ind w:left="1071" w:hanging="357"/>
      </w:pPr>
      <w:rPr>
        <w:rFonts w:hint="default"/>
      </w:rPr>
    </w:lvl>
    <w:lvl w:ilvl="1">
      <w:start w:val="1"/>
      <w:numFmt w:val="decimal"/>
      <w:lvlText w:val="%1.%2."/>
      <w:lvlJc w:val="left"/>
      <w:pPr>
        <w:ind w:left="1428" w:hanging="357"/>
      </w:pPr>
      <w:rPr>
        <w:rFonts w:hint="default"/>
      </w:rPr>
    </w:lvl>
    <w:lvl w:ilvl="2">
      <w:start w:val="1"/>
      <w:numFmt w:val="decimal"/>
      <w:lvlText w:val="%1.%2.%3."/>
      <w:lvlJc w:val="left"/>
      <w:pPr>
        <w:ind w:left="1785" w:hanging="357"/>
      </w:pPr>
      <w:rPr>
        <w:rFonts w:hint="default"/>
        <w:b w:val="0"/>
        <w:sz w:val="22"/>
      </w:rPr>
    </w:lvl>
    <w:lvl w:ilvl="3">
      <w:start w:val="1"/>
      <w:numFmt w:val="decimal"/>
      <w:lvlText w:val="%1.%2.%3.%4."/>
      <w:lvlJc w:val="left"/>
      <w:pPr>
        <w:ind w:left="2142" w:hanging="357"/>
      </w:pPr>
      <w:rPr>
        <w:rFonts w:hint="default"/>
      </w:rPr>
    </w:lvl>
    <w:lvl w:ilvl="4">
      <w:start w:val="1"/>
      <w:numFmt w:val="decimal"/>
      <w:lvlText w:val="%1.%2.%3.%4.%5."/>
      <w:lvlJc w:val="left"/>
      <w:pPr>
        <w:ind w:left="2499" w:hanging="357"/>
      </w:pPr>
      <w:rPr>
        <w:rFonts w:hint="default"/>
      </w:rPr>
    </w:lvl>
    <w:lvl w:ilvl="5">
      <w:start w:val="1"/>
      <w:numFmt w:val="decimal"/>
      <w:lvlText w:val="%1.%2.%3.%4.%5.%6."/>
      <w:lvlJc w:val="left"/>
      <w:pPr>
        <w:ind w:left="2856" w:hanging="357"/>
      </w:pPr>
      <w:rPr>
        <w:rFonts w:hint="default"/>
      </w:rPr>
    </w:lvl>
    <w:lvl w:ilvl="6">
      <w:start w:val="1"/>
      <w:numFmt w:val="decimal"/>
      <w:lvlText w:val="%1.%2.%3.%4.%5.%6.%7."/>
      <w:lvlJc w:val="left"/>
      <w:pPr>
        <w:ind w:left="3213" w:hanging="357"/>
      </w:pPr>
      <w:rPr>
        <w:rFonts w:hint="default"/>
      </w:rPr>
    </w:lvl>
    <w:lvl w:ilvl="7">
      <w:start w:val="1"/>
      <w:numFmt w:val="decimal"/>
      <w:lvlText w:val="%1.%2.%3.%4.%5.%6.%7.%8."/>
      <w:lvlJc w:val="left"/>
      <w:pPr>
        <w:ind w:left="3570" w:hanging="357"/>
      </w:pPr>
      <w:rPr>
        <w:rFonts w:hint="default"/>
      </w:rPr>
    </w:lvl>
    <w:lvl w:ilvl="8">
      <w:start w:val="1"/>
      <w:numFmt w:val="decimal"/>
      <w:lvlText w:val="%1.%2.%3.%4.%5.%6.%7.%8.%9."/>
      <w:lvlJc w:val="left"/>
      <w:pPr>
        <w:ind w:left="3927" w:hanging="357"/>
      </w:pPr>
      <w:rPr>
        <w:rFonts w:hint="default"/>
      </w:rPr>
    </w:lvl>
  </w:abstractNum>
  <w:abstractNum w:abstractNumId="28">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49A20F11"/>
    <w:multiLevelType w:val="hybridMultilevel"/>
    <w:tmpl w:val="595E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B916F7"/>
    <w:multiLevelType w:val="multilevel"/>
    <w:tmpl w:val="E034B6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D90D10"/>
    <w:multiLevelType w:val="hybridMultilevel"/>
    <w:tmpl w:val="97F2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B8633D"/>
    <w:multiLevelType w:val="hybridMultilevel"/>
    <w:tmpl w:val="D11C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EC1DBB"/>
    <w:multiLevelType w:val="hybridMultilevel"/>
    <w:tmpl w:val="93D0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403167"/>
    <w:multiLevelType w:val="hybridMultilevel"/>
    <w:tmpl w:val="F57E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6E35EC"/>
    <w:multiLevelType w:val="hybridMultilevel"/>
    <w:tmpl w:val="B1FCB5E4"/>
    <w:lvl w:ilvl="0" w:tplc="2E7CAE14">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026152"/>
    <w:multiLevelType w:val="hybridMultilevel"/>
    <w:tmpl w:val="CA90B2D4"/>
    <w:lvl w:ilvl="0" w:tplc="168C58E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612338"/>
    <w:multiLevelType w:val="hybridMultilevel"/>
    <w:tmpl w:val="A830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5B2D03"/>
    <w:multiLevelType w:val="hybridMultilevel"/>
    <w:tmpl w:val="264CAE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146DB2"/>
    <w:multiLevelType w:val="hybridMultilevel"/>
    <w:tmpl w:val="36EC58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F91C0A"/>
    <w:multiLevelType w:val="hybridMultilevel"/>
    <w:tmpl w:val="E400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E4150"/>
    <w:multiLevelType w:val="hybridMultilevel"/>
    <w:tmpl w:val="D4D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5F505F"/>
    <w:multiLevelType w:val="hybridMultilevel"/>
    <w:tmpl w:val="20F4B0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5D30FD"/>
    <w:multiLevelType w:val="hybridMultilevel"/>
    <w:tmpl w:val="F432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8"/>
  </w:num>
  <w:num w:numId="3">
    <w:abstractNumId w:val="42"/>
  </w:num>
  <w:num w:numId="4">
    <w:abstractNumId w:val="35"/>
  </w:num>
  <w:num w:numId="5">
    <w:abstractNumId w:val="34"/>
  </w:num>
  <w:num w:numId="6">
    <w:abstractNumId w:val="19"/>
  </w:num>
  <w:num w:numId="7">
    <w:abstractNumId w:val="23"/>
  </w:num>
  <w:num w:numId="8">
    <w:abstractNumId w:val="39"/>
  </w:num>
  <w:num w:numId="9">
    <w:abstractNumId w:val="24"/>
  </w:num>
  <w:num w:numId="10">
    <w:abstractNumId w:val="2"/>
  </w:num>
  <w:num w:numId="11">
    <w:abstractNumId w:val="14"/>
  </w:num>
  <w:num w:numId="12">
    <w:abstractNumId w:val="40"/>
  </w:num>
  <w:num w:numId="13">
    <w:abstractNumId w:val="31"/>
  </w:num>
  <w:num w:numId="14">
    <w:abstractNumId w:val="7"/>
  </w:num>
  <w:num w:numId="15">
    <w:abstractNumId w:val="32"/>
  </w:num>
  <w:num w:numId="16">
    <w:abstractNumId w:val="43"/>
  </w:num>
  <w:num w:numId="17">
    <w:abstractNumId w:val="10"/>
  </w:num>
  <w:num w:numId="18">
    <w:abstractNumId w:val="15"/>
  </w:num>
  <w:num w:numId="19">
    <w:abstractNumId w:val="1"/>
  </w:num>
  <w:num w:numId="20">
    <w:abstractNumId w:val="2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27"/>
  </w:num>
  <w:num w:numId="22">
    <w:abstractNumId w:val="13"/>
  </w:num>
  <w:num w:numId="23">
    <w:abstractNumId w:val="20"/>
  </w:num>
  <w:num w:numId="24">
    <w:abstractNumId w:val="30"/>
  </w:num>
  <w:num w:numId="25">
    <w:abstractNumId w:val="12"/>
  </w:num>
  <w:num w:numId="26">
    <w:abstractNumId w:val="26"/>
  </w:num>
  <w:num w:numId="2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
  </w:num>
  <w:num w:numId="31">
    <w:abstractNumId w:val="8"/>
  </w:num>
  <w:num w:numId="32">
    <w:abstractNumId w:val="6"/>
  </w:num>
  <w:num w:numId="33">
    <w:abstractNumId w:val="29"/>
  </w:num>
  <w:num w:numId="34">
    <w:abstractNumId w:val="16"/>
  </w:num>
  <w:num w:numId="35">
    <w:abstractNumId w:val="0"/>
  </w:num>
  <w:num w:numId="36">
    <w:abstractNumId w:val="4"/>
  </w:num>
  <w:num w:numId="37">
    <w:abstractNumId w:val="36"/>
  </w:num>
  <w:num w:numId="38">
    <w:abstractNumId w:val="25"/>
  </w:num>
  <w:num w:numId="39">
    <w:abstractNumId w:val="5"/>
  </w:num>
  <w:num w:numId="40">
    <w:abstractNumId w:val="41"/>
  </w:num>
  <w:num w:numId="41">
    <w:abstractNumId w:val="37"/>
  </w:num>
  <w:num w:numId="42">
    <w:abstractNumId w:val="21"/>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7170"/>
    <o:shapelayout v:ext="edit">
      <o:idmap v:ext="edit" data="2"/>
      <o:rules v:ext="edit">
        <o:r id="V:Rule5" type="connector" idref="#_x0000_s2050"/>
        <o:r id="V:Rule6" type="connector" idref="#_x0000_s2049"/>
      </o:rules>
    </o:shapelayout>
  </w:hdrShapeDefaults>
  <w:footnotePr>
    <w:footnote w:id="-1"/>
    <w:footnote w:id="0"/>
  </w:footnotePr>
  <w:endnotePr>
    <w:endnote w:id="-1"/>
    <w:endnote w:id="0"/>
  </w:endnotePr>
  <w:compat/>
  <w:rsids>
    <w:rsidRoot w:val="008D3E5E"/>
    <w:rsid w:val="00013D30"/>
    <w:rsid w:val="0002734E"/>
    <w:rsid w:val="00033B25"/>
    <w:rsid w:val="001649F5"/>
    <w:rsid w:val="001A0A0A"/>
    <w:rsid w:val="002576B9"/>
    <w:rsid w:val="002A7FF0"/>
    <w:rsid w:val="00344E3B"/>
    <w:rsid w:val="00465E87"/>
    <w:rsid w:val="004C45D3"/>
    <w:rsid w:val="005669F0"/>
    <w:rsid w:val="006D77CE"/>
    <w:rsid w:val="00711E8F"/>
    <w:rsid w:val="007D345D"/>
    <w:rsid w:val="008D3E5E"/>
    <w:rsid w:val="008D53EE"/>
    <w:rsid w:val="00A33903"/>
    <w:rsid w:val="00B91F9C"/>
    <w:rsid w:val="00F40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D3E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3E5E"/>
    <w:pPr>
      <w:keepNext/>
      <w:keepLines/>
      <w:spacing w:before="480" w:line="360" w:lineRule="auto"/>
      <w:jc w:val="both"/>
      <w:outlineLvl w:val="0"/>
    </w:pPr>
    <w:rPr>
      <w:rFonts w:ascii="Cambria" w:hAnsi="Cambria"/>
      <w:b/>
      <w:bCs/>
      <w:color w:val="365F91"/>
      <w:sz w:val="28"/>
      <w:szCs w:val="28"/>
      <w:lang w:val="sr-Latn-CS"/>
    </w:rPr>
  </w:style>
  <w:style w:type="paragraph" w:styleId="Heading2">
    <w:name w:val="heading 2"/>
    <w:basedOn w:val="Normal"/>
    <w:next w:val="Normal"/>
    <w:link w:val="Heading2Char"/>
    <w:unhideWhenUsed/>
    <w:qFormat/>
    <w:rsid w:val="008D3E5E"/>
    <w:pPr>
      <w:keepNext/>
      <w:keepLines/>
      <w:spacing w:before="200" w:line="290" w:lineRule="auto"/>
      <w:jc w:val="both"/>
      <w:outlineLvl w:val="1"/>
    </w:pPr>
    <w:rPr>
      <w:rFonts w:ascii="Cambria" w:hAnsi="Cambria"/>
      <w:b/>
      <w:bCs/>
      <w:color w:val="4F81BD"/>
      <w:sz w:val="26"/>
      <w:szCs w:val="26"/>
      <w:lang w:val="sr-Latn-CS"/>
    </w:rPr>
  </w:style>
  <w:style w:type="paragraph" w:styleId="Heading3">
    <w:name w:val="heading 3"/>
    <w:basedOn w:val="Normal"/>
    <w:next w:val="Normal"/>
    <w:link w:val="Heading3Char"/>
    <w:unhideWhenUsed/>
    <w:qFormat/>
    <w:rsid w:val="008D3E5E"/>
    <w:pPr>
      <w:keepNext/>
      <w:keepLines/>
      <w:spacing w:before="200" w:line="290" w:lineRule="auto"/>
      <w:jc w:val="both"/>
      <w:outlineLvl w:val="2"/>
    </w:pPr>
    <w:rPr>
      <w:rFonts w:ascii="Cambria" w:hAnsi="Cambria"/>
      <w:b/>
      <w:bCs/>
      <w:color w:val="4F81BD"/>
      <w:lang w:val="sr-Latn-CS"/>
    </w:rPr>
  </w:style>
  <w:style w:type="paragraph" w:styleId="Heading6">
    <w:name w:val="heading 6"/>
    <w:basedOn w:val="Normal"/>
    <w:next w:val="Normal"/>
    <w:link w:val="Heading6Char"/>
    <w:qFormat/>
    <w:rsid w:val="008D3E5E"/>
    <w:pPr>
      <w:keepNext/>
      <w:jc w:val="center"/>
      <w:outlineLvl w:val="5"/>
    </w:pPr>
    <w:rPr>
      <w:rFonts w:ascii="Monotype Corsiva" w:hAnsi="Monotype Corsiva"/>
      <w:shadow/>
      <w:sz w:val="36"/>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3E5E"/>
    <w:rPr>
      <w:rFonts w:ascii="Cambria" w:eastAsia="Times New Roman" w:hAnsi="Cambria" w:cs="Times New Roman"/>
      <w:b/>
      <w:bCs/>
      <w:color w:val="365F91"/>
      <w:sz w:val="28"/>
      <w:szCs w:val="28"/>
      <w:lang w:val="sr-Latn-CS"/>
    </w:rPr>
  </w:style>
  <w:style w:type="character" w:customStyle="1" w:styleId="Heading2Char">
    <w:name w:val="Heading 2 Char"/>
    <w:basedOn w:val="DefaultParagraphFont"/>
    <w:link w:val="Heading2"/>
    <w:rsid w:val="008D3E5E"/>
    <w:rPr>
      <w:rFonts w:ascii="Cambria" w:eastAsia="Times New Roman" w:hAnsi="Cambria" w:cs="Times New Roman"/>
      <w:b/>
      <w:bCs/>
      <w:color w:val="4F81BD"/>
      <w:sz w:val="26"/>
      <w:szCs w:val="26"/>
      <w:lang w:val="sr-Latn-CS"/>
    </w:rPr>
  </w:style>
  <w:style w:type="character" w:customStyle="1" w:styleId="Heading3Char">
    <w:name w:val="Heading 3 Char"/>
    <w:basedOn w:val="DefaultParagraphFont"/>
    <w:link w:val="Heading3"/>
    <w:rsid w:val="008D3E5E"/>
    <w:rPr>
      <w:rFonts w:ascii="Cambria" w:eastAsia="Times New Roman" w:hAnsi="Cambria" w:cs="Times New Roman"/>
      <w:b/>
      <w:bCs/>
      <w:color w:val="4F81BD"/>
      <w:sz w:val="24"/>
      <w:szCs w:val="24"/>
      <w:lang w:val="sr-Latn-CS"/>
    </w:rPr>
  </w:style>
  <w:style w:type="character" w:customStyle="1" w:styleId="Heading6Char">
    <w:name w:val="Heading 6 Char"/>
    <w:basedOn w:val="DefaultParagraphFont"/>
    <w:link w:val="Heading6"/>
    <w:rsid w:val="008D3E5E"/>
    <w:rPr>
      <w:rFonts w:ascii="Monotype Corsiva" w:eastAsia="Times New Roman" w:hAnsi="Monotype Corsiva" w:cs="Times New Roman"/>
      <w:shadow/>
      <w:sz w:val="36"/>
      <w:szCs w:val="24"/>
      <w:lang w:val="sl-SI"/>
    </w:rPr>
  </w:style>
  <w:style w:type="character" w:styleId="Hyperlink">
    <w:name w:val="Hyperlink"/>
    <w:basedOn w:val="DefaultParagraphFont"/>
    <w:rsid w:val="008D3E5E"/>
    <w:rPr>
      <w:color w:val="0000FF"/>
      <w:u w:val="single"/>
    </w:rPr>
  </w:style>
  <w:style w:type="paragraph" w:styleId="ListParagraph">
    <w:name w:val="List Paragraph"/>
    <w:basedOn w:val="Normal"/>
    <w:link w:val="ListParagraphChar"/>
    <w:qFormat/>
    <w:rsid w:val="008D3E5E"/>
    <w:pPr>
      <w:ind w:left="720"/>
    </w:pPr>
  </w:style>
  <w:style w:type="paragraph" w:customStyle="1" w:styleId="Default">
    <w:name w:val="Default"/>
    <w:rsid w:val="008D3E5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phChar">
    <w:name w:val="List Paragraph Char"/>
    <w:link w:val="ListParagraph"/>
    <w:locked/>
    <w:rsid w:val="008D3E5E"/>
    <w:rPr>
      <w:rFonts w:ascii="Times New Roman" w:eastAsia="Times New Roman" w:hAnsi="Times New Roman" w:cs="Times New Roman"/>
      <w:sz w:val="24"/>
      <w:szCs w:val="24"/>
    </w:rPr>
  </w:style>
  <w:style w:type="paragraph" w:styleId="BalloonText">
    <w:name w:val="Balloon Text"/>
    <w:basedOn w:val="Normal"/>
    <w:link w:val="BalloonTextChar"/>
    <w:unhideWhenUsed/>
    <w:rsid w:val="008D3E5E"/>
    <w:pPr>
      <w:jc w:val="both"/>
    </w:pPr>
    <w:rPr>
      <w:rFonts w:ascii="Tahoma" w:hAnsi="Tahoma" w:cs="Tahoma"/>
      <w:color w:val="000000"/>
      <w:sz w:val="16"/>
      <w:szCs w:val="16"/>
      <w:lang w:val="sr-Latn-CS"/>
    </w:rPr>
  </w:style>
  <w:style w:type="character" w:customStyle="1" w:styleId="BalloonTextChar">
    <w:name w:val="Balloon Text Char"/>
    <w:basedOn w:val="DefaultParagraphFont"/>
    <w:link w:val="BalloonText"/>
    <w:rsid w:val="008D3E5E"/>
    <w:rPr>
      <w:rFonts w:ascii="Tahoma" w:eastAsia="Times New Roman" w:hAnsi="Tahoma" w:cs="Tahoma"/>
      <w:color w:val="000000"/>
      <w:sz w:val="16"/>
      <w:szCs w:val="16"/>
      <w:lang w:val="sr-Latn-CS"/>
    </w:rPr>
  </w:style>
  <w:style w:type="character" w:customStyle="1" w:styleId="normalchar">
    <w:name w:val="normal__char"/>
    <w:basedOn w:val="DefaultParagraphFont"/>
    <w:rsid w:val="008D3E5E"/>
  </w:style>
  <w:style w:type="paragraph" w:styleId="NoSpacing">
    <w:name w:val="No Spacing"/>
    <w:link w:val="NoSpacingChar"/>
    <w:qFormat/>
    <w:rsid w:val="008D3E5E"/>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rsid w:val="008D3E5E"/>
    <w:rPr>
      <w:rFonts w:ascii="Times New Roman" w:eastAsia="Calibri" w:hAnsi="Times New Roman" w:cs="Times New Roman"/>
      <w:sz w:val="24"/>
      <w:szCs w:val="24"/>
    </w:rPr>
  </w:style>
  <w:style w:type="paragraph" w:styleId="FootnoteText">
    <w:name w:val="footnote text"/>
    <w:aliases w:val="single space,footnote text,Footnote Text Char Char,Footnote Text Char Char Char,FOOTNOTES,fn,Fußnotentextf,ALTS FOOTNOTE,Footnote,Footnote Text qer,Fußnotentext Char,Footnote Text Char2 Char,Fußnote"/>
    <w:basedOn w:val="Normal"/>
    <w:link w:val="FootnoteTextChar"/>
    <w:unhideWhenUsed/>
    <w:rsid w:val="008D3E5E"/>
    <w:rPr>
      <w:rFonts w:ascii="Calibri" w:eastAsia="Calibri" w:hAnsi="Calibri"/>
      <w:sz w:val="20"/>
      <w:szCs w:val="20"/>
    </w:rPr>
  </w:style>
  <w:style w:type="character" w:customStyle="1" w:styleId="FootnoteTextChar">
    <w:name w:val="Footnote Text Char"/>
    <w:aliases w:val="single space Char1,footnote text Char1,Footnote Text Char Char Char2,Footnote Text Char Char Char Char1,FOOTNOTES Char1,fn Char1,Fußnotentextf Char1,ALTS FOOTNOTE Char1,Footnote Char1,Footnote Text qer Char1,Fußnotentext Char Char1"/>
    <w:basedOn w:val="DefaultParagraphFont"/>
    <w:link w:val="FootnoteText"/>
    <w:rsid w:val="008D3E5E"/>
    <w:rPr>
      <w:rFonts w:ascii="Calibri" w:eastAsia="Calibri" w:hAnsi="Calibri" w:cs="Times New Roman"/>
      <w:sz w:val="20"/>
      <w:szCs w:val="20"/>
    </w:rPr>
  </w:style>
  <w:style w:type="character" w:styleId="FootnoteReference">
    <w:name w:val="footnote reference"/>
    <w:aliases w:val="BVI fnr,Footnote symbol"/>
    <w:basedOn w:val="DefaultParagraphFont"/>
    <w:unhideWhenUsed/>
    <w:rsid w:val="008D3E5E"/>
    <w:rPr>
      <w:vertAlign w:val="superscript"/>
    </w:rPr>
  </w:style>
  <w:style w:type="paragraph" w:customStyle="1" w:styleId="tekst">
    <w:name w:val="tekst"/>
    <w:basedOn w:val="Normal"/>
    <w:rsid w:val="008D3E5E"/>
    <w:pPr>
      <w:spacing w:before="100" w:beforeAutospacing="1" w:after="100" w:afterAutospacing="1"/>
      <w:ind w:left="225" w:right="225"/>
    </w:pPr>
    <w:rPr>
      <w:lang w:val="sr-Latn-CS" w:eastAsia="sr-Latn-CS"/>
    </w:rPr>
  </w:style>
  <w:style w:type="paragraph" w:styleId="Caption">
    <w:name w:val="caption"/>
    <w:basedOn w:val="Normal"/>
    <w:next w:val="Normal"/>
    <w:qFormat/>
    <w:rsid w:val="008D3E5E"/>
    <w:rPr>
      <w:b/>
      <w:bCs/>
      <w:sz w:val="20"/>
      <w:szCs w:val="20"/>
      <w:lang w:val="en-IE"/>
    </w:rPr>
  </w:style>
  <w:style w:type="character" w:customStyle="1" w:styleId="FootnoteTextChar1">
    <w:name w:val="Footnote Text Char1"/>
    <w:aliases w:val="single space Char,footnote text Char,Footnote Text Char Char Char1,Footnote Text Char Char Char Char,FOOTNOTES Char,fn Char,Fußnotentextf Char,ALTS FOOTNOTE Char,Footnote Char,Footnote Text qer Char,Fußnotentext Char Char,fn Char2"/>
    <w:basedOn w:val="DefaultParagraphFont"/>
    <w:rsid w:val="008D3E5E"/>
  </w:style>
  <w:style w:type="table" w:styleId="Table3Deffects3">
    <w:name w:val="Table 3D effects 3"/>
    <w:basedOn w:val="TableNormal"/>
    <w:rsid w:val="008D3E5E"/>
    <w:pPr>
      <w:spacing w:after="0" w:line="240" w:lineRule="auto"/>
    </w:pPr>
    <w:rPr>
      <w:rFonts w:ascii="Times New Roman" w:eastAsia="Times New Roman" w:hAnsi="Times New Roman" w:cs="Times New Roman"/>
      <w:sz w:val="20"/>
      <w:szCs w:val="20"/>
      <w:lang w:val="sr-Latn-CS" w:eastAsia="sr-Latn-CS"/>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11">
    <w:name w:val="Light Shading - Accent 11"/>
    <w:basedOn w:val="TableNormal"/>
    <w:rsid w:val="008D3E5E"/>
    <w:pPr>
      <w:spacing w:after="0" w:line="240" w:lineRule="auto"/>
    </w:pPr>
    <w:rPr>
      <w:rFonts w:ascii="Times New Roman" w:eastAsia="Times New Roman" w:hAnsi="Times New Roman" w:cs="Times New Roman"/>
      <w:color w:val="365F91"/>
      <w:sz w:val="20"/>
      <w:szCs w:val="20"/>
      <w:lang w:val="sr-Latn-CS" w:eastAsia="sr-Latn-C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8D3E5E"/>
    <w:pPr>
      <w:numPr>
        <w:numId w:val="19"/>
      </w:numPr>
    </w:pPr>
  </w:style>
  <w:style w:type="character" w:styleId="CommentReference">
    <w:name w:val="annotation reference"/>
    <w:basedOn w:val="DefaultParagraphFont"/>
    <w:rsid w:val="008D3E5E"/>
    <w:rPr>
      <w:sz w:val="16"/>
      <w:szCs w:val="16"/>
    </w:rPr>
  </w:style>
  <w:style w:type="paragraph" w:styleId="CommentText">
    <w:name w:val="annotation text"/>
    <w:basedOn w:val="Normal"/>
    <w:link w:val="CommentTextChar"/>
    <w:rsid w:val="008D3E5E"/>
    <w:rPr>
      <w:sz w:val="20"/>
      <w:szCs w:val="20"/>
      <w:lang w:val="sr-Latn-CS" w:eastAsia="sr-Latn-CS"/>
    </w:rPr>
  </w:style>
  <w:style w:type="character" w:customStyle="1" w:styleId="CommentTextChar">
    <w:name w:val="Comment Text Char"/>
    <w:basedOn w:val="DefaultParagraphFont"/>
    <w:link w:val="CommentText"/>
    <w:rsid w:val="008D3E5E"/>
    <w:rPr>
      <w:rFonts w:ascii="Times New Roman" w:eastAsia="Times New Roman" w:hAnsi="Times New Roman" w:cs="Times New Roman"/>
      <w:sz w:val="20"/>
      <w:szCs w:val="20"/>
      <w:lang w:val="sr-Latn-CS" w:eastAsia="sr-Latn-CS"/>
    </w:rPr>
  </w:style>
  <w:style w:type="paragraph" w:styleId="CommentSubject">
    <w:name w:val="annotation subject"/>
    <w:basedOn w:val="CommentText"/>
    <w:next w:val="CommentText"/>
    <w:link w:val="CommentSubjectChar"/>
    <w:rsid w:val="008D3E5E"/>
    <w:rPr>
      <w:b/>
      <w:bCs/>
    </w:rPr>
  </w:style>
  <w:style w:type="character" w:customStyle="1" w:styleId="CommentSubjectChar">
    <w:name w:val="Comment Subject Char"/>
    <w:basedOn w:val="CommentTextChar"/>
    <w:link w:val="CommentSubject"/>
    <w:rsid w:val="008D3E5E"/>
    <w:rPr>
      <w:b/>
      <w:bCs/>
    </w:rPr>
  </w:style>
  <w:style w:type="paragraph" w:styleId="Revision">
    <w:name w:val="Revision"/>
    <w:hidden/>
    <w:semiHidden/>
    <w:rsid w:val="008D3E5E"/>
    <w:pPr>
      <w:spacing w:after="0" w:line="240" w:lineRule="auto"/>
    </w:pPr>
    <w:rPr>
      <w:rFonts w:ascii="Times New Roman" w:eastAsia="Times New Roman" w:hAnsi="Times New Roman" w:cs="Times New Roman"/>
      <w:sz w:val="24"/>
      <w:szCs w:val="24"/>
      <w:lang w:val="sr-Latn-CS" w:eastAsia="sr-Latn-CS"/>
    </w:rPr>
  </w:style>
  <w:style w:type="paragraph" w:styleId="Header">
    <w:name w:val="header"/>
    <w:basedOn w:val="Normal"/>
    <w:link w:val="HeaderChar"/>
    <w:unhideWhenUsed/>
    <w:rsid w:val="008D3E5E"/>
    <w:pPr>
      <w:tabs>
        <w:tab w:val="center" w:pos="4680"/>
        <w:tab w:val="right" w:pos="9360"/>
      </w:tabs>
      <w:jc w:val="both"/>
    </w:pPr>
    <w:rPr>
      <w:rFonts w:ascii="Calibri" w:eastAsia="Calibri" w:hAnsi="Calibri"/>
      <w:sz w:val="22"/>
      <w:szCs w:val="22"/>
      <w:lang w:val="sr-Latn-CS"/>
    </w:rPr>
  </w:style>
  <w:style w:type="character" w:customStyle="1" w:styleId="HeaderChar">
    <w:name w:val="Header Char"/>
    <w:basedOn w:val="DefaultParagraphFont"/>
    <w:link w:val="Header"/>
    <w:rsid w:val="008D3E5E"/>
    <w:rPr>
      <w:rFonts w:ascii="Calibri" w:eastAsia="Calibri" w:hAnsi="Calibri" w:cs="Times New Roman"/>
      <w:lang w:val="sr-Latn-CS"/>
    </w:rPr>
  </w:style>
  <w:style w:type="paragraph" w:styleId="Footer">
    <w:name w:val="footer"/>
    <w:basedOn w:val="Normal"/>
    <w:link w:val="FooterChar"/>
    <w:unhideWhenUsed/>
    <w:rsid w:val="008D3E5E"/>
    <w:pPr>
      <w:tabs>
        <w:tab w:val="center" w:pos="4680"/>
        <w:tab w:val="right" w:pos="9360"/>
      </w:tabs>
      <w:jc w:val="both"/>
    </w:pPr>
    <w:rPr>
      <w:rFonts w:ascii="Calibri" w:eastAsia="Calibri" w:hAnsi="Calibri"/>
      <w:sz w:val="22"/>
      <w:szCs w:val="22"/>
      <w:lang w:val="sr-Latn-CS"/>
    </w:rPr>
  </w:style>
  <w:style w:type="character" w:customStyle="1" w:styleId="FooterChar">
    <w:name w:val="Footer Char"/>
    <w:basedOn w:val="DefaultParagraphFont"/>
    <w:link w:val="Footer"/>
    <w:rsid w:val="008D3E5E"/>
    <w:rPr>
      <w:rFonts w:ascii="Calibri" w:eastAsia="Calibri" w:hAnsi="Calibri" w:cs="Times New Roman"/>
      <w:lang w:val="sr-Latn-CS"/>
    </w:rPr>
  </w:style>
  <w:style w:type="paragraph" w:styleId="NormalWeb">
    <w:name w:val="Normal (Web)"/>
    <w:basedOn w:val="Normal"/>
    <w:unhideWhenUsed/>
    <w:rsid w:val="008D3E5E"/>
    <w:pPr>
      <w:spacing w:before="100" w:beforeAutospacing="1" w:after="100" w:afterAutospacing="1"/>
    </w:pPr>
    <w:rPr>
      <w:lang w:val="sr-Latn-CS" w:eastAsia="sr-Latn-CS"/>
    </w:rPr>
  </w:style>
  <w:style w:type="paragraph" w:customStyle="1" w:styleId="msonospacing0">
    <w:name w:val="msonospacing"/>
    <w:basedOn w:val="Normal"/>
    <w:rsid w:val="008D3E5E"/>
    <w:rPr>
      <w:rFonts w:ascii="Calibri" w:eastAsia="Calibri" w:hAnsi="Calibri"/>
      <w:sz w:val="22"/>
      <w:szCs w:val="22"/>
      <w:lang w:eastAsia="ja-JP"/>
    </w:rPr>
  </w:style>
  <w:style w:type="paragraph" w:styleId="BodyText">
    <w:name w:val="Body Text"/>
    <w:aliases w:val="Body Text Char Char Char Char,Body Text Char Char,Body Text Char Char Char,Body Text Char Char Char Char1 Char,Body Text Char Char Char Char Char Char,Body Text Char Char Char Char Char Char Char,Body Text Char Char Char Char Char,Body Text1"/>
    <w:basedOn w:val="Normal"/>
    <w:link w:val="BodyTextChar"/>
    <w:rsid w:val="008D3E5E"/>
    <w:pPr>
      <w:jc w:val="center"/>
    </w:pPr>
    <w:rPr>
      <w:lang w:val="sr-Latn-CS"/>
    </w:rPr>
  </w:style>
  <w:style w:type="character" w:customStyle="1" w:styleId="BodyTextChar">
    <w:name w:val="Body Text Char"/>
    <w:aliases w:val="Body Text Char Char Char Char Char1,Body Text Char Char Char1,Body Text Char Char Char Char1,Body Text Char Char Char Char1 Char Char,Body Text Char Char Char Char Char Char Char1,Body Text Char Char Char Char Char Char Char Char"/>
    <w:basedOn w:val="DefaultParagraphFont"/>
    <w:link w:val="BodyText"/>
    <w:rsid w:val="008D3E5E"/>
    <w:rPr>
      <w:rFonts w:ascii="Times New Roman" w:eastAsia="Times New Roman" w:hAnsi="Times New Roman" w:cs="Times New Roman"/>
      <w:sz w:val="24"/>
      <w:szCs w:val="24"/>
      <w:lang w:val="sr-Latn-CS"/>
    </w:rPr>
  </w:style>
  <w:style w:type="table" w:customStyle="1" w:styleId="LightShading-Accent12">
    <w:name w:val="Light Shading - Accent 12"/>
    <w:basedOn w:val="TableNormal"/>
    <w:rsid w:val="008D3E5E"/>
    <w:pPr>
      <w:spacing w:after="0" w:line="240" w:lineRule="auto"/>
    </w:pPr>
    <w:rPr>
      <w:rFonts w:ascii="Calibri" w:eastAsia="Calibri" w:hAnsi="Calibri" w:cs="Times New Roman"/>
      <w:color w:val="365F91"/>
      <w:lang w:val="sr-Latn-CS" w:eastAsia="sr-Latn-C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itle">
    <w:name w:val="Title"/>
    <w:basedOn w:val="Normal"/>
    <w:next w:val="Normal"/>
    <w:link w:val="TitleChar"/>
    <w:qFormat/>
    <w:rsid w:val="008D3E5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8D3E5E"/>
    <w:rPr>
      <w:rFonts w:ascii="Cambria" w:eastAsia="Times New Roman" w:hAnsi="Cambria" w:cs="Times New Roman"/>
      <w:color w:val="17365D"/>
      <w:spacing w:val="5"/>
      <w:kern w:val="28"/>
      <w:sz w:val="52"/>
      <w:szCs w:val="52"/>
    </w:rPr>
  </w:style>
  <w:style w:type="paragraph" w:customStyle="1" w:styleId="xmsonormal">
    <w:name w:val="x_msonormal"/>
    <w:basedOn w:val="Normal"/>
    <w:rsid w:val="008D3E5E"/>
    <w:pPr>
      <w:spacing w:before="100" w:beforeAutospacing="1" w:after="100" w:afterAutospacing="1"/>
    </w:pPr>
  </w:style>
  <w:style w:type="table" w:customStyle="1" w:styleId="LightShading-Accent13">
    <w:name w:val="Light Shading - Accent 13"/>
    <w:basedOn w:val="TableNormal"/>
    <w:rsid w:val="008D3E5E"/>
    <w:pPr>
      <w:spacing w:after="0" w:line="240" w:lineRule="auto"/>
    </w:pPr>
    <w:rPr>
      <w:rFonts w:ascii="Calibri" w:eastAsia="Calibri" w:hAnsi="Calibri" w:cs="Times New Roman"/>
      <w:color w:val="365F91"/>
      <w:lang w:val="sr-Latn-CS" w:eastAsia="sr-Latn-C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Heading">
    <w:name w:val="TOC Heading"/>
    <w:basedOn w:val="Heading1"/>
    <w:next w:val="Normal"/>
    <w:unhideWhenUsed/>
    <w:qFormat/>
    <w:rsid w:val="008D3E5E"/>
    <w:pPr>
      <w:spacing w:line="276" w:lineRule="auto"/>
      <w:jc w:val="left"/>
      <w:outlineLvl w:val="9"/>
    </w:pPr>
    <w:rPr>
      <w:lang w:val="en-US"/>
    </w:rPr>
  </w:style>
  <w:style w:type="paragraph" w:styleId="TOC1">
    <w:name w:val="toc 1"/>
    <w:basedOn w:val="Normal"/>
    <w:next w:val="Normal"/>
    <w:autoRedefine/>
    <w:unhideWhenUsed/>
    <w:qFormat/>
    <w:rsid w:val="008D3E5E"/>
    <w:pPr>
      <w:spacing w:before="360" w:line="290" w:lineRule="auto"/>
    </w:pPr>
    <w:rPr>
      <w:rFonts w:ascii="Cambria" w:hAnsi="Cambria" w:cs="Arial"/>
      <w:b/>
      <w:bCs/>
      <w:caps/>
      <w:color w:val="000000"/>
      <w:lang w:val="sr-Latn-CS"/>
    </w:rPr>
  </w:style>
  <w:style w:type="table" w:customStyle="1" w:styleId="LightShading-Accent14">
    <w:name w:val="Light Shading - Accent 14"/>
    <w:basedOn w:val="TableNormal"/>
    <w:rsid w:val="008D3E5E"/>
    <w:pPr>
      <w:spacing w:after="0" w:line="240" w:lineRule="auto"/>
    </w:pPr>
    <w:rPr>
      <w:rFonts w:ascii="Calibri" w:eastAsia="Calibri" w:hAnsi="Calibri" w:cs="Times New Roman"/>
      <w:color w:val="365F91"/>
      <w:lang w:val="sr-Latn-CS" w:eastAsia="sr-Latn-C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
    <w:name w:val="Medium List 1 - Accent 11"/>
    <w:basedOn w:val="TableNormal"/>
    <w:rsid w:val="008D3E5E"/>
    <w:pPr>
      <w:spacing w:after="0" w:line="240" w:lineRule="auto"/>
    </w:pPr>
    <w:rPr>
      <w:rFonts w:ascii="Calibri" w:eastAsia="Calibri" w:hAnsi="Calibri" w:cs="Times New Roman"/>
      <w:color w:val="000000"/>
      <w:lang w:val="sr-Latn-CS" w:eastAsia="sr-Latn-C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TableGrid">
    <w:name w:val="Table Grid"/>
    <w:basedOn w:val="TableNormal"/>
    <w:rsid w:val="008D3E5E"/>
    <w:pPr>
      <w:spacing w:after="0" w:line="240" w:lineRule="auto"/>
    </w:pPr>
    <w:rPr>
      <w:rFonts w:ascii="Calibri" w:eastAsia="Calibri" w:hAnsi="Calibri" w:cs="Times New Roman"/>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2">
    <w:name w:val="Light List Accent 2"/>
    <w:basedOn w:val="TableNormal"/>
    <w:uiPriority w:val="61"/>
    <w:rsid w:val="008D3E5E"/>
    <w:pPr>
      <w:spacing w:after="0" w:line="240" w:lineRule="auto"/>
    </w:pPr>
    <w:rPr>
      <w:rFonts w:ascii="Calibri" w:eastAsia="Calibri" w:hAnsi="Calibri" w:cs="Times New Roman"/>
      <w:lang w:val="sr-Latn-CS" w:eastAsia="sr-Latn-C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olorfulGrid-Accent5">
    <w:name w:val="Colorful Grid Accent 5"/>
    <w:basedOn w:val="TableNormal"/>
    <w:uiPriority w:val="73"/>
    <w:rsid w:val="008D3E5E"/>
    <w:pPr>
      <w:spacing w:after="0" w:line="240" w:lineRule="auto"/>
    </w:pPr>
    <w:rPr>
      <w:rFonts w:ascii="Calibri" w:eastAsia="Calibri" w:hAnsi="Calibri" w:cs="Times New Roman"/>
      <w:color w:val="000000"/>
      <w:lang w:val="sr-Latn-CS" w:eastAsia="sr-Latn-C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List-Accent11">
    <w:name w:val="Light List - Accent 11"/>
    <w:basedOn w:val="TableNormal"/>
    <w:rsid w:val="008D3E5E"/>
    <w:pPr>
      <w:spacing w:after="0" w:line="240" w:lineRule="auto"/>
    </w:pPr>
    <w:rPr>
      <w:rFonts w:ascii="Calibri" w:eastAsia="Calibri" w:hAnsi="Calibri" w:cs="Times New Roman"/>
      <w:lang w:val="sr-Latn-CS" w:eastAsia="sr-Latn-C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2">
    <w:name w:val="toc 2"/>
    <w:basedOn w:val="Normal"/>
    <w:next w:val="Normal"/>
    <w:autoRedefine/>
    <w:unhideWhenUsed/>
    <w:qFormat/>
    <w:rsid w:val="008D3E5E"/>
    <w:pPr>
      <w:spacing w:before="240" w:line="290" w:lineRule="auto"/>
    </w:pPr>
    <w:rPr>
      <w:rFonts w:ascii="Calibri" w:hAnsi="Calibri" w:cs="Calibri"/>
      <w:b/>
      <w:bCs/>
      <w:color w:val="000000"/>
      <w:sz w:val="20"/>
      <w:szCs w:val="20"/>
      <w:lang w:val="sr-Latn-CS"/>
    </w:rPr>
  </w:style>
  <w:style w:type="paragraph" w:styleId="TOC3">
    <w:name w:val="toc 3"/>
    <w:basedOn w:val="Normal"/>
    <w:next w:val="Normal"/>
    <w:autoRedefine/>
    <w:unhideWhenUsed/>
    <w:qFormat/>
    <w:rsid w:val="008D3E5E"/>
    <w:pPr>
      <w:spacing w:line="290" w:lineRule="auto"/>
      <w:ind w:left="240"/>
    </w:pPr>
    <w:rPr>
      <w:rFonts w:ascii="Calibri" w:hAnsi="Calibri" w:cs="Calibri"/>
      <w:color w:val="000000"/>
      <w:sz w:val="20"/>
      <w:szCs w:val="20"/>
      <w:lang w:val="sr-Latn-CS"/>
    </w:rPr>
  </w:style>
  <w:style w:type="paragraph" w:styleId="TOC4">
    <w:name w:val="toc 4"/>
    <w:basedOn w:val="Normal"/>
    <w:next w:val="Normal"/>
    <w:autoRedefine/>
    <w:unhideWhenUsed/>
    <w:rsid w:val="008D3E5E"/>
    <w:pPr>
      <w:spacing w:line="290" w:lineRule="auto"/>
      <w:ind w:left="480"/>
    </w:pPr>
    <w:rPr>
      <w:rFonts w:ascii="Calibri" w:hAnsi="Calibri" w:cs="Calibri"/>
      <w:color w:val="000000"/>
      <w:sz w:val="20"/>
      <w:szCs w:val="20"/>
      <w:lang w:val="sr-Latn-CS"/>
    </w:rPr>
  </w:style>
  <w:style w:type="paragraph" w:styleId="TOC5">
    <w:name w:val="toc 5"/>
    <w:basedOn w:val="Normal"/>
    <w:next w:val="Normal"/>
    <w:autoRedefine/>
    <w:unhideWhenUsed/>
    <w:rsid w:val="008D3E5E"/>
    <w:pPr>
      <w:spacing w:line="290" w:lineRule="auto"/>
      <w:ind w:left="720"/>
    </w:pPr>
    <w:rPr>
      <w:rFonts w:ascii="Calibri" w:hAnsi="Calibri" w:cs="Calibri"/>
      <w:color w:val="000000"/>
      <w:sz w:val="20"/>
      <w:szCs w:val="20"/>
      <w:lang w:val="sr-Latn-CS"/>
    </w:rPr>
  </w:style>
  <w:style w:type="paragraph" w:styleId="TOC6">
    <w:name w:val="toc 6"/>
    <w:basedOn w:val="Normal"/>
    <w:next w:val="Normal"/>
    <w:autoRedefine/>
    <w:unhideWhenUsed/>
    <w:rsid w:val="008D3E5E"/>
    <w:pPr>
      <w:spacing w:line="290" w:lineRule="auto"/>
      <w:ind w:left="960"/>
    </w:pPr>
    <w:rPr>
      <w:rFonts w:ascii="Calibri" w:hAnsi="Calibri" w:cs="Calibri"/>
      <w:color w:val="000000"/>
      <w:sz w:val="20"/>
      <w:szCs w:val="20"/>
      <w:lang w:val="sr-Latn-CS"/>
    </w:rPr>
  </w:style>
  <w:style w:type="paragraph" w:styleId="TOC7">
    <w:name w:val="toc 7"/>
    <w:basedOn w:val="Normal"/>
    <w:next w:val="Normal"/>
    <w:autoRedefine/>
    <w:unhideWhenUsed/>
    <w:rsid w:val="008D3E5E"/>
    <w:pPr>
      <w:spacing w:line="290" w:lineRule="auto"/>
      <w:ind w:left="1200"/>
    </w:pPr>
    <w:rPr>
      <w:rFonts w:ascii="Calibri" w:hAnsi="Calibri" w:cs="Calibri"/>
      <w:color w:val="000000"/>
      <w:sz w:val="20"/>
      <w:szCs w:val="20"/>
      <w:lang w:val="sr-Latn-CS"/>
    </w:rPr>
  </w:style>
  <w:style w:type="paragraph" w:styleId="TOC8">
    <w:name w:val="toc 8"/>
    <w:basedOn w:val="Normal"/>
    <w:next w:val="Normal"/>
    <w:autoRedefine/>
    <w:unhideWhenUsed/>
    <w:rsid w:val="008D3E5E"/>
    <w:pPr>
      <w:spacing w:line="290" w:lineRule="auto"/>
      <w:ind w:left="1440"/>
    </w:pPr>
    <w:rPr>
      <w:rFonts w:ascii="Calibri" w:hAnsi="Calibri" w:cs="Calibri"/>
      <w:color w:val="000000"/>
      <w:sz w:val="20"/>
      <w:szCs w:val="20"/>
      <w:lang w:val="sr-Latn-CS"/>
    </w:rPr>
  </w:style>
  <w:style w:type="paragraph" w:styleId="TOC9">
    <w:name w:val="toc 9"/>
    <w:basedOn w:val="Normal"/>
    <w:next w:val="Normal"/>
    <w:autoRedefine/>
    <w:unhideWhenUsed/>
    <w:rsid w:val="008D3E5E"/>
    <w:pPr>
      <w:spacing w:line="290" w:lineRule="auto"/>
      <w:ind w:left="1680"/>
    </w:pPr>
    <w:rPr>
      <w:rFonts w:ascii="Calibri" w:hAnsi="Calibri" w:cs="Calibri"/>
      <w:color w:val="000000"/>
      <w:sz w:val="20"/>
      <w:szCs w:val="20"/>
      <w:lang w:val="sr-Latn-CS"/>
    </w:rPr>
  </w:style>
  <w:style w:type="table" w:styleId="LightGrid-Accent5">
    <w:name w:val="Light Grid Accent 5"/>
    <w:basedOn w:val="TableNormal"/>
    <w:uiPriority w:val="62"/>
    <w:rsid w:val="008D3E5E"/>
    <w:pPr>
      <w:spacing w:after="0" w:line="240" w:lineRule="auto"/>
    </w:pPr>
    <w:rPr>
      <w:rFonts w:ascii="Calibri" w:eastAsia="Calibri" w:hAnsi="Calibri" w:cs="Times New Roman"/>
      <w:lang w:val="sr-Latn-CS" w:eastAsia="sr-Latn-C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Emphasis">
    <w:name w:val="Emphasis"/>
    <w:basedOn w:val="DefaultParagraphFont"/>
    <w:uiPriority w:val="20"/>
    <w:qFormat/>
    <w:rsid w:val="008D3E5E"/>
    <w:rPr>
      <w:b/>
      <w:bCs/>
      <w:i w:val="0"/>
      <w:iCs w:val="0"/>
    </w:rPr>
  </w:style>
  <w:style w:type="character" w:customStyle="1" w:styleId="st1">
    <w:name w:val="st1"/>
    <w:basedOn w:val="DefaultParagraphFont"/>
    <w:rsid w:val="008D3E5E"/>
  </w:style>
  <w:style w:type="table" w:customStyle="1" w:styleId="LightList-Accent21">
    <w:name w:val="Light List - Accent 21"/>
    <w:rsid w:val="008D3E5E"/>
    <w:pPr>
      <w:spacing w:after="0" w:line="240" w:lineRule="auto"/>
    </w:pPr>
    <w:rPr>
      <w:rFonts w:ascii="Calibri" w:eastAsia="Times New Roman" w:hAnsi="Calibri" w:cs="Times New Roman"/>
      <w:sz w:val="20"/>
      <w:szCs w:val="20"/>
      <w:lang w:val="sr-Latn-CS" w:eastAsia="sr-Latn-C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ColorfulGrid-Accent51">
    <w:name w:val="Colorful Grid - Accent 51"/>
    <w:rsid w:val="008D3E5E"/>
    <w:pPr>
      <w:spacing w:after="0" w:line="240" w:lineRule="auto"/>
    </w:pPr>
    <w:rPr>
      <w:rFonts w:ascii="Calibri" w:eastAsia="Times New Roman" w:hAnsi="Calibri" w:cs="Times New Roman"/>
      <w:color w:val="000000"/>
      <w:sz w:val="20"/>
      <w:szCs w:val="20"/>
      <w:lang w:val="sr-Latn-CS" w:eastAsia="sr-Latn-C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LightGrid-Accent51">
    <w:name w:val="Light Grid - Accent 51"/>
    <w:rsid w:val="008D3E5E"/>
    <w:pPr>
      <w:spacing w:after="0" w:line="240" w:lineRule="auto"/>
    </w:pPr>
    <w:rPr>
      <w:rFonts w:ascii="Calibri" w:eastAsia="Times New Roman" w:hAnsi="Calibri" w:cs="Times New Roman"/>
      <w:sz w:val="20"/>
      <w:szCs w:val="20"/>
      <w:lang w:val="sr-Latn-CS" w:eastAsia="sr-Latn-C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hps">
    <w:name w:val="hps"/>
    <w:basedOn w:val="DefaultParagraphFont"/>
    <w:rsid w:val="008D3E5E"/>
  </w:style>
  <w:style w:type="character" w:customStyle="1" w:styleId="hpsatn">
    <w:name w:val="hps atn"/>
    <w:basedOn w:val="DefaultParagraphFont"/>
    <w:rsid w:val="008D3E5E"/>
  </w:style>
  <w:style w:type="character" w:customStyle="1" w:styleId="longtext">
    <w:name w:val="long_text"/>
    <w:basedOn w:val="DefaultParagraphFont"/>
    <w:rsid w:val="008D3E5E"/>
  </w:style>
  <w:style w:type="character" w:customStyle="1" w:styleId="atn">
    <w:name w:val="atn"/>
    <w:basedOn w:val="DefaultParagraphFont"/>
    <w:rsid w:val="008D3E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dovan.zivkovic\Dropbox\Radovan\Smjernice%20i%20PEP%20April%202013\Macro%202012-2015%2029.5.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0"/>
  <c:chart>
    <c:plotArea>
      <c:layout/>
      <c:barChart>
        <c:barDir val="col"/>
        <c:grouping val="stacked"/>
        <c:ser>
          <c:idx val="0"/>
          <c:order val="0"/>
          <c:tx>
            <c:strRef>
              <c:f>'Scenarios Summary'!$Q$20</c:f>
              <c:strCache>
                <c:ptCount val="1"/>
                <c:pt idx="0">
                  <c:v>Household spending </c:v>
                </c:pt>
              </c:strCache>
            </c:strRef>
          </c:tx>
          <c:spPr>
            <a:solidFill>
              <a:schemeClr val="tx2">
                <a:lumMod val="20000"/>
                <a:lumOff val="80000"/>
              </a:schemeClr>
            </a:solidFill>
          </c:spPr>
          <c:cat>
            <c:numRef>
              <c:f>'Scenarios Summary'!$F$5:$I$5</c:f>
              <c:numCache>
                <c:formatCode>General</c:formatCode>
                <c:ptCount val="4"/>
                <c:pt idx="0">
                  <c:v>2013</c:v>
                </c:pt>
                <c:pt idx="1">
                  <c:v>2014</c:v>
                </c:pt>
                <c:pt idx="2">
                  <c:v>2015</c:v>
                </c:pt>
                <c:pt idx="3">
                  <c:v>2016</c:v>
                </c:pt>
              </c:numCache>
            </c:numRef>
          </c:cat>
          <c:val>
            <c:numRef>
              <c:f>'Scenarios Summary'!$R$20:$U$20</c:f>
              <c:numCache>
                <c:formatCode>0.0</c:formatCode>
                <c:ptCount val="4"/>
                <c:pt idx="0">
                  <c:v>1.2784488531428968</c:v>
                </c:pt>
                <c:pt idx="1">
                  <c:v>3.1823062963906592</c:v>
                </c:pt>
                <c:pt idx="2">
                  <c:v>3.0131999999999972</c:v>
                </c:pt>
                <c:pt idx="3">
                  <c:v>3.5018792307692252</c:v>
                </c:pt>
              </c:numCache>
            </c:numRef>
          </c:val>
        </c:ser>
        <c:ser>
          <c:idx val="1"/>
          <c:order val="1"/>
          <c:tx>
            <c:strRef>
              <c:f>'Scenarios Summary'!$Q$21</c:f>
              <c:strCache>
                <c:ptCount val="1"/>
                <c:pt idx="0">
                  <c:v>Gross investments</c:v>
                </c:pt>
              </c:strCache>
            </c:strRef>
          </c:tx>
          <c:cat>
            <c:numRef>
              <c:f>'Scenarios Summary'!$F$5:$I$5</c:f>
              <c:numCache>
                <c:formatCode>General</c:formatCode>
                <c:ptCount val="4"/>
                <c:pt idx="0">
                  <c:v>2013</c:v>
                </c:pt>
                <c:pt idx="1">
                  <c:v>2014</c:v>
                </c:pt>
                <c:pt idx="2">
                  <c:v>2015</c:v>
                </c:pt>
                <c:pt idx="3">
                  <c:v>2016</c:v>
                </c:pt>
              </c:numCache>
            </c:numRef>
          </c:cat>
          <c:val>
            <c:numRef>
              <c:f>'Scenarios Summary'!$R$21:$U$21</c:f>
              <c:numCache>
                <c:formatCode>0.0</c:formatCode>
                <c:ptCount val="4"/>
                <c:pt idx="0">
                  <c:v>0.29906963803779368</c:v>
                </c:pt>
                <c:pt idx="1">
                  <c:v>0.4864254080974364</c:v>
                </c:pt>
                <c:pt idx="2">
                  <c:v>1.7449705878289332</c:v>
                </c:pt>
                <c:pt idx="3">
                  <c:v>1.3364606678128248</c:v>
                </c:pt>
              </c:numCache>
            </c:numRef>
          </c:val>
        </c:ser>
        <c:ser>
          <c:idx val="2"/>
          <c:order val="2"/>
          <c:tx>
            <c:strRef>
              <c:f>'Scenarios Summary'!$Q$22</c:f>
              <c:strCache>
                <c:ptCount val="1"/>
                <c:pt idx="0">
                  <c:v>Public spending</c:v>
                </c:pt>
              </c:strCache>
            </c:strRef>
          </c:tx>
          <c:cat>
            <c:numRef>
              <c:f>'Scenarios Summary'!$F$5:$I$5</c:f>
              <c:numCache>
                <c:formatCode>General</c:formatCode>
                <c:ptCount val="4"/>
                <c:pt idx="0">
                  <c:v>2013</c:v>
                </c:pt>
                <c:pt idx="1">
                  <c:v>2014</c:v>
                </c:pt>
                <c:pt idx="2">
                  <c:v>2015</c:v>
                </c:pt>
                <c:pt idx="3">
                  <c:v>2016</c:v>
                </c:pt>
              </c:numCache>
            </c:numRef>
          </c:cat>
          <c:val>
            <c:numRef>
              <c:f>'Scenarios Summary'!$R$22:$U$22</c:f>
              <c:numCache>
                <c:formatCode>0.0</c:formatCode>
                <c:ptCount val="4"/>
                <c:pt idx="0">
                  <c:v>0.23004882342145586</c:v>
                </c:pt>
                <c:pt idx="1">
                  <c:v>0.25681287705156342</c:v>
                </c:pt>
                <c:pt idx="2">
                  <c:v>0.18057634815553406</c:v>
                </c:pt>
                <c:pt idx="3">
                  <c:v>0.30163966463560432</c:v>
                </c:pt>
              </c:numCache>
            </c:numRef>
          </c:val>
        </c:ser>
        <c:ser>
          <c:idx val="3"/>
          <c:order val="3"/>
          <c:tx>
            <c:strRef>
              <c:f>'Scenarios Summary'!$Q$23</c:f>
              <c:strCache>
                <c:ptCount val="1"/>
                <c:pt idx="0">
                  <c:v>Net export</c:v>
                </c:pt>
              </c:strCache>
            </c:strRef>
          </c:tx>
          <c:cat>
            <c:numRef>
              <c:f>'Scenarios Summary'!$F$5:$I$5</c:f>
              <c:numCache>
                <c:formatCode>General</c:formatCode>
                <c:ptCount val="4"/>
                <c:pt idx="0">
                  <c:v>2013</c:v>
                </c:pt>
                <c:pt idx="1">
                  <c:v>2014</c:v>
                </c:pt>
                <c:pt idx="2">
                  <c:v>2015</c:v>
                </c:pt>
                <c:pt idx="3">
                  <c:v>2016</c:v>
                </c:pt>
              </c:numCache>
            </c:numRef>
          </c:cat>
          <c:val>
            <c:numRef>
              <c:f>'Scenarios Summary'!$R$23:$U$23</c:f>
              <c:numCache>
                <c:formatCode>0.0</c:formatCode>
                <c:ptCount val="4"/>
                <c:pt idx="0">
                  <c:v>0.69243268539785008</c:v>
                </c:pt>
                <c:pt idx="1">
                  <c:v>-0.42554458153966457</c:v>
                </c:pt>
                <c:pt idx="2">
                  <c:v>-0.93874693598447223</c:v>
                </c:pt>
                <c:pt idx="3">
                  <c:v>-0.6399795632176718</c:v>
                </c:pt>
              </c:numCache>
            </c:numRef>
          </c:val>
        </c:ser>
        <c:gapWidth val="20"/>
        <c:overlap val="100"/>
        <c:axId val="112869376"/>
        <c:axId val="112871296"/>
      </c:barChart>
      <c:lineChart>
        <c:grouping val="standard"/>
        <c:ser>
          <c:idx val="4"/>
          <c:order val="4"/>
          <c:tx>
            <c:strRef>
              <c:f>'Scenarios Summary'!$Q$19</c:f>
              <c:strCache>
                <c:ptCount val="1"/>
                <c:pt idx="0">
                  <c:v>GDP real growth</c:v>
                </c:pt>
              </c:strCache>
            </c:strRef>
          </c:tx>
          <c:spPr>
            <a:ln>
              <a:gradFill flip="none" rotWithShape="1">
                <a:gsLst>
                  <a:gs pos="0">
                    <a:srgbClr val="000000"/>
                  </a:gs>
                  <a:gs pos="20000">
                    <a:srgbClr val="000040"/>
                  </a:gs>
                  <a:gs pos="50000">
                    <a:srgbClr val="400040"/>
                  </a:gs>
                  <a:gs pos="75000">
                    <a:srgbClr val="8F0040"/>
                  </a:gs>
                  <a:gs pos="89999">
                    <a:srgbClr val="F27300"/>
                  </a:gs>
                  <a:gs pos="100000">
                    <a:srgbClr val="FFBF00"/>
                  </a:gs>
                </a:gsLst>
                <a:lin ang="2700000" scaled="1"/>
                <a:tileRect/>
              </a:gradFill>
            </a:ln>
          </c:spPr>
          <c:marker>
            <c:symbol val="circle"/>
            <c:size val="4"/>
            <c:spPr>
              <a:solidFill>
                <a:schemeClr val="bg1"/>
              </a:solidFill>
            </c:spPr>
          </c:marker>
          <c:val>
            <c:numRef>
              <c:f>'Scenarios Summary'!$R$19:$U$19</c:f>
              <c:numCache>
                <c:formatCode>0.0</c:formatCode>
                <c:ptCount val="4"/>
                <c:pt idx="0">
                  <c:v>2.4999999999999933</c:v>
                </c:pt>
                <c:pt idx="1">
                  <c:v>3.4999999999999929</c:v>
                </c:pt>
                <c:pt idx="2">
                  <c:v>4.0000000000000009</c:v>
                </c:pt>
                <c:pt idx="3">
                  <c:v>4.4999999999999876</c:v>
                </c:pt>
              </c:numCache>
            </c:numRef>
          </c:val>
        </c:ser>
        <c:marker val="1"/>
        <c:axId val="112869376"/>
        <c:axId val="112871296"/>
      </c:lineChart>
      <c:catAx>
        <c:axId val="112869376"/>
        <c:scaling>
          <c:orientation val="minMax"/>
        </c:scaling>
        <c:axPos val="b"/>
        <c:numFmt formatCode="General" sourceLinked="1"/>
        <c:tickLblPos val="low"/>
        <c:txPr>
          <a:bodyPr/>
          <a:lstStyle/>
          <a:p>
            <a:pPr>
              <a:defRPr lang="sr-Latn-CS" sz="800"/>
            </a:pPr>
            <a:endParaRPr lang="en-US"/>
          </a:p>
        </c:txPr>
        <c:crossAx val="112871296"/>
        <c:crosses val="autoZero"/>
        <c:auto val="1"/>
        <c:lblAlgn val="ctr"/>
        <c:lblOffset val="100"/>
      </c:catAx>
      <c:valAx>
        <c:axId val="112871296"/>
        <c:scaling>
          <c:orientation val="minMax"/>
          <c:min val="-1"/>
        </c:scaling>
        <c:axPos val="l"/>
        <c:majorGridlines>
          <c:spPr>
            <a:ln>
              <a:solidFill>
                <a:schemeClr val="tx2">
                  <a:lumMod val="20000"/>
                  <a:lumOff val="80000"/>
                </a:schemeClr>
              </a:solidFill>
            </a:ln>
          </c:spPr>
        </c:majorGridlines>
        <c:numFmt formatCode="0.0" sourceLinked="1"/>
        <c:tickLblPos val="nextTo"/>
        <c:spPr>
          <a:ln>
            <a:solidFill>
              <a:sysClr val="windowText" lastClr="000000"/>
            </a:solidFill>
          </a:ln>
        </c:spPr>
        <c:txPr>
          <a:bodyPr/>
          <a:lstStyle/>
          <a:p>
            <a:pPr>
              <a:defRPr lang="sr-Latn-CS" sz="800"/>
            </a:pPr>
            <a:endParaRPr lang="en-US"/>
          </a:p>
        </c:txPr>
        <c:crossAx val="112869376"/>
        <c:crosses val="autoZero"/>
        <c:crossBetween val="between"/>
      </c:valAx>
      <c:spPr>
        <a:solidFill>
          <a:schemeClr val="bg1">
            <a:lumMod val="95000"/>
          </a:schemeClr>
        </a:solidFill>
      </c:spPr>
    </c:plotArea>
    <c:legend>
      <c:legendPos val="r"/>
      <c:txPr>
        <a:bodyPr/>
        <a:lstStyle/>
        <a:p>
          <a:pPr>
            <a:defRPr lang="sr-Latn-CS" sz="800"/>
          </a:pPr>
          <a:endParaRPr lang="en-US"/>
        </a:p>
      </c:txPr>
    </c:legend>
    <c:plotVisOnly val="1"/>
    <c:dispBlanksAs val="gap"/>
  </c:chart>
  <c:spPr>
    <a:solidFill>
      <a:sysClr val="window" lastClr="FFFFFF">
        <a:lumMod val="95000"/>
      </a:sysClr>
    </a:solid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36</Pages>
  <Words>17045</Words>
  <Characters>97162</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Dusko</dc:creator>
  <cp:lastModifiedBy>nina.vukotic</cp:lastModifiedBy>
  <cp:revision>4</cp:revision>
  <dcterms:created xsi:type="dcterms:W3CDTF">2013-06-10T13:15:00Z</dcterms:created>
  <dcterms:modified xsi:type="dcterms:W3CDTF">2013-06-10T13:25:00Z</dcterms:modified>
</cp:coreProperties>
</file>