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6379A" w:rsidRDefault="00B6379A" w:rsidP="00B6379A">
      <w:pPr>
        <w:pStyle w:val="Subtitle"/>
        <w:jc w:val="right"/>
        <w:rPr>
          <w:rStyle w:val="SubtleReference"/>
          <w:b/>
          <w:color w:val="auto"/>
          <w:sz w:val="26"/>
          <w:szCs w:val="26"/>
        </w:rPr>
      </w:pPr>
      <w:r>
        <w:rPr>
          <w:rStyle w:val="SubtleReference"/>
          <w:b/>
          <w:color w:val="auto"/>
          <w:sz w:val="26"/>
          <w:szCs w:val="26"/>
        </w:rPr>
        <w:t>PRVI NACRT</w:t>
      </w:r>
    </w:p>
    <w:p w:rsidR="00B6379A" w:rsidRPr="00B6379A" w:rsidRDefault="00B6379A" w:rsidP="00B6379A"/>
    <w:p w:rsidR="00D6457B" w:rsidRPr="00B92CBD" w:rsidRDefault="005F120D" w:rsidP="00CE093B">
      <w:pPr>
        <w:pStyle w:val="Subtitle"/>
        <w:rPr>
          <w:rStyle w:val="SubtleReference"/>
          <w:b/>
          <w:color w:val="auto"/>
          <w:sz w:val="26"/>
          <w:szCs w:val="26"/>
        </w:rPr>
      </w:pPr>
      <w:r w:rsidRPr="00B92CBD">
        <w:rPr>
          <w:rStyle w:val="SubtleReference"/>
          <w:b/>
          <w:color w:val="auto"/>
          <w:sz w:val="26"/>
          <w:szCs w:val="26"/>
        </w:rPr>
        <w:t xml:space="preserve">Plan rada </w:t>
      </w:r>
      <w:r w:rsidR="001012A2" w:rsidRPr="00B92CBD">
        <w:rPr>
          <w:rStyle w:val="SubtleReference"/>
          <w:b/>
          <w:color w:val="auto"/>
          <w:sz w:val="26"/>
          <w:szCs w:val="26"/>
        </w:rPr>
        <w:t xml:space="preserve">za </w:t>
      </w:r>
      <w:r w:rsidRPr="00B92CBD">
        <w:rPr>
          <w:rStyle w:val="SubtleReference"/>
          <w:b/>
          <w:color w:val="auto"/>
          <w:sz w:val="26"/>
          <w:szCs w:val="26"/>
        </w:rPr>
        <w:t>202</w:t>
      </w:r>
      <w:r w:rsidR="00A77E3E" w:rsidRPr="00B92CBD">
        <w:rPr>
          <w:rStyle w:val="SubtleReference"/>
          <w:b/>
          <w:color w:val="auto"/>
          <w:sz w:val="26"/>
          <w:szCs w:val="26"/>
        </w:rPr>
        <w:t>5</w:t>
      </w:r>
      <w:r w:rsidRPr="00B92CBD">
        <w:rPr>
          <w:rStyle w:val="SubtleReference"/>
          <w:b/>
          <w:color w:val="auto"/>
          <w:sz w:val="26"/>
          <w:szCs w:val="26"/>
        </w:rPr>
        <w:t>.</w:t>
      </w:r>
      <w:r w:rsidR="001012A2" w:rsidRPr="00B92CBD">
        <w:rPr>
          <w:rStyle w:val="SubtleReference"/>
          <w:b/>
          <w:color w:val="auto"/>
          <w:sz w:val="26"/>
          <w:szCs w:val="26"/>
        </w:rPr>
        <w:t xml:space="preserve"> </w:t>
      </w:r>
      <w:proofErr w:type="spellStart"/>
      <w:r w:rsidR="00BB1DC0" w:rsidRPr="00B92CBD">
        <w:rPr>
          <w:rStyle w:val="SubtleReference"/>
          <w:b/>
          <w:color w:val="auto"/>
          <w:sz w:val="26"/>
          <w:szCs w:val="26"/>
        </w:rPr>
        <w:t>godinu</w:t>
      </w:r>
      <w:proofErr w:type="spellEnd"/>
      <w:r w:rsidR="00095509" w:rsidRPr="00B92CBD">
        <w:rPr>
          <w:rStyle w:val="SubtleReference"/>
          <w:b/>
          <w:color w:val="auto"/>
          <w:sz w:val="26"/>
          <w:szCs w:val="26"/>
        </w:rPr>
        <w:t xml:space="preserve">   </w:t>
      </w:r>
      <w:r w:rsidR="00095509" w:rsidRPr="00B92CBD">
        <w:rPr>
          <w:rStyle w:val="SubtleReference"/>
          <w:b/>
          <w:color w:val="auto"/>
          <w:sz w:val="26"/>
          <w:szCs w:val="26"/>
        </w:rPr>
        <w:tab/>
      </w:r>
      <w:r w:rsidR="00CF7FC2" w:rsidRPr="00B92CBD">
        <w:rPr>
          <w:rStyle w:val="SubtleReference"/>
          <w:b/>
          <w:color w:val="auto"/>
          <w:sz w:val="26"/>
          <w:szCs w:val="26"/>
        </w:rPr>
        <w:tab/>
      </w:r>
      <w:r w:rsidR="00CF7FC2" w:rsidRPr="00B92CBD">
        <w:rPr>
          <w:rStyle w:val="SubtleReference"/>
          <w:b/>
          <w:color w:val="auto"/>
          <w:sz w:val="26"/>
          <w:szCs w:val="26"/>
        </w:rPr>
        <w:tab/>
      </w:r>
      <w:r w:rsidR="00CF7FC2" w:rsidRPr="00B92CBD">
        <w:rPr>
          <w:rStyle w:val="SubtleReference"/>
          <w:b/>
          <w:color w:val="auto"/>
          <w:sz w:val="26"/>
          <w:szCs w:val="26"/>
        </w:rPr>
        <w:tab/>
      </w:r>
      <w:r w:rsidR="00CF7FC2" w:rsidRPr="00B92CBD">
        <w:rPr>
          <w:rStyle w:val="SubtleReference"/>
          <w:b/>
          <w:color w:val="auto"/>
          <w:sz w:val="26"/>
          <w:szCs w:val="26"/>
        </w:rPr>
        <w:tab/>
      </w:r>
      <w:r w:rsidRPr="00B92CBD">
        <w:rPr>
          <w:rStyle w:val="SubtleReference"/>
          <w:b/>
          <w:color w:val="auto"/>
          <w:sz w:val="26"/>
          <w:szCs w:val="26"/>
        </w:rPr>
        <w:t xml:space="preserve"> </w:t>
      </w:r>
      <w:r w:rsidR="00CE093B" w:rsidRPr="00B92CBD">
        <w:rPr>
          <w:rStyle w:val="SubtleReference"/>
          <w:b/>
          <w:color w:val="auto"/>
          <w:sz w:val="26"/>
          <w:szCs w:val="26"/>
        </w:rPr>
        <w:tab/>
        <w:t xml:space="preserve">       </w:t>
      </w:r>
      <w:r w:rsidRPr="00B92CBD">
        <w:rPr>
          <w:rStyle w:val="SubtleReference"/>
          <w:b/>
          <w:color w:val="auto"/>
          <w:sz w:val="26"/>
          <w:szCs w:val="26"/>
        </w:rPr>
        <w:t xml:space="preserve">                     </w:t>
      </w:r>
      <w:r w:rsidR="00F441BA" w:rsidRPr="00B92CBD">
        <w:rPr>
          <w:rStyle w:val="SubtleReference"/>
          <w:b/>
          <w:color w:val="auto"/>
          <w:sz w:val="26"/>
          <w:szCs w:val="26"/>
        </w:rPr>
        <w:tab/>
      </w:r>
      <w:r w:rsidR="00CE093B" w:rsidRPr="00B92CBD">
        <w:rPr>
          <w:rStyle w:val="SubtleReference"/>
          <w:b/>
          <w:color w:val="auto"/>
          <w:sz w:val="26"/>
          <w:szCs w:val="26"/>
        </w:rPr>
        <w:t xml:space="preserve">      </w:t>
      </w:r>
      <w:r w:rsidR="00095509" w:rsidRPr="00B92CBD">
        <w:rPr>
          <w:rStyle w:val="SubtleReference"/>
          <w:b/>
          <w:color w:val="auto"/>
          <w:sz w:val="26"/>
          <w:szCs w:val="26"/>
        </w:rPr>
        <w:t>PREDLOG</w:t>
      </w:r>
    </w:p>
    <w:tbl>
      <w:tblPr>
        <w:tblW w:w="10164" w:type="dxa"/>
        <w:tblLook w:val="04A0" w:firstRow="1" w:lastRow="0" w:firstColumn="1" w:lastColumn="0" w:noHBand="0" w:noVBand="1"/>
      </w:tblPr>
      <w:tblGrid>
        <w:gridCol w:w="854"/>
        <w:gridCol w:w="5540"/>
        <w:gridCol w:w="1530"/>
        <w:gridCol w:w="2240"/>
      </w:tblGrid>
      <w:tr w:rsidR="006548F9" w:rsidRPr="00FE140F" w:rsidTr="000541C5">
        <w:trPr>
          <w:trHeight w:val="31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87EF1" w:rsidRPr="00B92CBD" w:rsidRDefault="006548F9" w:rsidP="00082753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92CBD">
              <w:rPr>
                <w:rFonts w:asciiTheme="majorHAnsi" w:hAnsiTheme="majorHAnsi" w:cstheme="majorHAnsi"/>
                <w:b/>
                <w:sz w:val="22"/>
                <w:szCs w:val="22"/>
              </w:rPr>
              <w:t>R.br.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87EF1" w:rsidRPr="00762E61" w:rsidRDefault="00D05C7E" w:rsidP="006D4B35">
            <w:pPr>
              <w:pStyle w:val="NoSpacing"/>
              <w:jc w:val="both"/>
              <w:rPr>
                <w:b/>
                <w:sz w:val="22"/>
                <w:szCs w:val="22"/>
                <w:lang w:val="sr-Latn-ME"/>
              </w:rPr>
            </w:pPr>
            <w:r w:rsidRPr="00762E61">
              <w:rPr>
                <w:b/>
                <w:sz w:val="22"/>
                <w:szCs w:val="22"/>
                <w:lang w:val="sr-Latn-ME"/>
              </w:rPr>
              <w:t>T</w:t>
            </w:r>
            <w:r w:rsidR="002D4BC8" w:rsidRPr="00762E61">
              <w:rPr>
                <w:b/>
                <w:sz w:val="22"/>
                <w:szCs w:val="22"/>
                <w:lang w:val="sr-Latn-ME"/>
              </w:rPr>
              <w:t>ema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87EF1" w:rsidRPr="00FE140F" w:rsidRDefault="00F87EF1" w:rsidP="006D4B3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spellStart"/>
            <w:r w:rsidRPr="00FE140F">
              <w:rPr>
                <w:b/>
                <w:sz w:val="24"/>
                <w:szCs w:val="24"/>
              </w:rPr>
              <w:t>Aktivnost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87EF1" w:rsidRPr="00FE140F" w:rsidRDefault="00F87EF1" w:rsidP="006548F9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FE140F">
              <w:rPr>
                <w:b/>
                <w:sz w:val="24"/>
                <w:szCs w:val="24"/>
              </w:rPr>
              <w:t>Nosilac</w:t>
            </w:r>
            <w:proofErr w:type="spellEnd"/>
          </w:p>
        </w:tc>
      </w:tr>
      <w:tr w:rsidR="00C27132" w:rsidRPr="006548F9" w:rsidTr="000541C5">
        <w:trPr>
          <w:trHeight w:val="312"/>
        </w:trPr>
        <w:tc>
          <w:tcPr>
            <w:tcW w:w="10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87EF1" w:rsidRPr="00762E61" w:rsidRDefault="00603793" w:rsidP="006D4B35">
            <w:pPr>
              <w:pStyle w:val="Heading4"/>
              <w:jc w:val="center"/>
              <w:rPr>
                <w:rFonts w:cstheme="majorHAnsi"/>
                <w:b/>
                <w:sz w:val="22"/>
                <w:szCs w:val="22"/>
                <w:lang w:val="sr-Latn-ME"/>
              </w:rPr>
            </w:pPr>
            <w:r w:rsidRPr="00762E61">
              <w:rPr>
                <w:rFonts w:cstheme="majorHAnsi"/>
                <w:b/>
                <w:sz w:val="22"/>
                <w:szCs w:val="22"/>
                <w:lang w:val="sr-Latn-ME"/>
              </w:rPr>
              <w:t>I KVARTAL</w:t>
            </w:r>
          </w:p>
        </w:tc>
      </w:tr>
      <w:tr w:rsidR="001858F3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F3" w:rsidRPr="00B92CBD" w:rsidRDefault="001858F3" w:rsidP="00082753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F3" w:rsidRPr="00762E61" w:rsidRDefault="001858F3" w:rsidP="006D4B35">
            <w:pPr>
              <w:pStyle w:val="Subtitle"/>
              <w:jc w:val="both"/>
              <w:rPr>
                <w:rStyle w:val="Strong"/>
                <w:b w:val="0"/>
                <w:color w:val="auto"/>
                <w:sz w:val="22"/>
                <w:szCs w:val="22"/>
                <w:lang w:val="it-IT"/>
              </w:rPr>
            </w:pPr>
            <w:r w:rsidRPr="00762E61">
              <w:rPr>
                <w:rStyle w:val="Strong"/>
                <w:i/>
                <w:color w:val="auto"/>
                <w:sz w:val="22"/>
                <w:szCs w:val="22"/>
                <w:lang w:val="it-IT"/>
              </w:rPr>
              <w:t>Plan rada Savjeta za inovacije i pametnu specijalizaciju za 2025. godinu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F3" w:rsidRPr="001858F3" w:rsidRDefault="001858F3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  <w:lang w:val="it-IT"/>
              </w:rPr>
            </w:pPr>
            <w:r>
              <w:rPr>
                <w:rStyle w:val="SubtleEmphasis"/>
                <w:sz w:val="22"/>
                <w:szCs w:val="22"/>
                <w:lang w:val="it-IT"/>
              </w:rPr>
              <w:t>Usvajanje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F3" w:rsidRPr="001858F3" w:rsidRDefault="001858F3" w:rsidP="00060B0E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3E3049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049" w:rsidRPr="001858F3" w:rsidRDefault="003E3049" w:rsidP="00082753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049" w:rsidRPr="00762E61" w:rsidRDefault="00F03F91" w:rsidP="006D4B35">
            <w:pPr>
              <w:pStyle w:val="Subtitle"/>
              <w:jc w:val="both"/>
              <w:rPr>
                <w:rStyle w:val="SubtleEmphasis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>Izvještaj</w:t>
            </w:r>
            <w:proofErr w:type="spellEnd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>radu</w:t>
            </w:r>
            <w:proofErr w:type="spellEnd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 xml:space="preserve"> Savjeta za inovacije i </w:t>
            </w:r>
            <w:proofErr w:type="spellStart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>pametnu</w:t>
            </w:r>
            <w:proofErr w:type="spellEnd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>specijalizaciju</w:t>
            </w:r>
            <w:proofErr w:type="spellEnd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 xml:space="preserve"> za 2024. </w:t>
            </w:r>
            <w:proofErr w:type="spellStart"/>
            <w:r w:rsidRPr="00762E61">
              <w:rPr>
                <w:rStyle w:val="Strong"/>
                <w:i/>
                <w:color w:val="auto"/>
                <w:sz w:val="22"/>
                <w:szCs w:val="22"/>
              </w:rPr>
              <w:t>godinu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049" w:rsidRPr="00CE093B" w:rsidRDefault="00F03F91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049" w:rsidRPr="001858F3" w:rsidRDefault="00F03F91" w:rsidP="00060B0E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F03F91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F91" w:rsidRPr="001858F3" w:rsidRDefault="00F03F91" w:rsidP="00082753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F91" w:rsidRPr="00762E61" w:rsidRDefault="00F03F91" w:rsidP="006D4B35">
            <w:pPr>
              <w:pStyle w:val="Subtitle"/>
              <w:jc w:val="both"/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  <w:t xml:space="preserve">Izvještaj o funkcionisanju okvira </w:t>
            </w:r>
            <w:r w:rsidR="00472941" w:rsidRPr="00762E61"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  <w:t>za</w:t>
            </w:r>
            <w:r w:rsidRPr="00762E61"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  <w:t xml:space="preserve"> implementacij</w:t>
            </w:r>
            <w:r w:rsidR="00472941" w:rsidRPr="00762E61"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  <w:t xml:space="preserve">u </w:t>
            </w:r>
            <w:r w:rsidRPr="00762E61"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  <w:t>inovacija i pametne specijalizacije u Crnoj Gori za 2024. godinu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F91" w:rsidRDefault="00F03F91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F91" w:rsidRPr="001858F3" w:rsidRDefault="00F03F91" w:rsidP="00060B0E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125CD2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D2" w:rsidRPr="001858F3" w:rsidRDefault="00125CD2" w:rsidP="00082753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D2" w:rsidRPr="00762E61" w:rsidRDefault="00125CD2" w:rsidP="006D4B35">
            <w:pPr>
              <w:pStyle w:val="Subtitle"/>
              <w:jc w:val="both"/>
              <w:rPr>
                <w:rStyle w:val="SubtleEmphasis"/>
                <w:b/>
                <w:b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rStyle w:val="SubtleEmphasis"/>
                <w:b/>
                <w:color w:val="auto"/>
                <w:sz w:val="22"/>
                <w:szCs w:val="22"/>
                <w:lang w:val="it-IT"/>
              </w:rPr>
              <w:t>Informacija o procesu pripreme nove Strategije pametne specijalizacije 2026-2031.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D2" w:rsidRDefault="00125CD2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D2" w:rsidRPr="001858F3" w:rsidRDefault="00125CD2" w:rsidP="00060B0E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F86820" w:rsidRPr="00CE093B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20" w:rsidRPr="001858F3" w:rsidRDefault="00F86820" w:rsidP="00082753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20" w:rsidRPr="00762E61" w:rsidRDefault="00125CD2" w:rsidP="006D4B35">
            <w:pPr>
              <w:pStyle w:val="Subtitle"/>
              <w:jc w:val="both"/>
              <w:rPr>
                <w:rStyle w:val="Strong"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bCs/>
                <w:i/>
                <w:color w:val="auto"/>
                <w:sz w:val="22"/>
                <w:szCs w:val="22"/>
                <w:lang w:val="it-IT"/>
              </w:rPr>
              <w:t>Izvještaj o realizaciji Programa podsticajnih mjera u oblasti turizma za 2024.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20" w:rsidRDefault="00125CD2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125CD2" w:rsidRPr="00125CD2" w:rsidRDefault="00125CD2" w:rsidP="006D4B35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proofErr w:type="spellStart"/>
            <w:r w:rsidRPr="00125CD2">
              <w:rPr>
                <w:rFonts w:asciiTheme="majorHAnsi" w:hAnsiTheme="majorHAnsi"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20" w:rsidRDefault="00125CD2" w:rsidP="00060B0E">
            <w:pPr>
              <w:pStyle w:val="Subtitle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Ministarstvo turizma</w:t>
            </w:r>
          </w:p>
        </w:tc>
      </w:tr>
      <w:tr w:rsidR="00C063F6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F6" w:rsidRPr="00B92CBD" w:rsidRDefault="00C063F6" w:rsidP="000541C5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F6" w:rsidRPr="00762E61" w:rsidRDefault="00540DFC" w:rsidP="006D4B35">
            <w:pPr>
              <w:pStyle w:val="Subtitle"/>
              <w:numPr>
                <w:ilvl w:val="0"/>
                <w:numId w:val="0"/>
              </w:numPr>
              <w:jc w:val="both"/>
              <w:rPr>
                <w:b/>
                <w:i/>
                <w:color w:val="auto"/>
                <w:sz w:val="22"/>
                <w:szCs w:val="22"/>
                <w:highlight w:val="yellow"/>
                <w:lang w:val="it-IT"/>
              </w:rPr>
            </w:pP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C063F6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Program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u</w:t>
            </w:r>
            <w:r w:rsidR="00C063F6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razvoja prerade drveta i proizvodnje namještaja 2025-2028</w:t>
            </w:r>
            <w:r w:rsidR="00472941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F6" w:rsidRDefault="00C063F6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F6" w:rsidRPr="00C063F6" w:rsidRDefault="00C063F6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C063F6">
              <w:rPr>
                <w:rStyle w:val="Strong"/>
                <w:sz w:val="22"/>
                <w:szCs w:val="22"/>
                <w:lang w:val="it-IT"/>
              </w:rPr>
              <w:t>M</w:t>
            </w:r>
            <w:proofErr w:type="spellStart"/>
            <w:r w:rsidRPr="00C063F6">
              <w:rPr>
                <w:rStyle w:val="Strong"/>
                <w:sz w:val="22"/>
                <w:szCs w:val="22"/>
              </w:rPr>
              <w:t>inistarstvo</w:t>
            </w:r>
            <w:proofErr w:type="spellEnd"/>
            <w:r w:rsidRPr="00C063F6">
              <w:rPr>
                <w:rStyle w:val="Strong"/>
                <w:sz w:val="22"/>
                <w:szCs w:val="22"/>
              </w:rPr>
              <w:t xml:space="preserve"> poljoprivrede, šumarstva i vodoprivrede </w:t>
            </w:r>
          </w:p>
        </w:tc>
      </w:tr>
      <w:tr w:rsidR="006D0A23" w:rsidRPr="001858F3" w:rsidTr="000541C5">
        <w:trPr>
          <w:trHeight w:val="7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A23" w:rsidRPr="00B92CBD" w:rsidRDefault="006D0A23" w:rsidP="000541C5">
            <w:pPr>
              <w:pStyle w:val="Subtitle"/>
              <w:numPr>
                <w:ilvl w:val="0"/>
                <w:numId w:val="11"/>
              </w:numPr>
              <w:jc w:val="center"/>
              <w:rPr>
                <w:rStyle w:val="SubtleEmphasis"/>
                <w:rFonts w:cstheme="majorHAnsi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A23" w:rsidRPr="00762E61" w:rsidRDefault="00540DFC" w:rsidP="006D4B35">
            <w:pPr>
              <w:pStyle w:val="Subtitle"/>
              <w:numPr>
                <w:ilvl w:val="0"/>
                <w:numId w:val="0"/>
              </w:numPr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C51F0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Predlog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u</w:t>
            </w:r>
            <w:r w:rsidR="00C51F0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zakona o izmjenama i dopunama Zakona o priznavanju profesionalnih kvalifikacija za obavljanje regulisanih profesija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F05" w:rsidRDefault="00C51F0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6D0A23" w:rsidRDefault="00C51F0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A23" w:rsidRPr="00C063F6" w:rsidRDefault="00C51F05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>Ministarstvo rada, zapošljavanja i socijalnog dijaloga</w:t>
            </w:r>
          </w:p>
        </w:tc>
      </w:tr>
      <w:tr w:rsidR="000541C5" w:rsidRPr="00CE093B" w:rsidTr="000541C5">
        <w:trPr>
          <w:trHeight w:val="381"/>
        </w:trPr>
        <w:tc>
          <w:tcPr>
            <w:tcW w:w="10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541C5" w:rsidRPr="00762E61" w:rsidRDefault="000541C5" w:rsidP="006D4B35">
            <w:pPr>
              <w:pStyle w:val="Heading4"/>
              <w:jc w:val="center"/>
              <w:rPr>
                <w:rStyle w:val="SubtleEmphasis"/>
                <w:rFonts w:cstheme="maj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62E61">
              <w:rPr>
                <w:rFonts w:cstheme="majorHAnsi"/>
                <w:b/>
                <w:sz w:val="22"/>
                <w:szCs w:val="22"/>
              </w:rPr>
              <w:t>II KVARTAL</w:t>
            </w:r>
          </w:p>
        </w:tc>
      </w:tr>
      <w:tr w:rsidR="000541C5" w:rsidRPr="001858F3" w:rsidTr="000541C5">
        <w:trPr>
          <w:trHeight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3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Izvještaj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realizaciji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Akcionog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plana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sprovođenje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Strategije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naučnoistraživačke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djelatnosti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Crne Gore 2024 - 2028, za 2024.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9222A0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9222A0"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spacing w:after="0"/>
              <w:rPr>
                <w:rStyle w:val="Strong"/>
                <w:sz w:val="24"/>
                <w:szCs w:val="24"/>
                <w:lang w:val="it-IT"/>
              </w:rPr>
            </w:pPr>
            <w:r w:rsidRPr="001858F3">
              <w:rPr>
                <w:rStyle w:val="Strong"/>
                <w:sz w:val="24"/>
                <w:szCs w:val="24"/>
                <w:lang w:val="it-IT"/>
              </w:rPr>
              <w:t>Ministarstvo prosvjete, nauke i inovacija</w:t>
            </w:r>
          </w:p>
        </w:tc>
      </w:tr>
      <w:tr w:rsidR="000541C5" w:rsidRPr="001858F3" w:rsidTr="000541C5">
        <w:trPr>
          <w:trHeight w:val="92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numPr>
                <w:ilvl w:val="0"/>
                <w:numId w:val="13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Završni izvještaj o sprovođenju Strategije pametne specijalizacije Crne Gore 2019 -2024 (uključujući Operativni </w:t>
            </w: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lastRenderedPageBreak/>
              <w:t>program za implementaciju Strategije pametne specijalizacije Crne Gore 2021 -2024)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9222A0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9222A0">
              <w:rPr>
                <w:rStyle w:val="SubtleEmphasis"/>
                <w:sz w:val="22"/>
                <w:szCs w:val="22"/>
              </w:rPr>
              <w:lastRenderedPageBreak/>
              <w:t>Usvajanje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spacing w:after="0"/>
              <w:rPr>
                <w:rStyle w:val="Strong"/>
                <w:iCs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4"/>
                <w:szCs w:val="24"/>
                <w:lang w:val="it-IT"/>
              </w:rPr>
              <w:t>Ministarstvo prosvjete, nauke i inovacija</w:t>
            </w:r>
          </w:p>
        </w:tc>
      </w:tr>
      <w:tr w:rsidR="000541C5" w:rsidRPr="001858F3" w:rsidTr="000541C5">
        <w:trPr>
          <w:trHeight w:val="92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numPr>
                <w:ilvl w:val="0"/>
                <w:numId w:val="13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Plan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implementacije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pametne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specijalizacije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Crnoj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Gori za 2025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9222A0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9222A0"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spacing w:after="0"/>
              <w:rPr>
                <w:rStyle w:val="Strong"/>
                <w:iCs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4"/>
                <w:szCs w:val="24"/>
                <w:lang w:val="it-IT"/>
              </w:rPr>
              <w:t>Ministarstvo prosvjete, nauke i inovacija</w:t>
            </w:r>
          </w:p>
        </w:tc>
      </w:tr>
      <w:tr w:rsidR="00DD57E8" w:rsidRPr="00DD57E8" w:rsidTr="000541C5">
        <w:trPr>
          <w:trHeight w:val="71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DD57E8" w:rsidRDefault="000541C5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color w:val="auto"/>
                <w:sz w:val="22"/>
                <w:szCs w:val="22"/>
              </w:rPr>
            </w:pPr>
            <w:r w:rsidRPr="00DD57E8">
              <w:rPr>
                <w:rStyle w:val="SubtleEmphasis"/>
                <w:rFonts w:cstheme="majorHAnsi"/>
                <w:b/>
                <w:i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762E61" w:rsidRDefault="000541C5" w:rsidP="006D4B35">
            <w:pPr>
              <w:pStyle w:val="Subtitle"/>
              <w:spacing w:after="120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Izvještaj za 2024. o realizaciji Strategije regionalnog razvoja Crne Gore 2023 </w:t>
            </w:r>
            <w:r w:rsidR="00DD57E8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–</w:t>
            </w: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2027</w:t>
            </w:r>
            <w:r w:rsidR="00DD57E8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i </w:t>
            </w:r>
            <w:proofErr w:type="spellStart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>Revizija</w:t>
            </w:r>
            <w:proofErr w:type="spellEnd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>Strategije</w:t>
            </w:r>
            <w:proofErr w:type="spellEnd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>regionalnog</w:t>
            </w:r>
            <w:proofErr w:type="spellEnd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razvoja Crne Gore 2023 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>–</w:t>
            </w:r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2027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 xml:space="preserve">. </w:t>
            </w:r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s </w:t>
            </w:r>
            <w:proofErr w:type="spellStart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>Akcionim</w:t>
            </w:r>
            <w:proofErr w:type="spellEnd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>planom</w:t>
            </w:r>
            <w:proofErr w:type="spellEnd"/>
            <w:r w:rsidR="00DD57E8" w:rsidRPr="00762E61">
              <w:rPr>
                <w:b/>
                <w:i/>
                <w:color w:val="auto"/>
                <w:sz w:val="22"/>
                <w:szCs w:val="22"/>
              </w:rPr>
              <w:t xml:space="preserve"> za 2025.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DD57E8" w:rsidRDefault="000541C5" w:rsidP="006D4B35">
            <w:pPr>
              <w:pStyle w:val="Subtitle"/>
              <w:jc w:val="center"/>
              <w:rPr>
                <w:rStyle w:val="SubtleEmphasis"/>
                <w:color w:val="auto"/>
                <w:sz w:val="22"/>
                <w:szCs w:val="22"/>
              </w:rPr>
            </w:pPr>
            <w:proofErr w:type="spellStart"/>
            <w:r w:rsidRPr="00DD57E8">
              <w:rPr>
                <w:rStyle w:val="SubtleEmphasis"/>
                <w:color w:val="auto"/>
                <w:sz w:val="22"/>
                <w:szCs w:val="22"/>
              </w:rPr>
              <w:t>Razmatranje</w:t>
            </w:r>
            <w:proofErr w:type="spellEnd"/>
            <w:r w:rsidRPr="00DD57E8">
              <w:rPr>
                <w:rStyle w:val="SubtleEmphasis"/>
                <w:color w:val="auto"/>
                <w:sz w:val="22"/>
                <w:szCs w:val="22"/>
              </w:rPr>
              <w:t>/</w:t>
            </w:r>
          </w:p>
          <w:p w:rsidR="000541C5" w:rsidRPr="00DD57E8" w:rsidRDefault="000541C5" w:rsidP="006D4B35">
            <w:pPr>
              <w:pStyle w:val="Subtitle"/>
              <w:jc w:val="center"/>
              <w:rPr>
                <w:rStyle w:val="SubtleEmphasis"/>
                <w:color w:val="auto"/>
                <w:sz w:val="22"/>
                <w:szCs w:val="22"/>
              </w:rPr>
            </w:pPr>
            <w:proofErr w:type="spellStart"/>
            <w:r w:rsidRPr="00DD57E8">
              <w:rPr>
                <w:rFonts w:cstheme="majorHAnsi"/>
                <w:i/>
                <w:color w:val="auto"/>
                <w:sz w:val="22"/>
                <w:szCs w:val="22"/>
              </w:rPr>
              <w:t>Upoznavanje</w:t>
            </w:r>
            <w:proofErr w:type="spellEnd"/>
          </w:p>
          <w:p w:rsidR="000541C5" w:rsidRPr="00DD57E8" w:rsidRDefault="000541C5" w:rsidP="006D4B35">
            <w:pPr>
              <w:pStyle w:val="Subtitle"/>
              <w:jc w:val="center"/>
              <w:rPr>
                <w:rStyle w:val="SubtleEmphasis"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DD57E8" w:rsidRDefault="000541C5" w:rsidP="000541C5">
            <w:pPr>
              <w:pStyle w:val="Subtitle"/>
              <w:rPr>
                <w:rStyle w:val="Strong"/>
                <w:iCs/>
                <w:color w:val="auto"/>
                <w:sz w:val="22"/>
                <w:szCs w:val="22"/>
                <w:lang w:val="it-IT"/>
              </w:rPr>
            </w:pPr>
            <w:r w:rsidRPr="00DD57E8">
              <w:rPr>
                <w:rStyle w:val="Strong"/>
                <w:iCs/>
                <w:color w:val="auto"/>
                <w:sz w:val="22"/>
                <w:szCs w:val="22"/>
                <w:lang w:val="it-IT"/>
              </w:rPr>
              <w:t>Ministarstvo regionalno-investicionog razvoja i saradnje sa nevladinim organizacijama</w:t>
            </w:r>
          </w:p>
        </w:tc>
      </w:tr>
      <w:tr w:rsidR="000541C5" w:rsidRPr="00CE093B" w:rsidTr="000541C5">
        <w:trPr>
          <w:trHeight w:val="71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DD57E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  <w:r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5</w:t>
            </w:r>
            <w:r w:rsidR="000541C5" w:rsidRPr="00B92CBD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spacing w:after="120"/>
              <w:jc w:val="both"/>
              <w:rPr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Strategija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upravljanja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javnim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preduzećima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i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privrednim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društvima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koja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 xml:space="preserve">u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većinskom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državnom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vlasništvu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>A</w:t>
            </w:r>
            <w:r w:rsidRPr="00762E61">
              <w:rPr>
                <w:b/>
                <w:i/>
                <w:color w:val="auto"/>
                <w:sz w:val="22"/>
                <w:szCs w:val="22"/>
              </w:rPr>
              <w:t>kcionim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planom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</w:rPr>
            </w:pPr>
            <w:r>
              <w:rPr>
                <w:rStyle w:val="Strong"/>
                <w:iCs/>
                <w:sz w:val="22"/>
                <w:szCs w:val="22"/>
              </w:rPr>
              <w:t>Ministarstvo finansija</w:t>
            </w:r>
          </w:p>
        </w:tc>
      </w:tr>
      <w:tr w:rsidR="000541C5" w:rsidRPr="001858F3" w:rsidTr="000541C5">
        <w:trPr>
          <w:trHeight w:val="71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B92CBD" w:rsidRDefault="00DD57E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Fonts w:cstheme="majorHAnsi"/>
                <w:b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6</w:t>
            </w:r>
            <w:r w:rsidR="000541C5" w:rsidRPr="00B92CBD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762E61" w:rsidRDefault="00540DFC" w:rsidP="006D4B35">
            <w:pPr>
              <w:pStyle w:val="Subtitle"/>
              <w:spacing w:after="120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auto"/>
                <w:sz w:val="22"/>
                <w:szCs w:val="22"/>
              </w:rPr>
              <w:t>Informacija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Nacionaln</w:t>
            </w:r>
            <w:r>
              <w:rPr>
                <w:b/>
                <w:i/>
                <w:color w:val="auto"/>
                <w:sz w:val="22"/>
                <w:szCs w:val="22"/>
              </w:rPr>
              <w:t>om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energetsk</w:t>
            </w:r>
            <w:r>
              <w:rPr>
                <w:b/>
                <w:i/>
                <w:color w:val="auto"/>
                <w:sz w:val="22"/>
                <w:szCs w:val="22"/>
              </w:rPr>
              <w:t>om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i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klimatsk</w:t>
            </w:r>
            <w:r>
              <w:rPr>
                <w:b/>
                <w:i/>
                <w:color w:val="auto"/>
                <w:sz w:val="22"/>
                <w:szCs w:val="22"/>
              </w:rPr>
              <w:t>om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plan</w:t>
            </w:r>
            <w:r>
              <w:rPr>
                <w:b/>
                <w:i/>
                <w:color w:val="auto"/>
                <w:sz w:val="22"/>
                <w:szCs w:val="22"/>
              </w:rPr>
              <w:t>u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Crne Gore do 2030.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1C5" w:rsidRPr="001858F3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iCs/>
                <w:sz w:val="22"/>
                <w:szCs w:val="22"/>
                <w:lang w:val="it-IT"/>
              </w:rPr>
              <w:t>Ministarstvo energetike i rudarstva i MERS</w:t>
            </w:r>
          </w:p>
        </w:tc>
      </w:tr>
      <w:tr w:rsidR="000541C5" w:rsidRPr="00CE093B" w:rsidTr="000541C5">
        <w:trPr>
          <w:trHeight w:val="7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DD57E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  <w:r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7</w:t>
            </w:r>
            <w:r w:rsidR="000541C5" w:rsidRPr="00B92CBD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Akcioni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plan 2025-2026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implementaciju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Industrijske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politike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Crne Gore 2024 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>–</w:t>
            </w:r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2028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CE093B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</w:rPr>
            </w:pPr>
            <w:r>
              <w:rPr>
                <w:rStyle w:val="Strong"/>
                <w:iCs/>
                <w:sz w:val="22"/>
                <w:szCs w:val="22"/>
              </w:rPr>
              <w:t>Ministarstvo ekonomskog razvoja</w:t>
            </w:r>
          </w:p>
        </w:tc>
      </w:tr>
      <w:tr w:rsidR="000541C5" w:rsidRPr="00CE093B" w:rsidTr="000541C5">
        <w:trPr>
          <w:trHeight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DD57E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  <w:r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8</w:t>
            </w:r>
            <w:r w:rsidR="00911EC6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540DFC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  <w:lang w:val="it-IT"/>
              </w:rPr>
            </w:pP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Program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u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za unapređenje konkurentnosti privrede za 2025.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CE093B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</w:rPr>
            </w:pPr>
            <w:r>
              <w:rPr>
                <w:rStyle w:val="Strong"/>
                <w:iCs/>
                <w:sz w:val="22"/>
                <w:szCs w:val="22"/>
              </w:rPr>
              <w:t>Ministarstvo ekonomskog razvoja</w:t>
            </w:r>
          </w:p>
        </w:tc>
      </w:tr>
      <w:tr w:rsidR="000541C5" w:rsidRPr="00CE093B" w:rsidTr="000541C5">
        <w:trPr>
          <w:trHeight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DD57E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  <w:r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9</w:t>
            </w:r>
            <w:r w:rsidR="000541C5" w:rsidRPr="00B92CBD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Akcioni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plan 2025-2026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sprovođenje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Nacionalne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strategije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cirkularnu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tranziciju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do 2030, s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Izvještajem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realizaciji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Akcionog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plana za 2024.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CE093B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</w:rPr>
            </w:pPr>
            <w:r>
              <w:rPr>
                <w:rStyle w:val="Strong"/>
                <w:iCs/>
                <w:sz w:val="22"/>
                <w:szCs w:val="22"/>
              </w:rPr>
              <w:t>Ministarstvo ekonomskog razvoja</w:t>
            </w:r>
          </w:p>
        </w:tc>
      </w:tr>
      <w:tr w:rsidR="001C27EF" w:rsidRPr="00CE093B" w:rsidTr="000541C5">
        <w:trPr>
          <w:trHeight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7EF" w:rsidRPr="00385B38" w:rsidRDefault="00385B38" w:rsidP="000541C5">
            <w:pPr>
              <w:pStyle w:val="Subtitle"/>
              <w:numPr>
                <w:ilvl w:val="0"/>
                <w:numId w:val="0"/>
              </w:numPr>
              <w:ind w:left="360"/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  <w:r w:rsidRPr="00385B38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1</w:t>
            </w:r>
            <w:r w:rsidR="00DD57E8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>0</w:t>
            </w:r>
            <w:r w:rsidRPr="00385B38"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  <w:t xml:space="preserve">.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48" w:rsidRPr="00762E61" w:rsidRDefault="009F3848" w:rsidP="00385B38">
            <w:pPr>
              <w:pStyle w:val="Subtitle"/>
              <w:jc w:val="both"/>
              <w:rPr>
                <w:rFonts w:cstheme="majorHAnsi"/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I</w:t>
            </w:r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zvještaj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poslovanju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i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finansijski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iskazi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Društva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sa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ograničenom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odgovornošću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Inovaciono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preduzetnički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centar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„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Tehnopolis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"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Nikšić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za 2024.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i Program rada s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Finansijskim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planom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 xml:space="preserve"> za 2025. </w:t>
            </w:r>
            <w:proofErr w:type="spellStart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  <w:r w:rsidR="001C27EF" w:rsidRPr="00762E61">
              <w:rPr>
                <w:rFonts w:cstheme="majorHAnsi"/>
                <w:b/>
                <w:i/>
                <w:color w:val="auto"/>
                <w:sz w:val="22"/>
                <w:szCs w:val="22"/>
              </w:rPr>
              <w:t>.</w:t>
            </w:r>
          </w:p>
          <w:p w:rsidR="00385B38" w:rsidRPr="00762E61" w:rsidRDefault="00385B38" w:rsidP="009F3848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Izvještaj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radu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na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prioritetnom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infrastrukturnom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Projektu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„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Naučno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tehnološki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park Crne </w:t>
            </w:r>
            <w:proofErr w:type="gram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Gore“ za</w:t>
            </w:r>
            <w:proofErr w:type="gram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2024.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godinu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Izvještaj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poslovanju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i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finansijski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iskazi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Društva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s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ograničenom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odgovornošću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„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Naučno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-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tehnološki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park Crne </w:t>
            </w:r>
            <w:proofErr w:type="gram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Gore“ za</w:t>
            </w:r>
            <w:proofErr w:type="gram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2024.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godinu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i Plan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aktivnosti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za 2025.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godinu</w:t>
            </w:r>
            <w:proofErr w:type="spellEnd"/>
          </w:p>
          <w:p w:rsidR="00385B38" w:rsidRPr="00762E61" w:rsidRDefault="00385B38" w:rsidP="009F3848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:rsidR="001C27EF" w:rsidRPr="00762E61" w:rsidRDefault="009F3848" w:rsidP="00385B38">
            <w:pPr>
              <w:rPr>
                <w:sz w:val="22"/>
                <w:szCs w:val="22"/>
              </w:rPr>
            </w:pP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lastRenderedPageBreak/>
              <w:t>Izvještaj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realizaciji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godišnjeg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plana rada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Društva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sa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ograničenom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odgovornošću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„Fond za inovacije Crne </w:t>
            </w:r>
            <w:proofErr w:type="gram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Gore“ za</w:t>
            </w:r>
            <w:proofErr w:type="gram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2024.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godinu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i Plan rada s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Finansijskim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planom</w:t>
            </w:r>
            <w:proofErr w:type="spellEnd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za 2025. </w:t>
            </w:r>
            <w:proofErr w:type="spellStart"/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godinu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7EF" w:rsidRPr="00385B38" w:rsidRDefault="00385B38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385B38">
              <w:rPr>
                <w:rStyle w:val="SubtleEmphasis"/>
                <w:sz w:val="22"/>
                <w:szCs w:val="22"/>
              </w:rPr>
              <w:lastRenderedPageBreak/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7EF" w:rsidRPr="002C123D" w:rsidRDefault="00385B38" w:rsidP="000541C5">
            <w:pPr>
              <w:pStyle w:val="Subtitle"/>
              <w:rPr>
                <w:rStyle w:val="Strong"/>
                <w:iCs/>
                <w:sz w:val="22"/>
                <w:szCs w:val="22"/>
              </w:rPr>
            </w:pPr>
            <w:r w:rsidRPr="002C123D">
              <w:rPr>
                <w:rStyle w:val="Strong"/>
                <w:iCs/>
                <w:sz w:val="22"/>
                <w:szCs w:val="22"/>
              </w:rPr>
              <w:t xml:space="preserve">IPC </w:t>
            </w:r>
            <w:r w:rsidRPr="002C123D">
              <w:rPr>
                <w:rStyle w:val="Strong"/>
                <w:iCs/>
                <w:sz w:val="22"/>
                <w:szCs w:val="22"/>
                <w:lang w:val="sr-Latn-ME"/>
              </w:rPr>
              <w:t>„</w:t>
            </w:r>
            <w:r w:rsidRPr="002C123D">
              <w:rPr>
                <w:rStyle w:val="Strong"/>
                <w:iCs/>
                <w:sz w:val="22"/>
                <w:szCs w:val="22"/>
              </w:rPr>
              <w:t>Tehnopolis”</w:t>
            </w:r>
          </w:p>
          <w:p w:rsidR="00385B38" w:rsidRPr="002C123D" w:rsidRDefault="00385B38" w:rsidP="00385B38">
            <w:pPr>
              <w:rPr>
                <w:b/>
              </w:rPr>
            </w:pPr>
          </w:p>
          <w:p w:rsidR="00385B38" w:rsidRPr="002C123D" w:rsidRDefault="00385B38" w:rsidP="00385B38">
            <w:pPr>
              <w:rPr>
                <w:b/>
              </w:rPr>
            </w:pPr>
            <w:proofErr w:type="spellStart"/>
            <w:r w:rsidRPr="002C123D">
              <w:rPr>
                <w:b/>
              </w:rPr>
              <w:t>Naučno-tehnološki</w:t>
            </w:r>
            <w:proofErr w:type="spellEnd"/>
            <w:r w:rsidRPr="002C123D">
              <w:rPr>
                <w:b/>
              </w:rPr>
              <w:t xml:space="preserve"> park Crne Gore</w:t>
            </w:r>
          </w:p>
          <w:p w:rsidR="00385B38" w:rsidRPr="002C123D" w:rsidRDefault="00385B38" w:rsidP="00385B38">
            <w:pPr>
              <w:rPr>
                <w:b/>
              </w:rPr>
            </w:pPr>
          </w:p>
          <w:p w:rsidR="00385B38" w:rsidRPr="00385B38" w:rsidRDefault="00385B38" w:rsidP="00385B38">
            <w:pPr>
              <w:rPr>
                <w:lang w:val="sr-Latn-ME"/>
              </w:rPr>
            </w:pPr>
            <w:r w:rsidRPr="002C123D">
              <w:rPr>
                <w:b/>
              </w:rPr>
              <w:t>Fond za inovacije Crne Gore</w:t>
            </w:r>
          </w:p>
        </w:tc>
      </w:tr>
      <w:tr w:rsidR="000541C5" w:rsidRPr="00CE093B" w:rsidTr="000541C5">
        <w:trPr>
          <w:trHeight w:val="312"/>
        </w:trPr>
        <w:tc>
          <w:tcPr>
            <w:tcW w:w="10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541C5" w:rsidRPr="00762E61" w:rsidRDefault="000541C5" w:rsidP="006D4B35">
            <w:pPr>
              <w:pStyle w:val="Heading4"/>
              <w:jc w:val="center"/>
              <w:rPr>
                <w:rStyle w:val="SubtleEmphasis"/>
                <w:rFonts w:cstheme="maj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62E61">
              <w:rPr>
                <w:rStyle w:val="SubtleEmphasis"/>
                <w:rFonts w:cstheme="majorHAnsi"/>
                <w:b/>
                <w:i w:val="0"/>
                <w:iCs w:val="0"/>
                <w:color w:val="auto"/>
                <w:sz w:val="22"/>
                <w:szCs w:val="22"/>
              </w:rPr>
              <w:t>III KVARTAL</w:t>
            </w:r>
          </w:p>
        </w:tc>
      </w:tr>
      <w:tr w:rsidR="000541C5" w:rsidRPr="001858F3" w:rsidTr="000541C5">
        <w:trPr>
          <w:trHeight w:val="73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Style w:val="SubtleEmphasis"/>
                <w:rFonts w:cstheme="majorHAnsi"/>
                <w:b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Program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nauku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i inovacije 2025-2029</w:t>
            </w:r>
            <w:r w:rsidR="00472941" w:rsidRPr="00762E61">
              <w:rPr>
                <w:b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4D3E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B94D3E"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76304" w:rsidRDefault="000541C5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B94D3E">
              <w:rPr>
                <w:rStyle w:val="Strong"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0541C5" w:rsidRPr="001858F3" w:rsidTr="000541C5">
        <w:trPr>
          <w:trHeight w:val="73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numPr>
                <w:ilvl w:val="0"/>
                <w:numId w:val="16"/>
              </w:numPr>
              <w:rPr>
                <w:rStyle w:val="SubtleEmphasis"/>
                <w:rFonts w:cstheme="maj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</w:rPr>
              <w:t>Informacija o statusu implementacije i monitoringu Programa za podsticanje inovacija u funkciji energetske efikasnosti u industriji za 2023. i 2024</w:t>
            </w:r>
            <w:r w:rsidR="00961E5B" w:rsidRPr="00762E61">
              <w:rPr>
                <w:b/>
                <w:i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961E5B" w:rsidRPr="00762E61">
              <w:rPr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7E8" w:rsidRDefault="00DD57E8" w:rsidP="00DD57E8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1858F3" w:rsidRDefault="00DD57E8" w:rsidP="00DD57E8">
            <w:pPr>
              <w:pStyle w:val="Subtitle"/>
              <w:jc w:val="center"/>
              <w:rPr>
                <w:rStyle w:val="SubtleEmphasis"/>
                <w:sz w:val="22"/>
                <w:szCs w:val="22"/>
                <w:lang w:val="it-IT"/>
              </w:rPr>
            </w:pPr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76304" w:rsidRDefault="000541C5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B76304">
              <w:rPr>
                <w:rStyle w:val="Strong"/>
                <w:sz w:val="22"/>
                <w:szCs w:val="22"/>
                <w:lang w:val="it-IT"/>
              </w:rPr>
              <w:t xml:space="preserve">Ministarstvo ekonomskog razvoja i Ministarstvo prosvjete, nauke i inovacija </w:t>
            </w:r>
            <w:r w:rsidR="00961E5B">
              <w:rPr>
                <w:rStyle w:val="Strong"/>
                <w:sz w:val="22"/>
                <w:szCs w:val="22"/>
                <w:lang w:val="it-IT"/>
              </w:rPr>
              <w:t>i Fond za inovacije Crne Gore</w:t>
            </w:r>
          </w:p>
        </w:tc>
      </w:tr>
      <w:tr w:rsidR="000541C5" w:rsidRPr="001858F3" w:rsidTr="000541C5">
        <w:trPr>
          <w:trHeight w:val="7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Fonts w:cstheme="majorHAnsi"/>
                <w:b/>
                <w:iCs/>
                <w:color w:val="595959" w:themeColor="text1" w:themeTint="A6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540DFC" w:rsidP="006D4B35">
            <w:pPr>
              <w:pStyle w:val="Subtitle"/>
              <w:jc w:val="both"/>
              <w:rPr>
                <w:rStyle w:val="SubtleEmphasis"/>
                <w:b/>
                <w:i w:val="0"/>
                <w:color w:val="auto"/>
                <w:sz w:val="22"/>
                <w:szCs w:val="22"/>
                <w:lang w:val="it-IT"/>
              </w:rPr>
            </w:pP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Nacionaln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oj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strategij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i</w:t>
            </w:r>
            <w:bookmarkStart w:id="0" w:name="_GoBack"/>
            <w:bookmarkEnd w:id="0"/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razvoja socijalnog preduzetništva za period 2025 -2029. godine, sa Akcionom planom za period 2025 -2027</w:t>
            </w:r>
            <w:r w:rsidR="00B94D3E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76304" w:rsidRDefault="000541C5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B76304">
              <w:rPr>
                <w:rStyle w:val="Strong"/>
                <w:sz w:val="22"/>
                <w:szCs w:val="22"/>
                <w:lang w:val="it-IT"/>
              </w:rPr>
              <w:t>Ministarstvo rada, zapošljavanja i socijalnog dijaloga</w:t>
            </w:r>
          </w:p>
        </w:tc>
      </w:tr>
      <w:tr w:rsidR="000541C5" w:rsidRPr="00CE093B" w:rsidTr="000541C5">
        <w:trPr>
          <w:trHeight w:val="70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540DFC" w:rsidP="006D4B35">
            <w:pPr>
              <w:pStyle w:val="Subtitle"/>
              <w:jc w:val="both"/>
              <w:rPr>
                <w:b/>
                <w:bCs/>
                <w:i/>
                <w:color w:val="auto"/>
                <w:sz w:val="22"/>
                <w:szCs w:val="22"/>
                <w:lang w:val="it-IT"/>
              </w:rPr>
            </w:pP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Program</w:t>
            </w:r>
            <w:r>
              <w:rPr>
                <w:b/>
                <w:i/>
                <w:color w:val="auto"/>
                <w:sz w:val="22"/>
                <w:szCs w:val="22"/>
                <w:lang w:val="it-IT"/>
              </w:rPr>
              <w:t>u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podsticajnih mjera u oblasti turizma za 2025.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0541C5">
            <w:pPr>
              <w:pStyle w:val="Subtitle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Ministarstvo turizma</w:t>
            </w:r>
          </w:p>
        </w:tc>
      </w:tr>
      <w:tr w:rsidR="000541C5" w:rsidRPr="00CE093B" w:rsidTr="000541C5">
        <w:trPr>
          <w:trHeight w:val="70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Informacija o aktivnostima na realizaciji projekata obnovljivih izvora energije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0541C5">
            <w:pPr>
              <w:pStyle w:val="Subtitle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Ministarstvo energetike i </w:t>
            </w:r>
            <w:proofErr w:type="spellStart"/>
            <w:r>
              <w:rPr>
                <w:rStyle w:val="Strong"/>
                <w:sz w:val="22"/>
                <w:szCs w:val="22"/>
              </w:rPr>
              <w:t>rudarstva</w:t>
            </w:r>
            <w:proofErr w:type="spellEnd"/>
          </w:p>
        </w:tc>
      </w:tr>
      <w:tr w:rsidR="000541C5" w:rsidRPr="00CE093B" w:rsidTr="000541C5">
        <w:trPr>
          <w:trHeight w:val="70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540DFC" w:rsidP="006D4B35">
            <w:pPr>
              <w:pStyle w:val="Subtitle"/>
              <w:spacing w:line="276" w:lineRule="auto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auto"/>
                <w:sz w:val="22"/>
                <w:szCs w:val="22"/>
              </w:rPr>
              <w:t>Informacija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Državn</w:t>
            </w:r>
            <w:r>
              <w:rPr>
                <w:b/>
                <w:i/>
                <w:color w:val="auto"/>
                <w:sz w:val="22"/>
                <w:szCs w:val="22"/>
              </w:rPr>
              <w:t>om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plan</w:t>
            </w:r>
            <w:r>
              <w:rPr>
                <w:b/>
                <w:i/>
                <w:color w:val="auto"/>
                <w:sz w:val="22"/>
                <w:szCs w:val="22"/>
              </w:rPr>
              <w:t>u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upravljanja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otpadom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>Crnoj</w:t>
            </w:r>
            <w:proofErr w:type="spellEnd"/>
            <w:r w:rsidR="000541C5" w:rsidRPr="00762E61">
              <w:rPr>
                <w:b/>
                <w:i/>
                <w:color w:val="auto"/>
                <w:sz w:val="22"/>
                <w:szCs w:val="22"/>
              </w:rPr>
              <w:t xml:space="preserve"> Gori za period 2025-2029.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D3E" w:rsidRPr="00B94D3E" w:rsidRDefault="00B94D3E" w:rsidP="00B94D3E">
            <w:pPr>
              <w:rPr>
                <w:b/>
                <w:sz w:val="22"/>
                <w:szCs w:val="22"/>
              </w:rPr>
            </w:pPr>
            <w:r w:rsidRPr="00B94D3E">
              <w:rPr>
                <w:b/>
                <w:sz w:val="22"/>
                <w:szCs w:val="22"/>
              </w:rPr>
              <w:t xml:space="preserve">Ministarstvo ekologije, </w:t>
            </w:r>
            <w:proofErr w:type="spellStart"/>
            <w:r w:rsidRPr="00B94D3E">
              <w:rPr>
                <w:b/>
                <w:sz w:val="22"/>
                <w:szCs w:val="22"/>
              </w:rPr>
              <w:t>održivog</w:t>
            </w:r>
            <w:proofErr w:type="spellEnd"/>
            <w:r w:rsidRPr="00B94D3E">
              <w:rPr>
                <w:b/>
                <w:sz w:val="22"/>
                <w:szCs w:val="22"/>
              </w:rPr>
              <w:t xml:space="preserve"> razvoja i razvoja </w:t>
            </w:r>
            <w:proofErr w:type="spellStart"/>
            <w:r w:rsidRPr="00B94D3E">
              <w:rPr>
                <w:b/>
                <w:sz w:val="22"/>
                <w:szCs w:val="22"/>
              </w:rPr>
              <w:t>sjevera</w:t>
            </w:r>
            <w:proofErr w:type="spellEnd"/>
          </w:p>
          <w:p w:rsidR="000541C5" w:rsidRPr="009F3848" w:rsidRDefault="000541C5" w:rsidP="000541C5">
            <w:pPr>
              <w:rPr>
                <w:b/>
              </w:rPr>
            </w:pPr>
          </w:p>
        </w:tc>
      </w:tr>
      <w:tr w:rsidR="000541C5" w:rsidRPr="001858F3" w:rsidTr="000541C5">
        <w:trPr>
          <w:trHeight w:val="708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6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Polugodišnj</w:t>
            </w:r>
            <w:r w:rsidR="00540DFC">
              <w:rPr>
                <w:b/>
                <w:i/>
                <w:color w:val="auto"/>
                <w:sz w:val="22"/>
                <w:szCs w:val="22"/>
                <w:lang w:val="it-IT"/>
              </w:rPr>
              <w:t>a</w:t>
            </w: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informacija o praćenju realizacije prioritetnih projekata u oblasti poljoprivrede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rPr>
                <w:rStyle w:val="Strong"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sz w:val="22"/>
                <w:szCs w:val="22"/>
                <w:lang w:val="it-IT"/>
              </w:rPr>
              <w:t xml:space="preserve">Ministarstvo poljoprivrede, šumarstva i vodoprivrede </w:t>
            </w:r>
          </w:p>
        </w:tc>
      </w:tr>
      <w:tr w:rsidR="000541C5" w:rsidRPr="00CE093B" w:rsidTr="000541C5">
        <w:trPr>
          <w:trHeight w:val="312"/>
        </w:trPr>
        <w:tc>
          <w:tcPr>
            <w:tcW w:w="10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541C5" w:rsidRPr="00762E61" w:rsidRDefault="000541C5" w:rsidP="006D4B35">
            <w:pPr>
              <w:pStyle w:val="Heading4"/>
              <w:jc w:val="center"/>
              <w:rPr>
                <w:rStyle w:val="SubtleEmphasis"/>
                <w:rFonts w:cstheme="majorHAnsi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62E61">
              <w:rPr>
                <w:rStyle w:val="SubtleEmphasis"/>
                <w:rFonts w:cstheme="majorHAnsi"/>
                <w:b/>
                <w:i w:val="0"/>
                <w:iCs w:val="0"/>
                <w:color w:val="auto"/>
                <w:sz w:val="22"/>
                <w:szCs w:val="22"/>
              </w:rPr>
              <w:t>IV KVARTAL</w:t>
            </w:r>
          </w:p>
        </w:tc>
      </w:tr>
      <w:tr w:rsidR="000541C5" w:rsidRPr="00B6379A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Informacija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realizaciji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Reformske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mjere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1.2.2.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Dalji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razvoj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ekosistema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istraživanja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i inovacija za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ekonomiju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zasnovanu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lastRenderedPageBreak/>
              <w:t>na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znanju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(u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skladu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sa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Strategijom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pametne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specijalizacije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) u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okviru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Refomske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agende</w:t>
            </w:r>
            <w:proofErr w:type="spellEnd"/>
            <w:r w:rsidRPr="00762E61">
              <w:rPr>
                <w:b/>
                <w:i/>
                <w:color w:val="auto"/>
                <w:sz w:val="22"/>
                <w:szCs w:val="22"/>
              </w:rPr>
              <w:t xml:space="preserve"> 2024-2029, za 2025. </w:t>
            </w:r>
            <w:proofErr w:type="spellStart"/>
            <w:r w:rsidRPr="00762E61">
              <w:rPr>
                <w:b/>
                <w:i/>
                <w:color w:val="auto"/>
                <w:sz w:val="22"/>
                <w:szCs w:val="22"/>
              </w:rPr>
              <w:t>godinu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6379A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B6379A">
              <w:rPr>
                <w:rStyle w:val="SubtleEmphasis"/>
                <w:sz w:val="22"/>
                <w:szCs w:val="22"/>
              </w:rPr>
              <w:lastRenderedPageBreak/>
              <w:t>Razmatranje</w:t>
            </w:r>
            <w:proofErr w:type="spellEnd"/>
            <w:r w:rsidRPr="00B6379A"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1858F3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B6379A">
              <w:rPr>
                <w:rStyle w:val="SubtleEmphasis"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6379A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iCs/>
                <w:sz w:val="22"/>
                <w:szCs w:val="22"/>
                <w:lang w:val="it-IT"/>
              </w:rPr>
              <w:t>Ministarstvo prosvjete, nauke i inovacija</w:t>
            </w:r>
          </w:p>
        </w:tc>
      </w:tr>
      <w:tr w:rsidR="000541C5" w:rsidRPr="001858F3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6379A" w:rsidRDefault="000541C5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472941" w:rsidP="006D4B35">
            <w:pPr>
              <w:pStyle w:val="Subtitle"/>
              <w:jc w:val="both"/>
              <w:rPr>
                <w:rStyle w:val="Strong"/>
                <w:b w:val="0"/>
                <w:i/>
                <w:iCs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</w:t>
            </w:r>
            <w:r w:rsidR="0063079B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napretku u procesu pripreme nove 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Strategij</w:t>
            </w: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e</w:t>
            </w:r>
            <w:r w:rsidR="000541C5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 pametne specijalizacije Crne Gore 2026-2031</w:t>
            </w: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B92CBD">
              <w:rPr>
                <w:rStyle w:val="SubtleEmphasis"/>
                <w:sz w:val="22"/>
                <w:szCs w:val="22"/>
              </w:rPr>
              <w:t>Usvajanje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rPr>
                <w:rStyle w:val="Strong"/>
                <w:iCs/>
                <w:sz w:val="22"/>
                <w:szCs w:val="22"/>
                <w:lang w:val="it-IT"/>
              </w:rPr>
            </w:pPr>
            <w:r w:rsidRPr="001858F3">
              <w:rPr>
                <w:rStyle w:val="Strong"/>
                <w:iCs/>
                <w:sz w:val="22"/>
                <w:szCs w:val="22"/>
                <w:lang w:val="it-IT"/>
              </w:rPr>
              <w:t xml:space="preserve">Ministarstvo prosvjete, nauke i inovacija </w:t>
            </w:r>
          </w:p>
        </w:tc>
      </w:tr>
      <w:tr w:rsidR="00E97528" w:rsidRPr="001858F3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28" w:rsidRPr="00B6379A" w:rsidRDefault="00E97528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28" w:rsidRPr="00762E61" w:rsidRDefault="00E97528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 xml:space="preserve">Informacija o napretku i realizaciji projekta </w:t>
            </w:r>
            <w:r w:rsidRPr="00762E61">
              <w:rPr>
                <w:rFonts w:eastAsia="Times New Roman" w:cstheme="majorHAnsi"/>
                <w:b/>
                <w:i/>
                <w:color w:val="auto"/>
                <w:sz w:val="22"/>
                <w:szCs w:val="22"/>
              </w:rPr>
              <w:t>Accelerating Investment in Montenegro (AIM)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28" w:rsidRPr="00E97528" w:rsidRDefault="00E97528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E97528">
              <w:rPr>
                <w:rStyle w:val="SubtleEmphasis"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28" w:rsidRPr="001858F3" w:rsidRDefault="00E97528" w:rsidP="000541C5">
            <w:pPr>
              <w:pStyle w:val="Subtitle"/>
              <w:rPr>
                <w:rStyle w:val="Strong"/>
                <w:iCs/>
                <w:sz w:val="22"/>
                <w:szCs w:val="22"/>
                <w:lang w:val="it-IT"/>
              </w:rPr>
            </w:pPr>
            <w:r>
              <w:rPr>
                <w:rStyle w:val="Strong"/>
                <w:iCs/>
                <w:sz w:val="22"/>
                <w:szCs w:val="22"/>
                <w:lang w:val="it-IT"/>
              </w:rPr>
              <w:t>Agencija za investicije Crne Gore</w:t>
            </w:r>
          </w:p>
        </w:tc>
      </w:tr>
      <w:tr w:rsidR="000541C5" w:rsidRPr="00CE093B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58F3" w:rsidRDefault="000541C5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numPr>
                <w:ilvl w:val="1"/>
                <w:numId w:val="17"/>
              </w:numPr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Informacija o aktivnostima u okviru Projekta „Digitalna Evropa (DIGITAL)“ za 2025. godinu</w:t>
            </w:r>
          </w:p>
          <w:p w:rsidR="00703179" w:rsidRPr="00762E61" w:rsidRDefault="00703179" w:rsidP="006D4B35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Theme="majorHAnsi" w:hAnsiTheme="majorHAnsi" w:cstheme="majorHAnsi"/>
                <w:b/>
                <w:i/>
                <w:sz w:val="22"/>
                <w:szCs w:val="22"/>
                <w:lang w:val="it-IT"/>
              </w:rPr>
            </w:pPr>
            <w:r w:rsidRPr="00762E61">
              <w:rPr>
                <w:rFonts w:asciiTheme="majorHAnsi" w:hAnsiTheme="majorHAnsi" w:cstheme="majorHAnsi"/>
                <w:b/>
                <w:i/>
                <w:sz w:val="22"/>
                <w:szCs w:val="22"/>
                <w:lang w:val="it-IT"/>
              </w:rPr>
              <w:t>Informacija o radu prvog crnogorskog EDIH-a (MontEDIH)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186F57" w:rsidRDefault="000541C5" w:rsidP="00186F57">
            <w:pPr>
              <w:pStyle w:val="Subtitle"/>
              <w:numPr>
                <w:ilvl w:val="1"/>
                <w:numId w:val="13"/>
              </w:numPr>
              <w:rPr>
                <w:rStyle w:val="Strong"/>
                <w:rFonts w:cstheme="majorHAnsi"/>
                <w:i/>
                <w:sz w:val="24"/>
                <w:szCs w:val="24"/>
              </w:rPr>
            </w:pPr>
            <w:r w:rsidRPr="00186F57">
              <w:rPr>
                <w:rStyle w:val="Strong"/>
                <w:rFonts w:cstheme="majorHAnsi"/>
                <w:i/>
                <w:sz w:val="24"/>
                <w:szCs w:val="24"/>
              </w:rPr>
              <w:t>Ministarstvo javne uprave</w:t>
            </w:r>
          </w:p>
          <w:p w:rsidR="00186F57" w:rsidRPr="00186F57" w:rsidRDefault="00186F57" w:rsidP="00186F57">
            <w:pPr>
              <w:pStyle w:val="ListParagraph"/>
              <w:numPr>
                <w:ilvl w:val="1"/>
                <w:numId w:val="13"/>
              </w:numPr>
              <w:rPr>
                <w:rFonts w:asciiTheme="majorHAnsi" w:hAnsiTheme="majorHAnsi" w:cstheme="majorHAnsi"/>
              </w:rPr>
            </w:pPr>
            <w:proofErr w:type="spellStart"/>
            <w:r w:rsidRPr="00186F5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Privredna</w:t>
            </w:r>
            <w:proofErr w:type="spellEnd"/>
            <w:r w:rsidRPr="00186F5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komore Crne Gore</w:t>
            </w:r>
          </w:p>
        </w:tc>
      </w:tr>
      <w:tr w:rsidR="000541C5" w:rsidRPr="00CE093B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B92CBD" w:rsidRDefault="000541C5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762E61" w:rsidRDefault="000541C5" w:rsidP="006D4B35">
            <w:pPr>
              <w:pStyle w:val="Subtitle"/>
              <w:jc w:val="both"/>
              <w:rPr>
                <w:rStyle w:val="Strong"/>
                <w:b w:val="0"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Informacija o aktivnostima na realizaciji projekata iz oblasti energetske efikasnosti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>
              <w:rPr>
                <w:rStyle w:val="SubtleEmphasis"/>
                <w:sz w:val="22"/>
                <w:szCs w:val="22"/>
              </w:rPr>
              <w:t>Razmatranje</w:t>
            </w:r>
            <w:proofErr w:type="spellEnd"/>
            <w:r>
              <w:rPr>
                <w:rStyle w:val="SubtleEmphasis"/>
                <w:sz w:val="22"/>
                <w:szCs w:val="22"/>
              </w:rPr>
              <w:t>/</w:t>
            </w:r>
          </w:p>
          <w:p w:rsidR="000541C5" w:rsidRPr="00CE093B" w:rsidRDefault="000541C5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25CD2">
              <w:rPr>
                <w:rFonts w:cstheme="majorHAnsi"/>
                <w:i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1C5" w:rsidRPr="00CE093B" w:rsidRDefault="000541C5" w:rsidP="000541C5">
            <w:pPr>
              <w:pStyle w:val="Subtitle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Ministarstvo energetike i </w:t>
            </w:r>
            <w:proofErr w:type="spellStart"/>
            <w:r>
              <w:rPr>
                <w:rStyle w:val="Strong"/>
                <w:sz w:val="22"/>
                <w:szCs w:val="22"/>
              </w:rPr>
              <w:t>rudarstva</w:t>
            </w:r>
            <w:proofErr w:type="spellEnd"/>
          </w:p>
        </w:tc>
      </w:tr>
      <w:tr w:rsidR="00703179" w:rsidRPr="00CE093B" w:rsidTr="000541C5">
        <w:trPr>
          <w:trHeight w:val="4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79" w:rsidRPr="00B92CBD" w:rsidRDefault="00703179" w:rsidP="000541C5">
            <w:pPr>
              <w:pStyle w:val="Subtitle"/>
              <w:numPr>
                <w:ilvl w:val="0"/>
                <w:numId w:val="17"/>
              </w:numPr>
              <w:jc w:val="center"/>
              <w:rPr>
                <w:rStyle w:val="SubtleEmphasis"/>
                <w:rFonts w:cstheme="majorHAnsi"/>
                <w:b/>
                <w:i w:val="0"/>
                <w:sz w:val="22"/>
                <w:szCs w:val="22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79" w:rsidRPr="00762E61" w:rsidRDefault="00703179" w:rsidP="006D4B35">
            <w:pPr>
              <w:pStyle w:val="Subtitle"/>
              <w:jc w:val="both"/>
              <w:rPr>
                <w:b/>
                <w:i/>
                <w:color w:val="auto"/>
                <w:sz w:val="22"/>
                <w:szCs w:val="22"/>
                <w:lang w:val="it-IT"/>
              </w:rPr>
            </w:pPr>
            <w:r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Informacija o realizovanim aktivnostima u okviru projektza Danube DNA (osnovni cilj projekta je stvaranje Podu</w:t>
            </w:r>
            <w:r w:rsidR="00186F57" w:rsidRPr="00762E61">
              <w:rPr>
                <w:b/>
                <w:i/>
                <w:color w:val="auto"/>
                <w:sz w:val="22"/>
                <w:szCs w:val="22"/>
                <w:lang w:val="it-IT"/>
              </w:rPr>
              <w:t>navske DNA mreže centaraposvećenih digitalnoj transformaciji MSP duž ovog Regiona)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79" w:rsidRPr="00186F57" w:rsidRDefault="00186F57" w:rsidP="006D4B35">
            <w:pPr>
              <w:pStyle w:val="Subtitle"/>
              <w:jc w:val="center"/>
              <w:rPr>
                <w:rStyle w:val="SubtleEmphasis"/>
                <w:sz w:val="22"/>
                <w:szCs w:val="22"/>
              </w:rPr>
            </w:pPr>
            <w:proofErr w:type="spellStart"/>
            <w:r w:rsidRPr="00186F57">
              <w:rPr>
                <w:rStyle w:val="SubtleEmphasis"/>
                <w:sz w:val="22"/>
                <w:szCs w:val="22"/>
              </w:rPr>
              <w:t>Upoznavanje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179" w:rsidRPr="00186F57" w:rsidRDefault="00186F57" w:rsidP="000541C5">
            <w:pPr>
              <w:pStyle w:val="Subtitle"/>
              <w:rPr>
                <w:rStyle w:val="Strong"/>
                <w:sz w:val="22"/>
                <w:szCs w:val="22"/>
              </w:rPr>
            </w:pPr>
            <w:proofErr w:type="spellStart"/>
            <w:r w:rsidRPr="00186F57">
              <w:rPr>
                <w:rStyle w:val="Strong"/>
                <w:sz w:val="22"/>
                <w:szCs w:val="22"/>
              </w:rPr>
              <w:t>Privredna</w:t>
            </w:r>
            <w:proofErr w:type="spellEnd"/>
            <w:r w:rsidRPr="00186F57">
              <w:rPr>
                <w:rStyle w:val="Strong"/>
                <w:sz w:val="22"/>
                <w:szCs w:val="22"/>
              </w:rPr>
              <w:t xml:space="preserve"> komore Crne Gore</w:t>
            </w:r>
          </w:p>
        </w:tc>
      </w:tr>
    </w:tbl>
    <w:p w:rsidR="00F86820" w:rsidRPr="00CE093B" w:rsidRDefault="00F86820">
      <w:pPr>
        <w:pStyle w:val="Subtitle"/>
        <w:rPr>
          <w:rStyle w:val="SubtleEmphasis"/>
          <w:i w:val="0"/>
          <w:sz w:val="22"/>
          <w:szCs w:val="22"/>
        </w:rPr>
      </w:pPr>
    </w:p>
    <w:sectPr w:rsidR="00F86820" w:rsidRPr="00CE093B" w:rsidSect="005F120D">
      <w:headerReference w:type="default" r:id="rId8"/>
      <w:footerReference w:type="default" r:id="rId9"/>
      <w:pgSz w:w="12240" w:h="15840"/>
      <w:pgMar w:top="127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E48" w:rsidRDefault="00D42E48" w:rsidP="00F87EF1">
      <w:pPr>
        <w:spacing w:after="0" w:line="240" w:lineRule="auto"/>
      </w:pPr>
      <w:r>
        <w:separator/>
      </w:r>
    </w:p>
  </w:endnote>
  <w:endnote w:type="continuationSeparator" w:id="0">
    <w:p w:rsidR="00D42E48" w:rsidRDefault="00D42E48" w:rsidP="00F8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79" w:rsidRDefault="00C32079">
    <w:pPr>
      <w:pStyle w:val="Footer"/>
    </w:pPr>
    <w:r>
      <w:ptab w:relativeTo="margin" w:alignment="center" w:leader="none"/>
    </w:r>
    <w:hyperlink r:id="rId1" w:history="1">
      <w:r w:rsidRPr="005E4D61">
        <w:rPr>
          <w:rStyle w:val="Hyperlink"/>
        </w:rPr>
        <w:t>www.s3.me</w:t>
      </w:r>
    </w:hyperlink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E48" w:rsidRDefault="00D42E48" w:rsidP="00F87EF1">
      <w:pPr>
        <w:spacing w:after="0" w:line="240" w:lineRule="auto"/>
      </w:pPr>
      <w:r>
        <w:separator/>
      </w:r>
    </w:p>
  </w:footnote>
  <w:footnote w:type="continuationSeparator" w:id="0">
    <w:p w:rsidR="00D42E48" w:rsidRDefault="00D42E48" w:rsidP="00F8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A2" w:rsidRPr="00095509" w:rsidRDefault="001012A2" w:rsidP="005F120D">
    <w:pPr>
      <w:pStyle w:val="ListParagraph"/>
      <w:jc w:val="center"/>
      <w:rPr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</w:p>
  <w:p w:rsidR="005F120D" w:rsidRDefault="00CA36E4" w:rsidP="005F120D">
    <w:pPr>
      <w:pStyle w:val="ListParagraph"/>
      <w:ind w:left="0"/>
      <w:jc w:val="center"/>
    </w:pPr>
    <w:r>
      <w:rPr>
        <w:noProof/>
        <w:lang w:val="en-GB" w:eastAsia="en-GB"/>
      </w:rPr>
      <w:drawing>
        <wp:inline distT="0" distB="0" distL="0" distR="0" wp14:anchorId="612A9659" wp14:editId="39D6AE79">
          <wp:extent cx="3399898" cy="6925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2498" cy="70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AFA"/>
    <w:multiLevelType w:val="hybridMultilevel"/>
    <w:tmpl w:val="3F46D5F8"/>
    <w:lvl w:ilvl="0" w:tplc="DB5CF2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5F7"/>
    <w:multiLevelType w:val="hybridMultilevel"/>
    <w:tmpl w:val="8E1644CA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F7F1AD5"/>
    <w:multiLevelType w:val="hybridMultilevel"/>
    <w:tmpl w:val="15DCF108"/>
    <w:lvl w:ilvl="0" w:tplc="DB5CF2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0BD9"/>
    <w:multiLevelType w:val="hybridMultilevel"/>
    <w:tmpl w:val="31AC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491E"/>
    <w:multiLevelType w:val="hybridMultilevel"/>
    <w:tmpl w:val="6C9C0040"/>
    <w:lvl w:ilvl="0" w:tplc="9A7E6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188B"/>
    <w:multiLevelType w:val="hybridMultilevel"/>
    <w:tmpl w:val="A7003D42"/>
    <w:lvl w:ilvl="0" w:tplc="9A7E6E0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E622DE8"/>
    <w:multiLevelType w:val="hybridMultilevel"/>
    <w:tmpl w:val="97E22856"/>
    <w:lvl w:ilvl="0" w:tplc="9A7E6E0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2D1"/>
    <w:multiLevelType w:val="multilevel"/>
    <w:tmpl w:val="34E6C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9D43E6"/>
    <w:multiLevelType w:val="hybridMultilevel"/>
    <w:tmpl w:val="67745C60"/>
    <w:lvl w:ilvl="0" w:tplc="53A44D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105A3"/>
    <w:multiLevelType w:val="hybridMultilevel"/>
    <w:tmpl w:val="CF92997A"/>
    <w:lvl w:ilvl="0" w:tplc="2102AAEC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4180E"/>
    <w:multiLevelType w:val="hybridMultilevel"/>
    <w:tmpl w:val="31AC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70AC2"/>
    <w:multiLevelType w:val="multilevel"/>
    <w:tmpl w:val="302EE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1A58B5"/>
    <w:multiLevelType w:val="hybridMultilevel"/>
    <w:tmpl w:val="40F68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22C3"/>
    <w:multiLevelType w:val="hybridMultilevel"/>
    <w:tmpl w:val="76CCDB56"/>
    <w:lvl w:ilvl="0" w:tplc="047C83F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C463C"/>
    <w:multiLevelType w:val="hybridMultilevel"/>
    <w:tmpl w:val="932E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76A0B"/>
    <w:multiLevelType w:val="hybridMultilevel"/>
    <w:tmpl w:val="DF88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B1F1D"/>
    <w:multiLevelType w:val="hybridMultilevel"/>
    <w:tmpl w:val="297CBF9C"/>
    <w:lvl w:ilvl="0" w:tplc="4B3C9264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9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4E"/>
    <w:rsid w:val="000055B2"/>
    <w:rsid w:val="0002168D"/>
    <w:rsid w:val="00023183"/>
    <w:rsid w:val="0003214C"/>
    <w:rsid w:val="00034EF0"/>
    <w:rsid w:val="00045BCE"/>
    <w:rsid w:val="0005154E"/>
    <w:rsid w:val="000541C5"/>
    <w:rsid w:val="00055DF2"/>
    <w:rsid w:val="00060B0E"/>
    <w:rsid w:val="00065E45"/>
    <w:rsid w:val="0007600B"/>
    <w:rsid w:val="00082753"/>
    <w:rsid w:val="00085F8A"/>
    <w:rsid w:val="00086137"/>
    <w:rsid w:val="00087B24"/>
    <w:rsid w:val="00093928"/>
    <w:rsid w:val="00095509"/>
    <w:rsid w:val="000A3A35"/>
    <w:rsid w:val="000A7B2B"/>
    <w:rsid w:val="000A7C50"/>
    <w:rsid w:val="000B2A33"/>
    <w:rsid w:val="000B3801"/>
    <w:rsid w:val="000B4415"/>
    <w:rsid w:val="000B4872"/>
    <w:rsid w:val="000B54BC"/>
    <w:rsid w:val="000B77D0"/>
    <w:rsid w:val="000D1B55"/>
    <w:rsid w:val="000E1D2A"/>
    <w:rsid w:val="001012A2"/>
    <w:rsid w:val="00102B8D"/>
    <w:rsid w:val="0011234C"/>
    <w:rsid w:val="001136E2"/>
    <w:rsid w:val="00114140"/>
    <w:rsid w:val="00125CD2"/>
    <w:rsid w:val="00153BBD"/>
    <w:rsid w:val="0015425E"/>
    <w:rsid w:val="001640B9"/>
    <w:rsid w:val="00184DA4"/>
    <w:rsid w:val="00185396"/>
    <w:rsid w:val="001858F3"/>
    <w:rsid w:val="00186F57"/>
    <w:rsid w:val="001870A5"/>
    <w:rsid w:val="0019398C"/>
    <w:rsid w:val="001958AC"/>
    <w:rsid w:val="00197C93"/>
    <w:rsid w:val="001A131D"/>
    <w:rsid w:val="001A629A"/>
    <w:rsid w:val="001A792F"/>
    <w:rsid w:val="001C059E"/>
    <w:rsid w:val="001C27EF"/>
    <w:rsid w:val="001C5D96"/>
    <w:rsid w:val="001D21EB"/>
    <w:rsid w:val="001D5C0C"/>
    <w:rsid w:val="001E3377"/>
    <w:rsid w:val="001E79C5"/>
    <w:rsid w:val="001F3290"/>
    <w:rsid w:val="001F70F8"/>
    <w:rsid w:val="00200F88"/>
    <w:rsid w:val="0021438B"/>
    <w:rsid w:val="00226FF3"/>
    <w:rsid w:val="00230C6C"/>
    <w:rsid w:val="00243C8D"/>
    <w:rsid w:val="002615E7"/>
    <w:rsid w:val="0026339C"/>
    <w:rsid w:val="00270078"/>
    <w:rsid w:val="00281AEC"/>
    <w:rsid w:val="00284307"/>
    <w:rsid w:val="0029491A"/>
    <w:rsid w:val="002A61B7"/>
    <w:rsid w:val="002B25FD"/>
    <w:rsid w:val="002B64AC"/>
    <w:rsid w:val="002C123D"/>
    <w:rsid w:val="002C23CB"/>
    <w:rsid w:val="002D0361"/>
    <w:rsid w:val="002D4BC8"/>
    <w:rsid w:val="002E08CD"/>
    <w:rsid w:val="002E4DAF"/>
    <w:rsid w:val="002F1D74"/>
    <w:rsid w:val="00300DDF"/>
    <w:rsid w:val="0030229A"/>
    <w:rsid w:val="00302AFA"/>
    <w:rsid w:val="003179AC"/>
    <w:rsid w:val="003200D2"/>
    <w:rsid w:val="003318E4"/>
    <w:rsid w:val="00333A8A"/>
    <w:rsid w:val="003430D4"/>
    <w:rsid w:val="00345E8D"/>
    <w:rsid w:val="00361F4F"/>
    <w:rsid w:val="00363D51"/>
    <w:rsid w:val="00372908"/>
    <w:rsid w:val="00374916"/>
    <w:rsid w:val="003812E2"/>
    <w:rsid w:val="00383B8D"/>
    <w:rsid w:val="00385B38"/>
    <w:rsid w:val="0038669A"/>
    <w:rsid w:val="00392A23"/>
    <w:rsid w:val="00396A39"/>
    <w:rsid w:val="003A04BB"/>
    <w:rsid w:val="003C2C0F"/>
    <w:rsid w:val="003D2802"/>
    <w:rsid w:val="003D33B1"/>
    <w:rsid w:val="003D708F"/>
    <w:rsid w:val="003E3049"/>
    <w:rsid w:val="003F04A4"/>
    <w:rsid w:val="003F25ED"/>
    <w:rsid w:val="00403133"/>
    <w:rsid w:val="0040325F"/>
    <w:rsid w:val="00412D7D"/>
    <w:rsid w:val="00417CE5"/>
    <w:rsid w:val="0042478D"/>
    <w:rsid w:val="00431560"/>
    <w:rsid w:val="0044190F"/>
    <w:rsid w:val="00450EC1"/>
    <w:rsid w:val="004525E5"/>
    <w:rsid w:val="00463323"/>
    <w:rsid w:val="004666A5"/>
    <w:rsid w:val="00472941"/>
    <w:rsid w:val="004741DB"/>
    <w:rsid w:val="00476463"/>
    <w:rsid w:val="00476D33"/>
    <w:rsid w:val="00477048"/>
    <w:rsid w:val="00487B89"/>
    <w:rsid w:val="00493E79"/>
    <w:rsid w:val="004A2F88"/>
    <w:rsid w:val="004B748E"/>
    <w:rsid w:val="004C0A5D"/>
    <w:rsid w:val="004C2EE3"/>
    <w:rsid w:val="004C3B16"/>
    <w:rsid w:val="004C48E4"/>
    <w:rsid w:val="004E381E"/>
    <w:rsid w:val="004E5C70"/>
    <w:rsid w:val="004F0364"/>
    <w:rsid w:val="00500720"/>
    <w:rsid w:val="0050159E"/>
    <w:rsid w:val="005100CA"/>
    <w:rsid w:val="00511B19"/>
    <w:rsid w:val="00531D3C"/>
    <w:rsid w:val="00533E5A"/>
    <w:rsid w:val="00537001"/>
    <w:rsid w:val="00540DFC"/>
    <w:rsid w:val="00541E83"/>
    <w:rsid w:val="005538AA"/>
    <w:rsid w:val="00553E62"/>
    <w:rsid w:val="00556AED"/>
    <w:rsid w:val="00557223"/>
    <w:rsid w:val="0057104B"/>
    <w:rsid w:val="0057739E"/>
    <w:rsid w:val="0058109D"/>
    <w:rsid w:val="00590467"/>
    <w:rsid w:val="00593900"/>
    <w:rsid w:val="005B47A4"/>
    <w:rsid w:val="005B70C3"/>
    <w:rsid w:val="005C19B6"/>
    <w:rsid w:val="005C7772"/>
    <w:rsid w:val="005D5CA8"/>
    <w:rsid w:val="005F120D"/>
    <w:rsid w:val="005F1868"/>
    <w:rsid w:val="00603793"/>
    <w:rsid w:val="00610660"/>
    <w:rsid w:val="0061418B"/>
    <w:rsid w:val="006278B0"/>
    <w:rsid w:val="0063079B"/>
    <w:rsid w:val="00642C4C"/>
    <w:rsid w:val="00643C0D"/>
    <w:rsid w:val="006548F9"/>
    <w:rsid w:val="00655141"/>
    <w:rsid w:val="00660267"/>
    <w:rsid w:val="00672103"/>
    <w:rsid w:val="0067350A"/>
    <w:rsid w:val="0067667F"/>
    <w:rsid w:val="00684B5A"/>
    <w:rsid w:val="006A3D63"/>
    <w:rsid w:val="006A6B85"/>
    <w:rsid w:val="006A79DE"/>
    <w:rsid w:val="006B2E46"/>
    <w:rsid w:val="006B6219"/>
    <w:rsid w:val="006C4592"/>
    <w:rsid w:val="006D0A23"/>
    <w:rsid w:val="006D1C22"/>
    <w:rsid w:val="006D4B35"/>
    <w:rsid w:val="006E4B8D"/>
    <w:rsid w:val="006E7950"/>
    <w:rsid w:val="006F00D8"/>
    <w:rsid w:val="006F6918"/>
    <w:rsid w:val="00702752"/>
    <w:rsid w:val="00703179"/>
    <w:rsid w:val="007050D7"/>
    <w:rsid w:val="007062E6"/>
    <w:rsid w:val="00716902"/>
    <w:rsid w:val="00721C4B"/>
    <w:rsid w:val="007262D9"/>
    <w:rsid w:val="007275DC"/>
    <w:rsid w:val="007279C2"/>
    <w:rsid w:val="007377F3"/>
    <w:rsid w:val="007405E2"/>
    <w:rsid w:val="007569A6"/>
    <w:rsid w:val="00760ABA"/>
    <w:rsid w:val="00760B9E"/>
    <w:rsid w:val="00762E61"/>
    <w:rsid w:val="00764C15"/>
    <w:rsid w:val="00780835"/>
    <w:rsid w:val="0078502E"/>
    <w:rsid w:val="007863B0"/>
    <w:rsid w:val="007945C8"/>
    <w:rsid w:val="00796C6E"/>
    <w:rsid w:val="00797180"/>
    <w:rsid w:val="007B0017"/>
    <w:rsid w:val="007B1BEC"/>
    <w:rsid w:val="007B202C"/>
    <w:rsid w:val="007C0E4B"/>
    <w:rsid w:val="007C490B"/>
    <w:rsid w:val="007C7AAB"/>
    <w:rsid w:val="007D3C97"/>
    <w:rsid w:val="007D3E48"/>
    <w:rsid w:val="007E062F"/>
    <w:rsid w:val="007E41D8"/>
    <w:rsid w:val="007E7CF1"/>
    <w:rsid w:val="007F0E76"/>
    <w:rsid w:val="007F1663"/>
    <w:rsid w:val="007F3FCD"/>
    <w:rsid w:val="007F70D7"/>
    <w:rsid w:val="008030CB"/>
    <w:rsid w:val="00803AAD"/>
    <w:rsid w:val="00805665"/>
    <w:rsid w:val="00810A9C"/>
    <w:rsid w:val="00812067"/>
    <w:rsid w:val="00812D41"/>
    <w:rsid w:val="00822E3E"/>
    <w:rsid w:val="008367D1"/>
    <w:rsid w:val="00837817"/>
    <w:rsid w:val="00840FF6"/>
    <w:rsid w:val="0084432C"/>
    <w:rsid w:val="00845F7B"/>
    <w:rsid w:val="008472A2"/>
    <w:rsid w:val="008521D0"/>
    <w:rsid w:val="00873DEF"/>
    <w:rsid w:val="00876A7A"/>
    <w:rsid w:val="008831AC"/>
    <w:rsid w:val="00883C1A"/>
    <w:rsid w:val="00885DC3"/>
    <w:rsid w:val="00893567"/>
    <w:rsid w:val="00897FD6"/>
    <w:rsid w:val="008A56E3"/>
    <w:rsid w:val="008A6734"/>
    <w:rsid w:val="008D62D2"/>
    <w:rsid w:val="008D7BDD"/>
    <w:rsid w:val="008E4374"/>
    <w:rsid w:val="008E5180"/>
    <w:rsid w:val="008F0311"/>
    <w:rsid w:val="008F1866"/>
    <w:rsid w:val="008F3611"/>
    <w:rsid w:val="00911472"/>
    <w:rsid w:val="00911EC6"/>
    <w:rsid w:val="009158B6"/>
    <w:rsid w:val="009222A0"/>
    <w:rsid w:val="009263B3"/>
    <w:rsid w:val="00936B82"/>
    <w:rsid w:val="00941926"/>
    <w:rsid w:val="0095733B"/>
    <w:rsid w:val="00957465"/>
    <w:rsid w:val="00961E5B"/>
    <w:rsid w:val="00965962"/>
    <w:rsid w:val="009760C6"/>
    <w:rsid w:val="0097752D"/>
    <w:rsid w:val="00977A21"/>
    <w:rsid w:val="0098060B"/>
    <w:rsid w:val="0098061C"/>
    <w:rsid w:val="00992BF2"/>
    <w:rsid w:val="00996558"/>
    <w:rsid w:val="0099658E"/>
    <w:rsid w:val="009A2E12"/>
    <w:rsid w:val="009A3065"/>
    <w:rsid w:val="009A4845"/>
    <w:rsid w:val="009A5E98"/>
    <w:rsid w:val="009A61AF"/>
    <w:rsid w:val="009B4913"/>
    <w:rsid w:val="009C38A5"/>
    <w:rsid w:val="009C6C51"/>
    <w:rsid w:val="009D0BD4"/>
    <w:rsid w:val="009D3C06"/>
    <w:rsid w:val="009D5982"/>
    <w:rsid w:val="009F0F9B"/>
    <w:rsid w:val="009F17C6"/>
    <w:rsid w:val="009F3848"/>
    <w:rsid w:val="009F739C"/>
    <w:rsid w:val="00A1101D"/>
    <w:rsid w:val="00A1208D"/>
    <w:rsid w:val="00A12DCF"/>
    <w:rsid w:val="00A1325C"/>
    <w:rsid w:val="00A20646"/>
    <w:rsid w:val="00A2576D"/>
    <w:rsid w:val="00A31DB4"/>
    <w:rsid w:val="00A3443E"/>
    <w:rsid w:val="00A44545"/>
    <w:rsid w:val="00A54D02"/>
    <w:rsid w:val="00A569B1"/>
    <w:rsid w:val="00A72192"/>
    <w:rsid w:val="00A732B0"/>
    <w:rsid w:val="00A74B1E"/>
    <w:rsid w:val="00A77E3E"/>
    <w:rsid w:val="00A81703"/>
    <w:rsid w:val="00A86EE9"/>
    <w:rsid w:val="00A94316"/>
    <w:rsid w:val="00A95CFB"/>
    <w:rsid w:val="00A95F92"/>
    <w:rsid w:val="00AA560D"/>
    <w:rsid w:val="00AA5981"/>
    <w:rsid w:val="00AA6D4E"/>
    <w:rsid w:val="00AB0864"/>
    <w:rsid w:val="00AB13B1"/>
    <w:rsid w:val="00AB3AD2"/>
    <w:rsid w:val="00AC07E7"/>
    <w:rsid w:val="00AC23E6"/>
    <w:rsid w:val="00AD12D4"/>
    <w:rsid w:val="00AD1B2E"/>
    <w:rsid w:val="00AD2E91"/>
    <w:rsid w:val="00AD75E8"/>
    <w:rsid w:val="00AF5D4D"/>
    <w:rsid w:val="00AF6EC6"/>
    <w:rsid w:val="00B1044C"/>
    <w:rsid w:val="00B14479"/>
    <w:rsid w:val="00B37B25"/>
    <w:rsid w:val="00B45D07"/>
    <w:rsid w:val="00B4638C"/>
    <w:rsid w:val="00B47BC1"/>
    <w:rsid w:val="00B47C74"/>
    <w:rsid w:val="00B52F6B"/>
    <w:rsid w:val="00B62417"/>
    <w:rsid w:val="00B6379A"/>
    <w:rsid w:val="00B72E74"/>
    <w:rsid w:val="00B76304"/>
    <w:rsid w:val="00B8016B"/>
    <w:rsid w:val="00B806D5"/>
    <w:rsid w:val="00B92CBD"/>
    <w:rsid w:val="00B9485D"/>
    <w:rsid w:val="00B94D3E"/>
    <w:rsid w:val="00B96534"/>
    <w:rsid w:val="00BA626D"/>
    <w:rsid w:val="00BA7A38"/>
    <w:rsid w:val="00BB1DC0"/>
    <w:rsid w:val="00BB2ACC"/>
    <w:rsid w:val="00BB345F"/>
    <w:rsid w:val="00BC06E2"/>
    <w:rsid w:val="00BD1F73"/>
    <w:rsid w:val="00BD4A54"/>
    <w:rsid w:val="00BD65BE"/>
    <w:rsid w:val="00BD7AFA"/>
    <w:rsid w:val="00BE3A30"/>
    <w:rsid w:val="00BE5B6B"/>
    <w:rsid w:val="00BF25FB"/>
    <w:rsid w:val="00BF2E8F"/>
    <w:rsid w:val="00BF5614"/>
    <w:rsid w:val="00C01132"/>
    <w:rsid w:val="00C0254E"/>
    <w:rsid w:val="00C063F6"/>
    <w:rsid w:val="00C11604"/>
    <w:rsid w:val="00C11913"/>
    <w:rsid w:val="00C11B37"/>
    <w:rsid w:val="00C155F6"/>
    <w:rsid w:val="00C2078C"/>
    <w:rsid w:val="00C2115E"/>
    <w:rsid w:val="00C215C5"/>
    <w:rsid w:val="00C22841"/>
    <w:rsid w:val="00C2350E"/>
    <w:rsid w:val="00C27132"/>
    <w:rsid w:val="00C32079"/>
    <w:rsid w:val="00C3483E"/>
    <w:rsid w:val="00C462B3"/>
    <w:rsid w:val="00C51F05"/>
    <w:rsid w:val="00C52506"/>
    <w:rsid w:val="00C62562"/>
    <w:rsid w:val="00C66A94"/>
    <w:rsid w:val="00C900EC"/>
    <w:rsid w:val="00C96E0E"/>
    <w:rsid w:val="00C971B0"/>
    <w:rsid w:val="00CA36E4"/>
    <w:rsid w:val="00CA7BF9"/>
    <w:rsid w:val="00CB0DE5"/>
    <w:rsid w:val="00CB3CBD"/>
    <w:rsid w:val="00CB4BF5"/>
    <w:rsid w:val="00CB4F79"/>
    <w:rsid w:val="00CC4E50"/>
    <w:rsid w:val="00CC52CF"/>
    <w:rsid w:val="00CD0F6E"/>
    <w:rsid w:val="00CD11B2"/>
    <w:rsid w:val="00CD3E9B"/>
    <w:rsid w:val="00CD62EF"/>
    <w:rsid w:val="00CE093B"/>
    <w:rsid w:val="00CE3AEE"/>
    <w:rsid w:val="00CF3857"/>
    <w:rsid w:val="00CF567F"/>
    <w:rsid w:val="00CF6A43"/>
    <w:rsid w:val="00CF7FC2"/>
    <w:rsid w:val="00D027AC"/>
    <w:rsid w:val="00D05C7E"/>
    <w:rsid w:val="00D115EB"/>
    <w:rsid w:val="00D37E64"/>
    <w:rsid w:val="00D42E48"/>
    <w:rsid w:val="00D4408B"/>
    <w:rsid w:val="00D46350"/>
    <w:rsid w:val="00D530CC"/>
    <w:rsid w:val="00D60628"/>
    <w:rsid w:val="00D6221C"/>
    <w:rsid w:val="00D642FA"/>
    <w:rsid w:val="00D6457B"/>
    <w:rsid w:val="00D66362"/>
    <w:rsid w:val="00D6713B"/>
    <w:rsid w:val="00D71930"/>
    <w:rsid w:val="00D82FB5"/>
    <w:rsid w:val="00D84EE2"/>
    <w:rsid w:val="00D8530C"/>
    <w:rsid w:val="00D9148C"/>
    <w:rsid w:val="00D93F29"/>
    <w:rsid w:val="00D95779"/>
    <w:rsid w:val="00DA4AF3"/>
    <w:rsid w:val="00DA5804"/>
    <w:rsid w:val="00DB2207"/>
    <w:rsid w:val="00DC65F9"/>
    <w:rsid w:val="00DD57E8"/>
    <w:rsid w:val="00DD6504"/>
    <w:rsid w:val="00DE48F5"/>
    <w:rsid w:val="00DF3EBF"/>
    <w:rsid w:val="00DF4ED4"/>
    <w:rsid w:val="00DF7A61"/>
    <w:rsid w:val="00E3140B"/>
    <w:rsid w:val="00E40EA4"/>
    <w:rsid w:val="00E435A4"/>
    <w:rsid w:val="00E47149"/>
    <w:rsid w:val="00E561F6"/>
    <w:rsid w:val="00E64D1B"/>
    <w:rsid w:val="00E81C56"/>
    <w:rsid w:val="00E83308"/>
    <w:rsid w:val="00E91778"/>
    <w:rsid w:val="00E97528"/>
    <w:rsid w:val="00EA1FA9"/>
    <w:rsid w:val="00EB63D3"/>
    <w:rsid w:val="00EC2885"/>
    <w:rsid w:val="00EC6268"/>
    <w:rsid w:val="00ED1765"/>
    <w:rsid w:val="00ED7E6F"/>
    <w:rsid w:val="00EE1636"/>
    <w:rsid w:val="00EF013F"/>
    <w:rsid w:val="00EF0B0C"/>
    <w:rsid w:val="00F03F91"/>
    <w:rsid w:val="00F07830"/>
    <w:rsid w:val="00F110AF"/>
    <w:rsid w:val="00F14835"/>
    <w:rsid w:val="00F15CC0"/>
    <w:rsid w:val="00F16480"/>
    <w:rsid w:val="00F30259"/>
    <w:rsid w:val="00F30A83"/>
    <w:rsid w:val="00F32849"/>
    <w:rsid w:val="00F339E5"/>
    <w:rsid w:val="00F43D3E"/>
    <w:rsid w:val="00F441BA"/>
    <w:rsid w:val="00F516E9"/>
    <w:rsid w:val="00F520D4"/>
    <w:rsid w:val="00F55301"/>
    <w:rsid w:val="00F86820"/>
    <w:rsid w:val="00F87EF1"/>
    <w:rsid w:val="00F92300"/>
    <w:rsid w:val="00F93929"/>
    <w:rsid w:val="00FB4FB3"/>
    <w:rsid w:val="00FC4BFC"/>
    <w:rsid w:val="00FC75F4"/>
    <w:rsid w:val="00FD038D"/>
    <w:rsid w:val="00FD3B71"/>
    <w:rsid w:val="00FE140F"/>
    <w:rsid w:val="00FE18E8"/>
    <w:rsid w:val="00FE3DE9"/>
    <w:rsid w:val="00FE5E4D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CE549"/>
  <w15:chartTrackingRefBased/>
  <w15:docId w15:val="{1FC89B57-C435-4B26-B95F-A1078E81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00B"/>
  </w:style>
  <w:style w:type="paragraph" w:styleId="Heading1">
    <w:name w:val="heading 1"/>
    <w:basedOn w:val="Normal"/>
    <w:next w:val="Normal"/>
    <w:link w:val="Heading1Char"/>
    <w:uiPriority w:val="9"/>
    <w:qFormat/>
    <w:rsid w:val="0007600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00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0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F1"/>
  </w:style>
  <w:style w:type="paragraph" w:styleId="Footer">
    <w:name w:val="footer"/>
    <w:basedOn w:val="Normal"/>
    <w:link w:val="FooterChar"/>
    <w:uiPriority w:val="99"/>
    <w:unhideWhenUsed/>
    <w:rsid w:val="00F8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F1"/>
  </w:style>
  <w:style w:type="character" w:customStyle="1" w:styleId="Heading1Char">
    <w:name w:val="Heading 1 Char"/>
    <w:basedOn w:val="DefaultParagraphFont"/>
    <w:link w:val="Heading1"/>
    <w:uiPriority w:val="9"/>
    <w:rsid w:val="0007600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760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60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6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0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0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0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600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60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7600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600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7600B"/>
    <w:rPr>
      <w:b/>
      <w:bCs/>
    </w:rPr>
  </w:style>
  <w:style w:type="character" w:styleId="Emphasis">
    <w:name w:val="Emphasis"/>
    <w:basedOn w:val="DefaultParagraphFont"/>
    <w:uiPriority w:val="20"/>
    <w:qFormat/>
    <w:rsid w:val="0007600B"/>
    <w:rPr>
      <w:i/>
      <w:iCs/>
    </w:rPr>
  </w:style>
  <w:style w:type="paragraph" w:styleId="NoSpacing">
    <w:name w:val="No Spacing"/>
    <w:uiPriority w:val="1"/>
    <w:qFormat/>
    <w:rsid w:val="000760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60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760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00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76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600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600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7600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7600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600B"/>
    <w:pPr>
      <w:outlineLvl w:val="9"/>
    </w:pPr>
  </w:style>
  <w:style w:type="paragraph" w:styleId="ListParagraph">
    <w:name w:val="List Paragraph"/>
    <w:basedOn w:val="Normal"/>
    <w:uiPriority w:val="34"/>
    <w:qFormat/>
    <w:rsid w:val="00F87EF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7A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A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A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20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0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3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91CBDF91FC74F9490B226323740CD" ma:contentTypeVersion="11" ma:contentTypeDescription="Create a new document." ma:contentTypeScope="" ma:versionID="f1e8f7da25ac283c3911ad39d16aca4c">
  <xsd:schema xmlns:xsd="http://www.w3.org/2001/XMLSchema" xmlns:xs="http://www.w3.org/2001/XMLSchema" xmlns:p="http://schemas.microsoft.com/office/2006/metadata/properties" xmlns:ns2="fb008c43-2713-4342-bb77-63e98d6c3fb4" xmlns:ns3="b0711958-2a68-46c6-b47f-0e083be8e33e" targetNamespace="http://schemas.microsoft.com/office/2006/metadata/properties" ma:root="true" ma:fieldsID="2f785151c12c030f77f4cbf349533ae0" ns2:_="" ns3:_="">
    <xsd:import namespace="fb008c43-2713-4342-bb77-63e98d6c3fb4"/>
    <xsd:import namespace="b0711958-2a68-46c6-b47f-0e083be8e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8c43-2713-4342-bb77-63e98d6c3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5e0525-0876-4d80-bfec-876068cee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11958-2a68-46c6-b47f-0e083be8e3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099ed3-5f83-4bc5-9980-780183333823}" ma:internalName="TaxCatchAll" ma:showField="CatchAllData" ma:web="b0711958-2a68-46c6-b47f-0e083be8e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08c43-2713-4342-bb77-63e98d6c3fb4">
      <Terms xmlns="http://schemas.microsoft.com/office/infopath/2007/PartnerControls"/>
    </lcf76f155ced4ddcb4097134ff3c332f>
    <TaxCatchAll xmlns="b0711958-2a68-46c6-b47f-0e083be8e33e" xsi:nil="true"/>
  </documentManagement>
</p:properties>
</file>

<file path=customXml/itemProps1.xml><?xml version="1.0" encoding="utf-8"?>
<ds:datastoreItem xmlns:ds="http://schemas.openxmlformats.org/officeDocument/2006/customXml" ds:itemID="{C7B36A71-076E-49C4-95D8-DF6F1BD2E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E1104-91F5-4D7E-B339-B88C197B7B62}"/>
</file>

<file path=customXml/itemProps3.xml><?xml version="1.0" encoding="utf-8"?>
<ds:datastoreItem xmlns:ds="http://schemas.openxmlformats.org/officeDocument/2006/customXml" ds:itemID="{6ED11AD5-CD24-42A0-93FA-0AC398627562}"/>
</file>

<file path=customXml/itemProps4.xml><?xml version="1.0" encoding="utf-8"?>
<ds:datastoreItem xmlns:ds="http://schemas.openxmlformats.org/officeDocument/2006/customXml" ds:itemID="{38CAD633-8D56-4EED-92C4-1D32CB77C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Savica Vujicic</cp:lastModifiedBy>
  <cp:revision>9</cp:revision>
  <cp:lastPrinted>2025-03-18T14:31:00Z</cp:lastPrinted>
  <dcterms:created xsi:type="dcterms:W3CDTF">2025-03-20T15:54:00Z</dcterms:created>
  <dcterms:modified xsi:type="dcterms:W3CDTF">2025-03-27T12:57:00Z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0x01010088191CBDF91FC74F9490B226323740CD</vt:lpwstr>
  </property>
</Properties>
</file>