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20440D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20440D">
        <w:rPr>
          <w:rFonts w:ascii="Cambria" w:hAnsi="Cambria" w:cs="Cambria"/>
          <w:noProof/>
          <w:lang w:val="sr-Latn-CS" w:eastAsia="sr-Latn-CS"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CRNA GORA</w:t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MINISTARSTVO FINANSIJA</w:t>
      </w:r>
    </w:p>
    <w:p w:rsidR="0082570B" w:rsidRPr="0020440D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Direktorat</w:t>
      </w:r>
      <w:r w:rsidR="0082570B" w:rsidRPr="0020440D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20440D" w:rsidRDefault="0082570B" w:rsidP="00D61692">
      <w:pPr>
        <w:rPr>
          <w:rFonts w:cs="Calibri"/>
          <w:noProof/>
        </w:rPr>
      </w:pPr>
    </w:p>
    <w:p w:rsidR="0082570B" w:rsidRPr="0020440D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20440D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20440D" w:rsidRDefault="0068566C" w:rsidP="005D48A0">
      <w:pPr>
        <w:spacing w:line="240" w:lineRule="auto"/>
        <w:ind w:firstLine="720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>Avgust</w:t>
      </w:r>
      <w:r w:rsidR="005612C5">
        <w:rPr>
          <w:rFonts w:cs="Calibri"/>
          <w:b/>
          <w:bCs/>
          <w:noProof/>
          <w:sz w:val="32"/>
          <w:szCs w:val="32"/>
        </w:rPr>
        <w:t xml:space="preserve"> </w:t>
      </w:r>
      <w:r w:rsidR="00C45B95">
        <w:rPr>
          <w:rFonts w:cs="Calibri"/>
          <w:b/>
          <w:bCs/>
          <w:noProof/>
          <w:sz w:val="32"/>
          <w:szCs w:val="32"/>
        </w:rPr>
        <w:t>2015</w:t>
      </w:r>
      <w:r w:rsidR="0082570B" w:rsidRPr="0020440D">
        <w:rPr>
          <w:rFonts w:cs="Calibri"/>
          <w:b/>
          <w:bCs/>
          <w:noProof/>
          <w:sz w:val="32"/>
          <w:szCs w:val="32"/>
        </w:rPr>
        <w:t>.</w:t>
      </w: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9F74C6" w:rsidRPr="0020440D" w:rsidRDefault="00720F42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  <w:r w:rsidRPr="00720F42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31.3pt;margin-top:348.6pt;width:272pt;height:388.65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969dab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284027" w:rsidRDefault="00284027" w:rsidP="00E876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284027" w:rsidRDefault="00284027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284027" w:rsidRPr="00656E68" w:rsidRDefault="00284027" w:rsidP="0069084F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sz w:val="36"/>
                    </w:rPr>
                  </w:pPr>
                  <w:r w:rsidRPr="00656E68">
                    <w:rPr>
                      <w:b/>
                      <w:sz w:val="24"/>
                      <w:szCs w:val="20"/>
                    </w:rPr>
                    <w:t>Promet u</w:t>
                  </w:r>
                  <w:r w:rsidRPr="00D144C9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56E68">
                    <w:rPr>
                      <w:b/>
                      <w:sz w:val="24"/>
                      <w:szCs w:val="20"/>
                    </w:rPr>
                    <w:t>maloprodaji</w:t>
                  </w:r>
                  <w:r>
                    <w:rPr>
                      <w:b/>
                      <w:sz w:val="24"/>
                      <w:szCs w:val="20"/>
                    </w:rPr>
                    <w:t xml:space="preserve"> u avgustu</w:t>
                  </w:r>
                  <w:r w:rsidRPr="00656E68">
                    <w:rPr>
                      <w:b/>
                      <w:sz w:val="24"/>
                      <w:szCs w:val="20"/>
                    </w:rPr>
                    <w:t>, podstaknut rastom u sektoru turizma, bilježi visoke stope rasta</w:t>
                  </w:r>
                  <w:r>
                    <w:rPr>
                      <w:b/>
                      <w:sz w:val="24"/>
                      <w:szCs w:val="20"/>
                    </w:rPr>
                    <w:t xml:space="preserve">  (7,2%)</w:t>
                  </w:r>
                </w:p>
                <w:p w:rsidR="00284027" w:rsidRPr="00656E68" w:rsidRDefault="00284027" w:rsidP="0069084F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sz w:val="36"/>
                    </w:rPr>
                  </w:pPr>
                  <w:r w:rsidRPr="00656E68">
                    <w:rPr>
                      <w:b/>
                      <w:sz w:val="24"/>
                      <w:szCs w:val="20"/>
                    </w:rPr>
                    <w:t>Crnu Goru u avgustu posjetilo 6,7% više turista i ostvareno 3,9% više noćenja</w:t>
                  </w:r>
                </w:p>
                <w:p w:rsidR="00284027" w:rsidRPr="00656E68" w:rsidRDefault="00284027" w:rsidP="0069084F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sz w:val="36"/>
                    </w:rPr>
                  </w:pPr>
                  <w:r w:rsidRPr="00656E68">
                    <w:rPr>
                      <w:b/>
                      <w:noProof/>
                      <w:sz w:val="24"/>
                      <w:szCs w:val="20"/>
                    </w:rPr>
                    <w:t>Monetarni sektor karakteriše nastavak pozitivnih kretanja u oblasti kreditne aktivnosti banaka, ukupnih depozita i kapitala</w:t>
                  </w:r>
                </w:p>
                <w:p w:rsidR="00284027" w:rsidRPr="00656E68" w:rsidRDefault="00284027" w:rsidP="0069084F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sz w:val="36"/>
                    </w:rPr>
                  </w:pPr>
                  <w:r w:rsidRPr="00656E68">
                    <w:rPr>
                      <w:b/>
                      <w:sz w:val="24"/>
                      <w:szCs w:val="20"/>
                    </w:rPr>
                    <w:t xml:space="preserve">Pad izvozne aktivnosti ublažilo je povećanje izvoza gvožđa i </w:t>
                  </w:r>
                  <w:r w:rsidRPr="00656E68">
                    <w:rPr>
                      <w:b/>
                      <w:sz w:val="24"/>
                      <w:szCs w:val="20"/>
                      <w:lang w:val="sr-Latn-CS"/>
                    </w:rPr>
                    <w:t>čelika</w:t>
                  </w:r>
                </w:p>
                <w:p w:rsidR="00284027" w:rsidRDefault="00284027" w:rsidP="00656E68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</w:pPr>
                  <w:r w:rsidRPr="00656E68">
                    <w:rPr>
                      <w:b/>
                      <w:noProof/>
                      <w:sz w:val="24"/>
                      <w:szCs w:val="20"/>
                    </w:rPr>
                    <w:t>U periodu januar – jul 2015. neto priliv SDI bilježi rast od 20</w:t>
                  </w:r>
                  <w:r w:rsidRPr="00656E68">
                    <w:rPr>
                      <w:b/>
                      <w:noProof/>
                      <w:sz w:val="20"/>
                      <w:szCs w:val="20"/>
                    </w:rPr>
                    <w:t>,</w:t>
                  </w:r>
                  <w:r w:rsidRPr="002A72CF">
                    <w:rPr>
                      <w:b/>
                      <w:noProof/>
                      <w:sz w:val="24"/>
                      <w:szCs w:val="20"/>
                    </w:rPr>
                    <w:t>5</w:t>
                  </w:r>
                  <w:r w:rsidRPr="00656E68">
                    <w:rPr>
                      <w:b/>
                      <w:noProof/>
                      <w:sz w:val="20"/>
                      <w:szCs w:val="20"/>
                    </w:rPr>
                    <w:t xml:space="preserve">% </w:t>
                  </w:r>
                </w:p>
              </w:txbxContent>
            </v:textbox>
            <w10:wrap type="tight" anchorx="margin" anchory="margin"/>
          </v:shape>
        </w:pict>
      </w:r>
    </w:p>
    <w:p w:rsidR="0082570B" w:rsidRPr="0020440D" w:rsidRDefault="0082570B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</w:p>
    <w:p w:rsidR="0082570B" w:rsidRPr="0020440D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20440D" w:rsidRDefault="00DE6D14" w:rsidP="00D61692">
      <w:pPr>
        <w:pStyle w:val="NoSpacing"/>
        <w:rPr>
          <w:bCs/>
          <w:iCs/>
          <w:noProof/>
          <w:sz w:val="26"/>
          <w:szCs w:val="26"/>
        </w:rPr>
      </w:pPr>
      <w:r>
        <w:rPr>
          <w:bCs/>
          <w:iCs/>
          <w:noProof/>
          <w:sz w:val="26"/>
          <w:szCs w:val="26"/>
          <w:lang w:val="sr-Latn-CS" w:eastAsia="sr-Latn-C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117475</wp:posOffset>
            </wp:positionV>
            <wp:extent cx="2238375" cy="264160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20440D" w:rsidRDefault="0082570B" w:rsidP="00694445">
      <w:pPr>
        <w:pStyle w:val="NoSpacing"/>
        <w:rPr>
          <w:bCs/>
          <w:noProof/>
          <w:sz w:val="28"/>
          <w:szCs w:val="20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20440D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 w:rsidRPr="0020440D">
        <w:rPr>
          <w:bCs/>
          <w:noProof/>
          <w:color w:val="000000"/>
          <w:sz w:val="16"/>
          <w:szCs w:val="16"/>
        </w:rPr>
        <w:t>Radovan Živković</w:t>
      </w:r>
      <w:r w:rsidR="002A2CED" w:rsidRPr="0020440D">
        <w:rPr>
          <w:bCs/>
          <w:noProof/>
          <w:color w:val="000000"/>
          <w:sz w:val="16"/>
          <w:szCs w:val="16"/>
        </w:rPr>
        <w:t>, Radojka Martinović</w:t>
      </w:r>
      <w:r w:rsidR="00423EE9" w:rsidRPr="0020440D">
        <w:rPr>
          <w:bCs/>
          <w:noProof/>
          <w:color w:val="000000"/>
          <w:sz w:val="16"/>
          <w:szCs w:val="16"/>
        </w:rPr>
        <w:t xml:space="preserve">, Olja Tomanović, </w:t>
      </w:r>
      <w:r w:rsidR="004B5F63" w:rsidRPr="0020440D">
        <w:rPr>
          <w:bCs/>
          <w:noProof/>
          <w:color w:val="000000"/>
          <w:sz w:val="16"/>
          <w:szCs w:val="16"/>
        </w:rPr>
        <w:t>Marija Novosel</w:t>
      </w:r>
      <w:r w:rsidR="00A423C3" w:rsidRPr="0020440D">
        <w:rPr>
          <w:bCs/>
          <w:noProof/>
          <w:color w:val="000000"/>
          <w:sz w:val="16"/>
          <w:szCs w:val="16"/>
        </w:rPr>
        <w:t>,</w:t>
      </w:r>
      <w:r w:rsidR="002A2CED" w:rsidRPr="0020440D">
        <w:rPr>
          <w:bCs/>
          <w:noProof/>
          <w:color w:val="000000"/>
          <w:sz w:val="16"/>
          <w:szCs w:val="16"/>
        </w:rPr>
        <w:t xml:space="preserve"> Zdenka</w:t>
      </w:r>
      <w:r w:rsidR="00153685">
        <w:rPr>
          <w:bCs/>
          <w:noProof/>
          <w:color w:val="000000"/>
          <w:sz w:val="16"/>
          <w:szCs w:val="16"/>
        </w:rPr>
        <w:t xml:space="preserve"> </w:t>
      </w:r>
      <w:r w:rsidR="002A2CED" w:rsidRPr="0020440D">
        <w:rPr>
          <w:bCs/>
          <w:noProof/>
          <w:color w:val="000000"/>
          <w:sz w:val="16"/>
          <w:szCs w:val="16"/>
        </w:rPr>
        <w:t>Dabović</w:t>
      </w:r>
      <w:r w:rsidR="00E2362B" w:rsidRPr="0020440D">
        <w:rPr>
          <w:bCs/>
          <w:noProof/>
          <w:color w:val="000000"/>
          <w:sz w:val="16"/>
          <w:szCs w:val="16"/>
        </w:rPr>
        <w:t>, Milanka Jovanović</w:t>
      </w:r>
      <w:r w:rsidR="00A73F8B" w:rsidRPr="0020440D">
        <w:rPr>
          <w:bCs/>
          <w:noProof/>
          <w:color w:val="000000"/>
          <w:sz w:val="16"/>
          <w:szCs w:val="16"/>
        </w:rPr>
        <w:t>,</w:t>
      </w:r>
      <w:r w:rsidR="006D2C44">
        <w:rPr>
          <w:bCs/>
          <w:noProof/>
          <w:color w:val="000000"/>
          <w:sz w:val="16"/>
          <w:szCs w:val="16"/>
        </w:rPr>
        <w:t xml:space="preserve"> </w:t>
      </w:r>
      <w:r w:rsidR="00A73F8B" w:rsidRPr="0020440D">
        <w:rPr>
          <w:bCs/>
          <w:noProof/>
          <w:color w:val="000000"/>
          <w:sz w:val="16"/>
          <w:szCs w:val="16"/>
        </w:rPr>
        <w:t>Vesna Obradović</w:t>
      </w:r>
      <w:r w:rsidR="00625243">
        <w:rPr>
          <w:bCs/>
          <w:noProof/>
          <w:color w:val="000000"/>
          <w:sz w:val="16"/>
          <w:szCs w:val="16"/>
        </w:rPr>
        <w:t>.</w:t>
      </w:r>
    </w:p>
    <w:tbl>
      <w:tblPr>
        <w:tblpPr w:leftFromText="141" w:rightFromText="141" w:vertAnchor="page" w:horzAnchor="margin" w:tblpY="571"/>
        <w:tblW w:w="4936" w:type="pct"/>
        <w:tblBorders>
          <w:top w:val="threeDEmboss" w:sz="12" w:space="0" w:color="auto"/>
          <w:bottom w:val="threeDEmboss" w:sz="12" w:space="0" w:color="auto"/>
          <w:insideH w:val="threeDEmboss" w:sz="12" w:space="0" w:color="auto"/>
        </w:tblBorders>
        <w:tblLook w:val="04A0"/>
      </w:tblPr>
      <w:tblGrid>
        <w:gridCol w:w="6663"/>
        <w:gridCol w:w="4716"/>
      </w:tblGrid>
      <w:tr w:rsidR="00C45B95" w:rsidRPr="00822160" w:rsidTr="00D2363A">
        <w:trPr>
          <w:trHeight w:hRule="exact" w:val="4029"/>
        </w:trPr>
        <w:tc>
          <w:tcPr>
            <w:tcW w:w="2928" w:type="pct"/>
          </w:tcPr>
          <w:p w:rsidR="00DD13B3" w:rsidRPr="00F10F0C" w:rsidRDefault="00DD13B3" w:rsidP="00D2363A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10F0C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Međunarodno okruženje</w:t>
            </w:r>
          </w:p>
          <w:p w:rsidR="00C45B95" w:rsidRPr="00822160" w:rsidRDefault="00DA02CD" w:rsidP="00D2363A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02CD">
              <w:rPr>
                <w:rFonts w:asciiTheme="minorHAnsi" w:hAnsiTheme="minorHAnsi"/>
                <w:sz w:val="20"/>
              </w:rPr>
              <w:t xml:space="preserve">Tiger </w:t>
            </w:r>
            <w:r w:rsidRPr="00DA02CD">
              <w:rPr>
                <w:rFonts w:asciiTheme="minorHAnsi" w:hAnsiTheme="minorHAnsi" w:cs="Arial"/>
                <w:sz w:val="20"/>
              </w:rPr>
              <w:t>index (</w:t>
            </w:r>
            <w:hyperlink r:id="rId10" w:tooltip="Tracking Indexes for Global Economic Recovery - brookings.edu" w:history="1">
              <w:r w:rsidRPr="00DA02CD">
                <w:rPr>
                  <w:rFonts w:asciiTheme="minorHAnsi" w:hAnsiTheme="minorHAnsi"/>
                  <w:sz w:val="20"/>
                </w:rPr>
                <w:t>Tracking Indices for the Global Economic Recovery</w:t>
              </w:r>
            </w:hyperlink>
            <w:r w:rsidRPr="00DA02CD">
              <w:rPr>
                <w:rFonts w:asciiTheme="minorHAnsi" w:hAnsiTheme="minorHAnsi" w:cs="Arial"/>
                <w:sz w:val="20"/>
              </w:rPr>
              <w:t>)</w:t>
            </w:r>
            <w:r w:rsidR="002A72CF">
              <w:rPr>
                <w:rFonts w:asciiTheme="minorHAnsi" w:hAnsiTheme="minorHAnsi" w:cs="Arial"/>
                <w:sz w:val="20"/>
              </w:rPr>
              <w:t>,</w:t>
            </w:r>
            <w:r w:rsidRPr="00DA02CD">
              <w:rPr>
                <w:rFonts w:asciiTheme="minorHAnsi" w:hAnsiTheme="minorHAnsi" w:cs="Arial"/>
                <w:sz w:val="20"/>
              </w:rPr>
              <w:t xml:space="preserve"> koji prati oporavak globalne ekonomije na osnovu podataka o rastu 20 najvećih svjetskih ekonomija, pokazuje da razvoj ekonomske situacuje u tzv. emerging ekonomijama (novorastuće ekonomije) prijeti da ugrozi rast svjetske ekonomije. Usporavanje ekonomske</w:t>
            </w:r>
            <w:r w:rsidR="005138BF">
              <w:rPr>
                <w:rFonts w:asciiTheme="minorHAnsi" w:hAnsiTheme="minorHAnsi" w:cs="Arial"/>
                <w:sz w:val="20"/>
              </w:rPr>
              <w:t xml:space="preserve"> aktivnosti u Kini, koja čini 17</w:t>
            </w:r>
            <w:r w:rsidRPr="00DA02CD">
              <w:rPr>
                <w:rFonts w:asciiTheme="minorHAnsi" w:hAnsiTheme="minorHAnsi" w:cs="Arial"/>
                <w:sz w:val="20"/>
              </w:rPr>
              <w:t>% svjetske ekonomije i koja je glavni svjetski potrošač sirovina</w:t>
            </w:r>
            <w:r w:rsidR="002A72CF">
              <w:rPr>
                <w:rFonts w:asciiTheme="minorHAnsi" w:hAnsiTheme="minorHAnsi" w:cs="Arial"/>
                <w:sz w:val="20"/>
              </w:rPr>
              <w:t>,</w:t>
            </w:r>
            <w:r w:rsidRPr="00DA02CD">
              <w:rPr>
                <w:rFonts w:asciiTheme="minorHAnsi" w:hAnsiTheme="minorHAnsi" w:cs="Arial"/>
                <w:sz w:val="20"/>
              </w:rPr>
              <w:t xml:space="preserve"> doveo je do pada ekonomske aktivnosti u mnogim ekonomijama čiji se model rasta oslanja na </w:t>
            </w:r>
            <w:r w:rsidR="0054502C">
              <w:rPr>
                <w:rFonts w:asciiTheme="minorHAnsi" w:hAnsiTheme="minorHAnsi" w:cs="Arial"/>
                <w:sz w:val="20"/>
              </w:rPr>
              <w:t>proizvodnji sirovina</w:t>
            </w:r>
            <w:r w:rsidR="003D789B">
              <w:rPr>
                <w:rFonts w:asciiTheme="minorHAnsi" w:hAnsiTheme="minorHAnsi" w:cs="Arial"/>
                <w:sz w:val="20"/>
              </w:rPr>
              <w:t>, kako novorastućih,</w:t>
            </w:r>
            <w:r w:rsidR="00FA000C">
              <w:rPr>
                <w:rFonts w:asciiTheme="minorHAnsi" w:hAnsiTheme="minorHAnsi" w:cs="Arial"/>
                <w:sz w:val="20"/>
              </w:rPr>
              <w:t xml:space="preserve"> </w:t>
            </w:r>
            <w:r w:rsidR="003D789B">
              <w:rPr>
                <w:rFonts w:asciiTheme="minorHAnsi" w:hAnsiTheme="minorHAnsi" w:cs="Arial"/>
                <w:sz w:val="20"/>
              </w:rPr>
              <w:t>tako i razvijenih</w:t>
            </w:r>
            <w:r w:rsidR="00FA000C">
              <w:rPr>
                <w:rFonts w:asciiTheme="minorHAnsi" w:hAnsiTheme="minorHAnsi" w:cs="Arial"/>
                <w:sz w:val="20"/>
              </w:rPr>
              <w:t xml:space="preserve"> (Australija, Kanada)</w:t>
            </w:r>
            <w:r w:rsidRPr="00DA02CD">
              <w:rPr>
                <w:rFonts w:asciiTheme="minorHAnsi" w:hAnsiTheme="minorHAnsi" w:cs="Arial"/>
                <w:sz w:val="20"/>
              </w:rPr>
              <w:t>.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DA02CD">
              <w:rPr>
                <w:rFonts w:asciiTheme="minorHAnsi" w:hAnsiTheme="minorHAnsi" w:cs="Arial"/>
                <w:sz w:val="20"/>
              </w:rPr>
              <w:t>Negativne stope će  biti zabilježene u Rusiji (pad cijena nafte i sankcije zapada) i Brazilu (sirovine), dok je jedina svijetla tačka novorastućih ekonomija Indija. Rast ekonomije je vrlo neujednačen</w:t>
            </w:r>
            <w:r>
              <w:rPr>
                <w:rFonts w:asciiTheme="minorHAnsi" w:hAnsiTheme="minorHAnsi" w:cs="Arial"/>
                <w:sz w:val="20"/>
              </w:rPr>
              <w:t>,</w:t>
            </w:r>
            <w:r w:rsidRPr="00DA02CD">
              <w:rPr>
                <w:rFonts w:asciiTheme="minorHAnsi" w:hAnsiTheme="minorHAnsi" w:cs="Arial"/>
                <w:sz w:val="20"/>
              </w:rPr>
              <w:t xml:space="preserve"> kako kod razvijenih ekonomija tako i novorastućih</w:t>
            </w:r>
            <w:r>
              <w:rPr>
                <w:rFonts w:asciiTheme="minorHAnsi" w:hAnsiTheme="minorHAnsi" w:cs="Arial"/>
                <w:sz w:val="20"/>
              </w:rPr>
              <w:t>, s</w:t>
            </w:r>
            <w:r w:rsidR="00E0181B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>tim što je glavni motor rasta razvijenih ekonomija, ekonomski rast u USA i rast u Velikoj Britaniji</w:t>
            </w:r>
            <w:r w:rsidR="00FA000C">
              <w:rPr>
                <w:rFonts w:asciiTheme="minorHAnsi" w:hAnsiTheme="minorHAnsi" w:cs="Arial"/>
                <w:sz w:val="20"/>
              </w:rPr>
              <w:t>, dok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="003D789B">
              <w:rPr>
                <w:rFonts w:asciiTheme="minorHAnsi" w:hAnsiTheme="minorHAnsi" w:cs="Arial"/>
                <w:sz w:val="20"/>
              </w:rPr>
              <w:t>e</w:t>
            </w:r>
            <w:r w:rsidR="00FA000C">
              <w:rPr>
                <w:rFonts w:asciiTheme="minorHAnsi" w:hAnsiTheme="minorHAnsi" w:cs="Arial"/>
                <w:sz w:val="20"/>
              </w:rPr>
              <w:t>konomija Japana ponovo stagnira.</w:t>
            </w:r>
          </w:p>
        </w:tc>
        <w:tc>
          <w:tcPr>
            <w:tcW w:w="2072" w:type="pct"/>
            <w:vAlign w:val="center"/>
          </w:tcPr>
          <w:p w:rsidR="00C45B95" w:rsidRPr="00822160" w:rsidRDefault="00C278B0" w:rsidP="00D2363A">
            <w:pPr>
              <w:jc w:val="center"/>
            </w:pPr>
            <w:r w:rsidRPr="00C278B0">
              <w:rPr>
                <w:noProof/>
                <w:lang w:val="sr-Latn-CS" w:eastAsia="sr-Latn-CS"/>
              </w:rPr>
              <w:drawing>
                <wp:inline distT="0" distB="0" distL="0" distR="0">
                  <wp:extent cx="2268000" cy="2304000"/>
                  <wp:effectExtent l="0" t="0" r="0" b="0"/>
                  <wp:docPr id="8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45B95" w:rsidRPr="00822160" w:rsidTr="00D2363A">
        <w:trPr>
          <w:trHeight w:hRule="exact" w:val="4254"/>
        </w:trPr>
        <w:tc>
          <w:tcPr>
            <w:tcW w:w="2928" w:type="pct"/>
          </w:tcPr>
          <w:p w:rsidR="00D144C9" w:rsidRDefault="00EB1800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F10F0C">
              <w:rPr>
                <w:rFonts w:asciiTheme="minorHAnsi" w:hAnsiTheme="minorHAnsi" w:cstheme="minorHAnsi"/>
                <w:b/>
                <w:sz w:val="18"/>
              </w:rPr>
              <w:t>Realni sektor</w:t>
            </w:r>
          </w:p>
          <w:p w:rsidR="00D144C9" w:rsidRDefault="00D144C9" w:rsidP="00D2363A">
            <w:pPr>
              <w:pBdr>
                <w:top w:val="single" w:sz="4" w:space="1" w:color="auto"/>
              </w:pBdr>
              <w:spacing w:after="0"/>
              <w:jc w:val="both"/>
              <w:rPr>
                <w:sz w:val="20"/>
              </w:rPr>
            </w:pPr>
            <w:r w:rsidRPr="00D144C9">
              <w:rPr>
                <w:b/>
                <w:sz w:val="20"/>
                <w:szCs w:val="20"/>
              </w:rPr>
              <w:t xml:space="preserve">Promet u maloprodaji, podstaknut rastom u sektoru turizma, bilježi </w:t>
            </w:r>
            <w:r w:rsidR="00656E68">
              <w:rPr>
                <w:b/>
                <w:sz w:val="20"/>
                <w:szCs w:val="20"/>
              </w:rPr>
              <w:t>visoke</w:t>
            </w:r>
            <w:r w:rsidRPr="00D144C9">
              <w:rPr>
                <w:b/>
                <w:sz w:val="20"/>
                <w:szCs w:val="20"/>
              </w:rPr>
              <w:t xml:space="preserve"> stope rasta. </w:t>
            </w:r>
            <w:r w:rsidRPr="00D144C9">
              <w:rPr>
                <w:sz w:val="20"/>
                <w:szCs w:val="20"/>
              </w:rPr>
              <w:t>U avgustu je ostvaren rast prometa 7,2% u tekućim cijenama i 4,6% u stalnim cijenama, dok je u periodu januar-avgust rast iznosio 3,8</w:t>
            </w:r>
            <w:r w:rsidR="00E0181B">
              <w:rPr>
                <w:sz w:val="20"/>
                <w:szCs w:val="20"/>
              </w:rPr>
              <w:t>%</w:t>
            </w:r>
            <w:r w:rsidRPr="00D144C9">
              <w:rPr>
                <w:sz w:val="20"/>
                <w:szCs w:val="20"/>
              </w:rPr>
              <w:t xml:space="preserve"> i 1,6%, respektivno. Industrijska proizvodnja u avgustu bilježi godišnji pad od 0,1%, kao rezultat pada u sektorima „vađenje rude i kamena“ (0,9%) i „snabdijevanje el.ener, gasom i parom“ (8,0%), dok je sektor „prerađivačka industrija“ </w:t>
            </w:r>
            <w:r w:rsidR="00C95015">
              <w:rPr>
                <w:sz w:val="20"/>
                <w:szCs w:val="20"/>
              </w:rPr>
              <w:t>ostvario rast 7,2%, prvenstveno usljed rasta</w:t>
            </w:r>
            <w:r w:rsidRPr="00D144C9">
              <w:rPr>
                <w:sz w:val="20"/>
                <w:szCs w:val="20"/>
              </w:rPr>
              <w:t xml:space="preserve"> proizvodnje osnovnih metala (19,1%), farmaceutskih proizvoda (7,9%)</w:t>
            </w:r>
            <w:r w:rsidR="00C95015">
              <w:rPr>
                <w:sz w:val="20"/>
                <w:szCs w:val="20"/>
              </w:rPr>
              <w:t xml:space="preserve"> i pića (10,2%). </w:t>
            </w:r>
            <w:r w:rsidRPr="00D144C9">
              <w:rPr>
                <w:sz w:val="20"/>
                <w:szCs w:val="20"/>
              </w:rPr>
              <w:t xml:space="preserve">Crnu Goru je </w:t>
            </w:r>
            <w:r w:rsidR="00C95015">
              <w:rPr>
                <w:sz w:val="20"/>
                <w:szCs w:val="20"/>
              </w:rPr>
              <w:t xml:space="preserve">u avgustu </w:t>
            </w:r>
            <w:r w:rsidRPr="00D144C9">
              <w:rPr>
                <w:sz w:val="20"/>
                <w:szCs w:val="20"/>
              </w:rPr>
              <w:t>posjetilo 6,7% više turista i ostvareno 3,9% više noćenja g-n-g. U strukturi noćenja 93,8% ostvarili su strani</w:t>
            </w:r>
            <w:r w:rsidR="00131A38">
              <w:rPr>
                <w:sz w:val="20"/>
                <w:szCs w:val="20"/>
              </w:rPr>
              <w:t>,</w:t>
            </w:r>
            <w:r w:rsidRPr="00D144C9">
              <w:rPr>
                <w:sz w:val="20"/>
                <w:szCs w:val="20"/>
              </w:rPr>
              <w:t xml:space="preserve"> a 6,2% domaći turisti, pri čemu su strani turisti zabilježili rast noćenja 9,8%, dok noćenja domaćih turista bilježe pad 42,8%. Značajan rast noćenja u avgustu ostvarili su gosti iz Bosne i Hercegovine (51,5%), Srbije (19,8%) i Njemačke (72,0%), dok turisti iz Rusije </w:t>
            </w:r>
            <w:r w:rsidR="00656E68">
              <w:rPr>
                <w:sz w:val="20"/>
                <w:szCs w:val="20"/>
              </w:rPr>
              <w:t>(</w:t>
            </w:r>
            <w:r w:rsidRPr="00D144C9">
              <w:rPr>
                <w:sz w:val="20"/>
                <w:szCs w:val="20"/>
              </w:rPr>
              <w:t>25,4%</w:t>
            </w:r>
            <w:r w:rsidR="00656E68">
              <w:rPr>
                <w:sz w:val="20"/>
                <w:szCs w:val="20"/>
              </w:rPr>
              <w:t xml:space="preserve"> noćenja stranih turista) </w:t>
            </w:r>
            <w:r w:rsidRPr="00D144C9">
              <w:rPr>
                <w:sz w:val="20"/>
                <w:szCs w:val="20"/>
              </w:rPr>
              <w:t>, u avgustu bilježe pad noćenja od 5,5%.</w:t>
            </w:r>
            <w:r w:rsidRPr="00D144C9">
              <w:rPr>
                <w:sz w:val="20"/>
              </w:rPr>
              <w:t xml:space="preserve"> </w:t>
            </w:r>
          </w:p>
          <w:p w:rsidR="00C95015" w:rsidRDefault="00C95015" w:rsidP="00D2363A">
            <w:pPr>
              <w:spacing w:after="0" w:line="240" w:lineRule="auto"/>
              <w:jc w:val="both"/>
              <w:rPr>
                <w:sz w:val="20"/>
              </w:rPr>
            </w:pPr>
          </w:p>
          <w:p w:rsidR="00C95015" w:rsidRDefault="00C95015" w:rsidP="00D2363A">
            <w:pPr>
              <w:spacing w:after="0" w:line="240" w:lineRule="auto"/>
              <w:jc w:val="both"/>
              <w:rPr>
                <w:sz w:val="20"/>
              </w:rPr>
            </w:pPr>
          </w:p>
          <w:p w:rsidR="00C95015" w:rsidRPr="00D144C9" w:rsidRDefault="00C95015" w:rsidP="00D2363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</w:rPr>
            </w:pPr>
          </w:p>
          <w:p w:rsidR="00D144C9" w:rsidRPr="00822160" w:rsidRDefault="00D144C9" w:rsidP="00D2363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2" w:type="pct"/>
            <w:vAlign w:val="center"/>
          </w:tcPr>
          <w:p w:rsidR="00000106" w:rsidRPr="00822160" w:rsidRDefault="00D144C9" w:rsidP="00D2363A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144C9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232000" cy="2232000"/>
                  <wp:effectExtent l="0" t="0" r="0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45B95" w:rsidRPr="00822160" w:rsidTr="00D2363A">
        <w:trPr>
          <w:trHeight w:hRule="exact" w:val="3396"/>
        </w:trPr>
        <w:tc>
          <w:tcPr>
            <w:tcW w:w="2928" w:type="pct"/>
          </w:tcPr>
          <w:p w:rsidR="00FB2F96" w:rsidRPr="00F10F0C" w:rsidRDefault="00FB2F96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F10F0C">
              <w:rPr>
                <w:rFonts w:asciiTheme="minorHAnsi" w:hAnsiTheme="minorHAnsi" w:cstheme="minorHAnsi"/>
                <w:b/>
                <w:sz w:val="18"/>
              </w:rPr>
              <w:t>Inflacija</w:t>
            </w:r>
          </w:p>
          <w:p w:rsidR="00C95015" w:rsidRPr="0054502C" w:rsidRDefault="00C95015" w:rsidP="00D2363A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/>
                <w:szCs w:val="20"/>
              </w:rPr>
            </w:pPr>
            <w:r w:rsidRPr="0054502C">
              <w:rPr>
                <w:rFonts w:asciiTheme="minorHAnsi" w:hAnsiTheme="minorHAnsi"/>
                <w:b/>
                <w:sz w:val="20"/>
                <w:szCs w:val="18"/>
              </w:rPr>
              <w:t xml:space="preserve">Inflacija, mjerena indeksom potrošačkih cijena, treći mjesec za redom bilježi godišnju stopu rasta od 1,9%. </w:t>
            </w:r>
            <w:r w:rsidRPr="0054502C">
              <w:rPr>
                <w:rFonts w:asciiTheme="minorHAnsi" w:hAnsiTheme="minorHAnsi"/>
                <w:sz w:val="20"/>
                <w:szCs w:val="18"/>
              </w:rPr>
              <w:t>Najveći godišnji rast u avgustu kao i uticaj na izmjerenu stopu ostvarile su cijene iz oblasti „hrana i bezalkoholna pića“ sa rastom 3,9% i uticajem 1,5 p.p i cijene iz oblasti „ stanovanje, voda, struja, gas i druga goriva“ sa rastom 2,0% i uticajem 0,31 p.p. Negativan doprinos dale su cijene iz oblasti „prevoz“ sa godišnom sto</w:t>
            </w:r>
            <w:r w:rsidR="005664B8">
              <w:rPr>
                <w:rFonts w:asciiTheme="minorHAnsi" w:hAnsiTheme="minorHAnsi"/>
                <w:sz w:val="20"/>
                <w:szCs w:val="18"/>
              </w:rPr>
              <w:t>pom -4,0% i uticajem -0,41 p.p.</w:t>
            </w:r>
            <w:r w:rsidRPr="0054502C">
              <w:rPr>
                <w:rFonts w:asciiTheme="minorHAnsi" w:hAnsiTheme="minorHAnsi"/>
                <w:sz w:val="20"/>
                <w:szCs w:val="18"/>
              </w:rPr>
              <w:t xml:space="preserve"> Cijene proizvođača industrijskih proizvoda u julu bilježe godišnji rast 0,1% g-n-g. Pad bilježe cijene industrijskih proizvoda iz uvoza (2,3%), usljed pada cijena derivata nafte, kao i cijene industrijskih proizvoda za izvoz (7,9%), usljed pada cijena osnovnih metala (aluminijum) 9,9%. Inflacija u EU i Euzoni u avgustu </w:t>
            </w:r>
            <w:r w:rsidR="00E0181B">
              <w:rPr>
                <w:rFonts w:asciiTheme="minorHAnsi" w:hAnsiTheme="minorHAnsi"/>
                <w:sz w:val="20"/>
                <w:szCs w:val="18"/>
              </w:rPr>
              <w:t xml:space="preserve">je iznosila </w:t>
            </w:r>
            <w:r w:rsidRPr="0054502C">
              <w:rPr>
                <w:rFonts w:asciiTheme="minorHAnsi" w:hAnsiTheme="minorHAnsi"/>
                <w:sz w:val="20"/>
                <w:szCs w:val="18"/>
              </w:rPr>
              <w:t xml:space="preserve"> 0,0 i 0,1%. respektivno.</w:t>
            </w:r>
          </w:p>
          <w:p w:rsidR="00C95015" w:rsidRDefault="00C95015" w:rsidP="00D2363A"/>
          <w:p w:rsidR="00C95015" w:rsidRDefault="00C95015" w:rsidP="00D2363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C45B95" w:rsidRPr="00822160" w:rsidRDefault="00C45B95" w:rsidP="00D2363A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2" w:type="pct"/>
            <w:vAlign w:val="center"/>
          </w:tcPr>
          <w:p w:rsidR="00C45B95" w:rsidRPr="00822160" w:rsidRDefault="00C95015" w:rsidP="00D2363A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95015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233914" cy="2008207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C45B95" w:rsidRPr="00822160" w:rsidTr="00D2363A">
        <w:trPr>
          <w:trHeight w:hRule="exact" w:val="4252"/>
        </w:trPr>
        <w:tc>
          <w:tcPr>
            <w:tcW w:w="2928" w:type="pct"/>
          </w:tcPr>
          <w:p w:rsidR="007E4B5C" w:rsidRPr="00F10F0C" w:rsidRDefault="007E4B5C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10F0C">
              <w:rPr>
                <w:rFonts w:asciiTheme="minorHAnsi" w:hAnsiTheme="minorHAnsi" w:cstheme="minorHAnsi"/>
                <w:b/>
                <w:sz w:val="18"/>
                <w:szCs w:val="20"/>
              </w:rPr>
              <w:t>Zaposlenost i zarade</w:t>
            </w:r>
          </w:p>
          <w:p w:rsidR="004D0D12" w:rsidRPr="0054502C" w:rsidRDefault="004D0D12" w:rsidP="00D2363A">
            <w:pPr>
              <w:pBdr>
                <w:top w:val="single" w:sz="4" w:space="1" w:color="auto"/>
              </w:pBdr>
              <w:jc w:val="both"/>
              <w:rPr>
                <w:sz w:val="20"/>
                <w:szCs w:val="18"/>
                <w:lang w:val="sr-Latn-CS"/>
              </w:rPr>
            </w:pPr>
            <w:r w:rsidRPr="0054502C">
              <w:rPr>
                <w:rFonts w:asciiTheme="minorHAnsi" w:hAnsiTheme="minorHAnsi"/>
                <w:b/>
                <w:sz w:val="20"/>
                <w:szCs w:val="18"/>
                <w:lang w:val="sr-Latn-CS"/>
              </w:rPr>
              <w:t>Tržište rada</w:t>
            </w:r>
            <w:r w:rsidRPr="0054502C">
              <w:rPr>
                <w:b/>
                <w:sz w:val="20"/>
                <w:szCs w:val="18"/>
                <w:lang w:val="sr-Latn-CS"/>
              </w:rPr>
              <w:t xml:space="preserve">, </w:t>
            </w:r>
            <w:r w:rsidR="0054502C" w:rsidRPr="0054502C">
              <w:rPr>
                <w:b/>
                <w:sz w:val="20"/>
                <w:szCs w:val="18"/>
                <w:lang w:val="sr-Latn-CS"/>
              </w:rPr>
              <w:t>u periodu januar-avgust</w:t>
            </w:r>
            <w:r w:rsidRPr="0054502C">
              <w:rPr>
                <w:b/>
                <w:sz w:val="20"/>
                <w:szCs w:val="18"/>
                <w:lang w:val="sr-Latn-CS"/>
              </w:rPr>
              <w:t>,</w:t>
            </w:r>
            <w:r w:rsidRPr="0054502C">
              <w:rPr>
                <w:rFonts w:asciiTheme="minorHAnsi" w:hAnsiTheme="minorHAnsi"/>
                <w:b/>
                <w:sz w:val="20"/>
                <w:szCs w:val="18"/>
                <w:lang w:val="sr-Latn-CS"/>
              </w:rPr>
              <w:t xml:space="preserve"> pokazuje</w:t>
            </w:r>
            <w:r w:rsidRPr="0054502C">
              <w:rPr>
                <w:b/>
                <w:sz w:val="20"/>
                <w:szCs w:val="18"/>
                <w:lang w:val="sr-Latn-CS"/>
              </w:rPr>
              <w:t xml:space="preserve"> blago povećanje zaposlenosti i blago povećanje nezaposlenosti, ali </w:t>
            </w:r>
            <w:r w:rsidR="005664B8">
              <w:rPr>
                <w:b/>
                <w:sz w:val="20"/>
                <w:szCs w:val="18"/>
                <w:lang w:val="sr-Latn-CS"/>
              </w:rPr>
              <w:t xml:space="preserve">je </w:t>
            </w:r>
            <w:r w:rsidRPr="0054502C">
              <w:rPr>
                <w:b/>
                <w:sz w:val="20"/>
                <w:szCs w:val="18"/>
                <w:lang w:val="sr-Latn-CS"/>
              </w:rPr>
              <w:t xml:space="preserve">u avgustu u odnosu na jul </w:t>
            </w:r>
            <w:r w:rsidR="00A56344">
              <w:rPr>
                <w:b/>
                <w:sz w:val="20"/>
                <w:szCs w:val="18"/>
                <w:lang w:val="sr-Latn-CS"/>
              </w:rPr>
              <w:t>zabilježeno</w:t>
            </w:r>
            <w:r w:rsidRPr="0054502C">
              <w:rPr>
                <w:b/>
                <w:sz w:val="20"/>
                <w:szCs w:val="18"/>
                <w:lang w:val="sr-Latn-CS"/>
              </w:rPr>
              <w:t xml:space="preserve"> smanjenje broja zaposlenih</w:t>
            </w:r>
            <w:r w:rsidR="0054502C" w:rsidRPr="0054502C">
              <w:rPr>
                <w:b/>
                <w:sz w:val="20"/>
                <w:szCs w:val="18"/>
                <w:lang w:val="sr-Latn-CS"/>
              </w:rPr>
              <w:t xml:space="preserve"> </w:t>
            </w:r>
            <w:r w:rsidRPr="0054502C">
              <w:rPr>
                <w:b/>
                <w:sz w:val="20"/>
                <w:szCs w:val="18"/>
                <w:lang w:val="sr-Latn-CS"/>
              </w:rPr>
              <w:t>(-1,5%) i znatnije povećanje broja nezaposlenih</w:t>
            </w:r>
            <w:r w:rsidR="0054502C" w:rsidRPr="0054502C">
              <w:rPr>
                <w:b/>
                <w:sz w:val="20"/>
                <w:szCs w:val="18"/>
                <w:lang w:val="sr-Latn-CS"/>
              </w:rPr>
              <w:t xml:space="preserve"> </w:t>
            </w:r>
            <w:r w:rsidRPr="0054502C">
              <w:rPr>
                <w:b/>
                <w:sz w:val="20"/>
                <w:szCs w:val="18"/>
                <w:lang w:val="sr-Latn-CS"/>
              </w:rPr>
              <w:t>(5,7%).</w:t>
            </w:r>
            <w:r w:rsidR="0054502C" w:rsidRPr="0054502C">
              <w:rPr>
                <w:sz w:val="20"/>
                <w:szCs w:val="18"/>
                <w:lang w:val="sr-Latn-CS"/>
              </w:rPr>
              <w:t xml:space="preserve"> </w:t>
            </w:r>
            <w:r w:rsidRPr="0054502C">
              <w:rPr>
                <w:sz w:val="20"/>
                <w:szCs w:val="18"/>
                <w:lang w:val="sr-Latn-CS"/>
              </w:rPr>
              <w:t xml:space="preserve">U </w:t>
            </w:r>
            <w:r w:rsidR="00A56344">
              <w:rPr>
                <w:sz w:val="20"/>
                <w:szCs w:val="18"/>
                <w:lang w:val="sr-Latn-CS"/>
              </w:rPr>
              <w:t xml:space="preserve">avgustu 2015. broj zaposlenih </w:t>
            </w:r>
            <w:r w:rsidRPr="0054502C">
              <w:rPr>
                <w:sz w:val="20"/>
                <w:szCs w:val="18"/>
                <w:lang w:val="sr-Latn-CS"/>
              </w:rPr>
              <w:t xml:space="preserve">je iznosio 181.232 ili 1,5% više </w:t>
            </w:r>
            <w:r w:rsidR="0054502C">
              <w:rPr>
                <w:sz w:val="20"/>
                <w:szCs w:val="18"/>
                <w:lang w:val="sr-Latn-CS"/>
              </w:rPr>
              <w:t>g-n-g</w:t>
            </w:r>
            <w:r w:rsidRPr="0054502C">
              <w:rPr>
                <w:sz w:val="20"/>
                <w:szCs w:val="18"/>
                <w:lang w:val="sr-Latn-CS"/>
              </w:rPr>
              <w:t>, odnosno 1,1%</w:t>
            </w:r>
            <w:r w:rsidR="0054502C" w:rsidRPr="0054502C">
              <w:rPr>
                <w:sz w:val="20"/>
                <w:szCs w:val="18"/>
                <w:lang w:val="sr-Latn-CS"/>
              </w:rPr>
              <w:t xml:space="preserve"> </w:t>
            </w:r>
            <w:r w:rsidRPr="0054502C">
              <w:rPr>
                <w:sz w:val="20"/>
                <w:szCs w:val="18"/>
                <w:lang w:val="sr-Latn-CS"/>
              </w:rPr>
              <w:t xml:space="preserve">za uporedni osmomjesečni period. U avgustu 2015. broj nezaposlenih je iznosio 33.073 ili 6,1% </w:t>
            </w:r>
            <w:r w:rsidR="00A56344">
              <w:rPr>
                <w:sz w:val="20"/>
                <w:szCs w:val="18"/>
                <w:lang w:val="sr-Latn-CS"/>
              </w:rPr>
              <w:t xml:space="preserve">više </w:t>
            </w:r>
            <w:r w:rsidR="0054502C">
              <w:rPr>
                <w:sz w:val="20"/>
                <w:szCs w:val="18"/>
                <w:lang w:val="sr-Latn-CS"/>
              </w:rPr>
              <w:t>g-n-g</w:t>
            </w:r>
            <w:r w:rsidRPr="0054502C">
              <w:rPr>
                <w:sz w:val="20"/>
                <w:szCs w:val="18"/>
                <w:lang w:val="sr-Latn-CS"/>
              </w:rPr>
              <w:t>, odnosno 0,9%</w:t>
            </w:r>
            <w:r w:rsidR="00A56344">
              <w:rPr>
                <w:sz w:val="20"/>
                <w:szCs w:val="18"/>
                <w:lang w:val="sr-Latn-CS"/>
              </w:rPr>
              <w:t xml:space="preserve"> više</w:t>
            </w:r>
            <w:r w:rsidRPr="0054502C">
              <w:rPr>
                <w:sz w:val="20"/>
                <w:szCs w:val="18"/>
                <w:lang w:val="sr-Latn-CS"/>
              </w:rPr>
              <w:t xml:space="preserve"> </w:t>
            </w:r>
            <w:r w:rsidR="0054502C">
              <w:rPr>
                <w:sz w:val="20"/>
                <w:szCs w:val="18"/>
                <w:lang w:val="sr-Latn-CS"/>
              </w:rPr>
              <w:t>u periodu januar-avgust g-n-g</w:t>
            </w:r>
            <w:r w:rsidRPr="0054502C">
              <w:rPr>
                <w:sz w:val="20"/>
                <w:szCs w:val="18"/>
                <w:lang w:val="sr-Latn-CS"/>
              </w:rPr>
              <w:t>. Broj lica koja prvi put traže zaposlenje se povećao u avgustu 2015. za 22,5%</w:t>
            </w:r>
            <w:r w:rsidR="0054502C">
              <w:rPr>
                <w:sz w:val="20"/>
                <w:szCs w:val="18"/>
                <w:lang w:val="sr-Latn-CS"/>
              </w:rPr>
              <w:t>g-n-g</w:t>
            </w:r>
            <w:r w:rsidRPr="0054502C">
              <w:rPr>
                <w:sz w:val="20"/>
                <w:szCs w:val="18"/>
                <w:lang w:val="sr-Latn-CS"/>
              </w:rPr>
              <w:t xml:space="preserve">, za uporedni osmomjesečni period 8,0. U avgustu 2015. bilo je oglašeno 2.216 slobodnih radnih mjesta ili 0,9% manje nego u avgustu 2014., a za osmomjesečni period 26.349 ili </w:t>
            </w:r>
            <w:r w:rsidR="007B2208" w:rsidRPr="0054502C">
              <w:rPr>
                <w:sz w:val="20"/>
                <w:szCs w:val="18"/>
                <w:lang w:val="sr-Latn-CS"/>
              </w:rPr>
              <w:t xml:space="preserve">4,9% manje </w:t>
            </w:r>
            <w:r w:rsidR="0034116C">
              <w:rPr>
                <w:sz w:val="20"/>
                <w:szCs w:val="18"/>
                <w:lang w:val="sr-Latn-CS"/>
              </w:rPr>
              <w:t>g-n-g</w:t>
            </w:r>
            <w:r w:rsidRPr="0054502C">
              <w:rPr>
                <w:sz w:val="20"/>
                <w:szCs w:val="18"/>
                <w:lang w:val="sr-Latn-CS"/>
              </w:rPr>
              <w:t>. U avgustu 2015. prosječna zarada je iznosila 720</w:t>
            </w:r>
            <w:r w:rsidR="0034116C">
              <w:rPr>
                <w:sz w:val="20"/>
                <w:szCs w:val="18"/>
                <w:lang w:val="sr-Latn-CS"/>
              </w:rPr>
              <w:t>€, a prosječna neto zarada 477€</w:t>
            </w:r>
            <w:r w:rsidRPr="0054502C">
              <w:rPr>
                <w:sz w:val="20"/>
                <w:szCs w:val="18"/>
                <w:lang w:val="sr-Latn-CS"/>
              </w:rPr>
              <w:t>. Prosječna zarada za uporedni osmomjesečni period je povećana 0,3%, a neto zarada 0,6%. U osmomjesečnom periodu 2015. realne zarade su se smanjile 1,0%</w:t>
            </w:r>
            <w:r w:rsidR="0054502C">
              <w:rPr>
                <w:sz w:val="20"/>
                <w:szCs w:val="18"/>
                <w:lang w:val="sr-Latn-CS"/>
              </w:rPr>
              <w:t xml:space="preserve"> g-n-g</w:t>
            </w:r>
            <w:r w:rsidRPr="0054502C">
              <w:rPr>
                <w:sz w:val="20"/>
                <w:szCs w:val="18"/>
                <w:lang w:val="sr-Latn-CS"/>
              </w:rPr>
              <w:t>.</w:t>
            </w:r>
          </w:p>
          <w:p w:rsidR="007F5F68" w:rsidRPr="00822160" w:rsidRDefault="007F5F68" w:rsidP="00D2363A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2" w:type="pct"/>
            <w:vAlign w:val="center"/>
          </w:tcPr>
          <w:p w:rsidR="00C45B95" w:rsidRPr="00822160" w:rsidRDefault="001768D8" w:rsidP="00D2363A">
            <w:pPr>
              <w:jc w:val="center"/>
              <w:rPr>
                <w:rFonts w:asciiTheme="minorHAnsi" w:hAnsiTheme="minorHAnsi" w:cstheme="minorHAnsi"/>
              </w:rPr>
            </w:pPr>
            <w:r w:rsidRPr="001768D8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605177" cy="1621766"/>
                  <wp:effectExtent l="0" t="0" r="4673" b="0"/>
                  <wp:docPr id="6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C45B95" w:rsidRPr="00822160" w:rsidTr="00C278B0">
        <w:trPr>
          <w:trHeight w:hRule="exact" w:val="4313"/>
        </w:trPr>
        <w:tc>
          <w:tcPr>
            <w:tcW w:w="2928" w:type="pct"/>
          </w:tcPr>
          <w:p w:rsidR="006341A9" w:rsidRPr="00656E68" w:rsidRDefault="006341A9" w:rsidP="004A1F2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18"/>
              </w:rPr>
            </w:pPr>
            <w:r w:rsidRPr="00656E68">
              <w:rPr>
                <w:rFonts w:asciiTheme="minorHAnsi" w:hAnsiTheme="minorHAnsi" w:cstheme="minorHAnsi"/>
                <w:b/>
                <w:noProof/>
                <w:sz w:val="18"/>
              </w:rPr>
              <w:lastRenderedPageBreak/>
              <w:t>Javne finansije</w:t>
            </w:r>
          </w:p>
          <w:p w:rsidR="00D2363A" w:rsidRPr="005C76A4" w:rsidRDefault="00D2363A" w:rsidP="004A1F27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C76A4">
              <w:rPr>
                <w:b/>
                <w:bCs/>
                <w:sz w:val="20"/>
                <w:szCs w:val="20"/>
                <w:lang w:val="sr-Latn-CS"/>
              </w:rPr>
              <w:t>Izvorni prihodi budžeta Crne Gore</w:t>
            </w:r>
            <w:r w:rsidRPr="005C76A4">
              <w:rPr>
                <w:bCs/>
                <w:sz w:val="20"/>
                <w:szCs w:val="20"/>
                <w:lang w:val="sr-Latn-CS"/>
              </w:rPr>
              <w:t xml:space="preserve"> u avgustu 2015. godine iznosili su 124,4 mil.€ i niži su za </w:t>
            </w:r>
            <w:r>
              <w:rPr>
                <w:bCs/>
                <w:sz w:val="20"/>
                <w:szCs w:val="20"/>
                <w:lang w:val="sr-Latn-CS"/>
              </w:rPr>
              <w:t xml:space="preserve"> </w:t>
            </w:r>
            <w:r w:rsidRPr="005C76A4">
              <w:rPr>
                <w:bCs/>
                <w:sz w:val="20"/>
                <w:szCs w:val="20"/>
                <w:lang w:val="sr-Latn-CS"/>
              </w:rPr>
              <w:t>1,7 % u odnosu na avgust 2014.godine</w:t>
            </w:r>
            <w:r w:rsidRPr="005C76A4">
              <w:rPr>
                <w:sz w:val="20"/>
                <w:szCs w:val="20"/>
              </w:rPr>
              <w:t>. U prvih osam mjeseci tekuće godine prihodi su naplaćeni u iznosu 839,8 mil€ što  je za 17,8mil€  ili 2,2%  više u odnosu na isti period prethodne godine.</w:t>
            </w:r>
            <w:r w:rsidRPr="005C76A4">
              <w:rPr>
                <w:rFonts w:cs="Calibri"/>
                <w:sz w:val="20"/>
                <w:szCs w:val="20"/>
              </w:rPr>
              <w:t xml:space="preserve"> Najveća pozitivna odstupanja zabilježena su u dijelu naplate poreza i doprinosa na zarade (3,2%) i akciza (5,9%), što je rezultat:</w:t>
            </w:r>
            <w:r w:rsidR="00284027">
              <w:rPr>
                <w:rFonts w:cs="Calibri"/>
                <w:sz w:val="20"/>
                <w:szCs w:val="20"/>
              </w:rPr>
              <w:t xml:space="preserve"> </w:t>
            </w:r>
            <w:r w:rsidRPr="005C76A4">
              <w:rPr>
                <w:rFonts w:cs="Calibri"/>
                <w:sz w:val="20"/>
                <w:szCs w:val="20"/>
              </w:rPr>
              <w:t>smanjenja sive ekonomije na tržištu rada i tržištu akciznih proizvoda, n</w:t>
            </w:r>
            <w:r w:rsidR="00284027">
              <w:rPr>
                <w:rFonts w:cs="Calibri"/>
                <w:sz w:val="20"/>
                <w:szCs w:val="20"/>
              </w:rPr>
              <w:t>aplate zaostalih potraživanja i</w:t>
            </w:r>
            <w:r w:rsidR="0034116C">
              <w:rPr>
                <w:rFonts w:cs="Calibri"/>
                <w:sz w:val="20"/>
                <w:szCs w:val="20"/>
              </w:rPr>
              <w:t xml:space="preserve"> rasta stope akciza na cigarete</w:t>
            </w:r>
            <w:r w:rsidRPr="005C76A4">
              <w:rPr>
                <w:rFonts w:cs="Calibri"/>
                <w:sz w:val="20"/>
                <w:szCs w:val="20"/>
              </w:rPr>
              <w:t>.</w:t>
            </w:r>
            <w:r w:rsidRPr="005C76A4">
              <w:rPr>
                <w:sz w:val="20"/>
                <w:szCs w:val="20"/>
              </w:rPr>
              <w:t xml:space="preserve"> </w:t>
            </w:r>
            <w:r w:rsidRPr="005C76A4">
              <w:rPr>
                <w:b/>
                <w:sz w:val="20"/>
                <w:szCs w:val="20"/>
              </w:rPr>
              <w:t>Izdaci budžeta</w:t>
            </w:r>
            <w:r w:rsidRPr="005C76A4">
              <w:rPr>
                <w:sz w:val="20"/>
                <w:szCs w:val="20"/>
              </w:rPr>
              <w:t xml:space="preserve"> u avgustu</w:t>
            </w:r>
            <w:r w:rsidR="00284027">
              <w:rPr>
                <w:sz w:val="20"/>
                <w:szCs w:val="20"/>
              </w:rPr>
              <w:t xml:space="preserve"> </w:t>
            </w:r>
            <w:r w:rsidRPr="005C76A4">
              <w:rPr>
                <w:sz w:val="20"/>
                <w:szCs w:val="20"/>
              </w:rPr>
              <w:t>2015. iznosili su 102,4 mil.€ i smanjeni su u odnosu na isti mjesec 2014.</w:t>
            </w:r>
            <w:r w:rsidR="00284027">
              <w:rPr>
                <w:sz w:val="20"/>
                <w:szCs w:val="20"/>
              </w:rPr>
              <w:t xml:space="preserve"> </w:t>
            </w:r>
            <w:r w:rsidRPr="005C76A4">
              <w:rPr>
                <w:sz w:val="20"/>
                <w:szCs w:val="20"/>
              </w:rPr>
              <w:t>godine za 11,8 %. Izdaci u periodu jan-avgust 2015. iznose 1.072,5 mil€</w:t>
            </w:r>
            <w:r w:rsidR="00284027">
              <w:rPr>
                <w:sz w:val="20"/>
                <w:szCs w:val="20"/>
              </w:rPr>
              <w:t xml:space="preserve"> i u odnosu na uporedni period </w:t>
            </w:r>
            <w:r w:rsidRPr="005C76A4">
              <w:rPr>
                <w:sz w:val="20"/>
                <w:szCs w:val="20"/>
              </w:rPr>
              <w:t xml:space="preserve">su veći za 20,9% usljed povećanja rashoda </w:t>
            </w:r>
            <w:r w:rsidR="00284027">
              <w:rPr>
                <w:sz w:val="20"/>
                <w:szCs w:val="20"/>
              </w:rPr>
              <w:t xml:space="preserve">za kamate i kapitalnog budžeta. </w:t>
            </w:r>
            <w:r w:rsidRPr="005C76A4">
              <w:rPr>
                <w:sz w:val="20"/>
                <w:szCs w:val="20"/>
              </w:rPr>
              <w:t>U prvih osam mjeseci 2015.</w:t>
            </w:r>
            <w:r w:rsidR="00284027">
              <w:rPr>
                <w:sz w:val="20"/>
                <w:szCs w:val="20"/>
              </w:rPr>
              <w:t xml:space="preserve"> godine</w:t>
            </w:r>
            <w:r w:rsidRPr="005C76A4">
              <w:rPr>
                <w:sz w:val="20"/>
                <w:szCs w:val="20"/>
              </w:rPr>
              <w:t xml:space="preserve"> zabilježen je gotovinski budžetski deficit od 232,7 mil.€, dok u avgustu tekuće godine imamo </w:t>
            </w:r>
            <w:r w:rsidRPr="009F75ED">
              <w:rPr>
                <w:b/>
                <w:sz w:val="20"/>
                <w:szCs w:val="20"/>
              </w:rPr>
              <w:t>suficit</w:t>
            </w:r>
            <w:r w:rsidRPr="005C76A4">
              <w:rPr>
                <w:sz w:val="20"/>
                <w:szCs w:val="20"/>
              </w:rPr>
              <w:t xml:space="preserve"> u iznosu od 21,9mil.€. Državni dug (uključujući depozite) na kraju juna 2015.</w:t>
            </w:r>
            <w:r w:rsidR="00284027">
              <w:rPr>
                <w:sz w:val="20"/>
                <w:szCs w:val="20"/>
              </w:rPr>
              <w:t xml:space="preserve"> </w:t>
            </w:r>
            <w:r w:rsidRPr="005C76A4">
              <w:rPr>
                <w:sz w:val="20"/>
                <w:szCs w:val="20"/>
              </w:rPr>
              <w:t>godine iznosio je 2.15</w:t>
            </w:r>
            <w:r w:rsidR="00284027">
              <w:rPr>
                <w:sz w:val="20"/>
                <w:szCs w:val="20"/>
              </w:rPr>
              <w:t xml:space="preserve">9,5 mil.€, što predstavlja 60,3% procijenjenog BDP-a. </w:t>
            </w:r>
            <w:r w:rsidRPr="005C76A4">
              <w:rPr>
                <w:sz w:val="20"/>
                <w:szCs w:val="20"/>
              </w:rPr>
              <w:t>Ino–dug iznosi 2.160,1mil.€, unutrašnji dug 372,2mil.€, dok se na depozite odnosi 372,8 mil.€.</w:t>
            </w:r>
          </w:p>
          <w:p w:rsidR="00C45B95" w:rsidRPr="00E42824" w:rsidRDefault="00C45B95" w:rsidP="00D2363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vAlign w:val="center"/>
          </w:tcPr>
          <w:p w:rsidR="00C45B95" w:rsidRPr="00822160" w:rsidRDefault="004A1F27" w:rsidP="00D2363A">
            <w:pPr>
              <w:jc w:val="center"/>
              <w:rPr>
                <w:rFonts w:asciiTheme="minorHAnsi" w:hAnsiTheme="minorHAnsi" w:cstheme="minorHAnsi"/>
              </w:rPr>
            </w:pPr>
            <w:r w:rsidRPr="004A1F27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140565" cy="2069383"/>
                  <wp:effectExtent l="19050" t="0" r="0" b="0"/>
                  <wp:docPr id="7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C45B95" w:rsidRPr="00822160" w:rsidTr="00D2363A">
        <w:trPr>
          <w:trHeight w:hRule="exact" w:val="4539"/>
        </w:trPr>
        <w:tc>
          <w:tcPr>
            <w:tcW w:w="2928" w:type="pct"/>
          </w:tcPr>
          <w:p w:rsidR="006D4A58" w:rsidRPr="00F10F0C" w:rsidRDefault="006D4A58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822160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  <w:r w:rsidRPr="00F10F0C">
              <w:rPr>
                <w:rFonts w:asciiTheme="minorHAnsi" w:hAnsiTheme="minorHAnsi" w:cstheme="minorHAnsi"/>
                <w:b/>
                <w:noProof/>
                <w:sz w:val="18"/>
              </w:rPr>
              <w:t>Monetarni sektor</w:t>
            </w:r>
          </w:p>
          <w:p w:rsidR="00493FC9" w:rsidRPr="003C543D" w:rsidRDefault="00493FC9" w:rsidP="00D2363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Monetarni sektor karakteriše nastavak pozitivnih kretanja u oblasti kreditne aktivnosti banaka, ukupnih depozita i kapitala.</w:t>
            </w:r>
            <w:r w:rsidR="00656E68"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Sredstva deponovana u bankama su zadržala trend rasta, tako da su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ukupni </w:t>
            </w:r>
            <w:r w:rsidRPr="004512FD">
              <w:rPr>
                <w:b/>
                <w:noProof/>
                <w:sz w:val="20"/>
                <w:szCs w:val="20"/>
              </w:rPr>
              <w:t>depozit</w:t>
            </w:r>
            <w:r>
              <w:rPr>
                <w:b/>
                <w:noProof/>
                <w:sz w:val="20"/>
                <w:szCs w:val="20"/>
              </w:rPr>
              <w:t xml:space="preserve">i, </w:t>
            </w:r>
            <w:r w:rsidRPr="008A318A">
              <w:rPr>
                <w:noProof/>
                <w:sz w:val="20"/>
                <w:szCs w:val="20"/>
              </w:rPr>
              <w:t>koji su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574D7D">
              <w:rPr>
                <w:noProof/>
                <w:sz w:val="20"/>
                <w:szCs w:val="20"/>
              </w:rPr>
              <w:t>u avgustu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436828">
              <w:rPr>
                <w:noProof/>
                <w:sz w:val="20"/>
                <w:szCs w:val="20"/>
              </w:rPr>
              <w:t>iznosili</w:t>
            </w:r>
            <w:r w:rsidR="00284027">
              <w:rPr>
                <w:noProof/>
                <w:sz w:val="20"/>
                <w:szCs w:val="20"/>
              </w:rPr>
              <w:t xml:space="preserve"> 2.599,2 mil.€,</w:t>
            </w:r>
            <w:r>
              <w:rPr>
                <w:noProof/>
                <w:sz w:val="20"/>
                <w:szCs w:val="20"/>
              </w:rPr>
              <w:t xml:space="preserve"> povećani na mjesečnom nivou za 4,9% i godišnjem 15,3%. Pri tome se na depozite stanovništva odnosilo 1.415,3mil.€ ili 54,4%, dok su depoziti privrede sa iznosom od 794,2 mil.€ činili 30,6% ukupnih depozita.</w:t>
            </w:r>
            <w:r w:rsidR="002A2FB6">
              <w:rPr>
                <w:noProof/>
                <w:sz w:val="20"/>
                <w:szCs w:val="20"/>
              </w:rPr>
              <w:t xml:space="preserve"> </w:t>
            </w:r>
            <w:r w:rsidRPr="00344093">
              <w:rPr>
                <w:noProof/>
                <w:sz w:val="20"/>
                <w:szCs w:val="20"/>
              </w:rPr>
              <w:t>Ukup</w:t>
            </w:r>
            <w:r>
              <w:rPr>
                <w:noProof/>
                <w:sz w:val="20"/>
                <w:szCs w:val="20"/>
              </w:rPr>
              <w:t xml:space="preserve">ni </w:t>
            </w:r>
            <w:r w:rsidRPr="00A858D1">
              <w:rPr>
                <w:b/>
                <w:noProof/>
                <w:sz w:val="20"/>
                <w:szCs w:val="20"/>
              </w:rPr>
              <w:t>krediti</w:t>
            </w:r>
            <w:r>
              <w:rPr>
                <w:noProof/>
                <w:sz w:val="20"/>
                <w:szCs w:val="20"/>
              </w:rPr>
              <w:t xml:space="preserve"> banaka su, u avgustu, iznosili 2.473,9mil.€, što je za 106,7 mil.€ više u odnosu na kraj prethodne godine ili 4,5%, odnosno za  65,7 mil.€  ili 2,7% više u odnosu na prethodni mjesec. Po osnovu kredita, banke su najviše pot</w:t>
            </w:r>
            <w:r w:rsidR="002A2FB6">
              <w:rPr>
                <w:noProof/>
                <w:sz w:val="20"/>
                <w:szCs w:val="20"/>
              </w:rPr>
              <w:t>raživale od privrede i banaka (</w:t>
            </w:r>
            <w:r w:rsidR="00284027">
              <w:rPr>
                <w:noProof/>
                <w:sz w:val="20"/>
                <w:szCs w:val="20"/>
              </w:rPr>
              <w:t xml:space="preserve">74,7%). </w:t>
            </w:r>
            <w:r>
              <w:rPr>
                <w:noProof/>
                <w:sz w:val="20"/>
                <w:szCs w:val="20"/>
              </w:rPr>
              <w:t xml:space="preserve">Ukupni </w:t>
            </w:r>
            <w:r w:rsidRPr="00627035">
              <w:rPr>
                <w:b/>
                <w:noProof/>
                <w:sz w:val="20"/>
                <w:szCs w:val="20"/>
              </w:rPr>
              <w:t>novoodobreni krediti</w:t>
            </w:r>
            <w:r>
              <w:rPr>
                <w:noProof/>
                <w:sz w:val="20"/>
                <w:szCs w:val="20"/>
              </w:rPr>
              <w:t xml:space="preserve"> za osam mjeseci ove godine su iznosili 587,5mil.€, što  predstavlja rast od 26,5% u odnosu na isti period prethodne godine.</w:t>
            </w:r>
            <w:r w:rsidR="0033573B">
              <w:rPr>
                <w:noProof/>
                <w:sz w:val="20"/>
                <w:szCs w:val="20"/>
              </w:rPr>
              <w:t xml:space="preserve"> </w:t>
            </w:r>
            <w:r w:rsidRPr="00DB0286">
              <w:rPr>
                <w:b/>
                <w:noProof/>
                <w:sz w:val="20"/>
                <w:szCs w:val="20"/>
              </w:rPr>
              <w:t>Nelikvidnost</w:t>
            </w:r>
            <w:r>
              <w:rPr>
                <w:noProof/>
                <w:sz w:val="20"/>
                <w:szCs w:val="20"/>
              </w:rPr>
              <w:t xml:space="preserve"> realnog sektora se najviše  ogleda kroz broj blokiranih pravnih lica. Krajem avgusta od 75.596 pravnih lica i preduzetnika, u blokadi je bilo  14.445 ili 19,1%, što u poređenju sa prethodnim mjesecom predstavlja povećanje od 1,03% .Ukupan dug po osnovu koga je izvršena blokada računa je iznosio 535,1 mil. €, što je za 1,33% vi</w:t>
            </w:r>
            <w:r w:rsidR="00284027">
              <w:rPr>
                <w:noProof/>
                <w:sz w:val="20"/>
                <w:szCs w:val="20"/>
              </w:rPr>
              <w:t>še u odnosu na jul</w:t>
            </w:r>
            <w:r>
              <w:rPr>
                <w:noProof/>
                <w:sz w:val="20"/>
                <w:szCs w:val="20"/>
              </w:rPr>
              <w:t>.</w:t>
            </w:r>
          </w:p>
          <w:p w:rsidR="00C45B95" w:rsidRPr="00822160" w:rsidRDefault="00C45B95" w:rsidP="00D2363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2" w:type="pct"/>
            <w:vAlign w:val="center"/>
          </w:tcPr>
          <w:p w:rsidR="00C45B95" w:rsidRPr="00822160" w:rsidRDefault="00B24C13" w:rsidP="00D2363A">
            <w:pPr>
              <w:jc w:val="center"/>
              <w:rPr>
                <w:rFonts w:asciiTheme="minorHAnsi" w:hAnsiTheme="minorHAnsi" w:cstheme="minorHAnsi"/>
              </w:rPr>
            </w:pPr>
            <w:r w:rsidRPr="00B24C13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400300" cy="1733550"/>
                  <wp:effectExtent l="0" t="0" r="0" b="0"/>
                  <wp:docPr id="10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E013C2" w:rsidRPr="00822160" w:rsidTr="002A2FB6">
        <w:trPr>
          <w:trHeight w:hRule="exact" w:val="6661"/>
        </w:trPr>
        <w:tc>
          <w:tcPr>
            <w:tcW w:w="2928" w:type="pct"/>
          </w:tcPr>
          <w:p w:rsidR="002F3706" w:rsidRPr="00F10F0C" w:rsidRDefault="0065763E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822160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  <w:r w:rsidR="002F3706" w:rsidRPr="00F10F0C">
              <w:rPr>
                <w:rFonts w:asciiTheme="minorHAnsi" w:hAnsiTheme="minorHAnsi" w:cstheme="minorHAnsi"/>
                <w:b/>
                <w:noProof/>
                <w:sz w:val="18"/>
              </w:rPr>
              <w:t>Spoljnotrgovinska razmjena</w:t>
            </w:r>
          </w:p>
          <w:p w:rsidR="00376D64" w:rsidRDefault="005C0E5B" w:rsidP="00D2363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Spoljnotrgovinska razmjena u periodu januar - avgust 2015. iznosila je 1.414,8 mil.€, što je za 2,2% više nego u uporednom periodu 2014</w:t>
            </w:r>
            <w:r>
              <w:rPr>
                <w:noProof/>
                <w:color w:val="000000"/>
                <w:sz w:val="20"/>
                <w:szCs w:val="20"/>
              </w:rPr>
              <w:t xml:space="preserve">. </w:t>
            </w:r>
            <w:r w:rsidR="00376D64">
              <w:rPr>
                <w:noProof/>
                <w:sz w:val="20"/>
                <w:szCs w:val="20"/>
              </w:rPr>
              <w:t>R</w:t>
            </w:r>
            <w:r w:rsidRPr="00D77195">
              <w:rPr>
                <w:sz w:val="20"/>
                <w:szCs w:val="20"/>
              </w:rPr>
              <w:t>obni</w:t>
            </w:r>
            <w:r>
              <w:rPr>
                <w:sz w:val="20"/>
                <w:szCs w:val="20"/>
              </w:rPr>
              <w:t xml:space="preserve"> deficit iznosio</w:t>
            </w:r>
            <w:r w:rsidRPr="00D77195">
              <w:rPr>
                <w:sz w:val="20"/>
                <w:szCs w:val="20"/>
              </w:rPr>
              <w:t xml:space="preserve"> 1.032 mil.€ </w:t>
            </w:r>
            <w:r>
              <w:rPr>
                <w:sz w:val="20"/>
                <w:szCs w:val="20"/>
              </w:rPr>
              <w:t xml:space="preserve">i </w:t>
            </w:r>
            <w:r w:rsidRPr="00D77195">
              <w:rPr>
                <w:sz w:val="20"/>
                <w:szCs w:val="20"/>
              </w:rPr>
              <w:t xml:space="preserve">povećan za 6,0% u odnosu na uporedni period 2014. </w:t>
            </w:r>
            <w:r>
              <w:rPr>
                <w:sz w:val="20"/>
                <w:szCs w:val="20"/>
              </w:rPr>
              <w:t>g</w:t>
            </w:r>
            <w:r w:rsidRPr="00D77195">
              <w:rPr>
                <w:sz w:val="20"/>
                <w:szCs w:val="20"/>
              </w:rPr>
              <w:t>odine.</w:t>
            </w:r>
            <w:r w:rsidRPr="00FE1597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DC57AD">
              <w:rPr>
                <w:sz w:val="20"/>
                <w:szCs w:val="20"/>
              </w:rPr>
              <w:t xml:space="preserve">okrivenost uvoza izvozom iznosila je 15,6% i manja je za 1,8 p.p. u odnosu na 2014, kada je iznosila </w:t>
            </w:r>
            <w:r>
              <w:rPr>
                <w:sz w:val="20"/>
                <w:szCs w:val="20"/>
                <w:lang w:val="sr-Latn-CS"/>
              </w:rPr>
              <w:t>17,4</w:t>
            </w:r>
            <w:r w:rsidRPr="00DC57AD">
              <w:rPr>
                <w:sz w:val="20"/>
                <w:szCs w:val="20"/>
                <w:lang w:val="sr-Latn-CS"/>
              </w:rPr>
              <w:t>%</w:t>
            </w:r>
            <w:r w:rsidRPr="00DC57AD">
              <w:rPr>
                <w:sz w:val="20"/>
                <w:szCs w:val="20"/>
              </w:rPr>
              <w:t>.</w:t>
            </w:r>
            <w:r w:rsidRPr="00FE1597">
              <w:rPr>
                <w:color w:val="FF0000"/>
                <w:sz w:val="20"/>
                <w:szCs w:val="20"/>
              </w:rPr>
              <w:t xml:space="preserve"> </w:t>
            </w:r>
            <w:r w:rsidRPr="006436C5">
              <w:rPr>
                <w:noProof/>
                <w:sz w:val="20"/>
                <w:szCs w:val="20"/>
              </w:rPr>
              <w:t>I</w:t>
            </w:r>
            <w:r w:rsidRPr="006436C5">
              <w:rPr>
                <w:sz w:val="20"/>
                <w:szCs w:val="20"/>
              </w:rPr>
              <w:t>zvoz roba vrijedio je 191,3mil. €, što je 6,7% manje g-n-g.</w:t>
            </w:r>
            <w:r w:rsidRPr="00FE1597">
              <w:rPr>
                <w:color w:val="FF0000"/>
                <w:sz w:val="20"/>
                <w:szCs w:val="20"/>
              </w:rPr>
              <w:t xml:space="preserve"> </w:t>
            </w:r>
            <w:r w:rsidRPr="00BE6303">
              <w:rPr>
                <w:sz w:val="20"/>
                <w:szCs w:val="20"/>
              </w:rPr>
              <w:t>Na pad vrijednosti izvoza uglavnom je uticalo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76D64">
              <w:rPr>
                <w:sz w:val="20"/>
                <w:szCs w:val="20"/>
              </w:rPr>
              <w:t>smanjenje</w:t>
            </w:r>
            <w:r w:rsidRPr="002F3DC0">
              <w:rPr>
                <w:sz w:val="20"/>
                <w:szCs w:val="20"/>
              </w:rPr>
              <w:t xml:space="preserve"> izvoza </w:t>
            </w:r>
            <w:r w:rsidR="002A2FB6">
              <w:rPr>
                <w:sz w:val="20"/>
                <w:szCs w:val="20"/>
              </w:rPr>
              <w:t>mesa i mesnih prerađevina zbog poznatog efekta reeksporta u prethodnoj godini</w:t>
            </w:r>
            <w:r w:rsidR="00034D15">
              <w:rPr>
                <w:sz w:val="20"/>
                <w:szCs w:val="20"/>
              </w:rPr>
              <w:t xml:space="preserve">. </w:t>
            </w:r>
            <w:r w:rsidR="00E20361">
              <w:rPr>
                <w:sz w:val="20"/>
                <w:szCs w:val="20"/>
              </w:rPr>
              <w:t>Pad izvozne aktivnosti ublažilo je p</w:t>
            </w:r>
            <w:r>
              <w:rPr>
                <w:sz w:val="20"/>
                <w:szCs w:val="20"/>
              </w:rPr>
              <w:t>ovećanje</w:t>
            </w:r>
            <w:r w:rsidRPr="00A507E6">
              <w:rPr>
                <w:sz w:val="20"/>
                <w:szCs w:val="20"/>
              </w:rPr>
              <w:t xml:space="preserve"> izvoza gvožđa i </w:t>
            </w:r>
            <w:r w:rsidRPr="00A507E6">
              <w:rPr>
                <w:sz w:val="20"/>
                <w:szCs w:val="20"/>
                <w:lang w:val="sr-Latn-CS"/>
              </w:rPr>
              <w:t>čelika (o</w:t>
            </w:r>
            <w:r>
              <w:rPr>
                <w:sz w:val="20"/>
                <w:szCs w:val="20"/>
                <w:lang w:val="sr-Latn-CS"/>
              </w:rPr>
              <w:t>bračunati index veći je od 300,</w:t>
            </w:r>
            <w:r w:rsidRPr="00A507E6">
              <w:rPr>
                <w:sz w:val="20"/>
                <w:szCs w:val="20"/>
                <w:lang w:val="sr-Latn-CS"/>
              </w:rPr>
              <w:t xml:space="preserve"> što je rezultat obnavljanja procesa proizvodnje kompanije „Toščelik“ u Nikšiću</w:t>
            </w:r>
            <w:r>
              <w:rPr>
                <w:sz w:val="20"/>
                <w:szCs w:val="20"/>
                <w:lang w:val="sr-Latn-CS"/>
              </w:rPr>
              <w:t>)</w:t>
            </w:r>
            <w:r w:rsidR="00E20361">
              <w:rPr>
                <w:sz w:val="20"/>
                <w:szCs w:val="20"/>
                <w:lang w:val="sr-Latn-CS"/>
              </w:rPr>
              <w:t>.</w:t>
            </w:r>
            <w:r w:rsidR="002A2FB6">
              <w:rPr>
                <w:sz w:val="20"/>
                <w:szCs w:val="20"/>
                <w:lang w:val="sr-Latn-CS"/>
              </w:rPr>
              <w:t xml:space="preserve"> </w:t>
            </w:r>
            <w:r w:rsidRPr="0058592F">
              <w:rPr>
                <w:sz w:val="20"/>
                <w:szCs w:val="20"/>
              </w:rPr>
              <w:t>Uk</w:t>
            </w:r>
            <w:r w:rsidR="00162294">
              <w:rPr>
                <w:sz w:val="20"/>
                <w:szCs w:val="20"/>
              </w:rPr>
              <w:t>upan uvoz roba iznosio je 1.223,5</w:t>
            </w:r>
            <w:r w:rsidRPr="0058592F">
              <w:rPr>
                <w:sz w:val="20"/>
                <w:szCs w:val="20"/>
              </w:rPr>
              <w:t xml:space="preserve"> mil.€,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8592F">
              <w:rPr>
                <w:sz w:val="20"/>
                <w:szCs w:val="20"/>
              </w:rPr>
              <w:t>što je za 3,8% više g-n-g.</w:t>
            </w:r>
            <w:r w:rsidRPr="00FE1597">
              <w:rPr>
                <w:color w:val="FF0000"/>
                <w:sz w:val="20"/>
                <w:szCs w:val="20"/>
              </w:rPr>
              <w:t xml:space="preserve"> </w:t>
            </w:r>
            <w:r w:rsidRPr="0058592F">
              <w:rPr>
                <w:rFonts w:asciiTheme="minorHAnsi" w:hAnsiTheme="minorHAnsi" w:cstheme="minorHAnsi"/>
                <w:sz w:val="20"/>
                <w:szCs w:val="20"/>
              </w:rPr>
              <w:t xml:space="preserve">U </w:t>
            </w:r>
            <w:r w:rsidRPr="0058592F">
              <w:rPr>
                <w:rFonts w:cstheme="minorHAnsi"/>
                <w:sz w:val="20"/>
                <w:szCs w:val="20"/>
              </w:rPr>
              <w:t>strukturi uvoza najviše su zastupljeni</w:t>
            </w:r>
            <w:r w:rsidRPr="00FE1597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58592F">
              <w:rPr>
                <w:rFonts w:cstheme="minorHAnsi"/>
                <w:sz w:val="20"/>
                <w:szCs w:val="20"/>
              </w:rPr>
              <w:t>mašine i transportni uređaji u iznosu od 269,0 mil.€. (24,0% više)</w:t>
            </w:r>
            <w:r w:rsidR="00284027">
              <w:rPr>
                <w:rFonts w:cstheme="minorHAnsi"/>
                <w:sz w:val="20"/>
                <w:szCs w:val="20"/>
              </w:rPr>
              <w:t>,</w:t>
            </w:r>
            <w:r w:rsidR="006720A1">
              <w:rPr>
                <w:rFonts w:cstheme="minorHAnsi"/>
                <w:sz w:val="20"/>
                <w:szCs w:val="20"/>
              </w:rPr>
              <w:t xml:space="preserve"> zbog započetih radova na </w:t>
            </w:r>
            <w:r w:rsidR="00376D64">
              <w:rPr>
                <w:rFonts w:cstheme="minorHAnsi"/>
                <w:sz w:val="20"/>
                <w:szCs w:val="20"/>
              </w:rPr>
              <w:t xml:space="preserve"> izgradnji prioritetene dionice </w:t>
            </w:r>
            <w:r w:rsidR="00FC19AA">
              <w:rPr>
                <w:rFonts w:cstheme="minorHAnsi"/>
                <w:sz w:val="20"/>
                <w:szCs w:val="20"/>
              </w:rPr>
              <w:t>auto</w:t>
            </w:r>
            <w:r w:rsidR="00376D64">
              <w:rPr>
                <w:rFonts w:cstheme="minorHAnsi"/>
                <w:sz w:val="20"/>
                <w:szCs w:val="20"/>
              </w:rPr>
              <w:t>puta Bar – Boljare.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43BF6" w:rsidRPr="00822160" w:rsidRDefault="005C0E5B" w:rsidP="00D2363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b/>
                <w:noProof/>
                <w:sz w:val="20"/>
                <w:szCs w:val="20"/>
              </w:rPr>
              <w:t>U periodu januar – jul 2015. neto priliv SDI bilježi rast od 20,5% u odnosu na isti period prethodne godine</w:t>
            </w:r>
            <w:r>
              <w:rPr>
                <w:noProof/>
                <w:sz w:val="20"/>
                <w:szCs w:val="20"/>
              </w:rPr>
              <w:t xml:space="preserve">. Prema preliminarnim podacima CBCG, za sedam mjeseci 2015, neto priliv SDI iznosio je 220,7 mil.€, dok je u uporednom periodu 2014. iznosio 183,1 mil.€. Ukupan </w:t>
            </w:r>
            <w:r w:rsidR="006C2D74">
              <w:rPr>
                <w:noProof/>
                <w:sz w:val="20"/>
                <w:szCs w:val="20"/>
              </w:rPr>
              <w:t xml:space="preserve">priliv </w:t>
            </w:r>
            <w:r>
              <w:rPr>
                <w:noProof/>
                <w:sz w:val="20"/>
                <w:szCs w:val="20"/>
              </w:rPr>
              <w:t>SDI iznosio je 268,9 mil.€ što j</w:t>
            </w:r>
            <w:r w:rsidR="00E0181B">
              <w:rPr>
                <w:noProof/>
                <w:sz w:val="20"/>
                <w:szCs w:val="20"/>
              </w:rPr>
              <w:t>e 2,0% više nego u 2014.(</w:t>
            </w:r>
            <w:r>
              <w:rPr>
                <w:noProof/>
                <w:sz w:val="20"/>
                <w:szCs w:val="20"/>
              </w:rPr>
              <w:t xml:space="preserve">263,5 mil.€). </w:t>
            </w:r>
            <w:r w:rsidRPr="00435A03">
              <w:rPr>
                <w:noProof/>
                <w:color w:val="000000" w:themeColor="text1"/>
                <w:sz w:val="20"/>
                <w:szCs w:val="20"/>
              </w:rPr>
              <w:t>Priliv po osnovu vlasničk</w:t>
            </w:r>
            <w:r>
              <w:rPr>
                <w:noProof/>
                <w:color w:val="000000" w:themeColor="text1"/>
                <w:sz w:val="20"/>
                <w:szCs w:val="20"/>
              </w:rPr>
              <w:t>ih ulaganja u periodu januar-jul 2015. iznosio je 129,1 mil.€ (48% ukupnog priliva) ili 4,6</w:t>
            </w:r>
            <w:r w:rsidRPr="00435A03">
              <w:rPr>
                <w:noProof/>
                <w:color w:val="000000" w:themeColor="text1"/>
                <w:sz w:val="20"/>
                <w:szCs w:val="20"/>
              </w:rPr>
              <w:t>% više g-n-g</w:t>
            </w:r>
            <w:r w:rsidR="00E0181B">
              <w:rPr>
                <w:noProof/>
                <w:color w:val="000000" w:themeColor="text1"/>
                <w:sz w:val="20"/>
                <w:szCs w:val="20"/>
              </w:rPr>
              <w:t xml:space="preserve">, kada je </w:t>
            </w:r>
            <w:r w:rsidR="002A2FB6">
              <w:rPr>
                <w:noProof/>
                <w:color w:val="000000" w:themeColor="text1"/>
                <w:sz w:val="20"/>
                <w:szCs w:val="20"/>
              </w:rPr>
              <w:t>iznosio</w:t>
            </w:r>
            <w:r>
              <w:rPr>
                <w:noProof/>
                <w:color w:val="000000" w:themeColor="text1"/>
                <w:sz w:val="20"/>
                <w:szCs w:val="20"/>
              </w:rPr>
              <w:t xml:space="preserve"> 123,4 mil.€</w:t>
            </w:r>
            <w:r w:rsidRPr="00435A03">
              <w:rPr>
                <w:noProof/>
                <w:color w:val="000000" w:themeColor="text1"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 xml:space="preserve"> Struktura ukupnog priliva SDI: investicije u preduzeća i banke 16,6% (65,5% više), investicije u </w:t>
            </w:r>
            <w:r w:rsidR="00E0181B">
              <w:rPr>
                <w:noProof/>
                <w:sz w:val="20"/>
                <w:szCs w:val="20"/>
              </w:rPr>
              <w:t xml:space="preserve">nekretnine 31,4% (12,4% manje), </w:t>
            </w:r>
            <w:r>
              <w:rPr>
                <w:noProof/>
                <w:sz w:val="20"/>
                <w:szCs w:val="20"/>
              </w:rPr>
              <w:t>interkompanijski dug 50,5% (0,2% manje) i ostale investicije 1,4% (5,0% manje). Ukup</w:t>
            </w:r>
            <w:r w:rsidR="00D410AF">
              <w:rPr>
                <w:noProof/>
                <w:sz w:val="20"/>
                <w:szCs w:val="20"/>
              </w:rPr>
              <w:t>an odliv SDI iznosio</w:t>
            </w:r>
            <w:r w:rsidR="00244B5D">
              <w:rPr>
                <w:noProof/>
                <w:sz w:val="20"/>
                <w:szCs w:val="20"/>
              </w:rPr>
              <w:t xml:space="preserve"> je oko 48,1</w:t>
            </w:r>
            <w:r>
              <w:rPr>
                <w:noProof/>
                <w:sz w:val="20"/>
                <w:szCs w:val="20"/>
              </w:rPr>
              <w:t>mil.€, što je za 40,1% manje nego u 2014. Odliv po osnovu ulaganja rezidenata u inostranstvu iznosio je 11,7 mil.€ (24,3%), dok je povl</w:t>
            </w:r>
            <w:r w:rsidR="002A2FB6">
              <w:rPr>
                <w:noProof/>
                <w:sz w:val="20"/>
                <w:szCs w:val="20"/>
              </w:rPr>
              <w:t xml:space="preserve">ačenje sredstava nerezidenata iz naše zemlje </w:t>
            </w:r>
            <w:r>
              <w:rPr>
                <w:noProof/>
                <w:sz w:val="20"/>
                <w:szCs w:val="20"/>
              </w:rPr>
              <w:t>iznosilo 36,4mil.€ (75,7%).</w:t>
            </w:r>
          </w:p>
        </w:tc>
        <w:tc>
          <w:tcPr>
            <w:tcW w:w="2072" w:type="pct"/>
            <w:vAlign w:val="center"/>
          </w:tcPr>
          <w:p w:rsidR="00E013C2" w:rsidRPr="00822160" w:rsidRDefault="00102368" w:rsidP="00D2363A">
            <w:pPr>
              <w:rPr>
                <w:rFonts w:asciiTheme="minorHAnsi" w:hAnsiTheme="minorHAnsi" w:cstheme="minorHAnsi"/>
                <w:noProof/>
                <w:lang w:val="sr-Latn-CS" w:eastAsia="sr-Latn-CS"/>
              </w:rPr>
            </w:pPr>
            <w:r w:rsidRPr="00102368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836998" cy="2264577"/>
                  <wp:effectExtent l="19050" t="0" r="1452" b="0"/>
                  <wp:docPr id="5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D247C2" w:rsidRDefault="00D247C2" w:rsidP="00C45B95">
      <w:pPr>
        <w:spacing w:after="0"/>
        <w:jc w:val="center"/>
        <w:outlineLvl w:val="0"/>
        <w:rPr>
          <w:noProof/>
          <w:sz w:val="17"/>
          <w:szCs w:val="16"/>
        </w:rPr>
        <w:sectPr w:rsidR="00D247C2" w:rsidSect="00D2363A">
          <w:pgSz w:w="11907" w:h="16839" w:code="9"/>
          <w:pgMar w:top="567" w:right="312" w:bottom="255" w:left="284" w:header="720" w:footer="720" w:gutter="0"/>
          <w:cols w:space="720"/>
          <w:docGrid w:linePitch="360"/>
        </w:sectPr>
      </w:pPr>
    </w:p>
    <w:p w:rsidR="00E013C2" w:rsidRDefault="00E013C2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Default="00C45B95" w:rsidP="00C45B95">
      <w:pPr>
        <w:spacing w:after="0"/>
        <w:jc w:val="center"/>
        <w:outlineLvl w:val="0"/>
        <w:rPr>
          <w:noProof/>
          <w:sz w:val="17"/>
          <w:szCs w:val="16"/>
        </w:rPr>
      </w:pPr>
      <w:r w:rsidRPr="0020440D">
        <w:rPr>
          <w:noProof/>
          <w:sz w:val="17"/>
          <w:szCs w:val="16"/>
        </w:rPr>
        <w:t xml:space="preserve">Tabela 1: </w:t>
      </w:r>
      <w:r w:rsidRPr="0020440D">
        <w:rPr>
          <w:b/>
          <w:bCs/>
          <w:noProof/>
          <w:sz w:val="17"/>
          <w:szCs w:val="16"/>
        </w:rPr>
        <w:t>MAKROEKONOMSKI INDIKATORI</w:t>
      </w:r>
      <w:r w:rsidRPr="0020440D">
        <w:rPr>
          <w:noProof/>
          <w:sz w:val="17"/>
          <w:szCs w:val="16"/>
        </w:rPr>
        <w:t xml:space="preserve"> –</w:t>
      </w:r>
      <w:r w:rsidR="00457ACE">
        <w:rPr>
          <w:noProof/>
          <w:sz w:val="17"/>
          <w:szCs w:val="16"/>
        </w:rPr>
        <w:t xml:space="preserve"> avgust</w:t>
      </w:r>
      <w:r w:rsidR="003001BB">
        <w:rPr>
          <w:noProof/>
          <w:sz w:val="17"/>
          <w:szCs w:val="16"/>
        </w:rPr>
        <w:t xml:space="preserve"> </w:t>
      </w:r>
      <w:r w:rsidR="00745D7B">
        <w:rPr>
          <w:noProof/>
          <w:sz w:val="17"/>
          <w:szCs w:val="16"/>
        </w:rPr>
        <w:t>2015</w:t>
      </w:r>
      <w:r w:rsidRPr="0020440D">
        <w:rPr>
          <w:noProof/>
          <w:sz w:val="17"/>
          <w:szCs w:val="16"/>
        </w:rPr>
        <w:t>.</w:t>
      </w:r>
    </w:p>
    <w:p w:rsidR="00782553" w:rsidRDefault="00782553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Pr="0020440D" w:rsidRDefault="00C45B95" w:rsidP="00C45B95">
      <w:pPr>
        <w:spacing w:after="0"/>
        <w:outlineLvl w:val="0"/>
        <w:rPr>
          <w:b/>
          <w:i/>
          <w:noProof/>
          <w:sz w:val="16"/>
          <w:szCs w:val="16"/>
        </w:rPr>
      </w:pPr>
      <w:r w:rsidRPr="0020440D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C45B95" w:rsidRPr="0020440D" w:rsidRDefault="00C45B95" w:rsidP="00C45B95">
      <w:pPr>
        <w:spacing w:after="0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C45B95" w:rsidRDefault="00C45B95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</w:t>
      </w:r>
      <w:r w:rsidR="00656E68">
        <w:rPr>
          <w:i/>
          <w:iCs/>
          <w:noProof/>
          <w:sz w:val="12"/>
          <w:szCs w:val="12"/>
        </w:rPr>
        <w:t xml:space="preserve">, </w:t>
      </w:r>
      <w:r w:rsidRPr="0020440D">
        <w:rPr>
          <w:i/>
          <w:iCs/>
          <w:noProof/>
          <w:sz w:val="12"/>
          <w:szCs w:val="12"/>
        </w:rPr>
        <w:t>g-n-g označava godišnju promjenu (stopa promjene indikatora u posmatranom mjesecu</w:t>
      </w:r>
      <w:r w:rsidR="00656E68">
        <w:rPr>
          <w:i/>
          <w:iCs/>
          <w:noProof/>
          <w:sz w:val="12"/>
          <w:szCs w:val="12"/>
        </w:rPr>
        <w:t xml:space="preserve"> </w:t>
      </w:r>
      <w:r w:rsidRPr="0020440D">
        <w:rPr>
          <w:i/>
          <w:iCs/>
          <w:noProof/>
          <w:sz w:val="12"/>
          <w:szCs w:val="12"/>
        </w:rPr>
        <w:t>ili periodu  u odnosu na isti mmjesec ili period</w:t>
      </w:r>
      <w:r w:rsidR="00656E68">
        <w:rPr>
          <w:i/>
          <w:iCs/>
          <w:noProof/>
          <w:sz w:val="12"/>
          <w:szCs w:val="12"/>
        </w:rPr>
        <w:t xml:space="preserve"> </w:t>
      </w:r>
      <w:r w:rsidRPr="0020440D">
        <w:rPr>
          <w:i/>
          <w:iCs/>
          <w:noProof/>
          <w:sz w:val="12"/>
          <w:szCs w:val="12"/>
        </w:rPr>
        <w:t>prethodne godine u %)</w:t>
      </w:r>
      <w:r w:rsidR="00BF2D81">
        <w:rPr>
          <w:i/>
          <w:iCs/>
          <w:noProof/>
          <w:sz w:val="12"/>
          <w:szCs w:val="12"/>
        </w:rPr>
        <w:t>.</w:t>
      </w:r>
    </w:p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tbl>
      <w:tblPr>
        <w:tblW w:w="5003" w:type="pct"/>
        <w:tblCellMar>
          <w:left w:w="0" w:type="dxa"/>
          <w:right w:w="0" w:type="dxa"/>
        </w:tblCellMar>
        <w:tblLook w:val="04A0"/>
      </w:tblPr>
      <w:tblGrid>
        <w:gridCol w:w="4046"/>
        <w:gridCol w:w="748"/>
        <w:gridCol w:w="748"/>
        <w:gridCol w:w="747"/>
        <w:gridCol w:w="786"/>
        <w:gridCol w:w="786"/>
        <w:gridCol w:w="728"/>
        <w:gridCol w:w="767"/>
        <w:gridCol w:w="747"/>
        <w:gridCol w:w="786"/>
        <w:gridCol w:w="728"/>
        <w:gridCol w:w="747"/>
        <w:gridCol w:w="767"/>
        <w:gridCol w:w="767"/>
        <w:gridCol w:w="728"/>
        <w:gridCol w:w="728"/>
        <w:gridCol w:w="825"/>
      </w:tblGrid>
      <w:tr w:rsidR="00656E68" w:rsidRPr="004A1F27" w:rsidTr="00656E68">
        <w:trPr>
          <w:divId w:val="1711104168"/>
          <w:trHeight w:val="27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2015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avg 2015       g-n-g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jan-avg 2015 g-n-g</w:t>
            </w:r>
          </w:p>
        </w:tc>
      </w:tr>
      <w:tr w:rsidR="00656E68" w:rsidRPr="004A1F27" w:rsidTr="00656E68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81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4A1F27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-12,70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7,50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8,20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-19,80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-7,00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-3,40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5,90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19,30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11,40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29,70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33,60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-21,3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11,3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-19,70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-3,20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-18,10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-20,50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-13,20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13,80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40,50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16,70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27,60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44,80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-21,0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18,3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4,20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7,30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28,30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21,00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5,10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11,10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39,70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24,1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16,5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2,90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1,10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4,70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7,20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12,8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3,8</w:t>
            </w:r>
          </w:p>
        </w:tc>
      </w:tr>
      <w:tr w:rsidR="004A1F27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-5,5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-6,9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9,6</w:t>
            </w:r>
          </w:p>
        </w:tc>
        <w:tc>
          <w:tcPr>
            <w:tcW w:w="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color w:val="993300"/>
                <w:sz w:val="14"/>
                <w:szCs w:val="14"/>
                <w:lang w:val="sr-Latn-CS" w:eastAsia="sr-Latn-CS"/>
              </w:rPr>
            </w:pPr>
            <w:r w:rsidRPr="004A1F27">
              <w:rPr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color w:val="993300"/>
                <w:sz w:val="14"/>
                <w:szCs w:val="14"/>
                <w:lang w:val="sr-Latn-CS" w:eastAsia="sr-Latn-CS"/>
              </w:rPr>
            </w:pPr>
            <w:r w:rsidRPr="004A1F27">
              <w:rPr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color w:val="993300"/>
                <w:sz w:val="14"/>
                <w:szCs w:val="14"/>
                <w:lang w:val="sr-Latn-CS" w:eastAsia="sr-Latn-CS"/>
              </w:rPr>
            </w:pPr>
            <w:r w:rsidRPr="004A1F27">
              <w:rPr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1,5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n/p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0,4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178.558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173.942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172.306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172.273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171.158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169.719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170.486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174.208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174.208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177.865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180.884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182.444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181.232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1,3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31.163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33.744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34.733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34.687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35.152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35.172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33.975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33.975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32.347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31.092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31.277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33.073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5,7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0,5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13,9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13,5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A1F27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18,1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18,2</w:t>
            </w:r>
          </w:p>
        </w:tc>
        <w:tc>
          <w:tcPr>
            <w:tcW w:w="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2.235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2.563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2.434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2.098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3.735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2.343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4.946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4.529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3.414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3.322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1.844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2.216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20,2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-4,9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718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722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724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731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732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719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473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484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482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483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481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0,8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2.453,0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2.443,2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2.424,1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2.426,5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2.367,2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2.355,3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2.375,2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2.366,7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2.366,7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2.408,1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2.381,3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2.408,2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2.473,9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-2,2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 xml:space="preserve">Krediti u kašnjenju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524,8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469,1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489,2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464,3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444,9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481,1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458,4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453,6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453,6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530,9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Udio kredita u kašnjenju u ukupnim kreditima (u %)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19,1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18,8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20,4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19,3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19,2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19,2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22,0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422,4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400,2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398,9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391,8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375,6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389,7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388,4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385,5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385,5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389,6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17,2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2.254,5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2.268,0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2.251,5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2.274,9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2.308,1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2.311,3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2.295,4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2.337,5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2.337,5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2.376,6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2.403,1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2.477,8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2.599,2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10,2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11,1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11,6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12,4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13,2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911,3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900,9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890,4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898,1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917,9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917,7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925,6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953,7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953,7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967,7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957,9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943,0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937,3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892,7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895,4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893,8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897,5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899,2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907,9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907,9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913,0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916,7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914,8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910,0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639,4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633,5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634,2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647,5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640,7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635,0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624,6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644,1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644,1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667,8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681,2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699,4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794,2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24,2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1.288,5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1.299,3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1.305,9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1.331,7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1.334,5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1.335,9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1.363,6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1.363,6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1.361,4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1.370,4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1.410,8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1.415,3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9,31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9,57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9,22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9,20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9,17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11,1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2,01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1,96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1,93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1,89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1,83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1,77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1,73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1,59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1,59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1,49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1,34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27,1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34,3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31,8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33,9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26,0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25,3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35,6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24,9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12,1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-8,1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-6,7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164,4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154,7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158,5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132,7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159,7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86,1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121,5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149,6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154,5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153,4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196,1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196,4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165,9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-15,5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3,8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-137,3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-120,4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-126,7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-98,8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-131,6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-60,1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-98,2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-124,3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-137,1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-136,8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-160,5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-174,2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-141,0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-19,1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2,7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6,0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27,2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50,8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31,4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26,5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34,8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25,6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26,2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34,4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25,6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30,6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42,9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35,</w:t>
            </w:r>
            <w:r w:rsidR="00E81CBF">
              <w:rPr>
                <w:sz w:val="14"/>
                <w:szCs w:val="14"/>
                <w:lang w:val="sr-Latn-CS" w:eastAsia="sr-Latn-CS"/>
              </w:rPr>
              <w:t>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-17,6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28,9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20,6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4A1F27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103,0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94,8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70,2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58,0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55,0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66,3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66,3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64,9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61,7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49,7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48,9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-52,5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-45,3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2.030,5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1.990,4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1.946,2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2.055,6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1.909,5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1.814,7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1.817,8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1.819,2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1.819,2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1.804,0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1.687,7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1.639,5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1.548,1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-5,6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-23,8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-3,9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lastRenderedPageBreak/>
              <w:t>Euribor (12 mjeseci)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0,43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0,27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0,17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0,17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0,16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0,16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0,14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-0,4</w:t>
            </w:r>
          </w:p>
        </w:tc>
      </w:tr>
      <w:tr w:rsidR="00656E68" w:rsidRPr="004A1F27" w:rsidTr="00CE5205">
        <w:trPr>
          <w:divId w:val="1711104168"/>
          <w:trHeight w:val="202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4A1F27">
              <w:rPr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4A1F27" w:rsidRPr="004A1F27" w:rsidRDefault="004A1F27" w:rsidP="004A1F27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4A1F27">
              <w:rPr>
                <w:sz w:val="14"/>
                <w:szCs w:val="14"/>
                <w:lang w:val="sr-Latn-CS" w:eastAsia="sr-Latn-CS"/>
              </w:rPr>
              <w:t>-0,6</w:t>
            </w:r>
          </w:p>
        </w:tc>
      </w:tr>
    </w:tbl>
    <w:p w:rsidR="00AC7399" w:rsidRDefault="00AC7399" w:rsidP="00D45AFE">
      <w:pPr>
        <w:spacing w:after="0"/>
        <w:outlineLvl w:val="0"/>
        <w:rPr>
          <w:noProof/>
          <w:sz w:val="17"/>
          <w:szCs w:val="16"/>
        </w:rPr>
      </w:pPr>
    </w:p>
    <w:p w:rsidR="00671FF0" w:rsidRDefault="00671FF0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A90070" w:rsidRDefault="00A3689A" w:rsidP="00355F01">
      <w:pPr>
        <w:spacing w:after="0"/>
        <w:jc w:val="center"/>
        <w:outlineLvl w:val="0"/>
        <w:rPr>
          <w:noProof/>
          <w:sz w:val="17"/>
          <w:szCs w:val="16"/>
        </w:rPr>
      </w:pPr>
      <w:r>
        <w:rPr>
          <w:noProof/>
          <w:sz w:val="17"/>
          <w:szCs w:val="16"/>
        </w:rPr>
        <w:t>T</w:t>
      </w:r>
      <w:r w:rsidR="00A90070" w:rsidRPr="00355F01">
        <w:rPr>
          <w:noProof/>
          <w:sz w:val="17"/>
          <w:szCs w:val="16"/>
        </w:rPr>
        <w:t xml:space="preserve">abela </w:t>
      </w:r>
      <w:r w:rsidR="00720F42" w:rsidRPr="00355F01">
        <w:rPr>
          <w:noProof/>
          <w:sz w:val="17"/>
          <w:szCs w:val="16"/>
        </w:rPr>
        <w:fldChar w:fldCharType="begin"/>
      </w:r>
      <w:r w:rsidR="003A12AD" w:rsidRPr="00355F01">
        <w:rPr>
          <w:noProof/>
          <w:sz w:val="17"/>
          <w:szCs w:val="16"/>
        </w:rPr>
        <w:instrText xml:space="preserve"> SEQ Tabela \* ARABIC </w:instrText>
      </w:r>
      <w:r w:rsidR="00720F42" w:rsidRPr="00355F01">
        <w:rPr>
          <w:noProof/>
          <w:sz w:val="17"/>
          <w:szCs w:val="16"/>
        </w:rPr>
        <w:fldChar w:fldCharType="separate"/>
      </w:r>
      <w:r w:rsidR="00E5742A">
        <w:rPr>
          <w:noProof/>
          <w:sz w:val="17"/>
          <w:szCs w:val="16"/>
        </w:rPr>
        <w:t>1</w:t>
      </w:r>
      <w:r w:rsidR="00720F42" w:rsidRPr="00355F01">
        <w:rPr>
          <w:noProof/>
          <w:sz w:val="17"/>
          <w:szCs w:val="16"/>
        </w:rPr>
        <w:fldChar w:fldCharType="end"/>
      </w:r>
      <w:r w:rsidR="00D52F3D">
        <w:rPr>
          <w:noProof/>
          <w:sz w:val="17"/>
          <w:szCs w:val="16"/>
        </w:rPr>
        <w:t xml:space="preserve">: </w:t>
      </w:r>
      <w:r w:rsidR="006D6A98" w:rsidRPr="00355F01">
        <w:rPr>
          <w:b/>
          <w:noProof/>
          <w:sz w:val="20"/>
          <w:szCs w:val="16"/>
        </w:rPr>
        <w:t>Fiskalni indikatori</w:t>
      </w:r>
      <w:r w:rsidR="00FC187B">
        <w:rPr>
          <w:b/>
          <w:noProof/>
          <w:sz w:val="20"/>
          <w:szCs w:val="16"/>
        </w:rPr>
        <w:t xml:space="preserve"> </w:t>
      </w:r>
      <w:r w:rsidR="006D6A98" w:rsidRPr="00355F01">
        <w:rPr>
          <w:noProof/>
          <w:sz w:val="17"/>
          <w:szCs w:val="16"/>
        </w:rPr>
        <w:t>–</w:t>
      </w:r>
      <w:r w:rsidR="0005456C">
        <w:rPr>
          <w:noProof/>
          <w:sz w:val="17"/>
          <w:szCs w:val="16"/>
        </w:rPr>
        <w:t xml:space="preserve"> avgust</w:t>
      </w:r>
      <w:r w:rsidR="004C4C0D">
        <w:rPr>
          <w:noProof/>
          <w:sz w:val="17"/>
          <w:szCs w:val="16"/>
        </w:rPr>
        <w:t xml:space="preserve"> </w:t>
      </w:r>
      <w:r w:rsidR="00745D7B" w:rsidRPr="00355F01">
        <w:rPr>
          <w:noProof/>
          <w:sz w:val="17"/>
          <w:szCs w:val="16"/>
        </w:rPr>
        <w:t>2015</w:t>
      </w:r>
      <w:r w:rsidR="006D6A98" w:rsidRPr="00355F01">
        <w:rPr>
          <w:noProof/>
          <w:sz w:val="17"/>
          <w:szCs w:val="16"/>
        </w:rPr>
        <w:t xml:space="preserve">. </w:t>
      </w:r>
    </w:p>
    <w:tbl>
      <w:tblPr>
        <w:tblW w:w="16290" w:type="dxa"/>
        <w:tblInd w:w="85" w:type="dxa"/>
        <w:tblLook w:val="04A0"/>
      </w:tblPr>
      <w:tblGrid>
        <w:gridCol w:w="3293"/>
        <w:gridCol w:w="787"/>
        <w:gridCol w:w="787"/>
        <w:gridCol w:w="787"/>
        <w:gridCol w:w="787"/>
        <w:gridCol w:w="787"/>
        <w:gridCol w:w="712"/>
        <w:gridCol w:w="766"/>
        <w:gridCol w:w="744"/>
        <w:gridCol w:w="739"/>
        <w:gridCol w:w="739"/>
        <w:gridCol w:w="744"/>
        <w:gridCol w:w="739"/>
        <w:gridCol w:w="739"/>
        <w:gridCol w:w="819"/>
        <w:gridCol w:w="751"/>
        <w:gridCol w:w="819"/>
        <w:gridCol w:w="751"/>
      </w:tblGrid>
      <w:tr w:rsidR="004A1F27" w:rsidRPr="00102A7D" w:rsidTr="00656E68">
        <w:trPr>
          <w:trHeight w:val="315"/>
        </w:trPr>
        <w:tc>
          <w:tcPr>
            <w:tcW w:w="3294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3934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2014</w:t>
            </w:r>
          </w:p>
        </w:tc>
        <w:tc>
          <w:tcPr>
            <w:tcW w:w="147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2015</w:t>
            </w:r>
          </w:p>
        </w:tc>
        <w:tc>
          <w:tcPr>
            <w:tcW w:w="74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</w:rPr>
            </w:pPr>
            <w:r w:rsidRPr="00102A7D"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</w:rPr>
            </w:pPr>
            <w:r w:rsidRPr="00102A7D"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</w:rPr>
            </w:pPr>
            <w:r w:rsidRPr="00102A7D">
              <w:rPr>
                <w:color w:val="000000"/>
              </w:rPr>
              <w:t> </w:t>
            </w:r>
          </w:p>
        </w:tc>
        <w:tc>
          <w:tcPr>
            <w:tcW w:w="744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</w:rPr>
            </w:pPr>
            <w:r w:rsidRPr="00102A7D"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</w:rPr>
            </w:pPr>
            <w:r w:rsidRPr="00102A7D"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</w:rPr>
            </w:pPr>
            <w:r w:rsidRPr="00102A7D">
              <w:rPr>
                <w:color w:val="000000"/>
              </w:rPr>
              <w:t> </w:t>
            </w:r>
          </w:p>
        </w:tc>
        <w:tc>
          <w:tcPr>
            <w:tcW w:w="8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plan 2015</w:t>
            </w:r>
          </w:p>
        </w:tc>
        <w:tc>
          <w:tcPr>
            <w:tcW w:w="232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Analitika-Avgust</w:t>
            </w:r>
          </w:p>
        </w:tc>
      </w:tr>
      <w:tr w:rsidR="004A1F27" w:rsidRPr="00102A7D" w:rsidTr="00656E68">
        <w:trPr>
          <w:trHeight w:val="735"/>
        </w:trPr>
        <w:tc>
          <w:tcPr>
            <w:tcW w:w="3294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VIII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IX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X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XI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XII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I</w:t>
            </w:r>
          </w:p>
        </w:tc>
        <w:tc>
          <w:tcPr>
            <w:tcW w:w="7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II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III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IV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V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VI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VII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VIII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VIII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avg2015/ avg 2014 (%)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jan-avg 2015 / jan-avg 2014(%)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102A7D">
              <w:rPr>
                <w:sz w:val="14"/>
                <w:szCs w:val="14"/>
              </w:rPr>
              <w:t>avg 2015/avg 2015plan (%)</w:t>
            </w:r>
          </w:p>
        </w:tc>
      </w:tr>
      <w:tr w:rsidR="004A1F27" w:rsidRPr="00102A7D" w:rsidTr="00656E68">
        <w:trPr>
          <w:trHeight w:val="330"/>
        </w:trPr>
        <w:tc>
          <w:tcPr>
            <w:tcW w:w="32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78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126,56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117,90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158,21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78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155,25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71,18</w:t>
            </w:r>
          </w:p>
        </w:tc>
        <w:tc>
          <w:tcPr>
            <w:tcW w:w="7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86,77</w:t>
            </w:r>
          </w:p>
        </w:tc>
        <w:tc>
          <w:tcPr>
            <w:tcW w:w="74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100,28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111,55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99,80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118,28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127,47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124,36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129,92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-1,74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2,15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-4,28</w:t>
            </w:r>
          </w:p>
        </w:tc>
      </w:tr>
      <w:tr w:rsidR="004A1F27" w:rsidRPr="00102A7D" w:rsidTr="00656E68">
        <w:trPr>
          <w:trHeight w:val="315"/>
        </w:trPr>
        <w:tc>
          <w:tcPr>
            <w:tcW w:w="32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Porezi i doprinosi na  zarade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45,43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40,40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59,14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43,27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23,46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36,14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42,09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43,80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37,81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44,71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50,47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46,58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45,62</w:t>
            </w:r>
          </w:p>
        </w:tc>
        <w:tc>
          <w:tcPr>
            <w:tcW w:w="75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2,52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3,16</w:t>
            </w:r>
          </w:p>
        </w:tc>
        <w:tc>
          <w:tcPr>
            <w:tcW w:w="75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2,09</w:t>
            </w:r>
          </w:p>
        </w:tc>
      </w:tr>
      <w:tr w:rsidR="004A1F27" w:rsidRPr="00102A7D" w:rsidTr="00656E68">
        <w:trPr>
          <w:trHeight w:val="300"/>
        </w:trPr>
        <w:tc>
          <w:tcPr>
            <w:tcW w:w="32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Porez na dobit pravnih lica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2,52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2,05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9,85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15,15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1,71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2,86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-32,11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-4,84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-40,28</w:t>
            </w:r>
          </w:p>
        </w:tc>
      </w:tr>
      <w:tr w:rsidR="004A1F27" w:rsidRPr="00102A7D" w:rsidTr="00656E68">
        <w:trPr>
          <w:trHeight w:val="300"/>
        </w:trPr>
        <w:tc>
          <w:tcPr>
            <w:tcW w:w="32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Porez na dodatu vrijednost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49,64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49,31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74,54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33,89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37,18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31,20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29,67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33,29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38,31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44,76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45,94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45,42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51,02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-8,51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-0,52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-10,97</w:t>
            </w:r>
          </w:p>
        </w:tc>
      </w:tr>
      <w:tr w:rsidR="004A1F27" w:rsidRPr="00102A7D" w:rsidTr="00656E68">
        <w:trPr>
          <w:trHeight w:val="300"/>
        </w:trPr>
        <w:tc>
          <w:tcPr>
            <w:tcW w:w="32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Akcize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19,49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17,28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13,40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12,18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9,93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10,88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12,79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14,05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16,78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19,72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21,08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1,17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5,89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-6,45</w:t>
            </w:r>
          </w:p>
        </w:tc>
      </w:tr>
      <w:tr w:rsidR="004A1F27" w:rsidRPr="00102A7D" w:rsidTr="00656E68">
        <w:trPr>
          <w:trHeight w:val="315"/>
        </w:trPr>
        <w:tc>
          <w:tcPr>
            <w:tcW w:w="329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Porez na medj trgovinu i transak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2,35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7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1,90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2,37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-2,62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-3,35</w:t>
            </w:r>
          </w:p>
        </w:tc>
      </w:tr>
      <w:tr w:rsidR="004A1F27" w:rsidRPr="00102A7D" w:rsidTr="00656E68">
        <w:trPr>
          <w:trHeight w:val="330"/>
        </w:trPr>
        <w:tc>
          <w:tcPr>
            <w:tcW w:w="329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116,09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122,09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159,65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111,38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173,92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93,12</w:t>
            </w:r>
          </w:p>
        </w:tc>
        <w:tc>
          <w:tcPr>
            <w:tcW w:w="7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108,06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111,31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209,56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113,30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208,05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126,64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102,42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130,41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-11,78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20,86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-21,46</w:t>
            </w:r>
          </w:p>
        </w:tc>
      </w:tr>
      <w:tr w:rsidR="004A1F27" w:rsidRPr="00102A7D" w:rsidTr="00656E68">
        <w:trPr>
          <w:trHeight w:val="315"/>
        </w:trPr>
        <w:tc>
          <w:tcPr>
            <w:tcW w:w="32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Bruto zarade i doprinosi na teret poslodavca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33,57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32,19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28,62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31,71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31,10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30,03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30,72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31,56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33,92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28,05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31,61</w:t>
            </w:r>
          </w:p>
        </w:tc>
        <w:tc>
          <w:tcPr>
            <w:tcW w:w="75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-16,44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-2,33</w:t>
            </w:r>
          </w:p>
        </w:tc>
        <w:tc>
          <w:tcPr>
            <w:tcW w:w="75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-11,27</w:t>
            </w:r>
          </w:p>
        </w:tc>
      </w:tr>
      <w:tr w:rsidR="004A1F27" w:rsidRPr="00102A7D" w:rsidTr="00656E68">
        <w:trPr>
          <w:trHeight w:val="300"/>
        </w:trPr>
        <w:tc>
          <w:tcPr>
            <w:tcW w:w="32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Rashodi za materijal i usluge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5,94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5,30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8,69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6,36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4,63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5,17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5,91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-13,06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-4,44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-12,60</w:t>
            </w:r>
          </w:p>
        </w:tc>
      </w:tr>
      <w:tr w:rsidR="004A1F27" w:rsidRPr="00102A7D" w:rsidTr="00656E68">
        <w:trPr>
          <w:trHeight w:val="300"/>
        </w:trPr>
        <w:tc>
          <w:tcPr>
            <w:tcW w:w="32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Kamate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1,25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5,68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2,23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2,89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19,07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15,98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4,37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6,31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-21,17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11,73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-84,42</w:t>
            </w:r>
          </w:p>
        </w:tc>
      </w:tr>
      <w:tr w:rsidR="004A1F27" w:rsidRPr="00102A7D" w:rsidTr="00656E68">
        <w:trPr>
          <w:trHeight w:val="300"/>
        </w:trPr>
        <w:tc>
          <w:tcPr>
            <w:tcW w:w="32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Transferi za socijalnu zaštitu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41,82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39,29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40,46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40,89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42,84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40,07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40,86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40,50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40,97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40,99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40,37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39,16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42,07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-6,35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-1,81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-6,91</w:t>
            </w:r>
          </w:p>
        </w:tc>
      </w:tr>
      <w:tr w:rsidR="004A1F27" w:rsidRPr="00102A7D" w:rsidTr="00656E68">
        <w:trPr>
          <w:trHeight w:val="300"/>
        </w:trPr>
        <w:tc>
          <w:tcPr>
            <w:tcW w:w="32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Transferi instit, pojed i NVO sektoru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8,85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7,11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4,71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11,50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11,46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11,42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7,59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8,43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10,74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11,33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10,69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33,42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6,01</w:t>
            </w:r>
          </w:p>
        </w:tc>
      </w:tr>
      <w:tr w:rsidR="004A1F27" w:rsidRPr="00102A7D" w:rsidTr="00656E68">
        <w:trPr>
          <w:trHeight w:val="315"/>
        </w:trPr>
        <w:tc>
          <w:tcPr>
            <w:tcW w:w="329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Kapitalni izdaci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9,38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5,21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56,13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24,72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7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13,35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85,44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82,20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6,12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6,02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24,88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-35,77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372,99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-75,79</w:t>
            </w:r>
          </w:p>
        </w:tc>
      </w:tr>
      <w:tr w:rsidR="004A1F27" w:rsidRPr="00102A7D" w:rsidTr="00656E68">
        <w:trPr>
          <w:trHeight w:val="330"/>
        </w:trPr>
        <w:tc>
          <w:tcPr>
            <w:tcW w:w="329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10,46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-4,19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-1,44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-12,89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-18,67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-21,94</w:t>
            </w:r>
          </w:p>
        </w:tc>
        <w:tc>
          <w:tcPr>
            <w:tcW w:w="7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-21,31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-10,98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-98,00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-13,49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-89,77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21,94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-0,50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109,65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255,80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-4511,55</w:t>
            </w:r>
          </w:p>
        </w:tc>
      </w:tr>
      <w:tr w:rsidR="004A1F27" w:rsidRPr="00102A7D" w:rsidTr="00656E68">
        <w:trPr>
          <w:trHeight w:val="315"/>
        </w:trPr>
        <w:tc>
          <w:tcPr>
            <w:tcW w:w="32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Primarni bilans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11,71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-0,85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-12,33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-12,99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-19,71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-18,40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-5,94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-78,93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2,48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-85,40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22,92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5,82</w:t>
            </w:r>
          </w:p>
        </w:tc>
        <w:tc>
          <w:tcPr>
            <w:tcW w:w="75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95,71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1097,93</w:t>
            </w:r>
          </w:p>
        </w:tc>
        <w:tc>
          <w:tcPr>
            <w:tcW w:w="75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294,06</w:t>
            </w:r>
          </w:p>
        </w:tc>
      </w:tr>
      <w:tr w:rsidR="004A1F27" w:rsidRPr="00102A7D" w:rsidTr="00656E68">
        <w:trPr>
          <w:trHeight w:val="315"/>
        </w:trPr>
        <w:tc>
          <w:tcPr>
            <w:tcW w:w="329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Otplata dugova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4,55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14,57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5,47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31,22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17,04</w:t>
            </w:r>
          </w:p>
        </w:tc>
        <w:tc>
          <w:tcPr>
            <w:tcW w:w="7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30,82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39,72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5,17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34,90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50,36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33,19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-70,11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22,21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-95,91</w:t>
            </w:r>
          </w:p>
        </w:tc>
      </w:tr>
      <w:tr w:rsidR="004A1F27" w:rsidRPr="00102A7D" w:rsidTr="00656E68">
        <w:trPr>
          <w:trHeight w:val="330"/>
        </w:trPr>
        <w:tc>
          <w:tcPr>
            <w:tcW w:w="329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1.982,50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1.969,53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1.964,90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1.961,90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1.893,40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1938,00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2159,50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102A7D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4A1F27" w:rsidRPr="00102A7D" w:rsidTr="00656E68">
        <w:trPr>
          <w:trHeight w:val="315"/>
        </w:trPr>
        <w:tc>
          <w:tcPr>
            <w:tcW w:w="32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Domaći dug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406,90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394,93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392,20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389,80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381,20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395,90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372,20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-</w:t>
            </w:r>
          </w:p>
        </w:tc>
      </w:tr>
      <w:tr w:rsidR="004A1F27" w:rsidRPr="00102A7D" w:rsidTr="00656E68">
        <w:trPr>
          <w:trHeight w:val="300"/>
        </w:trPr>
        <w:tc>
          <w:tcPr>
            <w:tcW w:w="329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Inostrani dug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1.575,60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1.574,60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1.572,70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1.572,10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1.561,70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2047,70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2160,10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2A7D">
              <w:rPr>
                <w:sz w:val="16"/>
                <w:szCs w:val="16"/>
              </w:rPr>
              <w:t>-</w:t>
            </w:r>
          </w:p>
        </w:tc>
      </w:tr>
      <w:tr w:rsidR="004A1F27" w:rsidRPr="00102A7D" w:rsidTr="00656E68">
        <w:trPr>
          <w:trHeight w:val="480"/>
        </w:trPr>
        <w:tc>
          <w:tcPr>
            <w:tcW w:w="329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102A7D">
              <w:rPr>
                <w:color w:val="000000"/>
                <w:sz w:val="16"/>
                <w:szCs w:val="16"/>
              </w:rPr>
              <w:t>Depoziti*     (U skladu sa Zakonom o budžetu i fiskalnoj odgovornosti)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color w:val="000000"/>
              </w:rPr>
            </w:pPr>
            <w:r w:rsidRPr="00102A7D"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color w:val="000000"/>
              </w:rPr>
            </w:pPr>
            <w:r w:rsidRPr="00102A7D"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color w:val="000000"/>
              </w:rPr>
            </w:pPr>
            <w:r w:rsidRPr="00102A7D"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color w:val="000000"/>
              </w:rPr>
            </w:pPr>
            <w:r w:rsidRPr="00102A7D">
              <w:rPr>
                <w:color w:val="000000"/>
              </w:rPr>
              <w:t>-</w:t>
            </w:r>
          </w:p>
        </w:tc>
        <w:tc>
          <w:tcPr>
            <w:tcW w:w="78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49,50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color w:val="000000"/>
              </w:rPr>
            </w:pPr>
            <w:r w:rsidRPr="00102A7D">
              <w:rPr>
                <w:color w:val="000000"/>
              </w:rPr>
              <w:t xml:space="preserve">      -</w:t>
            </w:r>
          </w:p>
        </w:tc>
        <w:tc>
          <w:tcPr>
            <w:tcW w:w="7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color w:val="000000"/>
              </w:rPr>
            </w:pPr>
            <w:r w:rsidRPr="00102A7D">
              <w:rPr>
                <w:color w:val="000000"/>
              </w:rPr>
              <w:t xml:space="preserve">      -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505,60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372,80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02A7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color w:val="000000"/>
              </w:rPr>
            </w:pPr>
            <w:r w:rsidRPr="00102A7D">
              <w:rPr>
                <w:color w:val="000000"/>
              </w:rPr>
              <w:t xml:space="preserve">       -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color w:val="000000"/>
              </w:rPr>
            </w:pPr>
            <w:r w:rsidRPr="00102A7D">
              <w:rPr>
                <w:color w:val="000000"/>
              </w:rPr>
              <w:t xml:space="preserve">      -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color w:val="000000"/>
              </w:rPr>
            </w:pPr>
            <w:r w:rsidRPr="00102A7D">
              <w:rPr>
                <w:color w:val="000000"/>
              </w:rPr>
              <w:t xml:space="preserve">       -</w:t>
            </w:r>
          </w:p>
        </w:tc>
        <w:tc>
          <w:tcPr>
            <w:tcW w:w="7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A1F27" w:rsidRPr="00102A7D" w:rsidRDefault="004A1F27" w:rsidP="004A1F27">
            <w:pPr>
              <w:spacing w:after="0" w:line="240" w:lineRule="auto"/>
              <w:rPr>
                <w:color w:val="000000"/>
              </w:rPr>
            </w:pPr>
            <w:r w:rsidRPr="00102A7D">
              <w:rPr>
                <w:color w:val="000000"/>
              </w:rPr>
              <w:t xml:space="preserve">      -</w:t>
            </w:r>
          </w:p>
        </w:tc>
      </w:tr>
    </w:tbl>
    <w:p w:rsidR="00AC7399" w:rsidRDefault="00AC7399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AC7399" w:rsidRDefault="00AC7399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830962" w:rsidRPr="006A50FA" w:rsidRDefault="00830962" w:rsidP="00830962">
      <w:pPr>
        <w:spacing w:after="0" w:line="240" w:lineRule="auto"/>
        <w:rPr>
          <w:i/>
          <w:iCs/>
          <w:sz w:val="16"/>
          <w:szCs w:val="16"/>
        </w:rPr>
      </w:pPr>
      <w:r w:rsidRPr="006A50FA">
        <w:rPr>
          <w:i/>
          <w:iCs/>
          <w:sz w:val="16"/>
          <w:szCs w:val="16"/>
        </w:rPr>
        <w:t>Izvor: Ministarstvo finansija Crne Gore</w:t>
      </w:r>
    </w:p>
    <w:sectPr w:rsidR="00830962" w:rsidRPr="006A50FA" w:rsidSect="00053B0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B863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ABE" w:rsidRDefault="00E36ABE" w:rsidP="00965FCD">
      <w:pPr>
        <w:spacing w:after="0" w:line="240" w:lineRule="auto"/>
      </w:pPr>
      <w:r>
        <w:separator/>
      </w:r>
    </w:p>
  </w:endnote>
  <w:endnote w:type="continuationSeparator" w:id="0">
    <w:p w:rsidR="00E36ABE" w:rsidRDefault="00E36ABE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ABE" w:rsidRDefault="00E36ABE" w:rsidP="00965FCD">
      <w:pPr>
        <w:spacing w:after="0" w:line="240" w:lineRule="auto"/>
      </w:pPr>
      <w:r>
        <w:separator/>
      </w:r>
    </w:p>
  </w:footnote>
  <w:footnote w:type="continuationSeparator" w:id="0">
    <w:p w:rsidR="00E36ABE" w:rsidRDefault="00E36ABE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929"/>
    <w:multiLevelType w:val="hybridMultilevel"/>
    <w:tmpl w:val="91FAB53C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44420"/>
    <w:multiLevelType w:val="hybridMultilevel"/>
    <w:tmpl w:val="6D141CC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455C5"/>
    <w:multiLevelType w:val="hybridMultilevel"/>
    <w:tmpl w:val="A3349FA2"/>
    <w:lvl w:ilvl="0" w:tplc="0D8ACA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6A1A73"/>
    <w:multiLevelType w:val="hybridMultilevel"/>
    <w:tmpl w:val="B010D43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40F0C99"/>
    <w:multiLevelType w:val="hybridMultilevel"/>
    <w:tmpl w:val="B010D43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668F7"/>
    <w:multiLevelType w:val="hybridMultilevel"/>
    <w:tmpl w:val="B6A42554"/>
    <w:lvl w:ilvl="0" w:tplc="8524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F76453A"/>
    <w:multiLevelType w:val="hybridMultilevel"/>
    <w:tmpl w:val="C51085F4"/>
    <w:lvl w:ilvl="0" w:tplc="58DA0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D6A9E"/>
    <w:multiLevelType w:val="hybridMultilevel"/>
    <w:tmpl w:val="7FB84D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99401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1D6498"/>
    <w:multiLevelType w:val="hybridMultilevel"/>
    <w:tmpl w:val="D71CF9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34FA9"/>
    <w:multiLevelType w:val="hybridMultilevel"/>
    <w:tmpl w:val="28C6A5DE"/>
    <w:lvl w:ilvl="0" w:tplc="A99EAD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5E58CA"/>
    <w:multiLevelType w:val="hybridMultilevel"/>
    <w:tmpl w:val="F788E09E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292"/>
    <w:multiLevelType w:val="hybridMultilevel"/>
    <w:tmpl w:val="C1E068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9"/>
  </w:num>
  <w:num w:numId="3">
    <w:abstractNumId w:val="39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9"/>
  </w:num>
  <w:num w:numId="8">
    <w:abstractNumId w:val="3"/>
  </w:num>
  <w:num w:numId="9">
    <w:abstractNumId w:val="0"/>
  </w:num>
  <w:num w:numId="10">
    <w:abstractNumId w:val="37"/>
  </w:num>
  <w:num w:numId="11">
    <w:abstractNumId w:val="2"/>
  </w:num>
  <w:num w:numId="12">
    <w:abstractNumId w:val="35"/>
  </w:num>
  <w:num w:numId="13">
    <w:abstractNumId w:val="31"/>
  </w:num>
  <w:num w:numId="14">
    <w:abstractNumId w:val="11"/>
  </w:num>
  <w:num w:numId="15">
    <w:abstractNumId w:val="8"/>
  </w:num>
  <w:num w:numId="16">
    <w:abstractNumId w:val="22"/>
  </w:num>
  <w:num w:numId="17">
    <w:abstractNumId w:val="13"/>
  </w:num>
  <w:num w:numId="18">
    <w:abstractNumId w:val="26"/>
  </w:num>
  <w:num w:numId="19">
    <w:abstractNumId w:val="12"/>
  </w:num>
  <w:num w:numId="20">
    <w:abstractNumId w:val="23"/>
  </w:num>
  <w:num w:numId="21">
    <w:abstractNumId w:val="25"/>
  </w:num>
  <w:num w:numId="22">
    <w:abstractNumId w:val="18"/>
  </w:num>
  <w:num w:numId="23">
    <w:abstractNumId w:val="17"/>
  </w:num>
  <w:num w:numId="24">
    <w:abstractNumId w:val="33"/>
  </w:num>
  <w:num w:numId="25">
    <w:abstractNumId w:val="6"/>
  </w:num>
  <w:num w:numId="26">
    <w:abstractNumId w:val="14"/>
  </w:num>
  <w:num w:numId="27">
    <w:abstractNumId w:val="30"/>
  </w:num>
  <w:num w:numId="28">
    <w:abstractNumId w:val="5"/>
  </w:num>
  <w:num w:numId="29">
    <w:abstractNumId w:val="7"/>
  </w:num>
  <w:num w:numId="30">
    <w:abstractNumId w:val="24"/>
  </w:num>
  <w:num w:numId="31">
    <w:abstractNumId w:val="34"/>
  </w:num>
  <w:num w:numId="32">
    <w:abstractNumId w:val="20"/>
  </w:num>
  <w:num w:numId="33">
    <w:abstractNumId w:val="38"/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5"/>
  </w:num>
  <w:num w:numId="37">
    <w:abstractNumId w:val="28"/>
  </w:num>
  <w:num w:numId="38">
    <w:abstractNumId w:val="19"/>
  </w:num>
  <w:num w:numId="39">
    <w:abstractNumId w:val="4"/>
  </w:num>
  <w:num w:numId="40">
    <w:abstractNumId w:val="1"/>
  </w:num>
  <w:num w:numId="41">
    <w:abstractNumId w:val="36"/>
  </w:num>
  <w:num w:numId="42">
    <w:abstractNumId w:val="15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1410"/>
  </w:hdrShapeDefaults>
  <w:footnotePr>
    <w:footnote w:id="-1"/>
    <w:footnote w:id="0"/>
  </w:footnotePr>
  <w:endnotePr>
    <w:endnote w:id="-1"/>
    <w:endnote w:id="0"/>
  </w:endnotePr>
  <w:compat/>
  <w:rsids>
    <w:rsidRoot w:val="00D61692"/>
    <w:rsid w:val="000000CB"/>
    <w:rsid w:val="00000106"/>
    <w:rsid w:val="000009E1"/>
    <w:rsid w:val="000010A3"/>
    <w:rsid w:val="00003D78"/>
    <w:rsid w:val="000040B3"/>
    <w:rsid w:val="000049D6"/>
    <w:rsid w:val="00004B56"/>
    <w:rsid w:val="00005AD2"/>
    <w:rsid w:val="00005D5A"/>
    <w:rsid w:val="00005E41"/>
    <w:rsid w:val="00007424"/>
    <w:rsid w:val="00007FAD"/>
    <w:rsid w:val="00012F84"/>
    <w:rsid w:val="0001302D"/>
    <w:rsid w:val="000130FF"/>
    <w:rsid w:val="0001459D"/>
    <w:rsid w:val="000147A0"/>
    <w:rsid w:val="00014AAB"/>
    <w:rsid w:val="00014D0B"/>
    <w:rsid w:val="00014E6A"/>
    <w:rsid w:val="00016312"/>
    <w:rsid w:val="0001641E"/>
    <w:rsid w:val="0001692A"/>
    <w:rsid w:val="00017070"/>
    <w:rsid w:val="000178F1"/>
    <w:rsid w:val="00017AE3"/>
    <w:rsid w:val="0002071C"/>
    <w:rsid w:val="00021033"/>
    <w:rsid w:val="000211E4"/>
    <w:rsid w:val="000216CA"/>
    <w:rsid w:val="000224B4"/>
    <w:rsid w:val="00022789"/>
    <w:rsid w:val="00022F81"/>
    <w:rsid w:val="0002327A"/>
    <w:rsid w:val="00024DC9"/>
    <w:rsid w:val="0002564B"/>
    <w:rsid w:val="00025AC0"/>
    <w:rsid w:val="000263A4"/>
    <w:rsid w:val="00026971"/>
    <w:rsid w:val="0002713B"/>
    <w:rsid w:val="00027D5E"/>
    <w:rsid w:val="000300F0"/>
    <w:rsid w:val="00030DAB"/>
    <w:rsid w:val="000314E5"/>
    <w:rsid w:val="00031722"/>
    <w:rsid w:val="00031FAD"/>
    <w:rsid w:val="00032524"/>
    <w:rsid w:val="00032D34"/>
    <w:rsid w:val="0003370D"/>
    <w:rsid w:val="000341DE"/>
    <w:rsid w:val="000347DB"/>
    <w:rsid w:val="00034923"/>
    <w:rsid w:val="0003497A"/>
    <w:rsid w:val="00034D15"/>
    <w:rsid w:val="00034D42"/>
    <w:rsid w:val="00034F07"/>
    <w:rsid w:val="0003544A"/>
    <w:rsid w:val="0003620F"/>
    <w:rsid w:val="00036822"/>
    <w:rsid w:val="000369E1"/>
    <w:rsid w:val="000370CF"/>
    <w:rsid w:val="00037558"/>
    <w:rsid w:val="00037B58"/>
    <w:rsid w:val="00037BED"/>
    <w:rsid w:val="0004205C"/>
    <w:rsid w:val="000421A3"/>
    <w:rsid w:val="00042CE6"/>
    <w:rsid w:val="0004399F"/>
    <w:rsid w:val="00043BF6"/>
    <w:rsid w:val="00043DED"/>
    <w:rsid w:val="000449CD"/>
    <w:rsid w:val="00044CB0"/>
    <w:rsid w:val="00045654"/>
    <w:rsid w:val="00045D59"/>
    <w:rsid w:val="00046C9E"/>
    <w:rsid w:val="00050101"/>
    <w:rsid w:val="00050D3F"/>
    <w:rsid w:val="00050EAB"/>
    <w:rsid w:val="000525B8"/>
    <w:rsid w:val="00052732"/>
    <w:rsid w:val="00052BB7"/>
    <w:rsid w:val="00052DC4"/>
    <w:rsid w:val="00053B0C"/>
    <w:rsid w:val="00054068"/>
    <w:rsid w:val="0005456C"/>
    <w:rsid w:val="000547A1"/>
    <w:rsid w:val="00054837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395"/>
    <w:rsid w:val="000645F3"/>
    <w:rsid w:val="00065B6F"/>
    <w:rsid w:val="00066C17"/>
    <w:rsid w:val="00067726"/>
    <w:rsid w:val="00067FD6"/>
    <w:rsid w:val="00070965"/>
    <w:rsid w:val="000712B9"/>
    <w:rsid w:val="0007229B"/>
    <w:rsid w:val="00072932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6F82"/>
    <w:rsid w:val="000771F2"/>
    <w:rsid w:val="00077211"/>
    <w:rsid w:val="00080AEE"/>
    <w:rsid w:val="000812E2"/>
    <w:rsid w:val="0008138F"/>
    <w:rsid w:val="00082395"/>
    <w:rsid w:val="00082D87"/>
    <w:rsid w:val="000831EE"/>
    <w:rsid w:val="00083320"/>
    <w:rsid w:val="00083D05"/>
    <w:rsid w:val="000846A0"/>
    <w:rsid w:val="00084C03"/>
    <w:rsid w:val="00085B67"/>
    <w:rsid w:val="0008654B"/>
    <w:rsid w:val="000874DD"/>
    <w:rsid w:val="00087A5D"/>
    <w:rsid w:val="00087B90"/>
    <w:rsid w:val="00090807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47A0"/>
    <w:rsid w:val="0009505C"/>
    <w:rsid w:val="0009548F"/>
    <w:rsid w:val="000956EB"/>
    <w:rsid w:val="000963A6"/>
    <w:rsid w:val="000963C2"/>
    <w:rsid w:val="00097527"/>
    <w:rsid w:val="00097E38"/>
    <w:rsid w:val="000A01B0"/>
    <w:rsid w:val="000A0BBC"/>
    <w:rsid w:val="000A1159"/>
    <w:rsid w:val="000A1459"/>
    <w:rsid w:val="000A14DA"/>
    <w:rsid w:val="000A1866"/>
    <w:rsid w:val="000A2350"/>
    <w:rsid w:val="000A2E85"/>
    <w:rsid w:val="000A2F52"/>
    <w:rsid w:val="000A33CB"/>
    <w:rsid w:val="000A3D69"/>
    <w:rsid w:val="000A4226"/>
    <w:rsid w:val="000A42FE"/>
    <w:rsid w:val="000A43CE"/>
    <w:rsid w:val="000A47FF"/>
    <w:rsid w:val="000A4E37"/>
    <w:rsid w:val="000A5E23"/>
    <w:rsid w:val="000A787A"/>
    <w:rsid w:val="000A7FBB"/>
    <w:rsid w:val="000B19D0"/>
    <w:rsid w:val="000B1DD7"/>
    <w:rsid w:val="000B28FC"/>
    <w:rsid w:val="000B2B16"/>
    <w:rsid w:val="000B31EE"/>
    <w:rsid w:val="000B34E4"/>
    <w:rsid w:val="000B37A3"/>
    <w:rsid w:val="000B40A4"/>
    <w:rsid w:val="000B45AB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26C8"/>
    <w:rsid w:val="000C2FAD"/>
    <w:rsid w:val="000C3655"/>
    <w:rsid w:val="000C36DB"/>
    <w:rsid w:val="000C4998"/>
    <w:rsid w:val="000C5764"/>
    <w:rsid w:val="000C5FBB"/>
    <w:rsid w:val="000C64EF"/>
    <w:rsid w:val="000C65A2"/>
    <w:rsid w:val="000C6818"/>
    <w:rsid w:val="000C7278"/>
    <w:rsid w:val="000C72DD"/>
    <w:rsid w:val="000D0368"/>
    <w:rsid w:val="000D0374"/>
    <w:rsid w:val="000D09EB"/>
    <w:rsid w:val="000D0BE6"/>
    <w:rsid w:val="000D1AA8"/>
    <w:rsid w:val="000D2DFE"/>
    <w:rsid w:val="000D52CF"/>
    <w:rsid w:val="000D588E"/>
    <w:rsid w:val="000D5D48"/>
    <w:rsid w:val="000D5ED7"/>
    <w:rsid w:val="000D6471"/>
    <w:rsid w:val="000D6CD4"/>
    <w:rsid w:val="000D6DF1"/>
    <w:rsid w:val="000D75EE"/>
    <w:rsid w:val="000D765B"/>
    <w:rsid w:val="000D7A66"/>
    <w:rsid w:val="000E13EB"/>
    <w:rsid w:val="000E2251"/>
    <w:rsid w:val="000E2351"/>
    <w:rsid w:val="000E294A"/>
    <w:rsid w:val="000E2D8A"/>
    <w:rsid w:val="000E3987"/>
    <w:rsid w:val="000E3AEE"/>
    <w:rsid w:val="000E40CC"/>
    <w:rsid w:val="000E4DD4"/>
    <w:rsid w:val="000E5336"/>
    <w:rsid w:val="000E57DE"/>
    <w:rsid w:val="000E5DCB"/>
    <w:rsid w:val="000E6096"/>
    <w:rsid w:val="000E621C"/>
    <w:rsid w:val="000E77A4"/>
    <w:rsid w:val="000E7A16"/>
    <w:rsid w:val="000E7E9D"/>
    <w:rsid w:val="000F1010"/>
    <w:rsid w:val="000F1186"/>
    <w:rsid w:val="000F1AA9"/>
    <w:rsid w:val="000F260E"/>
    <w:rsid w:val="000F4D73"/>
    <w:rsid w:val="000F595D"/>
    <w:rsid w:val="000F5B09"/>
    <w:rsid w:val="000F6577"/>
    <w:rsid w:val="000F6B64"/>
    <w:rsid w:val="000F6C6B"/>
    <w:rsid w:val="000F756E"/>
    <w:rsid w:val="000F7DDF"/>
    <w:rsid w:val="00100371"/>
    <w:rsid w:val="001008AF"/>
    <w:rsid w:val="001021CB"/>
    <w:rsid w:val="00102368"/>
    <w:rsid w:val="00102786"/>
    <w:rsid w:val="001030CC"/>
    <w:rsid w:val="0010339D"/>
    <w:rsid w:val="00103CA9"/>
    <w:rsid w:val="00103FF0"/>
    <w:rsid w:val="001040F3"/>
    <w:rsid w:val="0010452C"/>
    <w:rsid w:val="00105AEF"/>
    <w:rsid w:val="00106446"/>
    <w:rsid w:val="0010656B"/>
    <w:rsid w:val="00106632"/>
    <w:rsid w:val="00107128"/>
    <w:rsid w:val="00107647"/>
    <w:rsid w:val="00107A07"/>
    <w:rsid w:val="00110756"/>
    <w:rsid w:val="001119DE"/>
    <w:rsid w:val="00111A0E"/>
    <w:rsid w:val="00111C8A"/>
    <w:rsid w:val="001124C4"/>
    <w:rsid w:val="001124FF"/>
    <w:rsid w:val="00112853"/>
    <w:rsid w:val="00112E23"/>
    <w:rsid w:val="001137C1"/>
    <w:rsid w:val="00114109"/>
    <w:rsid w:val="001141E2"/>
    <w:rsid w:val="00114378"/>
    <w:rsid w:val="00115519"/>
    <w:rsid w:val="00115C83"/>
    <w:rsid w:val="00116365"/>
    <w:rsid w:val="001164A1"/>
    <w:rsid w:val="00116545"/>
    <w:rsid w:val="00116A8F"/>
    <w:rsid w:val="00117393"/>
    <w:rsid w:val="00117AB0"/>
    <w:rsid w:val="001209D0"/>
    <w:rsid w:val="00120A3A"/>
    <w:rsid w:val="0012343E"/>
    <w:rsid w:val="00123460"/>
    <w:rsid w:val="00123850"/>
    <w:rsid w:val="00123909"/>
    <w:rsid w:val="00123BF5"/>
    <w:rsid w:val="00123CBD"/>
    <w:rsid w:val="00124730"/>
    <w:rsid w:val="001251D5"/>
    <w:rsid w:val="0012708A"/>
    <w:rsid w:val="0012719F"/>
    <w:rsid w:val="001276C7"/>
    <w:rsid w:val="00127B5A"/>
    <w:rsid w:val="00130DCC"/>
    <w:rsid w:val="00131185"/>
    <w:rsid w:val="00131A38"/>
    <w:rsid w:val="001321AB"/>
    <w:rsid w:val="001326B7"/>
    <w:rsid w:val="00132999"/>
    <w:rsid w:val="00132A0C"/>
    <w:rsid w:val="00132E99"/>
    <w:rsid w:val="00133348"/>
    <w:rsid w:val="00134645"/>
    <w:rsid w:val="00134816"/>
    <w:rsid w:val="00134A21"/>
    <w:rsid w:val="00134C6C"/>
    <w:rsid w:val="00136C72"/>
    <w:rsid w:val="00136E70"/>
    <w:rsid w:val="00137563"/>
    <w:rsid w:val="001419A9"/>
    <w:rsid w:val="00141D67"/>
    <w:rsid w:val="00141FDD"/>
    <w:rsid w:val="00143EB8"/>
    <w:rsid w:val="00143FCB"/>
    <w:rsid w:val="00144C86"/>
    <w:rsid w:val="00144E08"/>
    <w:rsid w:val="00144EE5"/>
    <w:rsid w:val="0014607D"/>
    <w:rsid w:val="00147278"/>
    <w:rsid w:val="00150230"/>
    <w:rsid w:val="00150707"/>
    <w:rsid w:val="00151155"/>
    <w:rsid w:val="00152409"/>
    <w:rsid w:val="00152E4F"/>
    <w:rsid w:val="001530CE"/>
    <w:rsid w:val="0015322D"/>
    <w:rsid w:val="00153490"/>
    <w:rsid w:val="00153685"/>
    <w:rsid w:val="00153FA4"/>
    <w:rsid w:val="00154145"/>
    <w:rsid w:val="0015515C"/>
    <w:rsid w:val="00156A83"/>
    <w:rsid w:val="00156C2D"/>
    <w:rsid w:val="00156E33"/>
    <w:rsid w:val="001575F1"/>
    <w:rsid w:val="00157601"/>
    <w:rsid w:val="001577A1"/>
    <w:rsid w:val="00160183"/>
    <w:rsid w:val="00160A29"/>
    <w:rsid w:val="001610BD"/>
    <w:rsid w:val="001613FC"/>
    <w:rsid w:val="00162294"/>
    <w:rsid w:val="001627A3"/>
    <w:rsid w:val="00163041"/>
    <w:rsid w:val="00163A7B"/>
    <w:rsid w:val="00163AF0"/>
    <w:rsid w:val="001644C7"/>
    <w:rsid w:val="001646BA"/>
    <w:rsid w:val="00165773"/>
    <w:rsid w:val="00165DE6"/>
    <w:rsid w:val="00167281"/>
    <w:rsid w:val="001672AB"/>
    <w:rsid w:val="001678F1"/>
    <w:rsid w:val="001708D0"/>
    <w:rsid w:val="00170C82"/>
    <w:rsid w:val="00170CCE"/>
    <w:rsid w:val="00172053"/>
    <w:rsid w:val="00172816"/>
    <w:rsid w:val="00172D59"/>
    <w:rsid w:val="00172F78"/>
    <w:rsid w:val="001730BE"/>
    <w:rsid w:val="00174836"/>
    <w:rsid w:val="00174FD6"/>
    <w:rsid w:val="00175115"/>
    <w:rsid w:val="0017540F"/>
    <w:rsid w:val="001754F5"/>
    <w:rsid w:val="0017563A"/>
    <w:rsid w:val="00175718"/>
    <w:rsid w:val="001768D8"/>
    <w:rsid w:val="00177AD9"/>
    <w:rsid w:val="00181309"/>
    <w:rsid w:val="0018179A"/>
    <w:rsid w:val="00181AC2"/>
    <w:rsid w:val="001824C2"/>
    <w:rsid w:val="00182872"/>
    <w:rsid w:val="0018289E"/>
    <w:rsid w:val="0018331D"/>
    <w:rsid w:val="001836FA"/>
    <w:rsid w:val="00184FDC"/>
    <w:rsid w:val="0018592D"/>
    <w:rsid w:val="00185B3C"/>
    <w:rsid w:val="0018626E"/>
    <w:rsid w:val="0018666E"/>
    <w:rsid w:val="00186BEF"/>
    <w:rsid w:val="00186F09"/>
    <w:rsid w:val="0018739E"/>
    <w:rsid w:val="0018794A"/>
    <w:rsid w:val="00187C66"/>
    <w:rsid w:val="00190285"/>
    <w:rsid w:val="00191F90"/>
    <w:rsid w:val="00192506"/>
    <w:rsid w:val="00192F1E"/>
    <w:rsid w:val="00193080"/>
    <w:rsid w:val="001931C2"/>
    <w:rsid w:val="00193785"/>
    <w:rsid w:val="001942BA"/>
    <w:rsid w:val="001971A8"/>
    <w:rsid w:val="001A0035"/>
    <w:rsid w:val="001A02DD"/>
    <w:rsid w:val="001A0A6C"/>
    <w:rsid w:val="001A2829"/>
    <w:rsid w:val="001A2F7A"/>
    <w:rsid w:val="001A3233"/>
    <w:rsid w:val="001A392F"/>
    <w:rsid w:val="001A4F8D"/>
    <w:rsid w:val="001A594D"/>
    <w:rsid w:val="001A5B99"/>
    <w:rsid w:val="001A65F4"/>
    <w:rsid w:val="001A7319"/>
    <w:rsid w:val="001A783E"/>
    <w:rsid w:val="001B0396"/>
    <w:rsid w:val="001B0D03"/>
    <w:rsid w:val="001B17AD"/>
    <w:rsid w:val="001B1D1D"/>
    <w:rsid w:val="001B259F"/>
    <w:rsid w:val="001B25FF"/>
    <w:rsid w:val="001B3267"/>
    <w:rsid w:val="001B399F"/>
    <w:rsid w:val="001B3BE3"/>
    <w:rsid w:val="001B4CB9"/>
    <w:rsid w:val="001B4F99"/>
    <w:rsid w:val="001B6D24"/>
    <w:rsid w:val="001B725A"/>
    <w:rsid w:val="001B7AD0"/>
    <w:rsid w:val="001B7C2A"/>
    <w:rsid w:val="001B7D00"/>
    <w:rsid w:val="001C0237"/>
    <w:rsid w:val="001C0AB4"/>
    <w:rsid w:val="001C1490"/>
    <w:rsid w:val="001C1928"/>
    <w:rsid w:val="001C1F7E"/>
    <w:rsid w:val="001C2278"/>
    <w:rsid w:val="001C229B"/>
    <w:rsid w:val="001C22CB"/>
    <w:rsid w:val="001C237D"/>
    <w:rsid w:val="001C23DD"/>
    <w:rsid w:val="001C264C"/>
    <w:rsid w:val="001C2751"/>
    <w:rsid w:val="001C2855"/>
    <w:rsid w:val="001C51EC"/>
    <w:rsid w:val="001C5CE9"/>
    <w:rsid w:val="001C6120"/>
    <w:rsid w:val="001C6698"/>
    <w:rsid w:val="001C6750"/>
    <w:rsid w:val="001C6781"/>
    <w:rsid w:val="001C6817"/>
    <w:rsid w:val="001C6D1F"/>
    <w:rsid w:val="001C70BA"/>
    <w:rsid w:val="001D0226"/>
    <w:rsid w:val="001D0A32"/>
    <w:rsid w:val="001D1E4C"/>
    <w:rsid w:val="001D21BD"/>
    <w:rsid w:val="001D37FD"/>
    <w:rsid w:val="001D4E81"/>
    <w:rsid w:val="001D5428"/>
    <w:rsid w:val="001D7822"/>
    <w:rsid w:val="001E0784"/>
    <w:rsid w:val="001E2403"/>
    <w:rsid w:val="001E29C8"/>
    <w:rsid w:val="001E29D1"/>
    <w:rsid w:val="001E2BC7"/>
    <w:rsid w:val="001E33FE"/>
    <w:rsid w:val="001E4002"/>
    <w:rsid w:val="001E4EAE"/>
    <w:rsid w:val="001E53D5"/>
    <w:rsid w:val="001E56F1"/>
    <w:rsid w:val="001E5BE3"/>
    <w:rsid w:val="001E5E69"/>
    <w:rsid w:val="001E67C0"/>
    <w:rsid w:val="001E698E"/>
    <w:rsid w:val="001F1378"/>
    <w:rsid w:val="001F181F"/>
    <w:rsid w:val="001F19CC"/>
    <w:rsid w:val="001F27F8"/>
    <w:rsid w:val="001F2B57"/>
    <w:rsid w:val="001F3E69"/>
    <w:rsid w:val="001F4118"/>
    <w:rsid w:val="001F4C02"/>
    <w:rsid w:val="001F69DD"/>
    <w:rsid w:val="001F7445"/>
    <w:rsid w:val="001F7741"/>
    <w:rsid w:val="001F7C33"/>
    <w:rsid w:val="001F7C4B"/>
    <w:rsid w:val="002000E5"/>
    <w:rsid w:val="00200602"/>
    <w:rsid w:val="00200A3F"/>
    <w:rsid w:val="002010F0"/>
    <w:rsid w:val="00201AEB"/>
    <w:rsid w:val="00202423"/>
    <w:rsid w:val="0020246C"/>
    <w:rsid w:val="00203447"/>
    <w:rsid w:val="0020440D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269"/>
    <w:rsid w:val="002135A2"/>
    <w:rsid w:val="002135B1"/>
    <w:rsid w:val="002138EC"/>
    <w:rsid w:val="0021614C"/>
    <w:rsid w:val="002167C4"/>
    <w:rsid w:val="00216A75"/>
    <w:rsid w:val="00216C6D"/>
    <w:rsid w:val="00220834"/>
    <w:rsid w:val="00220B59"/>
    <w:rsid w:val="002210E9"/>
    <w:rsid w:val="00222175"/>
    <w:rsid w:val="0022227F"/>
    <w:rsid w:val="00223E45"/>
    <w:rsid w:val="00224AD0"/>
    <w:rsid w:val="00224D43"/>
    <w:rsid w:val="002251C3"/>
    <w:rsid w:val="00225534"/>
    <w:rsid w:val="00225F74"/>
    <w:rsid w:val="002260FD"/>
    <w:rsid w:val="002263B3"/>
    <w:rsid w:val="0022695C"/>
    <w:rsid w:val="0022764C"/>
    <w:rsid w:val="00227682"/>
    <w:rsid w:val="00227D75"/>
    <w:rsid w:val="0023022D"/>
    <w:rsid w:val="0023090D"/>
    <w:rsid w:val="00230C34"/>
    <w:rsid w:val="00230DE8"/>
    <w:rsid w:val="00230FA2"/>
    <w:rsid w:val="00231268"/>
    <w:rsid w:val="00232185"/>
    <w:rsid w:val="00232A05"/>
    <w:rsid w:val="00232FA0"/>
    <w:rsid w:val="002330B6"/>
    <w:rsid w:val="00233D4D"/>
    <w:rsid w:val="0023443E"/>
    <w:rsid w:val="00234902"/>
    <w:rsid w:val="00235857"/>
    <w:rsid w:val="00236B99"/>
    <w:rsid w:val="00237066"/>
    <w:rsid w:val="00237455"/>
    <w:rsid w:val="00237CC5"/>
    <w:rsid w:val="00240136"/>
    <w:rsid w:val="002402CA"/>
    <w:rsid w:val="00240CF4"/>
    <w:rsid w:val="002417C5"/>
    <w:rsid w:val="00242535"/>
    <w:rsid w:val="002427AE"/>
    <w:rsid w:val="00243419"/>
    <w:rsid w:val="00244B5D"/>
    <w:rsid w:val="002457D5"/>
    <w:rsid w:val="00245A6C"/>
    <w:rsid w:val="00245B04"/>
    <w:rsid w:val="00247F1B"/>
    <w:rsid w:val="002503CE"/>
    <w:rsid w:val="0025102C"/>
    <w:rsid w:val="0025137D"/>
    <w:rsid w:val="00252FF6"/>
    <w:rsid w:val="002537BD"/>
    <w:rsid w:val="00253ECF"/>
    <w:rsid w:val="00253F71"/>
    <w:rsid w:val="00256550"/>
    <w:rsid w:val="0025660E"/>
    <w:rsid w:val="0025713F"/>
    <w:rsid w:val="0025757E"/>
    <w:rsid w:val="00257D9D"/>
    <w:rsid w:val="00257EFB"/>
    <w:rsid w:val="00260066"/>
    <w:rsid w:val="00260465"/>
    <w:rsid w:val="00260688"/>
    <w:rsid w:val="00260976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74B"/>
    <w:rsid w:val="00270FD9"/>
    <w:rsid w:val="00271075"/>
    <w:rsid w:val="002717A8"/>
    <w:rsid w:val="0027226D"/>
    <w:rsid w:val="002723A7"/>
    <w:rsid w:val="002723D9"/>
    <w:rsid w:val="00273280"/>
    <w:rsid w:val="00273D6D"/>
    <w:rsid w:val="0027442C"/>
    <w:rsid w:val="00274EBC"/>
    <w:rsid w:val="00275609"/>
    <w:rsid w:val="0027581A"/>
    <w:rsid w:val="00276665"/>
    <w:rsid w:val="0027672F"/>
    <w:rsid w:val="0027697B"/>
    <w:rsid w:val="00277445"/>
    <w:rsid w:val="0027775D"/>
    <w:rsid w:val="00277D24"/>
    <w:rsid w:val="00280105"/>
    <w:rsid w:val="0028074A"/>
    <w:rsid w:val="00280AED"/>
    <w:rsid w:val="00281E75"/>
    <w:rsid w:val="0028233F"/>
    <w:rsid w:val="002823F9"/>
    <w:rsid w:val="00282488"/>
    <w:rsid w:val="00282B2B"/>
    <w:rsid w:val="00282DBE"/>
    <w:rsid w:val="00283704"/>
    <w:rsid w:val="00283DB5"/>
    <w:rsid w:val="00284027"/>
    <w:rsid w:val="002843B8"/>
    <w:rsid w:val="00284B2C"/>
    <w:rsid w:val="00285B0F"/>
    <w:rsid w:val="00287019"/>
    <w:rsid w:val="00287A18"/>
    <w:rsid w:val="00290CF1"/>
    <w:rsid w:val="002916F7"/>
    <w:rsid w:val="0029214C"/>
    <w:rsid w:val="00292EC3"/>
    <w:rsid w:val="00294586"/>
    <w:rsid w:val="00294DE0"/>
    <w:rsid w:val="00295DA2"/>
    <w:rsid w:val="00296081"/>
    <w:rsid w:val="00296127"/>
    <w:rsid w:val="002961DB"/>
    <w:rsid w:val="00296B08"/>
    <w:rsid w:val="002977E4"/>
    <w:rsid w:val="00297AC4"/>
    <w:rsid w:val="002A02C9"/>
    <w:rsid w:val="002A046A"/>
    <w:rsid w:val="002A08D7"/>
    <w:rsid w:val="002A0CAC"/>
    <w:rsid w:val="002A0D49"/>
    <w:rsid w:val="002A10A8"/>
    <w:rsid w:val="002A1639"/>
    <w:rsid w:val="002A1B2B"/>
    <w:rsid w:val="002A1CC2"/>
    <w:rsid w:val="002A1DC4"/>
    <w:rsid w:val="002A226A"/>
    <w:rsid w:val="002A235B"/>
    <w:rsid w:val="002A2BD6"/>
    <w:rsid w:val="002A2CED"/>
    <w:rsid w:val="002A2FB6"/>
    <w:rsid w:val="002A3E56"/>
    <w:rsid w:val="002A4910"/>
    <w:rsid w:val="002A5A8C"/>
    <w:rsid w:val="002A5C73"/>
    <w:rsid w:val="002A68B8"/>
    <w:rsid w:val="002A72CF"/>
    <w:rsid w:val="002B0705"/>
    <w:rsid w:val="002B0DED"/>
    <w:rsid w:val="002B10AE"/>
    <w:rsid w:val="002B210C"/>
    <w:rsid w:val="002B318C"/>
    <w:rsid w:val="002B3824"/>
    <w:rsid w:val="002B5129"/>
    <w:rsid w:val="002B552A"/>
    <w:rsid w:val="002B74C5"/>
    <w:rsid w:val="002B77D8"/>
    <w:rsid w:val="002B7CC9"/>
    <w:rsid w:val="002C010C"/>
    <w:rsid w:val="002C095E"/>
    <w:rsid w:val="002C1A52"/>
    <w:rsid w:val="002C1FBF"/>
    <w:rsid w:val="002C25C6"/>
    <w:rsid w:val="002C2DFD"/>
    <w:rsid w:val="002C3F24"/>
    <w:rsid w:val="002C454A"/>
    <w:rsid w:val="002C4737"/>
    <w:rsid w:val="002C47B8"/>
    <w:rsid w:val="002C4845"/>
    <w:rsid w:val="002C4A81"/>
    <w:rsid w:val="002C6879"/>
    <w:rsid w:val="002C6888"/>
    <w:rsid w:val="002C73F7"/>
    <w:rsid w:val="002C75B9"/>
    <w:rsid w:val="002C78FB"/>
    <w:rsid w:val="002C7BD3"/>
    <w:rsid w:val="002D02D5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8AA"/>
    <w:rsid w:val="002D4C71"/>
    <w:rsid w:val="002D4C76"/>
    <w:rsid w:val="002D4CDE"/>
    <w:rsid w:val="002D5187"/>
    <w:rsid w:val="002D54A4"/>
    <w:rsid w:val="002D5865"/>
    <w:rsid w:val="002D6027"/>
    <w:rsid w:val="002D6F60"/>
    <w:rsid w:val="002D77A7"/>
    <w:rsid w:val="002D7BA6"/>
    <w:rsid w:val="002E00C9"/>
    <w:rsid w:val="002E068D"/>
    <w:rsid w:val="002E294A"/>
    <w:rsid w:val="002E3693"/>
    <w:rsid w:val="002E4D6D"/>
    <w:rsid w:val="002E5F01"/>
    <w:rsid w:val="002E6CB0"/>
    <w:rsid w:val="002F03B5"/>
    <w:rsid w:val="002F184C"/>
    <w:rsid w:val="002F19E7"/>
    <w:rsid w:val="002F1BFF"/>
    <w:rsid w:val="002F2166"/>
    <w:rsid w:val="002F21EC"/>
    <w:rsid w:val="002F323A"/>
    <w:rsid w:val="002F3706"/>
    <w:rsid w:val="002F3B70"/>
    <w:rsid w:val="002F47D9"/>
    <w:rsid w:val="002F5002"/>
    <w:rsid w:val="002F567B"/>
    <w:rsid w:val="002F579B"/>
    <w:rsid w:val="002F58BF"/>
    <w:rsid w:val="002F58EC"/>
    <w:rsid w:val="002F5EEC"/>
    <w:rsid w:val="002F6AB2"/>
    <w:rsid w:val="002F707E"/>
    <w:rsid w:val="002F7C7C"/>
    <w:rsid w:val="002F7DB2"/>
    <w:rsid w:val="003001BB"/>
    <w:rsid w:val="003004B8"/>
    <w:rsid w:val="00301CC0"/>
    <w:rsid w:val="00301F99"/>
    <w:rsid w:val="003022A7"/>
    <w:rsid w:val="0030242C"/>
    <w:rsid w:val="0030254B"/>
    <w:rsid w:val="00303173"/>
    <w:rsid w:val="00303D85"/>
    <w:rsid w:val="00303F02"/>
    <w:rsid w:val="0030680B"/>
    <w:rsid w:val="00306ADD"/>
    <w:rsid w:val="00306B1D"/>
    <w:rsid w:val="00307430"/>
    <w:rsid w:val="00307512"/>
    <w:rsid w:val="00307F4D"/>
    <w:rsid w:val="0031098B"/>
    <w:rsid w:val="00311A9D"/>
    <w:rsid w:val="00312994"/>
    <w:rsid w:val="0031387C"/>
    <w:rsid w:val="00313CA3"/>
    <w:rsid w:val="00314EC3"/>
    <w:rsid w:val="0031558E"/>
    <w:rsid w:val="00315780"/>
    <w:rsid w:val="00315B94"/>
    <w:rsid w:val="00315C84"/>
    <w:rsid w:val="003165E5"/>
    <w:rsid w:val="003201BC"/>
    <w:rsid w:val="00320293"/>
    <w:rsid w:val="0032080D"/>
    <w:rsid w:val="003212E4"/>
    <w:rsid w:val="003217C9"/>
    <w:rsid w:val="00321CA6"/>
    <w:rsid w:val="00322238"/>
    <w:rsid w:val="003225A9"/>
    <w:rsid w:val="00322DF3"/>
    <w:rsid w:val="00323E6A"/>
    <w:rsid w:val="00324951"/>
    <w:rsid w:val="00325C96"/>
    <w:rsid w:val="00326769"/>
    <w:rsid w:val="00327AC3"/>
    <w:rsid w:val="00327BFC"/>
    <w:rsid w:val="00330832"/>
    <w:rsid w:val="00330C13"/>
    <w:rsid w:val="00330C4A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719"/>
    <w:rsid w:val="00333C49"/>
    <w:rsid w:val="00334FEC"/>
    <w:rsid w:val="0033573B"/>
    <w:rsid w:val="00336033"/>
    <w:rsid w:val="0033636B"/>
    <w:rsid w:val="00337362"/>
    <w:rsid w:val="00337607"/>
    <w:rsid w:val="00337648"/>
    <w:rsid w:val="00340752"/>
    <w:rsid w:val="00340909"/>
    <w:rsid w:val="003409C9"/>
    <w:rsid w:val="0034116C"/>
    <w:rsid w:val="00341583"/>
    <w:rsid w:val="00341F7C"/>
    <w:rsid w:val="00344204"/>
    <w:rsid w:val="00344581"/>
    <w:rsid w:val="00344DF2"/>
    <w:rsid w:val="003454A9"/>
    <w:rsid w:val="00345ADD"/>
    <w:rsid w:val="0034655C"/>
    <w:rsid w:val="00346A8A"/>
    <w:rsid w:val="00346FFA"/>
    <w:rsid w:val="00347212"/>
    <w:rsid w:val="00347594"/>
    <w:rsid w:val="00350496"/>
    <w:rsid w:val="00350CFE"/>
    <w:rsid w:val="00350FA3"/>
    <w:rsid w:val="0035139C"/>
    <w:rsid w:val="003524FD"/>
    <w:rsid w:val="00353B78"/>
    <w:rsid w:val="00354656"/>
    <w:rsid w:val="00354DDA"/>
    <w:rsid w:val="00355F01"/>
    <w:rsid w:val="003561B8"/>
    <w:rsid w:val="003568F4"/>
    <w:rsid w:val="00357182"/>
    <w:rsid w:val="00357B8D"/>
    <w:rsid w:val="00357E66"/>
    <w:rsid w:val="00360100"/>
    <w:rsid w:val="00360197"/>
    <w:rsid w:val="00360F21"/>
    <w:rsid w:val="00361309"/>
    <w:rsid w:val="003616DB"/>
    <w:rsid w:val="00361C27"/>
    <w:rsid w:val="003625F1"/>
    <w:rsid w:val="00362CC0"/>
    <w:rsid w:val="003634DC"/>
    <w:rsid w:val="003638CF"/>
    <w:rsid w:val="00363A53"/>
    <w:rsid w:val="00363C84"/>
    <w:rsid w:val="00364D14"/>
    <w:rsid w:val="0036512F"/>
    <w:rsid w:val="00365311"/>
    <w:rsid w:val="003655B6"/>
    <w:rsid w:val="00365E46"/>
    <w:rsid w:val="00366100"/>
    <w:rsid w:val="003667BB"/>
    <w:rsid w:val="00366F41"/>
    <w:rsid w:val="00367D77"/>
    <w:rsid w:val="003724C4"/>
    <w:rsid w:val="00375E12"/>
    <w:rsid w:val="003764BE"/>
    <w:rsid w:val="00376523"/>
    <w:rsid w:val="00376D64"/>
    <w:rsid w:val="003771DA"/>
    <w:rsid w:val="0037726C"/>
    <w:rsid w:val="00377697"/>
    <w:rsid w:val="00377A53"/>
    <w:rsid w:val="003804E7"/>
    <w:rsid w:val="00380869"/>
    <w:rsid w:val="003809F3"/>
    <w:rsid w:val="0038117E"/>
    <w:rsid w:val="0038135E"/>
    <w:rsid w:val="003813A6"/>
    <w:rsid w:val="00381900"/>
    <w:rsid w:val="00381B03"/>
    <w:rsid w:val="0038259A"/>
    <w:rsid w:val="00382F01"/>
    <w:rsid w:val="00384476"/>
    <w:rsid w:val="003846BE"/>
    <w:rsid w:val="00384DC2"/>
    <w:rsid w:val="00386B62"/>
    <w:rsid w:val="003873E1"/>
    <w:rsid w:val="00387C29"/>
    <w:rsid w:val="00387DAD"/>
    <w:rsid w:val="0039047F"/>
    <w:rsid w:val="00390732"/>
    <w:rsid w:val="00391CC7"/>
    <w:rsid w:val="00392472"/>
    <w:rsid w:val="0039257B"/>
    <w:rsid w:val="003935B1"/>
    <w:rsid w:val="0039441A"/>
    <w:rsid w:val="00395C18"/>
    <w:rsid w:val="003963AA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2AD"/>
    <w:rsid w:val="003A1E5E"/>
    <w:rsid w:val="003A2AF5"/>
    <w:rsid w:val="003A372A"/>
    <w:rsid w:val="003A5C77"/>
    <w:rsid w:val="003A5EB6"/>
    <w:rsid w:val="003A68AE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9FC"/>
    <w:rsid w:val="003B1A29"/>
    <w:rsid w:val="003B1C22"/>
    <w:rsid w:val="003B1D25"/>
    <w:rsid w:val="003B2900"/>
    <w:rsid w:val="003B2B30"/>
    <w:rsid w:val="003B2CAA"/>
    <w:rsid w:val="003B30D8"/>
    <w:rsid w:val="003B31EF"/>
    <w:rsid w:val="003B3299"/>
    <w:rsid w:val="003B3EDA"/>
    <w:rsid w:val="003B436A"/>
    <w:rsid w:val="003B450F"/>
    <w:rsid w:val="003B48D5"/>
    <w:rsid w:val="003B4F8C"/>
    <w:rsid w:val="003B51CD"/>
    <w:rsid w:val="003B5512"/>
    <w:rsid w:val="003B62EC"/>
    <w:rsid w:val="003B6749"/>
    <w:rsid w:val="003B6844"/>
    <w:rsid w:val="003B6B3A"/>
    <w:rsid w:val="003B75FC"/>
    <w:rsid w:val="003B7F5E"/>
    <w:rsid w:val="003C0B90"/>
    <w:rsid w:val="003C1215"/>
    <w:rsid w:val="003C14C9"/>
    <w:rsid w:val="003C15EF"/>
    <w:rsid w:val="003C1D23"/>
    <w:rsid w:val="003C2071"/>
    <w:rsid w:val="003C2670"/>
    <w:rsid w:val="003C3A57"/>
    <w:rsid w:val="003C42D1"/>
    <w:rsid w:val="003C4817"/>
    <w:rsid w:val="003C5E7B"/>
    <w:rsid w:val="003C6787"/>
    <w:rsid w:val="003C6A22"/>
    <w:rsid w:val="003C6A99"/>
    <w:rsid w:val="003C7870"/>
    <w:rsid w:val="003C7961"/>
    <w:rsid w:val="003C79AC"/>
    <w:rsid w:val="003D1EDB"/>
    <w:rsid w:val="003D3260"/>
    <w:rsid w:val="003D4359"/>
    <w:rsid w:val="003D4739"/>
    <w:rsid w:val="003D49BD"/>
    <w:rsid w:val="003D4D5D"/>
    <w:rsid w:val="003D5413"/>
    <w:rsid w:val="003D56FD"/>
    <w:rsid w:val="003D6440"/>
    <w:rsid w:val="003D7546"/>
    <w:rsid w:val="003D75A1"/>
    <w:rsid w:val="003D789B"/>
    <w:rsid w:val="003D78F3"/>
    <w:rsid w:val="003D7D58"/>
    <w:rsid w:val="003E0266"/>
    <w:rsid w:val="003E0C4A"/>
    <w:rsid w:val="003E151E"/>
    <w:rsid w:val="003E221F"/>
    <w:rsid w:val="003E3296"/>
    <w:rsid w:val="003E3953"/>
    <w:rsid w:val="003E3C65"/>
    <w:rsid w:val="003E3F0E"/>
    <w:rsid w:val="003E4749"/>
    <w:rsid w:val="003E4CC0"/>
    <w:rsid w:val="003E51DE"/>
    <w:rsid w:val="003E5B35"/>
    <w:rsid w:val="003E5D3F"/>
    <w:rsid w:val="003E60D1"/>
    <w:rsid w:val="003E6360"/>
    <w:rsid w:val="003E719B"/>
    <w:rsid w:val="003E757E"/>
    <w:rsid w:val="003F0052"/>
    <w:rsid w:val="003F0CAE"/>
    <w:rsid w:val="003F0EA8"/>
    <w:rsid w:val="003F250B"/>
    <w:rsid w:val="003F3687"/>
    <w:rsid w:val="003F5183"/>
    <w:rsid w:val="003F56BD"/>
    <w:rsid w:val="003F5A35"/>
    <w:rsid w:val="003F7085"/>
    <w:rsid w:val="0040060E"/>
    <w:rsid w:val="00400626"/>
    <w:rsid w:val="00400871"/>
    <w:rsid w:val="00400C11"/>
    <w:rsid w:val="004010A8"/>
    <w:rsid w:val="00401DED"/>
    <w:rsid w:val="00402680"/>
    <w:rsid w:val="00402C40"/>
    <w:rsid w:val="00404325"/>
    <w:rsid w:val="00404546"/>
    <w:rsid w:val="00406097"/>
    <w:rsid w:val="00406C7B"/>
    <w:rsid w:val="00407182"/>
    <w:rsid w:val="004078E5"/>
    <w:rsid w:val="00407FE4"/>
    <w:rsid w:val="00412727"/>
    <w:rsid w:val="00412F68"/>
    <w:rsid w:val="0041311D"/>
    <w:rsid w:val="00413243"/>
    <w:rsid w:val="00413CAA"/>
    <w:rsid w:val="00413FFD"/>
    <w:rsid w:val="004149B0"/>
    <w:rsid w:val="00415784"/>
    <w:rsid w:val="00415806"/>
    <w:rsid w:val="004159BE"/>
    <w:rsid w:val="004168B3"/>
    <w:rsid w:val="0041784C"/>
    <w:rsid w:val="00417DAC"/>
    <w:rsid w:val="00417E13"/>
    <w:rsid w:val="0042010A"/>
    <w:rsid w:val="00420CBC"/>
    <w:rsid w:val="00421432"/>
    <w:rsid w:val="00421732"/>
    <w:rsid w:val="00421A12"/>
    <w:rsid w:val="00421CD5"/>
    <w:rsid w:val="00421E9D"/>
    <w:rsid w:val="00422784"/>
    <w:rsid w:val="004233E5"/>
    <w:rsid w:val="00423A12"/>
    <w:rsid w:val="00423EE9"/>
    <w:rsid w:val="004258FE"/>
    <w:rsid w:val="00425998"/>
    <w:rsid w:val="00425EC2"/>
    <w:rsid w:val="00427187"/>
    <w:rsid w:val="00427696"/>
    <w:rsid w:val="00427FB8"/>
    <w:rsid w:val="004306A4"/>
    <w:rsid w:val="00431253"/>
    <w:rsid w:val="00431CDE"/>
    <w:rsid w:val="00432066"/>
    <w:rsid w:val="004330BE"/>
    <w:rsid w:val="00435D37"/>
    <w:rsid w:val="00436469"/>
    <w:rsid w:val="00436FB4"/>
    <w:rsid w:val="004375C6"/>
    <w:rsid w:val="004379FA"/>
    <w:rsid w:val="0044041E"/>
    <w:rsid w:val="00442E20"/>
    <w:rsid w:val="0044465C"/>
    <w:rsid w:val="0044519A"/>
    <w:rsid w:val="004453B9"/>
    <w:rsid w:val="0044550D"/>
    <w:rsid w:val="00445736"/>
    <w:rsid w:val="00446DA9"/>
    <w:rsid w:val="004471B9"/>
    <w:rsid w:val="00447221"/>
    <w:rsid w:val="004509F6"/>
    <w:rsid w:val="0045207A"/>
    <w:rsid w:val="00452E5F"/>
    <w:rsid w:val="004534F1"/>
    <w:rsid w:val="00453CE3"/>
    <w:rsid w:val="00454093"/>
    <w:rsid w:val="00454C7D"/>
    <w:rsid w:val="00455227"/>
    <w:rsid w:val="004553F5"/>
    <w:rsid w:val="00455A56"/>
    <w:rsid w:val="00456193"/>
    <w:rsid w:val="00456F4F"/>
    <w:rsid w:val="004574D9"/>
    <w:rsid w:val="0045758B"/>
    <w:rsid w:val="00457ACE"/>
    <w:rsid w:val="00461324"/>
    <w:rsid w:val="0046148B"/>
    <w:rsid w:val="00461657"/>
    <w:rsid w:val="00461995"/>
    <w:rsid w:val="00461BB0"/>
    <w:rsid w:val="004620F4"/>
    <w:rsid w:val="00462BC8"/>
    <w:rsid w:val="00463225"/>
    <w:rsid w:val="004634E4"/>
    <w:rsid w:val="00463506"/>
    <w:rsid w:val="004639A5"/>
    <w:rsid w:val="004647F3"/>
    <w:rsid w:val="00464A12"/>
    <w:rsid w:val="004655E7"/>
    <w:rsid w:val="0046659C"/>
    <w:rsid w:val="00466A02"/>
    <w:rsid w:val="00466E96"/>
    <w:rsid w:val="00466F15"/>
    <w:rsid w:val="00467156"/>
    <w:rsid w:val="00467511"/>
    <w:rsid w:val="0047022C"/>
    <w:rsid w:val="00470C83"/>
    <w:rsid w:val="00470C90"/>
    <w:rsid w:val="004710EC"/>
    <w:rsid w:val="00471E2A"/>
    <w:rsid w:val="004725CB"/>
    <w:rsid w:val="0047278D"/>
    <w:rsid w:val="00472CF3"/>
    <w:rsid w:val="004732BC"/>
    <w:rsid w:val="00473CD4"/>
    <w:rsid w:val="00475763"/>
    <w:rsid w:val="00475BE2"/>
    <w:rsid w:val="00480082"/>
    <w:rsid w:val="004807ED"/>
    <w:rsid w:val="00480CF1"/>
    <w:rsid w:val="00483B9D"/>
    <w:rsid w:val="0048470D"/>
    <w:rsid w:val="004848E8"/>
    <w:rsid w:val="00484EA7"/>
    <w:rsid w:val="004861C6"/>
    <w:rsid w:val="004864AA"/>
    <w:rsid w:val="004865CE"/>
    <w:rsid w:val="004868F5"/>
    <w:rsid w:val="0048699B"/>
    <w:rsid w:val="00487296"/>
    <w:rsid w:val="0049070F"/>
    <w:rsid w:val="00491368"/>
    <w:rsid w:val="0049250B"/>
    <w:rsid w:val="00492B70"/>
    <w:rsid w:val="00492CE5"/>
    <w:rsid w:val="004932C1"/>
    <w:rsid w:val="00493B63"/>
    <w:rsid w:val="00493F77"/>
    <w:rsid w:val="00493FC9"/>
    <w:rsid w:val="004940E0"/>
    <w:rsid w:val="00496006"/>
    <w:rsid w:val="00496861"/>
    <w:rsid w:val="00496EAC"/>
    <w:rsid w:val="004A1113"/>
    <w:rsid w:val="004A1F27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A6EA9"/>
    <w:rsid w:val="004B0052"/>
    <w:rsid w:val="004B0B47"/>
    <w:rsid w:val="004B1C2A"/>
    <w:rsid w:val="004B1ECF"/>
    <w:rsid w:val="004B32A5"/>
    <w:rsid w:val="004B378C"/>
    <w:rsid w:val="004B41B2"/>
    <w:rsid w:val="004B50C6"/>
    <w:rsid w:val="004B533B"/>
    <w:rsid w:val="004B5F63"/>
    <w:rsid w:val="004B7800"/>
    <w:rsid w:val="004B7883"/>
    <w:rsid w:val="004B7C4B"/>
    <w:rsid w:val="004C0135"/>
    <w:rsid w:val="004C0176"/>
    <w:rsid w:val="004C0541"/>
    <w:rsid w:val="004C0F79"/>
    <w:rsid w:val="004C16F3"/>
    <w:rsid w:val="004C1D3E"/>
    <w:rsid w:val="004C206D"/>
    <w:rsid w:val="004C2EA5"/>
    <w:rsid w:val="004C373F"/>
    <w:rsid w:val="004C3C31"/>
    <w:rsid w:val="004C4C0D"/>
    <w:rsid w:val="004C550B"/>
    <w:rsid w:val="004C659C"/>
    <w:rsid w:val="004C721B"/>
    <w:rsid w:val="004D0D12"/>
    <w:rsid w:val="004D1FE9"/>
    <w:rsid w:val="004D40C6"/>
    <w:rsid w:val="004D42CF"/>
    <w:rsid w:val="004D49A0"/>
    <w:rsid w:val="004D4E0F"/>
    <w:rsid w:val="004D6472"/>
    <w:rsid w:val="004D7775"/>
    <w:rsid w:val="004D791C"/>
    <w:rsid w:val="004E02D3"/>
    <w:rsid w:val="004E0DE7"/>
    <w:rsid w:val="004E12DB"/>
    <w:rsid w:val="004E277A"/>
    <w:rsid w:val="004E28B9"/>
    <w:rsid w:val="004E366C"/>
    <w:rsid w:val="004E4063"/>
    <w:rsid w:val="004E40DA"/>
    <w:rsid w:val="004E475F"/>
    <w:rsid w:val="004E5F03"/>
    <w:rsid w:val="004E6169"/>
    <w:rsid w:val="004E6ACE"/>
    <w:rsid w:val="004E6C21"/>
    <w:rsid w:val="004E6F45"/>
    <w:rsid w:val="004E7335"/>
    <w:rsid w:val="004E7676"/>
    <w:rsid w:val="004F17AF"/>
    <w:rsid w:val="004F2797"/>
    <w:rsid w:val="004F288B"/>
    <w:rsid w:val="004F31D0"/>
    <w:rsid w:val="004F3817"/>
    <w:rsid w:val="004F4CFC"/>
    <w:rsid w:val="004F50B8"/>
    <w:rsid w:val="004F5C17"/>
    <w:rsid w:val="004F5DA8"/>
    <w:rsid w:val="004F6217"/>
    <w:rsid w:val="004F62C2"/>
    <w:rsid w:val="004F731B"/>
    <w:rsid w:val="004F7808"/>
    <w:rsid w:val="004F7D2D"/>
    <w:rsid w:val="004F7F54"/>
    <w:rsid w:val="004F7F71"/>
    <w:rsid w:val="005025EC"/>
    <w:rsid w:val="005027D6"/>
    <w:rsid w:val="0050365D"/>
    <w:rsid w:val="00505CF2"/>
    <w:rsid w:val="005065E6"/>
    <w:rsid w:val="005070CF"/>
    <w:rsid w:val="005078B9"/>
    <w:rsid w:val="00507D4D"/>
    <w:rsid w:val="00507FBA"/>
    <w:rsid w:val="00511DDF"/>
    <w:rsid w:val="00511F1F"/>
    <w:rsid w:val="0051201B"/>
    <w:rsid w:val="0051345D"/>
    <w:rsid w:val="005138BF"/>
    <w:rsid w:val="005157FF"/>
    <w:rsid w:val="005161CB"/>
    <w:rsid w:val="00516264"/>
    <w:rsid w:val="00516511"/>
    <w:rsid w:val="00517175"/>
    <w:rsid w:val="00517590"/>
    <w:rsid w:val="00517B19"/>
    <w:rsid w:val="00521DE6"/>
    <w:rsid w:val="005221F4"/>
    <w:rsid w:val="00522282"/>
    <w:rsid w:val="00522A1E"/>
    <w:rsid w:val="00524587"/>
    <w:rsid w:val="0052511E"/>
    <w:rsid w:val="0052531F"/>
    <w:rsid w:val="005253C0"/>
    <w:rsid w:val="005253D1"/>
    <w:rsid w:val="005264EC"/>
    <w:rsid w:val="00526611"/>
    <w:rsid w:val="0052692F"/>
    <w:rsid w:val="00526AFB"/>
    <w:rsid w:val="005276A8"/>
    <w:rsid w:val="0053016A"/>
    <w:rsid w:val="005308B0"/>
    <w:rsid w:val="005309A7"/>
    <w:rsid w:val="00530AE6"/>
    <w:rsid w:val="00531684"/>
    <w:rsid w:val="00532B88"/>
    <w:rsid w:val="005331BD"/>
    <w:rsid w:val="0053330B"/>
    <w:rsid w:val="005337B0"/>
    <w:rsid w:val="00533C4D"/>
    <w:rsid w:val="005340BA"/>
    <w:rsid w:val="00534284"/>
    <w:rsid w:val="005343F8"/>
    <w:rsid w:val="00534ED3"/>
    <w:rsid w:val="0053502A"/>
    <w:rsid w:val="005360E1"/>
    <w:rsid w:val="0053621B"/>
    <w:rsid w:val="00536525"/>
    <w:rsid w:val="0053722D"/>
    <w:rsid w:val="005374C9"/>
    <w:rsid w:val="00537819"/>
    <w:rsid w:val="00540842"/>
    <w:rsid w:val="00540D55"/>
    <w:rsid w:val="00541131"/>
    <w:rsid w:val="00541314"/>
    <w:rsid w:val="00541453"/>
    <w:rsid w:val="00541D70"/>
    <w:rsid w:val="005426C0"/>
    <w:rsid w:val="005429A2"/>
    <w:rsid w:val="005436E2"/>
    <w:rsid w:val="00543A1F"/>
    <w:rsid w:val="00543F14"/>
    <w:rsid w:val="00543F2D"/>
    <w:rsid w:val="005441E1"/>
    <w:rsid w:val="00544263"/>
    <w:rsid w:val="00544E2A"/>
    <w:rsid w:val="00544EC8"/>
    <w:rsid w:val="0054502C"/>
    <w:rsid w:val="00545372"/>
    <w:rsid w:val="005468F5"/>
    <w:rsid w:val="00546967"/>
    <w:rsid w:val="00547212"/>
    <w:rsid w:val="0054739E"/>
    <w:rsid w:val="005479C8"/>
    <w:rsid w:val="00547B34"/>
    <w:rsid w:val="00547C53"/>
    <w:rsid w:val="005511AD"/>
    <w:rsid w:val="005523CF"/>
    <w:rsid w:val="00552402"/>
    <w:rsid w:val="00552F77"/>
    <w:rsid w:val="0055364A"/>
    <w:rsid w:val="00553E61"/>
    <w:rsid w:val="0055409D"/>
    <w:rsid w:val="0055411D"/>
    <w:rsid w:val="00554387"/>
    <w:rsid w:val="00554E10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2C5"/>
    <w:rsid w:val="00561716"/>
    <w:rsid w:val="00561992"/>
    <w:rsid w:val="00562086"/>
    <w:rsid w:val="005626A9"/>
    <w:rsid w:val="005636A8"/>
    <w:rsid w:val="00564436"/>
    <w:rsid w:val="005644BB"/>
    <w:rsid w:val="0056509E"/>
    <w:rsid w:val="00565662"/>
    <w:rsid w:val="00565D84"/>
    <w:rsid w:val="0056644C"/>
    <w:rsid w:val="005664B8"/>
    <w:rsid w:val="00566BFA"/>
    <w:rsid w:val="005700F4"/>
    <w:rsid w:val="00570C9B"/>
    <w:rsid w:val="00570EEF"/>
    <w:rsid w:val="005715D6"/>
    <w:rsid w:val="00571A37"/>
    <w:rsid w:val="0057438A"/>
    <w:rsid w:val="00575B7D"/>
    <w:rsid w:val="00575E14"/>
    <w:rsid w:val="00575E37"/>
    <w:rsid w:val="005764FB"/>
    <w:rsid w:val="00576E5D"/>
    <w:rsid w:val="00580172"/>
    <w:rsid w:val="00580203"/>
    <w:rsid w:val="00580859"/>
    <w:rsid w:val="00581749"/>
    <w:rsid w:val="005818A8"/>
    <w:rsid w:val="00581CFE"/>
    <w:rsid w:val="00581D4E"/>
    <w:rsid w:val="005829D9"/>
    <w:rsid w:val="00583591"/>
    <w:rsid w:val="005838F0"/>
    <w:rsid w:val="0058458E"/>
    <w:rsid w:val="00584669"/>
    <w:rsid w:val="005852D2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1720"/>
    <w:rsid w:val="00591D48"/>
    <w:rsid w:val="00592A7D"/>
    <w:rsid w:val="00592DF3"/>
    <w:rsid w:val="00593B25"/>
    <w:rsid w:val="00595DA2"/>
    <w:rsid w:val="00596079"/>
    <w:rsid w:val="005966E6"/>
    <w:rsid w:val="00596746"/>
    <w:rsid w:val="005A0061"/>
    <w:rsid w:val="005A054F"/>
    <w:rsid w:val="005A0B3D"/>
    <w:rsid w:val="005A13E6"/>
    <w:rsid w:val="005A17DE"/>
    <w:rsid w:val="005A1C61"/>
    <w:rsid w:val="005A2BD0"/>
    <w:rsid w:val="005A2CA1"/>
    <w:rsid w:val="005A47F5"/>
    <w:rsid w:val="005A4AB8"/>
    <w:rsid w:val="005A5064"/>
    <w:rsid w:val="005A5229"/>
    <w:rsid w:val="005B0DB1"/>
    <w:rsid w:val="005B155D"/>
    <w:rsid w:val="005B18F4"/>
    <w:rsid w:val="005B25F8"/>
    <w:rsid w:val="005B2BF5"/>
    <w:rsid w:val="005B2E65"/>
    <w:rsid w:val="005B2F26"/>
    <w:rsid w:val="005B32A9"/>
    <w:rsid w:val="005B5CB7"/>
    <w:rsid w:val="005B5F21"/>
    <w:rsid w:val="005B7040"/>
    <w:rsid w:val="005C0E5B"/>
    <w:rsid w:val="005C19AB"/>
    <w:rsid w:val="005C2D8D"/>
    <w:rsid w:val="005C363C"/>
    <w:rsid w:val="005C3727"/>
    <w:rsid w:val="005C3915"/>
    <w:rsid w:val="005C3D3E"/>
    <w:rsid w:val="005C4379"/>
    <w:rsid w:val="005C4CBE"/>
    <w:rsid w:val="005C4DBD"/>
    <w:rsid w:val="005C4E87"/>
    <w:rsid w:val="005C5D27"/>
    <w:rsid w:val="005C5F38"/>
    <w:rsid w:val="005C7637"/>
    <w:rsid w:val="005C7786"/>
    <w:rsid w:val="005D07D1"/>
    <w:rsid w:val="005D0E14"/>
    <w:rsid w:val="005D165C"/>
    <w:rsid w:val="005D2F3D"/>
    <w:rsid w:val="005D483A"/>
    <w:rsid w:val="005D48A0"/>
    <w:rsid w:val="005D4BC4"/>
    <w:rsid w:val="005D5D14"/>
    <w:rsid w:val="005D5E2D"/>
    <w:rsid w:val="005D6EEB"/>
    <w:rsid w:val="005D751B"/>
    <w:rsid w:val="005D7FE7"/>
    <w:rsid w:val="005E0358"/>
    <w:rsid w:val="005E038B"/>
    <w:rsid w:val="005E150E"/>
    <w:rsid w:val="005E184E"/>
    <w:rsid w:val="005E199C"/>
    <w:rsid w:val="005E2852"/>
    <w:rsid w:val="005E2B06"/>
    <w:rsid w:val="005E2EE9"/>
    <w:rsid w:val="005E35C9"/>
    <w:rsid w:val="005E4CD1"/>
    <w:rsid w:val="005E55DD"/>
    <w:rsid w:val="005E5941"/>
    <w:rsid w:val="005E6D35"/>
    <w:rsid w:val="005F060E"/>
    <w:rsid w:val="005F13D5"/>
    <w:rsid w:val="005F38AB"/>
    <w:rsid w:val="005F3F2A"/>
    <w:rsid w:val="005F50EA"/>
    <w:rsid w:val="005F568D"/>
    <w:rsid w:val="005F599A"/>
    <w:rsid w:val="005F6253"/>
    <w:rsid w:val="005F66B5"/>
    <w:rsid w:val="005F7479"/>
    <w:rsid w:val="005F7FD7"/>
    <w:rsid w:val="006006C6"/>
    <w:rsid w:val="0060487F"/>
    <w:rsid w:val="0060509D"/>
    <w:rsid w:val="006050EA"/>
    <w:rsid w:val="0060546E"/>
    <w:rsid w:val="00605707"/>
    <w:rsid w:val="0060648E"/>
    <w:rsid w:val="006070E0"/>
    <w:rsid w:val="006071F2"/>
    <w:rsid w:val="00607217"/>
    <w:rsid w:val="00607500"/>
    <w:rsid w:val="00607541"/>
    <w:rsid w:val="0061084D"/>
    <w:rsid w:val="00610DDD"/>
    <w:rsid w:val="006113DD"/>
    <w:rsid w:val="00611BC2"/>
    <w:rsid w:val="006127E9"/>
    <w:rsid w:val="00612945"/>
    <w:rsid w:val="00612A53"/>
    <w:rsid w:val="00612A74"/>
    <w:rsid w:val="00612DDA"/>
    <w:rsid w:val="00612F5E"/>
    <w:rsid w:val="00613445"/>
    <w:rsid w:val="00613676"/>
    <w:rsid w:val="006139C9"/>
    <w:rsid w:val="006142D5"/>
    <w:rsid w:val="006152FB"/>
    <w:rsid w:val="0061569F"/>
    <w:rsid w:val="00616B6E"/>
    <w:rsid w:val="00617CA0"/>
    <w:rsid w:val="0062060B"/>
    <w:rsid w:val="00620ACF"/>
    <w:rsid w:val="00620FA4"/>
    <w:rsid w:val="0062188F"/>
    <w:rsid w:val="00621B53"/>
    <w:rsid w:val="0062271A"/>
    <w:rsid w:val="00622F10"/>
    <w:rsid w:val="00622FAC"/>
    <w:rsid w:val="0062363A"/>
    <w:rsid w:val="00623BC4"/>
    <w:rsid w:val="00624389"/>
    <w:rsid w:val="00624C12"/>
    <w:rsid w:val="00625243"/>
    <w:rsid w:val="00630010"/>
    <w:rsid w:val="006304FD"/>
    <w:rsid w:val="00630F6D"/>
    <w:rsid w:val="00632692"/>
    <w:rsid w:val="006332DD"/>
    <w:rsid w:val="006341A9"/>
    <w:rsid w:val="00634B74"/>
    <w:rsid w:val="006357BA"/>
    <w:rsid w:val="0063610A"/>
    <w:rsid w:val="006364A1"/>
    <w:rsid w:val="00636B8E"/>
    <w:rsid w:val="006422F7"/>
    <w:rsid w:val="00642A13"/>
    <w:rsid w:val="00642F40"/>
    <w:rsid w:val="006435D8"/>
    <w:rsid w:val="006439D3"/>
    <w:rsid w:val="006442DC"/>
    <w:rsid w:val="0064542D"/>
    <w:rsid w:val="00645ED4"/>
    <w:rsid w:val="00647463"/>
    <w:rsid w:val="00647B12"/>
    <w:rsid w:val="006509EE"/>
    <w:rsid w:val="00650AC3"/>
    <w:rsid w:val="00650FF3"/>
    <w:rsid w:val="00651027"/>
    <w:rsid w:val="0065108A"/>
    <w:rsid w:val="00651454"/>
    <w:rsid w:val="006526F3"/>
    <w:rsid w:val="006534C5"/>
    <w:rsid w:val="0065398C"/>
    <w:rsid w:val="00653CF3"/>
    <w:rsid w:val="0065416C"/>
    <w:rsid w:val="00654A8A"/>
    <w:rsid w:val="00654F62"/>
    <w:rsid w:val="0065518C"/>
    <w:rsid w:val="0065597E"/>
    <w:rsid w:val="00655E97"/>
    <w:rsid w:val="0065608E"/>
    <w:rsid w:val="00656E68"/>
    <w:rsid w:val="0065763E"/>
    <w:rsid w:val="0065775B"/>
    <w:rsid w:val="00657F58"/>
    <w:rsid w:val="00661339"/>
    <w:rsid w:val="006618A3"/>
    <w:rsid w:val="00661C7E"/>
    <w:rsid w:val="00661E40"/>
    <w:rsid w:val="00662030"/>
    <w:rsid w:val="00663690"/>
    <w:rsid w:val="00663FF0"/>
    <w:rsid w:val="00664211"/>
    <w:rsid w:val="00664A4D"/>
    <w:rsid w:val="00664DEB"/>
    <w:rsid w:val="006655B0"/>
    <w:rsid w:val="00665DCB"/>
    <w:rsid w:val="00666EFC"/>
    <w:rsid w:val="0066756D"/>
    <w:rsid w:val="00670040"/>
    <w:rsid w:val="00670373"/>
    <w:rsid w:val="006705D4"/>
    <w:rsid w:val="00670C5E"/>
    <w:rsid w:val="00670C6E"/>
    <w:rsid w:val="00671200"/>
    <w:rsid w:val="006717A8"/>
    <w:rsid w:val="00671844"/>
    <w:rsid w:val="00671961"/>
    <w:rsid w:val="006719B2"/>
    <w:rsid w:val="00671C11"/>
    <w:rsid w:val="00671FF0"/>
    <w:rsid w:val="006720A1"/>
    <w:rsid w:val="006723F0"/>
    <w:rsid w:val="00672DCB"/>
    <w:rsid w:val="00673787"/>
    <w:rsid w:val="00674A73"/>
    <w:rsid w:val="006751BF"/>
    <w:rsid w:val="006752C1"/>
    <w:rsid w:val="006754D2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0F03"/>
    <w:rsid w:val="00681351"/>
    <w:rsid w:val="006817D4"/>
    <w:rsid w:val="00681A9E"/>
    <w:rsid w:val="00682718"/>
    <w:rsid w:val="00684818"/>
    <w:rsid w:val="00684902"/>
    <w:rsid w:val="00685393"/>
    <w:rsid w:val="0068566C"/>
    <w:rsid w:val="00690023"/>
    <w:rsid w:val="006900D2"/>
    <w:rsid w:val="0069084F"/>
    <w:rsid w:val="0069095E"/>
    <w:rsid w:val="00690A2B"/>
    <w:rsid w:val="00690D87"/>
    <w:rsid w:val="00690EA9"/>
    <w:rsid w:val="006910F4"/>
    <w:rsid w:val="00691EB2"/>
    <w:rsid w:val="00692810"/>
    <w:rsid w:val="00693043"/>
    <w:rsid w:val="0069434B"/>
    <w:rsid w:val="00694445"/>
    <w:rsid w:val="00694991"/>
    <w:rsid w:val="00695141"/>
    <w:rsid w:val="00695A2D"/>
    <w:rsid w:val="00695AC5"/>
    <w:rsid w:val="006966E3"/>
    <w:rsid w:val="00696D67"/>
    <w:rsid w:val="006971AF"/>
    <w:rsid w:val="00697A91"/>
    <w:rsid w:val="00697FE4"/>
    <w:rsid w:val="006A0B4A"/>
    <w:rsid w:val="006A112F"/>
    <w:rsid w:val="006A144B"/>
    <w:rsid w:val="006A174E"/>
    <w:rsid w:val="006A1C8D"/>
    <w:rsid w:val="006A2258"/>
    <w:rsid w:val="006A2290"/>
    <w:rsid w:val="006A2893"/>
    <w:rsid w:val="006A290B"/>
    <w:rsid w:val="006A469E"/>
    <w:rsid w:val="006A478E"/>
    <w:rsid w:val="006A4801"/>
    <w:rsid w:val="006A50FA"/>
    <w:rsid w:val="006A5B6C"/>
    <w:rsid w:val="006A5DE6"/>
    <w:rsid w:val="006A5F7F"/>
    <w:rsid w:val="006A69AD"/>
    <w:rsid w:val="006A6C58"/>
    <w:rsid w:val="006A6FB2"/>
    <w:rsid w:val="006A7052"/>
    <w:rsid w:val="006B159D"/>
    <w:rsid w:val="006B21AB"/>
    <w:rsid w:val="006B22E5"/>
    <w:rsid w:val="006B2866"/>
    <w:rsid w:val="006B325D"/>
    <w:rsid w:val="006B3579"/>
    <w:rsid w:val="006B3C53"/>
    <w:rsid w:val="006B41E8"/>
    <w:rsid w:val="006B4656"/>
    <w:rsid w:val="006B4777"/>
    <w:rsid w:val="006B48BD"/>
    <w:rsid w:val="006B5211"/>
    <w:rsid w:val="006B5863"/>
    <w:rsid w:val="006B5B1D"/>
    <w:rsid w:val="006B6B81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D74"/>
    <w:rsid w:val="006C2EF6"/>
    <w:rsid w:val="006C3C84"/>
    <w:rsid w:val="006C4D99"/>
    <w:rsid w:val="006C4E28"/>
    <w:rsid w:val="006C5096"/>
    <w:rsid w:val="006C5919"/>
    <w:rsid w:val="006C5F17"/>
    <w:rsid w:val="006C6303"/>
    <w:rsid w:val="006C6B7E"/>
    <w:rsid w:val="006C6BF9"/>
    <w:rsid w:val="006C6C06"/>
    <w:rsid w:val="006C6CA3"/>
    <w:rsid w:val="006C7BA4"/>
    <w:rsid w:val="006C7EA3"/>
    <w:rsid w:val="006D1A57"/>
    <w:rsid w:val="006D1BC2"/>
    <w:rsid w:val="006D2608"/>
    <w:rsid w:val="006D2A9C"/>
    <w:rsid w:val="006D2B20"/>
    <w:rsid w:val="006D2C44"/>
    <w:rsid w:val="006D2D39"/>
    <w:rsid w:val="006D2D6C"/>
    <w:rsid w:val="006D3720"/>
    <w:rsid w:val="006D3727"/>
    <w:rsid w:val="006D3763"/>
    <w:rsid w:val="006D42F8"/>
    <w:rsid w:val="006D4A58"/>
    <w:rsid w:val="006D4A5C"/>
    <w:rsid w:val="006D53D7"/>
    <w:rsid w:val="006D5B24"/>
    <w:rsid w:val="006D6988"/>
    <w:rsid w:val="006D6A98"/>
    <w:rsid w:val="006D7398"/>
    <w:rsid w:val="006D74DB"/>
    <w:rsid w:val="006E0F2F"/>
    <w:rsid w:val="006E11AC"/>
    <w:rsid w:val="006E11E0"/>
    <w:rsid w:val="006E2834"/>
    <w:rsid w:val="006E4128"/>
    <w:rsid w:val="006E4746"/>
    <w:rsid w:val="006E4A03"/>
    <w:rsid w:val="006E4B91"/>
    <w:rsid w:val="006E5637"/>
    <w:rsid w:val="006E63E7"/>
    <w:rsid w:val="006E6751"/>
    <w:rsid w:val="006E7282"/>
    <w:rsid w:val="006E7A12"/>
    <w:rsid w:val="006F0752"/>
    <w:rsid w:val="006F1525"/>
    <w:rsid w:val="006F1AFE"/>
    <w:rsid w:val="006F2861"/>
    <w:rsid w:val="006F404E"/>
    <w:rsid w:val="006F4259"/>
    <w:rsid w:val="006F4309"/>
    <w:rsid w:val="006F4C84"/>
    <w:rsid w:val="006F5E1B"/>
    <w:rsid w:val="006F6B2B"/>
    <w:rsid w:val="006F6D5E"/>
    <w:rsid w:val="006F7123"/>
    <w:rsid w:val="006F7162"/>
    <w:rsid w:val="006F7C03"/>
    <w:rsid w:val="0070085D"/>
    <w:rsid w:val="00701093"/>
    <w:rsid w:val="007027D1"/>
    <w:rsid w:val="00703505"/>
    <w:rsid w:val="00703B0B"/>
    <w:rsid w:val="00703D19"/>
    <w:rsid w:val="00705089"/>
    <w:rsid w:val="007055C9"/>
    <w:rsid w:val="00705D44"/>
    <w:rsid w:val="007067B2"/>
    <w:rsid w:val="00706A33"/>
    <w:rsid w:val="00706C10"/>
    <w:rsid w:val="00706CF0"/>
    <w:rsid w:val="00706E91"/>
    <w:rsid w:val="00707D50"/>
    <w:rsid w:val="00707E96"/>
    <w:rsid w:val="007107A8"/>
    <w:rsid w:val="00710BC7"/>
    <w:rsid w:val="0071194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13F"/>
    <w:rsid w:val="0071757A"/>
    <w:rsid w:val="00717FE8"/>
    <w:rsid w:val="0072060F"/>
    <w:rsid w:val="00720A33"/>
    <w:rsid w:val="00720F42"/>
    <w:rsid w:val="00721947"/>
    <w:rsid w:val="00721DCD"/>
    <w:rsid w:val="007227E1"/>
    <w:rsid w:val="00722A4C"/>
    <w:rsid w:val="007234B4"/>
    <w:rsid w:val="007249F7"/>
    <w:rsid w:val="00725D07"/>
    <w:rsid w:val="00725E16"/>
    <w:rsid w:val="00727967"/>
    <w:rsid w:val="00727BED"/>
    <w:rsid w:val="00730275"/>
    <w:rsid w:val="007307C9"/>
    <w:rsid w:val="0073095F"/>
    <w:rsid w:val="00730F7E"/>
    <w:rsid w:val="0073122B"/>
    <w:rsid w:val="007319C8"/>
    <w:rsid w:val="00731BF4"/>
    <w:rsid w:val="007326D7"/>
    <w:rsid w:val="0073277C"/>
    <w:rsid w:val="007335DB"/>
    <w:rsid w:val="00733BCB"/>
    <w:rsid w:val="0073431B"/>
    <w:rsid w:val="00734688"/>
    <w:rsid w:val="00734729"/>
    <w:rsid w:val="007351D7"/>
    <w:rsid w:val="0073530B"/>
    <w:rsid w:val="007358B7"/>
    <w:rsid w:val="00736A98"/>
    <w:rsid w:val="00736C15"/>
    <w:rsid w:val="00736E76"/>
    <w:rsid w:val="0073706D"/>
    <w:rsid w:val="00737297"/>
    <w:rsid w:val="0073734C"/>
    <w:rsid w:val="007375FD"/>
    <w:rsid w:val="00737DB4"/>
    <w:rsid w:val="007406F2"/>
    <w:rsid w:val="007409AF"/>
    <w:rsid w:val="00742C04"/>
    <w:rsid w:val="00742D3D"/>
    <w:rsid w:val="00743684"/>
    <w:rsid w:val="007452A1"/>
    <w:rsid w:val="007457A9"/>
    <w:rsid w:val="00745BCE"/>
    <w:rsid w:val="00745D7B"/>
    <w:rsid w:val="00745F91"/>
    <w:rsid w:val="00746132"/>
    <w:rsid w:val="007469F9"/>
    <w:rsid w:val="00746E03"/>
    <w:rsid w:val="00747828"/>
    <w:rsid w:val="00750866"/>
    <w:rsid w:val="00750F18"/>
    <w:rsid w:val="007515DA"/>
    <w:rsid w:val="007516B8"/>
    <w:rsid w:val="007534AA"/>
    <w:rsid w:val="00753C0A"/>
    <w:rsid w:val="00753E85"/>
    <w:rsid w:val="00754027"/>
    <w:rsid w:val="007547EB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6F80"/>
    <w:rsid w:val="00757942"/>
    <w:rsid w:val="007579F4"/>
    <w:rsid w:val="00757A6C"/>
    <w:rsid w:val="007603E4"/>
    <w:rsid w:val="00760D2A"/>
    <w:rsid w:val="0076100C"/>
    <w:rsid w:val="00761287"/>
    <w:rsid w:val="0076182F"/>
    <w:rsid w:val="007618B8"/>
    <w:rsid w:val="0076236A"/>
    <w:rsid w:val="00762622"/>
    <w:rsid w:val="007631E2"/>
    <w:rsid w:val="0076365D"/>
    <w:rsid w:val="0076413B"/>
    <w:rsid w:val="00764D09"/>
    <w:rsid w:val="007652FD"/>
    <w:rsid w:val="007657A4"/>
    <w:rsid w:val="0076645A"/>
    <w:rsid w:val="00766605"/>
    <w:rsid w:val="007675AF"/>
    <w:rsid w:val="00767AC1"/>
    <w:rsid w:val="00770772"/>
    <w:rsid w:val="00770DAB"/>
    <w:rsid w:val="00771538"/>
    <w:rsid w:val="00771892"/>
    <w:rsid w:val="00771D94"/>
    <w:rsid w:val="007720D7"/>
    <w:rsid w:val="007722BC"/>
    <w:rsid w:val="00772523"/>
    <w:rsid w:val="00772A01"/>
    <w:rsid w:val="00772F45"/>
    <w:rsid w:val="00773C65"/>
    <w:rsid w:val="00775529"/>
    <w:rsid w:val="007759BD"/>
    <w:rsid w:val="00776710"/>
    <w:rsid w:val="00776A67"/>
    <w:rsid w:val="00776D65"/>
    <w:rsid w:val="00776DE5"/>
    <w:rsid w:val="00777134"/>
    <w:rsid w:val="0077741A"/>
    <w:rsid w:val="00781377"/>
    <w:rsid w:val="00781FAF"/>
    <w:rsid w:val="00782553"/>
    <w:rsid w:val="00783810"/>
    <w:rsid w:val="00783A9F"/>
    <w:rsid w:val="00783F4F"/>
    <w:rsid w:val="00784166"/>
    <w:rsid w:val="0078476D"/>
    <w:rsid w:val="007847FB"/>
    <w:rsid w:val="007849EE"/>
    <w:rsid w:val="00784B89"/>
    <w:rsid w:val="00784BF8"/>
    <w:rsid w:val="00784DAE"/>
    <w:rsid w:val="00784E09"/>
    <w:rsid w:val="00785276"/>
    <w:rsid w:val="00785339"/>
    <w:rsid w:val="00786F50"/>
    <w:rsid w:val="00787851"/>
    <w:rsid w:val="00787A25"/>
    <w:rsid w:val="00787E88"/>
    <w:rsid w:val="0079169B"/>
    <w:rsid w:val="007917BF"/>
    <w:rsid w:val="00791DC2"/>
    <w:rsid w:val="007922B1"/>
    <w:rsid w:val="00793784"/>
    <w:rsid w:val="00793A27"/>
    <w:rsid w:val="00793F4D"/>
    <w:rsid w:val="007941BB"/>
    <w:rsid w:val="007946DB"/>
    <w:rsid w:val="00794B8C"/>
    <w:rsid w:val="00796ED1"/>
    <w:rsid w:val="00797420"/>
    <w:rsid w:val="007978AC"/>
    <w:rsid w:val="00797B66"/>
    <w:rsid w:val="00797B6A"/>
    <w:rsid w:val="00797BA2"/>
    <w:rsid w:val="007A0816"/>
    <w:rsid w:val="007A0AF4"/>
    <w:rsid w:val="007A1882"/>
    <w:rsid w:val="007A1CFE"/>
    <w:rsid w:val="007A2091"/>
    <w:rsid w:val="007A2838"/>
    <w:rsid w:val="007A299E"/>
    <w:rsid w:val="007A2D7A"/>
    <w:rsid w:val="007A33EE"/>
    <w:rsid w:val="007A3B09"/>
    <w:rsid w:val="007A5406"/>
    <w:rsid w:val="007A56A8"/>
    <w:rsid w:val="007A5A5D"/>
    <w:rsid w:val="007A67CB"/>
    <w:rsid w:val="007A6A82"/>
    <w:rsid w:val="007A73EE"/>
    <w:rsid w:val="007A7E1A"/>
    <w:rsid w:val="007B0888"/>
    <w:rsid w:val="007B099D"/>
    <w:rsid w:val="007B0B93"/>
    <w:rsid w:val="007B0DD9"/>
    <w:rsid w:val="007B0E60"/>
    <w:rsid w:val="007B2208"/>
    <w:rsid w:val="007B3427"/>
    <w:rsid w:val="007B39CF"/>
    <w:rsid w:val="007B41C4"/>
    <w:rsid w:val="007B44D3"/>
    <w:rsid w:val="007B5A1B"/>
    <w:rsid w:val="007B5C2E"/>
    <w:rsid w:val="007B66B6"/>
    <w:rsid w:val="007B6BF4"/>
    <w:rsid w:val="007B6FB1"/>
    <w:rsid w:val="007B7DBE"/>
    <w:rsid w:val="007B7EED"/>
    <w:rsid w:val="007C0AE4"/>
    <w:rsid w:val="007C0B7C"/>
    <w:rsid w:val="007C1EE8"/>
    <w:rsid w:val="007C2107"/>
    <w:rsid w:val="007C2827"/>
    <w:rsid w:val="007C2B1C"/>
    <w:rsid w:val="007C37A1"/>
    <w:rsid w:val="007C43BE"/>
    <w:rsid w:val="007C49FF"/>
    <w:rsid w:val="007C5F96"/>
    <w:rsid w:val="007C601C"/>
    <w:rsid w:val="007C650B"/>
    <w:rsid w:val="007C7AE8"/>
    <w:rsid w:val="007C7E17"/>
    <w:rsid w:val="007D0106"/>
    <w:rsid w:val="007D033B"/>
    <w:rsid w:val="007D0956"/>
    <w:rsid w:val="007D2BA5"/>
    <w:rsid w:val="007D33FB"/>
    <w:rsid w:val="007D39CD"/>
    <w:rsid w:val="007D410B"/>
    <w:rsid w:val="007D48C4"/>
    <w:rsid w:val="007D4C9D"/>
    <w:rsid w:val="007D4EE7"/>
    <w:rsid w:val="007D5AB1"/>
    <w:rsid w:val="007D6AA1"/>
    <w:rsid w:val="007D7888"/>
    <w:rsid w:val="007D78E3"/>
    <w:rsid w:val="007E01F2"/>
    <w:rsid w:val="007E0203"/>
    <w:rsid w:val="007E056C"/>
    <w:rsid w:val="007E0761"/>
    <w:rsid w:val="007E081D"/>
    <w:rsid w:val="007E1AB8"/>
    <w:rsid w:val="007E26A8"/>
    <w:rsid w:val="007E293C"/>
    <w:rsid w:val="007E36EB"/>
    <w:rsid w:val="007E380A"/>
    <w:rsid w:val="007E4B5C"/>
    <w:rsid w:val="007E521B"/>
    <w:rsid w:val="007E5CC1"/>
    <w:rsid w:val="007E5D5E"/>
    <w:rsid w:val="007E6DFA"/>
    <w:rsid w:val="007E7DDD"/>
    <w:rsid w:val="007E7F7C"/>
    <w:rsid w:val="007F182C"/>
    <w:rsid w:val="007F2376"/>
    <w:rsid w:val="007F2783"/>
    <w:rsid w:val="007F33E9"/>
    <w:rsid w:val="007F388B"/>
    <w:rsid w:val="007F3EC2"/>
    <w:rsid w:val="007F4571"/>
    <w:rsid w:val="007F4D55"/>
    <w:rsid w:val="007F589D"/>
    <w:rsid w:val="007F5F68"/>
    <w:rsid w:val="007F5FD8"/>
    <w:rsid w:val="007F61AF"/>
    <w:rsid w:val="007F6476"/>
    <w:rsid w:val="007F775F"/>
    <w:rsid w:val="007F7F34"/>
    <w:rsid w:val="0080031F"/>
    <w:rsid w:val="00800967"/>
    <w:rsid w:val="00801411"/>
    <w:rsid w:val="00801BF7"/>
    <w:rsid w:val="00801C17"/>
    <w:rsid w:val="00801DB8"/>
    <w:rsid w:val="0080291E"/>
    <w:rsid w:val="00802B7F"/>
    <w:rsid w:val="00804F0B"/>
    <w:rsid w:val="00805844"/>
    <w:rsid w:val="00805AF2"/>
    <w:rsid w:val="00805F78"/>
    <w:rsid w:val="00806B4B"/>
    <w:rsid w:val="00807AE7"/>
    <w:rsid w:val="00810837"/>
    <w:rsid w:val="0081095D"/>
    <w:rsid w:val="00810B6B"/>
    <w:rsid w:val="00810CC6"/>
    <w:rsid w:val="00810CDD"/>
    <w:rsid w:val="00811332"/>
    <w:rsid w:val="0081184B"/>
    <w:rsid w:val="00811943"/>
    <w:rsid w:val="00811DF5"/>
    <w:rsid w:val="00812862"/>
    <w:rsid w:val="00812E0B"/>
    <w:rsid w:val="00812E7C"/>
    <w:rsid w:val="00813346"/>
    <w:rsid w:val="00813F13"/>
    <w:rsid w:val="00814063"/>
    <w:rsid w:val="00814309"/>
    <w:rsid w:val="00815A2F"/>
    <w:rsid w:val="00815E6D"/>
    <w:rsid w:val="00817A6A"/>
    <w:rsid w:val="0082070B"/>
    <w:rsid w:val="0082084A"/>
    <w:rsid w:val="0082159B"/>
    <w:rsid w:val="00822160"/>
    <w:rsid w:val="00822F67"/>
    <w:rsid w:val="008239BC"/>
    <w:rsid w:val="008244B7"/>
    <w:rsid w:val="008251C2"/>
    <w:rsid w:val="0082570B"/>
    <w:rsid w:val="008269CE"/>
    <w:rsid w:val="0082721B"/>
    <w:rsid w:val="0083011C"/>
    <w:rsid w:val="00830962"/>
    <w:rsid w:val="00830A88"/>
    <w:rsid w:val="008312F3"/>
    <w:rsid w:val="008313C0"/>
    <w:rsid w:val="008343BA"/>
    <w:rsid w:val="00834A2C"/>
    <w:rsid w:val="0083553F"/>
    <w:rsid w:val="008355A8"/>
    <w:rsid w:val="00835BC9"/>
    <w:rsid w:val="00836A00"/>
    <w:rsid w:val="00840621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587D"/>
    <w:rsid w:val="0084680E"/>
    <w:rsid w:val="0084696A"/>
    <w:rsid w:val="00846DA4"/>
    <w:rsid w:val="00846E09"/>
    <w:rsid w:val="008471D5"/>
    <w:rsid w:val="00847B5B"/>
    <w:rsid w:val="00847C9F"/>
    <w:rsid w:val="00847EBF"/>
    <w:rsid w:val="0085098F"/>
    <w:rsid w:val="0085138D"/>
    <w:rsid w:val="00853456"/>
    <w:rsid w:val="00854098"/>
    <w:rsid w:val="0085497E"/>
    <w:rsid w:val="00854FBC"/>
    <w:rsid w:val="00855ED0"/>
    <w:rsid w:val="00856102"/>
    <w:rsid w:val="0085673A"/>
    <w:rsid w:val="00856B6A"/>
    <w:rsid w:val="00856DE2"/>
    <w:rsid w:val="008573C7"/>
    <w:rsid w:val="00857B59"/>
    <w:rsid w:val="00860423"/>
    <w:rsid w:val="00860BD1"/>
    <w:rsid w:val="00860BDB"/>
    <w:rsid w:val="00861096"/>
    <w:rsid w:val="008617B7"/>
    <w:rsid w:val="00861D85"/>
    <w:rsid w:val="00861F52"/>
    <w:rsid w:val="00862A4F"/>
    <w:rsid w:val="00863019"/>
    <w:rsid w:val="008632BF"/>
    <w:rsid w:val="00864891"/>
    <w:rsid w:val="00864B7A"/>
    <w:rsid w:val="00864D7E"/>
    <w:rsid w:val="008654E2"/>
    <w:rsid w:val="008656F4"/>
    <w:rsid w:val="00865ABB"/>
    <w:rsid w:val="00865DAA"/>
    <w:rsid w:val="00866008"/>
    <w:rsid w:val="00866364"/>
    <w:rsid w:val="00870795"/>
    <w:rsid w:val="00871B65"/>
    <w:rsid w:val="00871E1B"/>
    <w:rsid w:val="00871ED5"/>
    <w:rsid w:val="008722E4"/>
    <w:rsid w:val="00873808"/>
    <w:rsid w:val="00873FD5"/>
    <w:rsid w:val="00874F31"/>
    <w:rsid w:val="0087527E"/>
    <w:rsid w:val="00875948"/>
    <w:rsid w:val="00875C4F"/>
    <w:rsid w:val="00876420"/>
    <w:rsid w:val="008770B1"/>
    <w:rsid w:val="00877642"/>
    <w:rsid w:val="00877FE9"/>
    <w:rsid w:val="00880646"/>
    <w:rsid w:val="00881C0B"/>
    <w:rsid w:val="00881E8E"/>
    <w:rsid w:val="00882417"/>
    <w:rsid w:val="00882650"/>
    <w:rsid w:val="00882703"/>
    <w:rsid w:val="00882CDA"/>
    <w:rsid w:val="008832BD"/>
    <w:rsid w:val="00883754"/>
    <w:rsid w:val="008842AB"/>
    <w:rsid w:val="008844C7"/>
    <w:rsid w:val="008855BC"/>
    <w:rsid w:val="00886294"/>
    <w:rsid w:val="00886302"/>
    <w:rsid w:val="00886930"/>
    <w:rsid w:val="00886A95"/>
    <w:rsid w:val="00886F12"/>
    <w:rsid w:val="008902D3"/>
    <w:rsid w:val="00890605"/>
    <w:rsid w:val="00890A93"/>
    <w:rsid w:val="0089194A"/>
    <w:rsid w:val="00891D49"/>
    <w:rsid w:val="0089243B"/>
    <w:rsid w:val="00892AFB"/>
    <w:rsid w:val="0089368B"/>
    <w:rsid w:val="00893A0A"/>
    <w:rsid w:val="0089561D"/>
    <w:rsid w:val="0089702D"/>
    <w:rsid w:val="00897403"/>
    <w:rsid w:val="00897789"/>
    <w:rsid w:val="008A11A0"/>
    <w:rsid w:val="008A1A51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4E4C"/>
    <w:rsid w:val="008A5F69"/>
    <w:rsid w:val="008A68EC"/>
    <w:rsid w:val="008A73B0"/>
    <w:rsid w:val="008B0F37"/>
    <w:rsid w:val="008B24DD"/>
    <w:rsid w:val="008B285E"/>
    <w:rsid w:val="008B2B3C"/>
    <w:rsid w:val="008B4A2E"/>
    <w:rsid w:val="008B58DE"/>
    <w:rsid w:val="008B599F"/>
    <w:rsid w:val="008B6202"/>
    <w:rsid w:val="008B649D"/>
    <w:rsid w:val="008B665D"/>
    <w:rsid w:val="008B6D0D"/>
    <w:rsid w:val="008B6F16"/>
    <w:rsid w:val="008C01EB"/>
    <w:rsid w:val="008C15C8"/>
    <w:rsid w:val="008C215C"/>
    <w:rsid w:val="008C2299"/>
    <w:rsid w:val="008C2443"/>
    <w:rsid w:val="008C2522"/>
    <w:rsid w:val="008C2CD3"/>
    <w:rsid w:val="008C2FA8"/>
    <w:rsid w:val="008C34B7"/>
    <w:rsid w:val="008C37A2"/>
    <w:rsid w:val="008C3941"/>
    <w:rsid w:val="008C4151"/>
    <w:rsid w:val="008C5163"/>
    <w:rsid w:val="008C5984"/>
    <w:rsid w:val="008C5E67"/>
    <w:rsid w:val="008C604B"/>
    <w:rsid w:val="008C730F"/>
    <w:rsid w:val="008C7C7F"/>
    <w:rsid w:val="008D0308"/>
    <w:rsid w:val="008D0998"/>
    <w:rsid w:val="008D1539"/>
    <w:rsid w:val="008D20A3"/>
    <w:rsid w:val="008D270D"/>
    <w:rsid w:val="008D27EB"/>
    <w:rsid w:val="008D2C8B"/>
    <w:rsid w:val="008D30AF"/>
    <w:rsid w:val="008D3CDF"/>
    <w:rsid w:val="008D4618"/>
    <w:rsid w:val="008D47EA"/>
    <w:rsid w:val="008D4A7D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928"/>
    <w:rsid w:val="008E0E90"/>
    <w:rsid w:val="008E10D6"/>
    <w:rsid w:val="008E128B"/>
    <w:rsid w:val="008E1957"/>
    <w:rsid w:val="008E27E6"/>
    <w:rsid w:val="008E2B58"/>
    <w:rsid w:val="008E33EA"/>
    <w:rsid w:val="008E3805"/>
    <w:rsid w:val="008E3D20"/>
    <w:rsid w:val="008E4582"/>
    <w:rsid w:val="008E462B"/>
    <w:rsid w:val="008E58D2"/>
    <w:rsid w:val="008E5901"/>
    <w:rsid w:val="008E5EDA"/>
    <w:rsid w:val="008E636B"/>
    <w:rsid w:val="008E6D00"/>
    <w:rsid w:val="008E6EC2"/>
    <w:rsid w:val="008E6F6E"/>
    <w:rsid w:val="008E7183"/>
    <w:rsid w:val="008E77D5"/>
    <w:rsid w:val="008F0415"/>
    <w:rsid w:val="008F0BE5"/>
    <w:rsid w:val="008F195C"/>
    <w:rsid w:val="008F2E0B"/>
    <w:rsid w:val="008F34CB"/>
    <w:rsid w:val="008F379D"/>
    <w:rsid w:val="008F3986"/>
    <w:rsid w:val="008F45AA"/>
    <w:rsid w:val="008F4F59"/>
    <w:rsid w:val="008F5461"/>
    <w:rsid w:val="008F56AC"/>
    <w:rsid w:val="008F6653"/>
    <w:rsid w:val="008F6C10"/>
    <w:rsid w:val="008F71E6"/>
    <w:rsid w:val="008F7755"/>
    <w:rsid w:val="00900139"/>
    <w:rsid w:val="009008A2"/>
    <w:rsid w:val="00900B2B"/>
    <w:rsid w:val="00900F62"/>
    <w:rsid w:val="0090133F"/>
    <w:rsid w:val="009019D1"/>
    <w:rsid w:val="00901AA3"/>
    <w:rsid w:val="00901BA5"/>
    <w:rsid w:val="0090210D"/>
    <w:rsid w:val="0090227C"/>
    <w:rsid w:val="00902289"/>
    <w:rsid w:val="009022BB"/>
    <w:rsid w:val="00902FD4"/>
    <w:rsid w:val="009045B3"/>
    <w:rsid w:val="0090493D"/>
    <w:rsid w:val="00904C72"/>
    <w:rsid w:val="00904D4B"/>
    <w:rsid w:val="00904F52"/>
    <w:rsid w:val="009050F4"/>
    <w:rsid w:val="00905430"/>
    <w:rsid w:val="00905BF5"/>
    <w:rsid w:val="00905F6A"/>
    <w:rsid w:val="00906F4D"/>
    <w:rsid w:val="00906F67"/>
    <w:rsid w:val="00907FE0"/>
    <w:rsid w:val="00910CBD"/>
    <w:rsid w:val="0091144B"/>
    <w:rsid w:val="00912260"/>
    <w:rsid w:val="009126D6"/>
    <w:rsid w:val="0091298D"/>
    <w:rsid w:val="00912ADF"/>
    <w:rsid w:val="00912CF8"/>
    <w:rsid w:val="00914124"/>
    <w:rsid w:val="00915488"/>
    <w:rsid w:val="00915576"/>
    <w:rsid w:val="00915B3E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234"/>
    <w:rsid w:val="0092474C"/>
    <w:rsid w:val="00925116"/>
    <w:rsid w:val="00925448"/>
    <w:rsid w:val="00925536"/>
    <w:rsid w:val="00925A7F"/>
    <w:rsid w:val="00925AC9"/>
    <w:rsid w:val="00925FF2"/>
    <w:rsid w:val="00926009"/>
    <w:rsid w:val="009271A2"/>
    <w:rsid w:val="009309A2"/>
    <w:rsid w:val="00930CF7"/>
    <w:rsid w:val="00930D10"/>
    <w:rsid w:val="009329C9"/>
    <w:rsid w:val="00933305"/>
    <w:rsid w:val="0093378D"/>
    <w:rsid w:val="0093484E"/>
    <w:rsid w:val="00935A21"/>
    <w:rsid w:val="00935A48"/>
    <w:rsid w:val="009375E2"/>
    <w:rsid w:val="009377BC"/>
    <w:rsid w:val="00937C0F"/>
    <w:rsid w:val="00940467"/>
    <w:rsid w:val="009404CE"/>
    <w:rsid w:val="00940D56"/>
    <w:rsid w:val="00941319"/>
    <w:rsid w:val="00941C71"/>
    <w:rsid w:val="00941E99"/>
    <w:rsid w:val="0094299F"/>
    <w:rsid w:val="00942C49"/>
    <w:rsid w:val="009437DA"/>
    <w:rsid w:val="009439FD"/>
    <w:rsid w:val="00944E9D"/>
    <w:rsid w:val="00946247"/>
    <w:rsid w:val="009472A1"/>
    <w:rsid w:val="00947A04"/>
    <w:rsid w:val="00947B02"/>
    <w:rsid w:val="00947E4E"/>
    <w:rsid w:val="009508FA"/>
    <w:rsid w:val="009519B0"/>
    <w:rsid w:val="00951A56"/>
    <w:rsid w:val="00952833"/>
    <w:rsid w:val="00953595"/>
    <w:rsid w:val="009543FD"/>
    <w:rsid w:val="009545F5"/>
    <w:rsid w:val="00954BAD"/>
    <w:rsid w:val="009553DE"/>
    <w:rsid w:val="00955421"/>
    <w:rsid w:val="0095549B"/>
    <w:rsid w:val="00956F1D"/>
    <w:rsid w:val="0095708D"/>
    <w:rsid w:val="009570EC"/>
    <w:rsid w:val="009571D8"/>
    <w:rsid w:val="00957325"/>
    <w:rsid w:val="0096030C"/>
    <w:rsid w:val="00960DB5"/>
    <w:rsid w:val="009611F6"/>
    <w:rsid w:val="00961D65"/>
    <w:rsid w:val="00961F4C"/>
    <w:rsid w:val="00962311"/>
    <w:rsid w:val="00962341"/>
    <w:rsid w:val="00962426"/>
    <w:rsid w:val="009633AB"/>
    <w:rsid w:val="009636C3"/>
    <w:rsid w:val="00963732"/>
    <w:rsid w:val="009637F1"/>
    <w:rsid w:val="00963C8B"/>
    <w:rsid w:val="009647DB"/>
    <w:rsid w:val="00965B35"/>
    <w:rsid w:val="00965B3E"/>
    <w:rsid w:val="00965C70"/>
    <w:rsid w:val="00965E55"/>
    <w:rsid w:val="00965FCD"/>
    <w:rsid w:val="009667E4"/>
    <w:rsid w:val="00966C86"/>
    <w:rsid w:val="00966CC3"/>
    <w:rsid w:val="009674E4"/>
    <w:rsid w:val="00967750"/>
    <w:rsid w:val="00967D5B"/>
    <w:rsid w:val="009707F3"/>
    <w:rsid w:val="00970817"/>
    <w:rsid w:val="00970F03"/>
    <w:rsid w:val="0097121E"/>
    <w:rsid w:val="009729C4"/>
    <w:rsid w:val="00972CD2"/>
    <w:rsid w:val="00972F5D"/>
    <w:rsid w:val="00973022"/>
    <w:rsid w:val="0097377E"/>
    <w:rsid w:val="0097384A"/>
    <w:rsid w:val="00974320"/>
    <w:rsid w:val="00974AD2"/>
    <w:rsid w:val="00974F42"/>
    <w:rsid w:val="00975511"/>
    <w:rsid w:val="0097614F"/>
    <w:rsid w:val="00976263"/>
    <w:rsid w:val="00980D4F"/>
    <w:rsid w:val="0098296F"/>
    <w:rsid w:val="00982E62"/>
    <w:rsid w:val="009836D7"/>
    <w:rsid w:val="0098375C"/>
    <w:rsid w:val="00983E2A"/>
    <w:rsid w:val="009842D5"/>
    <w:rsid w:val="00984FFD"/>
    <w:rsid w:val="009851E4"/>
    <w:rsid w:val="0098562F"/>
    <w:rsid w:val="00985BF6"/>
    <w:rsid w:val="00985C9B"/>
    <w:rsid w:val="009860B5"/>
    <w:rsid w:val="009869DC"/>
    <w:rsid w:val="009869F0"/>
    <w:rsid w:val="00991300"/>
    <w:rsid w:val="00991897"/>
    <w:rsid w:val="00991AE1"/>
    <w:rsid w:val="00992030"/>
    <w:rsid w:val="00992420"/>
    <w:rsid w:val="00992B90"/>
    <w:rsid w:val="00993C8B"/>
    <w:rsid w:val="00993E5A"/>
    <w:rsid w:val="00994161"/>
    <w:rsid w:val="0099417D"/>
    <w:rsid w:val="00994D96"/>
    <w:rsid w:val="009960CD"/>
    <w:rsid w:val="00996CE0"/>
    <w:rsid w:val="00997454"/>
    <w:rsid w:val="009979FC"/>
    <w:rsid w:val="00997BAB"/>
    <w:rsid w:val="00997CAD"/>
    <w:rsid w:val="009A0736"/>
    <w:rsid w:val="009A077D"/>
    <w:rsid w:val="009A1376"/>
    <w:rsid w:val="009A19E2"/>
    <w:rsid w:val="009A24E1"/>
    <w:rsid w:val="009A2EA5"/>
    <w:rsid w:val="009A4C61"/>
    <w:rsid w:val="009A4CA6"/>
    <w:rsid w:val="009A5015"/>
    <w:rsid w:val="009A547A"/>
    <w:rsid w:val="009A5640"/>
    <w:rsid w:val="009A63D0"/>
    <w:rsid w:val="009A66BD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215B"/>
    <w:rsid w:val="009B2EE8"/>
    <w:rsid w:val="009B320B"/>
    <w:rsid w:val="009B37AE"/>
    <w:rsid w:val="009B43DB"/>
    <w:rsid w:val="009B50AD"/>
    <w:rsid w:val="009B5779"/>
    <w:rsid w:val="009B5FC3"/>
    <w:rsid w:val="009B65AF"/>
    <w:rsid w:val="009B6603"/>
    <w:rsid w:val="009B6985"/>
    <w:rsid w:val="009B6EE0"/>
    <w:rsid w:val="009B75F3"/>
    <w:rsid w:val="009C0493"/>
    <w:rsid w:val="009C162D"/>
    <w:rsid w:val="009C1ADE"/>
    <w:rsid w:val="009C1D43"/>
    <w:rsid w:val="009C1DC4"/>
    <w:rsid w:val="009C29AE"/>
    <w:rsid w:val="009C2C4A"/>
    <w:rsid w:val="009C406B"/>
    <w:rsid w:val="009C41DE"/>
    <w:rsid w:val="009C42D7"/>
    <w:rsid w:val="009C4652"/>
    <w:rsid w:val="009C4D32"/>
    <w:rsid w:val="009C4EAF"/>
    <w:rsid w:val="009C5011"/>
    <w:rsid w:val="009C5462"/>
    <w:rsid w:val="009C5A68"/>
    <w:rsid w:val="009C62C0"/>
    <w:rsid w:val="009C6D28"/>
    <w:rsid w:val="009C6DF3"/>
    <w:rsid w:val="009C7459"/>
    <w:rsid w:val="009C756D"/>
    <w:rsid w:val="009C775F"/>
    <w:rsid w:val="009D04AF"/>
    <w:rsid w:val="009D1048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386A"/>
    <w:rsid w:val="009E3E79"/>
    <w:rsid w:val="009E510B"/>
    <w:rsid w:val="009E51BC"/>
    <w:rsid w:val="009E58AC"/>
    <w:rsid w:val="009E5D48"/>
    <w:rsid w:val="009E6747"/>
    <w:rsid w:val="009E70C1"/>
    <w:rsid w:val="009E7177"/>
    <w:rsid w:val="009F0EB0"/>
    <w:rsid w:val="009F1090"/>
    <w:rsid w:val="009F150B"/>
    <w:rsid w:val="009F17D9"/>
    <w:rsid w:val="009F18E0"/>
    <w:rsid w:val="009F216B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261"/>
    <w:rsid w:val="009F4E29"/>
    <w:rsid w:val="009F52DD"/>
    <w:rsid w:val="009F74C6"/>
    <w:rsid w:val="00A00218"/>
    <w:rsid w:val="00A0022E"/>
    <w:rsid w:val="00A0035B"/>
    <w:rsid w:val="00A01261"/>
    <w:rsid w:val="00A0131C"/>
    <w:rsid w:val="00A01975"/>
    <w:rsid w:val="00A0226B"/>
    <w:rsid w:val="00A02609"/>
    <w:rsid w:val="00A03F31"/>
    <w:rsid w:val="00A040F6"/>
    <w:rsid w:val="00A049F4"/>
    <w:rsid w:val="00A04FBF"/>
    <w:rsid w:val="00A060B3"/>
    <w:rsid w:val="00A06C70"/>
    <w:rsid w:val="00A06E10"/>
    <w:rsid w:val="00A07539"/>
    <w:rsid w:val="00A105A7"/>
    <w:rsid w:val="00A10CF5"/>
    <w:rsid w:val="00A119B4"/>
    <w:rsid w:val="00A119F1"/>
    <w:rsid w:val="00A11CDE"/>
    <w:rsid w:val="00A11E17"/>
    <w:rsid w:val="00A1221E"/>
    <w:rsid w:val="00A13BBB"/>
    <w:rsid w:val="00A145D0"/>
    <w:rsid w:val="00A14996"/>
    <w:rsid w:val="00A16685"/>
    <w:rsid w:val="00A16C9B"/>
    <w:rsid w:val="00A1707D"/>
    <w:rsid w:val="00A17447"/>
    <w:rsid w:val="00A178C8"/>
    <w:rsid w:val="00A20571"/>
    <w:rsid w:val="00A2097F"/>
    <w:rsid w:val="00A209F6"/>
    <w:rsid w:val="00A20D1B"/>
    <w:rsid w:val="00A223E6"/>
    <w:rsid w:val="00A22776"/>
    <w:rsid w:val="00A22911"/>
    <w:rsid w:val="00A22C24"/>
    <w:rsid w:val="00A22FCE"/>
    <w:rsid w:val="00A233F2"/>
    <w:rsid w:val="00A23A9A"/>
    <w:rsid w:val="00A23C7E"/>
    <w:rsid w:val="00A2480A"/>
    <w:rsid w:val="00A24849"/>
    <w:rsid w:val="00A2559B"/>
    <w:rsid w:val="00A25D5F"/>
    <w:rsid w:val="00A3033D"/>
    <w:rsid w:val="00A30660"/>
    <w:rsid w:val="00A30E95"/>
    <w:rsid w:val="00A30EEB"/>
    <w:rsid w:val="00A3121D"/>
    <w:rsid w:val="00A319E4"/>
    <w:rsid w:val="00A31B1A"/>
    <w:rsid w:val="00A324D0"/>
    <w:rsid w:val="00A324F2"/>
    <w:rsid w:val="00A32588"/>
    <w:rsid w:val="00A33860"/>
    <w:rsid w:val="00A339DF"/>
    <w:rsid w:val="00A34BB6"/>
    <w:rsid w:val="00A34CEB"/>
    <w:rsid w:val="00A34E49"/>
    <w:rsid w:val="00A34E8F"/>
    <w:rsid w:val="00A34E9D"/>
    <w:rsid w:val="00A35125"/>
    <w:rsid w:val="00A3560C"/>
    <w:rsid w:val="00A35630"/>
    <w:rsid w:val="00A358F6"/>
    <w:rsid w:val="00A35C10"/>
    <w:rsid w:val="00A360C2"/>
    <w:rsid w:val="00A3611F"/>
    <w:rsid w:val="00A36406"/>
    <w:rsid w:val="00A3654F"/>
    <w:rsid w:val="00A3689A"/>
    <w:rsid w:val="00A36D77"/>
    <w:rsid w:val="00A36F39"/>
    <w:rsid w:val="00A37526"/>
    <w:rsid w:val="00A3777A"/>
    <w:rsid w:val="00A40D24"/>
    <w:rsid w:val="00A41278"/>
    <w:rsid w:val="00A4133A"/>
    <w:rsid w:val="00A419CE"/>
    <w:rsid w:val="00A423C3"/>
    <w:rsid w:val="00A423CC"/>
    <w:rsid w:val="00A428FF"/>
    <w:rsid w:val="00A429F2"/>
    <w:rsid w:val="00A4482B"/>
    <w:rsid w:val="00A44F75"/>
    <w:rsid w:val="00A45067"/>
    <w:rsid w:val="00A451B1"/>
    <w:rsid w:val="00A451E5"/>
    <w:rsid w:val="00A45934"/>
    <w:rsid w:val="00A459FF"/>
    <w:rsid w:val="00A45F99"/>
    <w:rsid w:val="00A468B1"/>
    <w:rsid w:val="00A4692E"/>
    <w:rsid w:val="00A4692F"/>
    <w:rsid w:val="00A46C9C"/>
    <w:rsid w:val="00A46DEF"/>
    <w:rsid w:val="00A46E75"/>
    <w:rsid w:val="00A478AD"/>
    <w:rsid w:val="00A50BD2"/>
    <w:rsid w:val="00A52288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344"/>
    <w:rsid w:val="00A5642C"/>
    <w:rsid w:val="00A56EFF"/>
    <w:rsid w:val="00A56F16"/>
    <w:rsid w:val="00A57868"/>
    <w:rsid w:val="00A57AE3"/>
    <w:rsid w:val="00A57CDB"/>
    <w:rsid w:val="00A57F2F"/>
    <w:rsid w:val="00A60C49"/>
    <w:rsid w:val="00A6119A"/>
    <w:rsid w:val="00A6220E"/>
    <w:rsid w:val="00A6246A"/>
    <w:rsid w:val="00A62711"/>
    <w:rsid w:val="00A63167"/>
    <w:rsid w:val="00A63DB2"/>
    <w:rsid w:val="00A664C8"/>
    <w:rsid w:val="00A66869"/>
    <w:rsid w:val="00A66994"/>
    <w:rsid w:val="00A66BEC"/>
    <w:rsid w:val="00A67103"/>
    <w:rsid w:val="00A67222"/>
    <w:rsid w:val="00A67F78"/>
    <w:rsid w:val="00A719D1"/>
    <w:rsid w:val="00A71AEE"/>
    <w:rsid w:val="00A72B22"/>
    <w:rsid w:val="00A736E8"/>
    <w:rsid w:val="00A73828"/>
    <w:rsid w:val="00A738C7"/>
    <w:rsid w:val="00A73F8B"/>
    <w:rsid w:val="00A74590"/>
    <w:rsid w:val="00A75004"/>
    <w:rsid w:val="00A76078"/>
    <w:rsid w:val="00A76B8B"/>
    <w:rsid w:val="00A76BD3"/>
    <w:rsid w:val="00A80523"/>
    <w:rsid w:val="00A8105B"/>
    <w:rsid w:val="00A8196A"/>
    <w:rsid w:val="00A81A72"/>
    <w:rsid w:val="00A81DD8"/>
    <w:rsid w:val="00A81F5E"/>
    <w:rsid w:val="00A82E03"/>
    <w:rsid w:val="00A84EF6"/>
    <w:rsid w:val="00A85168"/>
    <w:rsid w:val="00A85320"/>
    <w:rsid w:val="00A85322"/>
    <w:rsid w:val="00A85C1D"/>
    <w:rsid w:val="00A862EE"/>
    <w:rsid w:val="00A86AE2"/>
    <w:rsid w:val="00A87A73"/>
    <w:rsid w:val="00A90070"/>
    <w:rsid w:val="00A90134"/>
    <w:rsid w:val="00A90440"/>
    <w:rsid w:val="00A919D2"/>
    <w:rsid w:val="00A91C99"/>
    <w:rsid w:val="00A92A57"/>
    <w:rsid w:val="00A92C88"/>
    <w:rsid w:val="00A93193"/>
    <w:rsid w:val="00A9408A"/>
    <w:rsid w:val="00A94105"/>
    <w:rsid w:val="00A9414F"/>
    <w:rsid w:val="00A94444"/>
    <w:rsid w:val="00A944B7"/>
    <w:rsid w:val="00A95390"/>
    <w:rsid w:val="00A95B0D"/>
    <w:rsid w:val="00A95F41"/>
    <w:rsid w:val="00A96249"/>
    <w:rsid w:val="00A965E6"/>
    <w:rsid w:val="00A96B95"/>
    <w:rsid w:val="00A975A4"/>
    <w:rsid w:val="00A9775A"/>
    <w:rsid w:val="00A97769"/>
    <w:rsid w:val="00AA1568"/>
    <w:rsid w:val="00AA15ED"/>
    <w:rsid w:val="00AA4229"/>
    <w:rsid w:val="00AA4C9B"/>
    <w:rsid w:val="00AA53FC"/>
    <w:rsid w:val="00AA57C2"/>
    <w:rsid w:val="00AA6286"/>
    <w:rsid w:val="00AA6372"/>
    <w:rsid w:val="00AA728A"/>
    <w:rsid w:val="00AB0576"/>
    <w:rsid w:val="00AB08DE"/>
    <w:rsid w:val="00AB0D58"/>
    <w:rsid w:val="00AB1AAD"/>
    <w:rsid w:val="00AB356D"/>
    <w:rsid w:val="00AB3700"/>
    <w:rsid w:val="00AB4336"/>
    <w:rsid w:val="00AB47EB"/>
    <w:rsid w:val="00AB4C24"/>
    <w:rsid w:val="00AB4C79"/>
    <w:rsid w:val="00AB517A"/>
    <w:rsid w:val="00AB7198"/>
    <w:rsid w:val="00AC28E1"/>
    <w:rsid w:val="00AC2EF2"/>
    <w:rsid w:val="00AC32CE"/>
    <w:rsid w:val="00AC33D0"/>
    <w:rsid w:val="00AC4183"/>
    <w:rsid w:val="00AC41A8"/>
    <w:rsid w:val="00AC4773"/>
    <w:rsid w:val="00AC4D78"/>
    <w:rsid w:val="00AC4E44"/>
    <w:rsid w:val="00AC5EB6"/>
    <w:rsid w:val="00AC5FC3"/>
    <w:rsid w:val="00AC7151"/>
    <w:rsid w:val="00AC717C"/>
    <w:rsid w:val="00AC7399"/>
    <w:rsid w:val="00AC7CE7"/>
    <w:rsid w:val="00AD02E0"/>
    <w:rsid w:val="00AD0474"/>
    <w:rsid w:val="00AD04DA"/>
    <w:rsid w:val="00AD0892"/>
    <w:rsid w:val="00AD0FC1"/>
    <w:rsid w:val="00AD1B16"/>
    <w:rsid w:val="00AD1CF2"/>
    <w:rsid w:val="00AD1E41"/>
    <w:rsid w:val="00AD20A3"/>
    <w:rsid w:val="00AD2612"/>
    <w:rsid w:val="00AD2C28"/>
    <w:rsid w:val="00AD308A"/>
    <w:rsid w:val="00AD314C"/>
    <w:rsid w:val="00AD45B8"/>
    <w:rsid w:val="00AD4978"/>
    <w:rsid w:val="00AD5FD2"/>
    <w:rsid w:val="00AD663A"/>
    <w:rsid w:val="00AD677F"/>
    <w:rsid w:val="00AD69AC"/>
    <w:rsid w:val="00AD6C85"/>
    <w:rsid w:val="00AD6E0C"/>
    <w:rsid w:val="00AD71D3"/>
    <w:rsid w:val="00AD725A"/>
    <w:rsid w:val="00AD7672"/>
    <w:rsid w:val="00AE1A52"/>
    <w:rsid w:val="00AE2ACA"/>
    <w:rsid w:val="00AE2C4C"/>
    <w:rsid w:val="00AE2FC9"/>
    <w:rsid w:val="00AE332A"/>
    <w:rsid w:val="00AE3B29"/>
    <w:rsid w:val="00AE3EC8"/>
    <w:rsid w:val="00AE46D2"/>
    <w:rsid w:val="00AE4C36"/>
    <w:rsid w:val="00AE5A83"/>
    <w:rsid w:val="00AE5E64"/>
    <w:rsid w:val="00AE745C"/>
    <w:rsid w:val="00AF16EF"/>
    <w:rsid w:val="00AF2879"/>
    <w:rsid w:val="00AF29C0"/>
    <w:rsid w:val="00AF2A35"/>
    <w:rsid w:val="00AF2BEB"/>
    <w:rsid w:val="00AF39C0"/>
    <w:rsid w:val="00AF3F13"/>
    <w:rsid w:val="00AF4AA6"/>
    <w:rsid w:val="00AF62DF"/>
    <w:rsid w:val="00AF6471"/>
    <w:rsid w:val="00AF71DC"/>
    <w:rsid w:val="00AF7929"/>
    <w:rsid w:val="00AF7AA0"/>
    <w:rsid w:val="00AF7CF3"/>
    <w:rsid w:val="00AF7E83"/>
    <w:rsid w:val="00B012FF"/>
    <w:rsid w:val="00B0177D"/>
    <w:rsid w:val="00B022B2"/>
    <w:rsid w:val="00B02B8E"/>
    <w:rsid w:val="00B02D66"/>
    <w:rsid w:val="00B0313B"/>
    <w:rsid w:val="00B03435"/>
    <w:rsid w:val="00B039A4"/>
    <w:rsid w:val="00B0449D"/>
    <w:rsid w:val="00B056E1"/>
    <w:rsid w:val="00B063C0"/>
    <w:rsid w:val="00B06824"/>
    <w:rsid w:val="00B07EB9"/>
    <w:rsid w:val="00B10371"/>
    <w:rsid w:val="00B1225C"/>
    <w:rsid w:val="00B12463"/>
    <w:rsid w:val="00B12E31"/>
    <w:rsid w:val="00B12FFF"/>
    <w:rsid w:val="00B13932"/>
    <w:rsid w:val="00B1410C"/>
    <w:rsid w:val="00B144B8"/>
    <w:rsid w:val="00B14916"/>
    <w:rsid w:val="00B14CA8"/>
    <w:rsid w:val="00B153DC"/>
    <w:rsid w:val="00B15B7B"/>
    <w:rsid w:val="00B16191"/>
    <w:rsid w:val="00B16764"/>
    <w:rsid w:val="00B16A6B"/>
    <w:rsid w:val="00B1724F"/>
    <w:rsid w:val="00B17E2D"/>
    <w:rsid w:val="00B20DEE"/>
    <w:rsid w:val="00B215A7"/>
    <w:rsid w:val="00B21B23"/>
    <w:rsid w:val="00B22227"/>
    <w:rsid w:val="00B2229B"/>
    <w:rsid w:val="00B2262C"/>
    <w:rsid w:val="00B23080"/>
    <w:rsid w:val="00B23D33"/>
    <w:rsid w:val="00B2447D"/>
    <w:rsid w:val="00B248F6"/>
    <w:rsid w:val="00B24C13"/>
    <w:rsid w:val="00B2654F"/>
    <w:rsid w:val="00B26E5B"/>
    <w:rsid w:val="00B271CF"/>
    <w:rsid w:val="00B27D61"/>
    <w:rsid w:val="00B27F43"/>
    <w:rsid w:val="00B30BC0"/>
    <w:rsid w:val="00B3132A"/>
    <w:rsid w:val="00B31F68"/>
    <w:rsid w:val="00B323C3"/>
    <w:rsid w:val="00B336D1"/>
    <w:rsid w:val="00B351C1"/>
    <w:rsid w:val="00B355D6"/>
    <w:rsid w:val="00B36D48"/>
    <w:rsid w:val="00B40133"/>
    <w:rsid w:val="00B40828"/>
    <w:rsid w:val="00B41C40"/>
    <w:rsid w:val="00B41E7A"/>
    <w:rsid w:val="00B421ED"/>
    <w:rsid w:val="00B42AAB"/>
    <w:rsid w:val="00B4327B"/>
    <w:rsid w:val="00B434CF"/>
    <w:rsid w:val="00B43B1F"/>
    <w:rsid w:val="00B44688"/>
    <w:rsid w:val="00B45BDC"/>
    <w:rsid w:val="00B46ABF"/>
    <w:rsid w:val="00B47CAB"/>
    <w:rsid w:val="00B50021"/>
    <w:rsid w:val="00B507D3"/>
    <w:rsid w:val="00B50CF4"/>
    <w:rsid w:val="00B5154B"/>
    <w:rsid w:val="00B51806"/>
    <w:rsid w:val="00B52271"/>
    <w:rsid w:val="00B52C56"/>
    <w:rsid w:val="00B5329A"/>
    <w:rsid w:val="00B53433"/>
    <w:rsid w:val="00B5542E"/>
    <w:rsid w:val="00B554D3"/>
    <w:rsid w:val="00B5629A"/>
    <w:rsid w:val="00B57358"/>
    <w:rsid w:val="00B57E89"/>
    <w:rsid w:val="00B600D9"/>
    <w:rsid w:val="00B603E6"/>
    <w:rsid w:val="00B604B2"/>
    <w:rsid w:val="00B61134"/>
    <w:rsid w:val="00B6213E"/>
    <w:rsid w:val="00B62D9E"/>
    <w:rsid w:val="00B6394D"/>
    <w:rsid w:val="00B63A41"/>
    <w:rsid w:val="00B63FBA"/>
    <w:rsid w:val="00B64606"/>
    <w:rsid w:val="00B6467B"/>
    <w:rsid w:val="00B6519A"/>
    <w:rsid w:val="00B663B8"/>
    <w:rsid w:val="00B669C4"/>
    <w:rsid w:val="00B66E0F"/>
    <w:rsid w:val="00B67014"/>
    <w:rsid w:val="00B70E56"/>
    <w:rsid w:val="00B7138A"/>
    <w:rsid w:val="00B71665"/>
    <w:rsid w:val="00B71C0B"/>
    <w:rsid w:val="00B72332"/>
    <w:rsid w:val="00B72446"/>
    <w:rsid w:val="00B73D36"/>
    <w:rsid w:val="00B73FD4"/>
    <w:rsid w:val="00B74693"/>
    <w:rsid w:val="00B74947"/>
    <w:rsid w:val="00B7548F"/>
    <w:rsid w:val="00B7591E"/>
    <w:rsid w:val="00B75991"/>
    <w:rsid w:val="00B760A2"/>
    <w:rsid w:val="00B76838"/>
    <w:rsid w:val="00B77D13"/>
    <w:rsid w:val="00B801BF"/>
    <w:rsid w:val="00B80711"/>
    <w:rsid w:val="00B810E2"/>
    <w:rsid w:val="00B81BD0"/>
    <w:rsid w:val="00B820AC"/>
    <w:rsid w:val="00B82794"/>
    <w:rsid w:val="00B82B9C"/>
    <w:rsid w:val="00B82F96"/>
    <w:rsid w:val="00B84CCB"/>
    <w:rsid w:val="00B862AF"/>
    <w:rsid w:val="00B86637"/>
    <w:rsid w:val="00B86906"/>
    <w:rsid w:val="00B86E20"/>
    <w:rsid w:val="00B87E79"/>
    <w:rsid w:val="00B90D97"/>
    <w:rsid w:val="00B91241"/>
    <w:rsid w:val="00B912E5"/>
    <w:rsid w:val="00B91D36"/>
    <w:rsid w:val="00B92746"/>
    <w:rsid w:val="00B92D47"/>
    <w:rsid w:val="00B93048"/>
    <w:rsid w:val="00B93645"/>
    <w:rsid w:val="00B96894"/>
    <w:rsid w:val="00B969AC"/>
    <w:rsid w:val="00B9719C"/>
    <w:rsid w:val="00BA06C1"/>
    <w:rsid w:val="00BA0B65"/>
    <w:rsid w:val="00BA1E04"/>
    <w:rsid w:val="00BA1F78"/>
    <w:rsid w:val="00BA2E14"/>
    <w:rsid w:val="00BA4E3C"/>
    <w:rsid w:val="00BA54D0"/>
    <w:rsid w:val="00BA6C18"/>
    <w:rsid w:val="00BA6F69"/>
    <w:rsid w:val="00BA6FEF"/>
    <w:rsid w:val="00BB058C"/>
    <w:rsid w:val="00BB24C2"/>
    <w:rsid w:val="00BB2CF5"/>
    <w:rsid w:val="00BB30FF"/>
    <w:rsid w:val="00BB360B"/>
    <w:rsid w:val="00BB40B6"/>
    <w:rsid w:val="00BB40F6"/>
    <w:rsid w:val="00BB4C6C"/>
    <w:rsid w:val="00BB573E"/>
    <w:rsid w:val="00BB5FE7"/>
    <w:rsid w:val="00BB60B2"/>
    <w:rsid w:val="00BB68A6"/>
    <w:rsid w:val="00BB6C77"/>
    <w:rsid w:val="00BB7001"/>
    <w:rsid w:val="00BB7720"/>
    <w:rsid w:val="00BB785F"/>
    <w:rsid w:val="00BB7878"/>
    <w:rsid w:val="00BB7D3F"/>
    <w:rsid w:val="00BB7F73"/>
    <w:rsid w:val="00BC05DD"/>
    <w:rsid w:val="00BC188E"/>
    <w:rsid w:val="00BC1B61"/>
    <w:rsid w:val="00BC1BBF"/>
    <w:rsid w:val="00BC2E39"/>
    <w:rsid w:val="00BC3FB6"/>
    <w:rsid w:val="00BC4BB9"/>
    <w:rsid w:val="00BC5779"/>
    <w:rsid w:val="00BC6076"/>
    <w:rsid w:val="00BC6DA1"/>
    <w:rsid w:val="00BC6E86"/>
    <w:rsid w:val="00BC73F7"/>
    <w:rsid w:val="00BC76FE"/>
    <w:rsid w:val="00BD040F"/>
    <w:rsid w:val="00BD0972"/>
    <w:rsid w:val="00BD09FF"/>
    <w:rsid w:val="00BD0C9A"/>
    <w:rsid w:val="00BD0F4E"/>
    <w:rsid w:val="00BD18F0"/>
    <w:rsid w:val="00BD251F"/>
    <w:rsid w:val="00BD2B67"/>
    <w:rsid w:val="00BD30D2"/>
    <w:rsid w:val="00BE1624"/>
    <w:rsid w:val="00BE20AC"/>
    <w:rsid w:val="00BE2ABD"/>
    <w:rsid w:val="00BE2E1E"/>
    <w:rsid w:val="00BE3029"/>
    <w:rsid w:val="00BE3C50"/>
    <w:rsid w:val="00BE3FF4"/>
    <w:rsid w:val="00BE47BD"/>
    <w:rsid w:val="00BE5B52"/>
    <w:rsid w:val="00BE6311"/>
    <w:rsid w:val="00BE6BEE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2D81"/>
    <w:rsid w:val="00BF2DC6"/>
    <w:rsid w:val="00BF301B"/>
    <w:rsid w:val="00BF3436"/>
    <w:rsid w:val="00BF43FA"/>
    <w:rsid w:val="00BF44D0"/>
    <w:rsid w:val="00BF4AE7"/>
    <w:rsid w:val="00BF6AAD"/>
    <w:rsid w:val="00BF7150"/>
    <w:rsid w:val="00BF72CE"/>
    <w:rsid w:val="00C00142"/>
    <w:rsid w:val="00C00FED"/>
    <w:rsid w:val="00C0135E"/>
    <w:rsid w:val="00C01F4F"/>
    <w:rsid w:val="00C025D3"/>
    <w:rsid w:val="00C0337D"/>
    <w:rsid w:val="00C034D6"/>
    <w:rsid w:val="00C06AB7"/>
    <w:rsid w:val="00C07170"/>
    <w:rsid w:val="00C077DA"/>
    <w:rsid w:val="00C0788A"/>
    <w:rsid w:val="00C07EBB"/>
    <w:rsid w:val="00C10D6F"/>
    <w:rsid w:val="00C11266"/>
    <w:rsid w:val="00C1238B"/>
    <w:rsid w:val="00C123A0"/>
    <w:rsid w:val="00C12B00"/>
    <w:rsid w:val="00C12BC9"/>
    <w:rsid w:val="00C131FA"/>
    <w:rsid w:val="00C13BBA"/>
    <w:rsid w:val="00C13F58"/>
    <w:rsid w:val="00C13F76"/>
    <w:rsid w:val="00C14571"/>
    <w:rsid w:val="00C1491F"/>
    <w:rsid w:val="00C14ED8"/>
    <w:rsid w:val="00C15137"/>
    <w:rsid w:val="00C15748"/>
    <w:rsid w:val="00C157D1"/>
    <w:rsid w:val="00C15E22"/>
    <w:rsid w:val="00C15F7A"/>
    <w:rsid w:val="00C16FE2"/>
    <w:rsid w:val="00C20050"/>
    <w:rsid w:val="00C20226"/>
    <w:rsid w:val="00C20BFE"/>
    <w:rsid w:val="00C20D61"/>
    <w:rsid w:val="00C20E5A"/>
    <w:rsid w:val="00C22E55"/>
    <w:rsid w:val="00C23729"/>
    <w:rsid w:val="00C237D7"/>
    <w:rsid w:val="00C25367"/>
    <w:rsid w:val="00C2679E"/>
    <w:rsid w:val="00C26844"/>
    <w:rsid w:val="00C2694A"/>
    <w:rsid w:val="00C26B0A"/>
    <w:rsid w:val="00C2734A"/>
    <w:rsid w:val="00C278B0"/>
    <w:rsid w:val="00C278F8"/>
    <w:rsid w:val="00C309B8"/>
    <w:rsid w:val="00C31ABA"/>
    <w:rsid w:val="00C31D0E"/>
    <w:rsid w:val="00C31E19"/>
    <w:rsid w:val="00C321B7"/>
    <w:rsid w:val="00C32335"/>
    <w:rsid w:val="00C32B54"/>
    <w:rsid w:val="00C32DED"/>
    <w:rsid w:val="00C32ECA"/>
    <w:rsid w:val="00C34184"/>
    <w:rsid w:val="00C34787"/>
    <w:rsid w:val="00C34A4A"/>
    <w:rsid w:val="00C34AC1"/>
    <w:rsid w:val="00C34C00"/>
    <w:rsid w:val="00C35CAA"/>
    <w:rsid w:val="00C36610"/>
    <w:rsid w:val="00C37756"/>
    <w:rsid w:val="00C37AF3"/>
    <w:rsid w:val="00C37B69"/>
    <w:rsid w:val="00C40651"/>
    <w:rsid w:val="00C40CFD"/>
    <w:rsid w:val="00C411FB"/>
    <w:rsid w:val="00C41B46"/>
    <w:rsid w:val="00C41BAB"/>
    <w:rsid w:val="00C41D78"/>
    <w:rsid w:val="00C41E2D"/>
    <w:rsid w:val="00C41E50"/>
    <w:rsid w:val="00C42122"/>
    <w:rsid w:val="00C427B1"/>
    <w:rsid w:val="00C42838"/>
    <w:rsid w:val="00C43371"/>
    <w:rsid w:val="00C43EA1"/>
    <w:rsid w:val="00C44313"/>
    <w:rsid w:val="00C45B6B"/>
    <w:rsid w:val="00C45B95"/>
    <w:rsid w:val="00C4601D"/>
    <w:rsid w:val="00C46235"/>
    <w:rsid w:val="00C47275"/>
    <w:rsid w:val="00C479E2"/>
    <w:rsid w:val="00C47A61"/>
    <w:rsid w:val="00C50494"/>
    <w:rsid w:val="00C51BC7"/>
    <w:rsid w:val="00C53291"/>
    <w:rsid w:val="00C535A6"/>
    <w:rsid w:val="00C53A70"/>
    <w:rsid w:val="00C549E0"/>
    <w:rsid w:val="00C54FAF"/>
    <w:rsid w:val="00C55D2F"/>
    <w:rsid w:val="00C565D2"/>
    <w:rsid w:val="00C56A3A"/>
    <w:rsid w:val="00C576EA"/>
    <w:rsid w:val="00C5774D"/>
    <w:rsid w:val="00C57CD2"/>
    <w:rsid w:val="00C603DE"/>
    <w:rsid w:val="00C6164F"/>
    <w:rsid w:val="00C62171"/>
    <w:rsid w:val="00C62E16"/>
    <w:rsid w:val="00C6348A"/>
    <w:rsid w:val="00C63916"/>
    <w:rsid w:val="00C63D3F"/>
    <w:rsid w:val="00C63FC1"/>
    <w:rsid w:val="00C6406C"/>
    <w:rsid w:val="00C644FC"/>
    <w:rsid w:val="00C64636"/>
    <w:rsid w:val="00C646AC"/>
    <w:rsid w:val="00C64C5D"/>
    <w:rsid w:val="00C652CE"/>
    <w:rsid w:val="00C6630B"/>
    <w:rsid w:val="00C66367"/>
    <w:rsid w:val="00C663B6"/>
    <w:rsid w:val="00C672D1"/>
    <w:rsid w:val="00C701AF"/>
    <w:rsid w:val="00C7054F"/>
    <w:rsid w:val="00C70D2D"/>
    <w:rsid w:val="00C72651"/>
    <w:rsid w:val="00C72C89"/>
    <w:rsid w:val="00C73B10"/>
    <w:rsid w:val="00C74948"/>
    <w:rsid w:val="00C74B05"/>
    <w:rsid w:val="00C75A66"/>
    <w:rsid w:val="00C75F0D"/>
    <w:rsid w:val="00C75F73"/>
    <w:rsid w:val="00C7630E"/>
    <w:rsid w:val="00C77503"/>
    <w:rsid w:val="00C80520"/>
    <w:rsid w:val="00C80E94"/>
    <w:rsid w:val="00C80EF3"/>
    <w:rsid w:val="00C81007"/>
    <w:rsid w:val="00C810AD"/>
    <w:rsid w:val="00C82FC6"/>
    <w:rsid w:val="00C83BDC"/>
    <w:rsid w:val="00C83BDD"/>
    <w:rsid w:val="00C83E8F"/>
    <w:rsid w:val="00C84035"/>
    <w:rsid w:val="00C84A12"/>
    <w:rsid w:val="00C84D6D"/>
    <w:rsid w:val="00C84E32"/>
    <w:rsid w:val="00C85EA2"/>
    <w:rsid w:val="00C86D66"/>
    <w:rsid w:val="00C878C9"/>
    <w:rsid w:val="00C87996"/>
    <w:rsid w:val="00C87E02"/>
    <w:rsid w:val="00C90367"/>
    <w:rsid w:val="00C907BB"/>
    <w:rsid w:val="00C909BF"/>
    <w:rsid w:val="00C9152B"/>
    <w:rsid w:val="00C91FD4"/>
    <w:rsid w:val="00C9246F"/>
    <w:rsid w:val="00C9290A"/>
    <w:rsid w:val="00C93342"/>
    <w:rsid w:val="00C93695"/>
    <w:rsid w:val="00C93D87"/>
    <w:rsid w:val="00C93DA1"/>
    <w:rsid w:val="00C94504"/>
    <w:rsid w:val="00C94C39"/>
    <w:rsid w:val="00C95015"/>
    <w:rsid w:val="00C961DD"/>
    <w:rsid w:val="00C9626E"/>
    <w:rsid w:val="00C97975"/>
    <w:rsid w:val="00C97DB9"/>
    <w:rsid w:val="00CA1C2A"/>
    <w:rsid w:val="00CA211C"/>
    <w:rsid w:val="00CA2C46"/>
    <w:rsid w:val="00CA2DC5"/>
    <w:rsid w:val="00CA3070"/>
    <w:rsid w:val="00CA3D81"/>
    <w:rsid w:val="00CA3FDD"/>
    <w:rsid w:val="00CA4127"/>
    <w:rsid w:val="00CA44ED"/>
    <w:rsid w:val="00CA5469"/>
    <w:rsid w:val="00CA621E"/>
    <w:rsid w:val="00CA6A3E"/>
    <w:rsid w:val="00CA6E7C"/>
    <w:rsid w:val="00CA7058"/>
    <w:rsid w:val="00CA7C68"/>
    <w:rsid w:val="00CA7C77"/>
    <w:rsid w:val="00CB0013"/>
    <w:rsid w:val="00CB01AB"/>
    <w:rsid w:val="00CB04AC"/>
    <w:rsid w:val="00CB0D35"/>
    <w:rsid w:val="00CB1B20"/>
    <w:rsid w:val="00CB1EA7"/>
    <w:rsid w:val="00CB25D4"/>
    <w:rsid w:val="00CB2C84"/>
    <w:rsid w:val="00CB311F"/>
    <w:rsid w:val="00CB3B77"/>
    <w:rsid w:val="00CB407D"/>
    <w:rsid w:val="00CB4560"/>
    <w:rsid w:val="00CB47DE"/>
    <w:rsid w:val="00CB776C"/>
    <w:rsid w:val="00CB7966"/>
    <w:rsid w:val="00CB7EB3"/>
    <w:rsid w:val="00CC0F31"/>
    <w:rsid w:val="00CC16C7"/>
    <w:rsid w:val="00CC199B"/>
    <w:rsid w:val="00CC2AAE"/>
    <w:rsid w:val="00CC49F8"/>
    <w:rsid w:val="00CC504A"/>
    <w:rsid w:val="00CC51BF"/>
    <w:rsid w:val="00CC53C4"/>
    <w:rsid w:val="00CC577F"/>
    <w:rsid w:val="00CC5A14"/>
    <w:rsid w:val="00CC67DD"/>
    <w:rsid w:val="00CC6A54"/>
    <w:rsid w:val="00CC6EAC"/>
    <w:rsid w:val="00CC7595"/>
    <w:rsid w:val="00CC7811"/>
    <w:rsid w:val="00CD019B"/>
    <w:rsid w:val="00CD0FEF"/>
    <w:rsid w:val="00CD1303"/>
    <w:rsid w:val="00CD16E6"/>
    <w:rsid w:val="00CD1F78"/>
    <w:rsid w:val="00CD3371"/>
    <w:rsid w:val="00CD4B5D"/>
    <w:rsid w:val="00CD4CE6"/>
    <w:rsid w:val="00CD582F"/>
    <w:rsid w:val="00CD5943"/>
    <w:rsid w:val="00CD68CA"/>
    <w:rsid w:val="00CD699F"/>
    <w:rsid w:val="00CD707C"/>
    <w:rsid w:val="00CD769F"/>
    <w:rsid w:val="00CE0770"/>
    <w:rsid w:val="00CE0D08"/>
    <w:rsid w:val="00CE1254"/>
    <w:rsid w:val="00CE3C0D"/>
    <w:rsid w:val="00CE4132"/>
    <w:rsid w:val="00CE4165"/>
    <w:rsid w:val="00CE518B"/>
    <w:rsid w:val="00CE5205"/>
    <w:rsid w:val="00CE69B5"/>
    <w:rsid w:val="00CE6CFC"/>
    <w:rsid w:val="00CE7059"/>
    <w:rsid w:val="00CE7444"/>
    <w:rsid w:val="00CF027F"/>
    <w:rsid w:val="00CF0291"/>
    <w:rsid w:val="00CF0D75"/>
    <w:rsid w:val="00CF15D8"/>
    <w:rsid w:val="00CF162C"/>
    <w:rsid w:val="00CF1DF9"/>
    <w:rsid w:val="00CF2BBA"/>
    <w:rsid w:val="00CF3173"/>
    <w:rsid w:val="00CF4858"/>
    <w:rsid w:val="00CF4E1E"/>
    <w:rsid w:val="00CF586D"/>
    <w:rsid w:val="00CF5FA3"/>
    <w:rsid w:val="00CF7392"/>
    <w:rsid w:val="00CF76B6"/>
    <w:rsid w:val="00CF7D4E"/>
    <w:rsid w:val="00D00156"/>
    <w:rsid w:val="00D00369"/>
    <w:rsid w:val="00D004D6"/>
    <w:rsid w:val="00D0057C"/>
    <w:rsid w:val="00D00D24"/>
    <w:rsid w:val="00D0131E"/>
    <w:rsid w:val="00D01C27"/>
    <w:rsid w:val="00D01E6B"/>
    <w:rsid w:val="00D02C61"/>
    <w:rsid w:val="00D0344E"/>
    <w:rsid w:val="00D03ED3"/>
    <w:rsid w:val="00D0409E"/>
    <w:rsid w:val="00D04EE0"/>
    <w:rsid w:val="00D050C1"/>
    <w:rsid w:val="00D05BDB"/>
    <w:rsid w:val="00D0655B"/>
    <w:rsid w:val="00D06D66"/>
    <w:rsid w:val="00D0711F"/>
    <w:rsid w:val="00D079F8"/>
    <w:rsid w:val="00D07D9E"/>
    <w:rsid w:val="00D10F1E"/>
    <w:rsid w:val="00D134CD"/>
    <w:rsid w:val="00D144C9"/>
    <w:rsid w:val="00D14D13"/>
    <w:rsid w:val="00D157D9"/>
    <w:rsid w:val="00D15C59"/>
    <w:rsid w:val="00D17067"/>
    <w:rsid w:val="00D17EA4"/>
    <w:rsid w:val="00D20419"/>
    <w:rsid w:val="00D20C7E"/>
    <w:rsid w:val="00D20CDA"/>
    <w:rsid w:val="00D21843"/>
    <w:rsid w:val="00D21899"/>
    <w:rsid w:val="00D222E7"/>
    <w:rsid w:val="00D2271A"/>
    <w:rsid w:val="00D2363A"/>
    <w:rsid w:val="00D2444D"/>
    <w:rsid w:val="00D247C2"/>
    <w:rsid w:val="00D24813"/>
    <w:rsid w:val="00D24C4B"/>
    <w:rsid w:val="00D253F6"/>
    <w:rsid w:val="00D259D6"/>
    <w:rsid w:val="00D26913"/>
    <w:rsid w:val="00D26B12"/>
    <w:rsid w:val="00D26EB8"/>
    <w:rsid w:val="00D27200"/>
    <w:rsid w:val="00D30045"/>
    <w:rsid w:val="00D31577"/>
    <w:rsid w:val="00D31748"/>
    <w:rsid w:val="00D3212B"/>
    <w:rsid w:val="00D32131"/>
    <w:rsid w:val="00D322B0"/>
    <w:rsid w:val="00D32FC1"/>
    <w:rsid w:val="00D330DB"/>
    <w:rsid w:val="00D333BF"/>
    <w:rsid w:val="00D33EDE"/>
    <w:rsid w:val="00D3402D"/>
    <w:rsid w:val="00D3417A"/>
    <w:rsid w:val="00D34181"/>
    <w:rsid w:val="00D34827"/>
    <w:rsid w:val="00D35983"/>
    <w:rsid w:val="00D3631D"/>
    <w:rsid w:val="00D36486"/>
    <w:rsid w:val="00D3717C"/>
    <w:rsid w:val="00D4058D"/>
    <w:rsid w:val="00D40A23"/>
    <w:rsid w:val="00D410AF"/>
    <w:rsid w:val="00D41AE3"/>
    <w:rsid w:val="00D42647"/>
    <w:rsid w:val="00D4280E"/>
    <w:rsid w:val="00D4336D"/>
    <w:rsid w:val="00D44469"/>
    <w:rsid w:val="00D44ED9"/>
    <w:rsid w:val="00D45256"/>
    <w:rsid w:val="00D45AFE"/>
    <w:rsid w:val="00D47D6A"/>
    <w:rsid w:val="00D501DA"/>
    <w:rsid w:val="00D506A3"/>
    <w:rsid w:val="00D50FD4"/>
    <w:rsid w:val="00D5106A"/>
    <w:rsid w:val="00D51C00"/>
    <w:rsid w:val="00D51E0A"/>
    <w:rsid w:val="00D524A2"/>
    <w:rsid w:val="00D526DB"/>
    <w:rsid w:val="00D527AF"/>
    <w:rsid w:val="00D52AB9"/>
    <w:rsid w:val="00D52F3D"/>
    <w:rsid w:val="00D5331F"/>
    <w:rsid w:val="00D5378F"/>
    <w:rsid w:val="00D53E29"/>
    <w:rsid w:val="00D542E5"/>
    <w:rsid w:val="00D55775"/>
    <w:rsid w:val="00D55D3B"/>
    <w:rsid w:val="00D564C8"/>
    <w:rsid w:val="00D5705A"/>
    <w:rsid w:val="00D5714E"/>
    <w:rsid w:val="00D57413"/>
    <w:rsid w:val="00D60D35"/>
    <w:rsid w:val="00D61282"/>
    <w:rsid w:val="00D61692"/>
    <w:rsid w:val="00D61837"/>
    <w:rsid w:val="00D61B63"/>
    <w:rsid w:val="00D61E86"/>
    <w:rsid w:val="00D62029"/>
    <w:rsid w:val="00D6202D"/>
    <w:rsid w:val="00D621B2"/>
    <w:rsid w:val="00D63E78"/>
    <w:rsid w:val="00D64D69"/>
    <w:rsid w:val="00D64F6E"/>
    <w:rsid w:val="00D64FD3"/>
    <w:rsid w:val="00D66F3C"/>
    <w:rsid w:val="00D67D95"/>
    <w:rsid w:val="00D710FD"/>
    <w:rsid w:val="00D71690"/>
    <w:rsid w:val="00D719A0"/>
    <w:rsid w:val="00D72BA2"/>
    <w:rsid w:val="00D733AC"/>
    <w:rsid w:val="00D736AA"/>
    <w:rsid w:val="00D737CD"/>
    <w:rsid w:val="00D73AA8"/>
    <w:rsid w:val="00D7512C"/>
    <w:rsid w:val="00D75F50"/>
    <w:rsid w:val="00D765A3"/>
    <w:rsid w:val="00D76A94"/>
    <w:rsid w:val="00D7718A"/>
    <w:rsid w:val="00D7738A"/>
    <w:rsid w:val="00D778E1"/>
    <w:rsid w:val="00D77F3E"/>
    <w:rsid w:val="00D800B5"/>
    <w:rsid w:val="00D8039D"/>
    <w:rsid w:val="00D803C1"/>
    <w:rsid w:val="00D80FC5"/>
    <w:rsid w:val="00D81DB0"/>
    <w:rsid w:val="00D834E8"/>
    <w:rsid w:val="00D83734"/>
    <w:rsid w:val="00D83936"/>
    <w:rsid w:val="00D8428F"/>
    <w:rsid w:val="00D848EE"/>
    <w:rsid w:val="00D85C94"/>
    <w:rsid w:val="00D85F1E"/>
    <w:rsid w:val="00D8651E"/>
    <w:rsid w:val="00D90631"/>
    <w:rsid w:val="00D90D26"/>
    <w:rsid w:val="00D91904"/>
    <w:rsid w:val="00D928AF"/>
    <w:rsid w:val="00D92C91"/>
    <w:rsid w:val="00D943CE"/>
    <w:rsid w:val="00D94466"/>
    <w:rsid w:val="00D95C48"/>
    <w:rsid w:val="00D96335"/>
    <w:rsid w:val="00D965EE"/>
    <w:rsid w:val="00D96B77"/>
    <w:rsid w:val="00D96CD3"/>
    <w:rsid w:val="00D97C9E"/>
    <w:rsid w:val="00DA02CD"/>
    <w:rsid w:val="00DA1A1F"/>
    <w:rsid w:val="00DA2655"/>
    <w:rsid w:val="00DA2F0A"/>
    <w:rsid w:val="00DA35C2"/>
    <w:rsid w:val="00DA372E"/>
    <w:rsid w:val="00DA3BC4"/>
    <w:rsid w:val="00DA40A3"/>
    <w:rsid w:val="00DA4FC9"/>
    <w:rsid w:val="00DA6330"/>
    <w:rsid w:val="00DB00DC"/>
    <w:rsid w:val="00DB0D61"/>
    <w:rsid w:val="00DB2D7B"/>
    <w:rsid w:val="00DB2EE2"/>
    <w:rsid w:val="00DB3124"/>
    <w:rsid w:val="00DB3E5E"/>
    <w:rsid w:val="00DB3ED2"/>
    <w:rsid w:val="00DB3FE3"/>
    <w:rsid w:val="00DB4049"/>
    <w:rsid w:val="00DB4A28"/>
    <w:rsid w:val="00DB51B0"/>
    <w:rsid w:val="00DB55E7"/>
    <w:rsid w:val="00DB560E"/>
    <w:rsid w:val="00DB561E"/>
    <w:rsid w:val="00DB67E3"/>
    <w:rsid w:val="00DB6B8F"/>
    <w:rsid w:val="00DB6DB6"/>
    <w:rsid w:val="00DB721D"/>
    <w:rsid w:val="00DB7A55"/>
    <w:rsid w:val="00DB7C5D"/>
    <w:rsid w:val="00DC006E"/>
    <w:rsid w:val="00DC0241"/>
    <w:rsid w:val="00DC04AD"/>
    <w:rsid w:val="00DC1184"/>
    <w:rsid w:val="00DC19DD"/>
    <w:rsid w:val="00DC3690"/>
    <w:rsid w:val="00DC3FF1"/>
    <w:rsid w:val="00DC47E7"/>
    <w:rsid w:val="00DC47F3"/>
    <w:rsid w:val="00DC48C0"/>
    <w:rsid w:val="00DC4AD1"/>
    <w:rsid w:val="00DC4EE0"/>
    <w:rsid w:val="00DC6634"/>
    <w:rsid w:val="00DC718F"/>
    <w:rsid w:val="00DC74BC"/>
    <w:rsid w:val="00DC7E28"/>
    <w:rsid w:val="00DD0300"/>
    <w:rsid w:val="00DD1016"/>
    <w:rsid w:val="00DD118A"/>
    <w:rsid w:val="00DD13B3"/>
    <w:rsid w:val="00DD174F"/>
    <w:rsid w:val="00DD1A3B"/>
    <w:rsid w:val="00DD230D"/>
    <w:rsid w:val="00DD2817"/>
    <w:rsid w:val="00DD2925"/>
    <w:rsid w:val="00DD2C83"/>
    <w:rsid w:val="00DD351E"/>
    <w:rsid w:val="00DD3C0D"/>
    <w:rsid w:val="00DD41DB"/>
    <w:rsid w:val="00DD48CB"/>
    <w:rsid w:val="00DD5A8F"/>
    <w:rsid w:val="00DD6AB8"/>
    <w:rsid w:val="00DD6B2D"/>
    <w:rsid w:val="00DD756A"/>
    <w:rsid w:val="00DD75DD"/>
    <w:rsid w:val="00DE0595"/>
    <w:rsid w:val="00DE1295"/>
    <w:rsid w:val="00DE1A7C"/>
    <w:rsid w:val="00DE2A1F"/>
    <w:rsid w:val="00DE2AD3"/>
    <w:rsid w:val="00DE2C31"/>
    <w:rsid w:val="00DE4794"/>
    <w:rsid w:val="00DE47FC"/>
    <w:rsid w:val="00DE495F"/>
    <w:rsid w:val="00DE4B55"/>
    <w:rsid w:val="00DE587D"/>
    <w:rsid w:val="00DE63E8"/>
    <w:rsid w:val="00DE6D14"/>
    <w:rsid w:val="00DE7609"/>
    <w:rsid w:val="00DF0A5E"/>
    <w:rsid w:val="00DF1409"/>
    <w:rsid w:val="00DF1C86"/>
    <w:rsid w:val="00DF1ED1"/>
    <w:rsid w:val="00DF228E"/>
    <w:rsid w:val="00DF2695"/>
    <w:rsid w:val="00DF27B1"/>
    <w:rsid w:val="00DF2AA3"/>
    <w:rsid w:val="00DF2C31"/>
    <w:rsid w:val="00DF3850"/>
    <w:rsid w:val="00DF3A27"/>
    <w:rsid w:val="00DF4D67"/>
    <w:rsid w:val="00DF4F9D"/>
    <w:rsid w:val="00DF5B2A"/>
    <w:rsid w:val="00DF698C"/>
    <w:rsid w:val="00DF6B9D"/>
    <w:rsid w:val="00DF6C08"/>
    <w:rsid w:val="00DF6D45"/>
    <w:rsid w:val="00DF7783"/>
    <w:rsid w:val="00E00EA3"/>
    <w:rsid w:val="00E00EAA"/>
    <w:rsid w:val="00E00F3A"/>
    <w:rsid w:val="00E013C2"/>
    <w:rsid w:val="00E0181B"/>
    <w:rsid w:val="00E01B04"/>
    <w:rsid w:val="00E01F45"/>
    <w:rsid w:val="00E0269D"/>
    <w:rsid w:val="00E0276A"/>
    <w:rsid w:val="00E028D8"/>
    <w:rsid w:val="00E02E82"/>
    <w:rsid w:val="00E03367"/>
    <w:rsid w:val="00E03F48"/>
    <w:rsid w:val="00E04E50"/>
    <w:rsid w:val="00E052EE"/>
    <w:rsid w:val="00E05647"/>
    <w:rsid w:val="00E0598B"/>
    <w:rsid w:val="00E05C49"/>
    <w:rsid w:val="00E06824"/>
    <w:rsid w:val="00E06855"/>
    <w:rsid w:val="00E0706D"/>
    <w:rsid w:val="00E072B7"/>
    <w:rsid w:val="00E074E4"/>
    <w:rsid w:val="00E07C08"/>
    <w:rsid w:val="00E10677"/>
    <w:rsid w:val="00E11F76"/>
    <w:rsid w:val="00E1390E"/>
    <w:rsid w:val="00E139E6"/>
    <w:rsid w:val="00E143F2"/>
    <w:rsid w:val="00E146CB"/>
    <w:rsid w:val="00E1484A"/>
    <w:rsid w:val="00E14901"/>
    <w:rsid w:val="00E157D0"/>
    <w:rsid w:val="00E161D9"/>
    <w:rsid w:val="00E16763"/>
    <w:rsid w:val="00E16DA6"/>
    <w:rsid w:val="00E17454"/>
    <w:rsid w:val="00E20361"/>
    <w:rsid w:val="00E20800"/>
    <w:rsid w:val="00E2133B"/>
    <w:rsid w:val="00E21DD8"/>
    <w:rsid w:val="00E22571"/>
    <w:rsid w:val="00E2307A"/>
    <w:rsid w:val="00E23438"/>
    <w:rsid w:val="00E2362B"/>
    <w:rsid w:val="00E237D9"/>
    <w:rsid w:val="00E24884"/>
    <w:rsid w:val="00E249A9"/>
    <w:rsid w:val="00E25472"/>
    <w:rsid w:val="00E27740"/>
    <w:rsid w:val="00E27F19"/>
    <w:rsid w:val="00E3010C"/>
    <w:rsid w:val="00E30184"/>
    <w:rsid w:val="00E301CE"/>
    <w:rsid w:val="00E30262"/>
    <w:rsid w:val="00E3083C"/>
    <w:rsid w:val="00E30F05"/>
    <w:rsid w:val="00E31062"/>
    <w:rsid w:val="00E313FC"/>
    <w:rsid w:val="00E31522"/>
    <w:rsid w:val="00E318AD"/>
    <w:rsid w:val="00E32169"/>
    <w:rsid w:val="00E32881"/>
    <w:rsid w:val="00E328B1"/>
    <w:rsid w:val="00E33A62"/>
    <w:rsid w:val="00E34692"/>
    <w:rsid w:val="00E349D3"/>
    <w:rsid w:val="00E34A15"/>
    <w:rsid w:val="00E35767"/>
    <w:rsid w:val="00E35972"/>
    <w:rsid w:val="00E35BCC"/>
    <w:rsid w:val="00E35C9E"/>
    <w:rsid w:val="00E36ABE"/>
    <w:rsid w:val="00E36E18"/>
    <w:rsid w:val="00E37149"/>
    <w:rsid w:val="00E37A47"/>
    <w:rsid w:val="00E40915"/>
    <w:rsid w:val="00E41355"/>
    <w:rsid w:val="00E42290"/>
    <w:rsid w:val="00E42824"/>
    <w:rsid w:val="00E42CCB"/>
    <w:rsid w:val="00E43D7A"/>
    <w:rsid w:val="00E44BCC"/>
    <w:rsid w:val="00E44FC4"/>
    <w:rsid w:val="00E453FC"/>
    <w:rsid w:val="00E456CD"/>
    <w:rsid w:val="00E461A4"/>
    <w:rsid w:val="00E46823"/>
    <w:rsid w:val="00E4745C"/>
    <w:rsid w:val="00E474C1"/>
    <w:rsid w:val="00E50BCF"/>
    <w:rsid w:val="00E51282"/>
    <w:rsid w:val="00E523EF"/>
    <w:rsid w:val="00E527EE"/>
    <w:rsid w:val="00E53080"/>
    <w:rsid w:val="00E53239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42A"/>
    <w:rsid w:val="00E57610"/>
    <w:rsid w:val="00E57695"/>
    <w:rsid w:val="00E57725"/>
    <w:rsid w:val="00E57C4B"/>
    <w:rsid w:val="00E610DC"/>
    <w:rsid w:val="00E62908"/>
    <w:rsid w:val="00E63CB1"/>
    <w:rsid w:val="00E64520"/>
    <w:rsid w:val="00E64AA5"/>
    <w:rsid w:val="00E64E93"/>
    <w:rsid w:val="00E65897"/>
    <w:rsid w:val="00E660EE"/>
    <w:rsid w:val="00E66286"/>
    <w:rsid w:val="00E671BD"/>
    <w:rsid w:val="00E70D2B"/>
    <w:rsid w:val="00E711CD"/>
    <w:rsid w:val="00E72541"/>
    <w:rsid w:val="00E72808"/>
    <w:rsid w:val="00E72ABE"/>
    <w:rsid w:val="00E72F93"/>
    <w:rsid w:val="00E734B7"/>
    <w:rsid w:val="00E73E27"/>
    <w:rsid w:val="00E740C2"/>
    <w:rsid w:val="00E752D0"/>
    <w:rsid w:val="00E75796"/>
    <w:rsid w:val="00E75F1B"/>
    <w:rsid w:val="00E76F6C"/>
    <w:rsid w:val="00E802C5"/>
    <w:rsid w:val="00E8093F"/>
    <w:rsid w:val="00E81A2E"/>
    <w:rsid w:val="00E81CBF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1EF"/>
    <w:rsid w:val="00E867A9"/>
    <w:rsid w:val="00E86C6C"/>
    <w:rsid w:val="00E86FF2"/>
    <w:rsid w:val="00E8761C"/>
    <w:rsid w:val="00E876BD"/>
    <w:rsid w:val="00E87BA7"/>
    <w:rsid w:val="00E87BC6"/>
    <w:rsid w:val="00E901F6"/>
    <w:rsid w:val="00E9031B"/>
    <w:rsid w:val="00E9050A"/>
    <w:rsid w:val="00E90903"/>
    <w:rsid w:val="00E90B13"/>
    <w:rsid w:val="00E9108B"/>
    <w:rsid w:val="00E91311"/>
    <w:rsid w:val="00E91ED3"/>
    <w:rsid w:val="00E92380"/>
    <w:rsid w:val="00E955E1"/>
    <w:rsid w:val="00E95A95"/>
    <w:rsid w:val="00E95F4E"/>
    <w:rsid w:val="00E979C0"/>
    <w:rsid w:val="00EA0BE5"/>
    <w:rsid w:val="00EA1B4B"/>
    <w:rsid w:val="00EA1B59"/>
    <w:rsid w:val="00EA262B"/>
    <w:rsid w:val="00EA2D02"/>
    <w:rsid w:val="00EA2FB5"/>
    <w:rsid w:val="00EA36C4"/>
    <w:rsid w:val="00EA43D5"/>
    <w:rsid w:val="00EA5738"/>
    <w:rsid w:val="00EA5E4B"/>
    <w:rsid w:val="00EA60A7"/>
    <w:rsid w:val="00EB1800"/>
    <w:rsid w:val="00EB20E3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6F57"/>
    <w:rsid w:val="00EB7CD3"/>
    <w:rsid w:val="00EB7CD9"/>
    <w:rsid w:val="00EC0C1D"/>
    <w:rsid w:val="00EC0D33"/>
    <w:rsid w:val="00EC1003"/>
    <w:rsid w:val="00EC128A"/>
    <w:rsid w:val="00EC2858"/>
    <w:rsid w:val="00EC2A70"/>
    <w:rsid w:val="00EC3691"/>
    <w:rsid w:val="00EC3842"/>
    <w:rsid w:val="00EC3B14"/>
    <w:rsid w:val="00EC4680"/>
    <w:rsid w:val="00EC6854"/>
    <w:rsid w:val="00EC70BD"/>
    <w:rsid w:val="00EC7334"/>
    <w:rsid w:val="00ED05BC"/>
    <w:rsid w:val="00ED0E4C"/>
    <w:rsid w:val="00ED19D2"/>
    <w:rsid w:val="00ED1AB5"/>
    <w:rsid w:val="00ED21BB"/>
    <w:rsid w:val="00ED2422"/>
    <w:rsid w:val="00ED2988"/>
    <w:rsid w:val="00ED301D"/>
    <w:rsid w:val="00ED3980"/>
    <w:rsid w:val="00ED3FE9"/>
    <w:rsid w:val="00ED4AD3"/>
    <w:rsid w:val="00ED4E43"/>
    <w:rsid w:val="00ED63EC"/>
    <w:rsid w:val="00ED66A9"/>
    <w:rsid w:val="00ED69B4"/>
    <w:rsid w:val="00ED7615"/>
    <w:rsid w:val="00ED7BD7"/>
    <w:rsid w:val="00EE0167"/>
    <w:rsid w:val="00EE0860"/>
    <w:rsid w:val="00EE096D"/>
    <w:rsid w:val="00EE0F98"/>
    <w:rsid w:val="00EE2019"/>
    <w:rsid w:val="00EE219A"/>
    <w:rsid w:val="00EE2426"/>
    <w:rsid w:val="00EE30BF"/>
    <w:rsid w:val="00EE337A"/>
    <w:rsid w:val="00EE400A"/>
    <w:rsid w:val="00EE4F3A"/>
    <w:rsid w:val="00EE5F9C"/>
    <w:rsid w:val="00EE725A"/>
    <w:rsid w:val="00EE7773"/>
    <w:rsid w:val="00EE78F7"/>
    <w:rsid w:val="00EF0EF4"/>
    <w:rsid w:val="00EF10E3"/>
    <w:rsid w:val="00EF282D"/>
    <w:rsid w:val="00EF3CD5"/>
    <w:rsid w:val="00EF3CFD"/>
    <w:rsid w:val="00EF4511"/>
    <w:rsid w:val="00EF490F"/>
    <w:rsid w:val="00EF5EA4"/>
    <w:rsid w:val="00EF668F"/>
    <w:rsid w:val="00EF6766"/>
    <w:rsid w:val="00EF6D1A"/>
    <w:rsid w:val="00EF737D"/>
    <w:rsid w:val="00EF7691"/>
    <w:rsid w:val="00EF7D63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4E73"/>
    <w:rsid w:val="00F053FC"/>
    <w:rsid w:val="00F05610"/>
    <w:rsid w:val="00F05776"/>
    <w:rsid w:val="00F061DD"/>
    <w:rsid w:val="00F063AE"/>
    <w:rsid w:val="00F064DC"/>
    <w:rsid w:val="00F076BD"/>
    <w:rsid w:val="00F07EA0"/>
    <w:rsid w:val="00F10750"/>
    <w:rsid w:val="00F10D39"/>
    <w:rsid w:val="00F10EBC"/>
    <w:rsid w:val="00F10F0C"/>
    <w:rsid w:val="00F1178A"/>
    <w:rsid w:val="00F11F0D"/>
    <w:rsid w:val="00F1270D"/>
    <w:rsid w:val="00F13923"/>
    <w:rsid w:val="00F13EE1"/>
    <w:rsid w:val="00F1493B"/>
    <w:rsid w:val="00F150AE"/>
    <w:rsid w:val="00F16281"/>
    <w:rsid w:val="00F166B1"/>
    <w:rsid w:val="00F16D4D"/>
    <w:rsid w:val="00F16DB0"/>
    <w:rsid w:val="00F176FB"/>
    <w:rsid w:val="00F17D5B"/>
    <w:rsid w:val="00F17E2E"/>
    <w:rsid w:val="00F20B19"/>
    <w:rsid w:val="00F21847"/>
    <w:rsid w:val="00F21D60"/>
    <w:rsid w:val="00F21F03"/>
    <w:rsid w:val="00F22301"/>
    <w:rsid w:val="00F225BD"/>
    <w:rsid w:val="00F231BA"/>
    <w:rsid w:val="00F2366D"/>
    <w:rsid w:val="00F24232"/>
    <w:rsid w:val="00F24992"/>
    <w:rsid w:val="00F24A0A"/>
    <w:rsid w:val="00F25012"/>
    <w:rsid w:val="00F2525E"/>
    <w:rsid w:val="00F26EE8"/>
    <w:rsid w:val="00F27924"/>
    <w:rsid w:val="00F3219F"/>
    <w:rsid w:val="00F32946"/>
    <w:rsid w:val="00F32E78"/>
    <w:rsid w:val="00F34299"/>
    <w:rsid w:val="00F345C4"/>
    <w:rsid w:val="00F351EA"/>
    <w:rsid w:val="00F35863"/>
    <w:rsid w:val="00F36375"/>
    <w:rsid w:val="00F37361"/>
    <w:rsid w:val="00F37681"/>
    <w:rsid w:val="00F37E59"/>
    <w:rsid w:val="00F37F75"/>
    <w:rsid w:val="00F40003"/>
    <w:rsid w:val="00F409E5"/>
    <w:rsid w:val="00F41321"/>
    <w:rsid w:val="00F4195C"/>
    <w:rsid w:val="00F41ABF"/>
    <w:rsid w:val="00F42E77"/>
    <w:rsid w:val="00F43051"/>
    <w:rsid w:val="00F44108"/>
    <w:rsid w:val="00F44671"/>
    <w:rsid w:val="00F446C2"/>
    <w:rsid w:val="00F44D96"/>
    <w:rsid w:val="00F45FFE"/>
    <w:rsid w:val="00F4794F"/>
    <w:rsid w:val="00F500C1"/>
    <w:rsid w:val="00F52077"/>
    <w:rsid w:val="00F52271"/>
    <w:rsid w:val="00F522B8"/>
    <w:rsid w:val="00F522C9"/>
    <w:rsid w:val="00F52987"/>
    <w:rsid w:val="00F54342"/>
    <w:rsid w:val="00F54BF8"/>
    <w:rsid w:val="00F54EEB"/>
    <w:rsid w:val="00F550CB"/>
    <w:rsid w:val="00F55573"/>
    <w:rsid w:val="00F55921"/>
    <w:rsid w:val="00F55DC8"/>
    <w:rsid w:val="00F5720E"/>
    <w:rsid w:val="00F5737B"/>
    <w:rsid w:val="00F61509"/>
    <w:rsid w:val="00F619FF"/>
    <w:rsid w:val="00F63463"/>
    <w:rsid w:val="00F6365F"/>
    <w:rsid w:val="00F63D6B"/>
    <w:rsid w:val="00F65299"/>
    <w:rsid w:val="00F653CD"/>
    <w:rsid w:val="00F656E0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6F4"/>
    <w:rsid w:val="00F72EE3"/>
    <w:rsid w:val="00F737D1"/>
    <w:rsid w:val="00F737F3"/>
    <w:rsid w:val="00F73FC6"/>
    <w:rsid w:val="00F73FF2"/>
    <w:rsid w:val="00F74097"/>
    <w:rsid w:val="00F743B0"/>
    <w:rsid w:val="00F76762"/>
    <w:rsid w:val="00F80192"/>
    <w:rsid w:val="00F8076B"/>
    <w:rsid w:val="00F8107E"/>
    <w:rsid w:val="00F81AF7"/>
    <w:rsid w:val="00F81F17"/>
    <w:rsid w:val="00F8261B"/>
    <w:rsid w:val="00F8295C"/>
    <w:rsid w:val="00F82B84"/>
    <w:rsid w:val="00F8300B"/>
    <w:rsid w:val="00F838C5"/>
    <w:rsid w:val="00F83B3C"/>
    <w:rsid w:val="00F84966"/>
    <w:rsid w:val="00F84CEA"/>
    <w:rsid w:val="00F86085"/>
    <w:rsid w:val="00F8680A"/>
    <w:rsid w:val="00F8720A"/>
    <w:rsid w:val="00F911BE"/>
    <w:rsid w:val="00F9185B"/>
    <w:rsid w:val="00F91A17"/>
    <w:rsid w:val="00F91DF0"/>
    <w:rsid w:val="00F92862"/>
    <w:rsid w:val="00F92BD8"/>
    <w:rsid w:val="00F92E4D"/>
    <w:rsid w:val="00F92EB4"/>
    <w:rsid w:val="00F92FB6"/>
    <w:rsid w:val="00F93E6F"/>
    <w:rsid w:val="00F943E3"/>
    <w:rsid w:val="00F94653"/>
    <w:rsid w:val="00F94BEB"/>
    <w:rsid w:val="00F967FC"/>
    <w:rsid w:val="00F96C7B"/>
    <w:rsid w:val="00F96E71"/>
    <w:rsid w:val="00FA000C"/>
    <w:rsid w:val="00FA053C"/>
    <w:rsid w:val="00FA0AE5"/>
    <w:rsid w:val="00FA1BE2"/>
    <w:rsid w:val="00FA2AA4"/>
    <w:rsid w:val="00FA3278"/>
    <w:rsid w:val="00FA3780"/>
    <w:rsid w:val="00FA3E67"/>
    <w:rsid w:val="00FA739B"/>
    <w:rsid w:val="00FB0150"/>
    <w:rsid w:val="00FB03D2"/>
    <w:rsid w:val="00FB0828"/>
    <w:rsid w:val="00FB2A28"/>
    <w:rsid w:val="00FB2F96"/>
    <w:rsid w:val="00FB33C7"/>
    <w:rsid w:val="00FB33D1"/>
    <w:rsid w:val="00FB3CC6"/>
    <w:rsid w:val="00FB3D41"/>
    <w:rsid w:val="00FB42E2"/>
    <w:rsid w:val="00FB495F"/>
    <w:rsid w:val="00FB54D1"/>
    <w:rsid w:val="00FB55B2"/>
    <w:rsid w:val="00FB6971"/>
    <w:rsid w:val="00FB6B92"/>
    <w:rsid w:val="00FB73F7"/>
    <w:rsid w:val="00FC02E2"/>
    <w:rsid w:val="00FC08F4"/>
    <w:rsid w:val="00FC1555"/>
    <w:rsid w:val="00FC187B"/>
    <w:rsid w:val="00FC19AA"/>
    <w:rsid w:val="00FC1EDA"/>
    <w:rsid w:val="00FC1FCF"/>
    <w:rsid w:val="00FC29EE"/>
    <w:rsid w:val="00FC2E1D"/>
    <w:rsid w:val="00FC39C8"/>
    <w:rsid w:val="00FC3AFD"/>
    <w:rsid w:val="00FC4259"/>
    <w:rsid w:val="00FC4C8A"/>
    <w:rsid w:val="00FC6111"/>
    <w:rsid w:val="00FC6E75"/>
    <w:rsid w:val="00FD004E"/>
    <w:rsid w:val="00FD0116"/>
    <w:rsid w:val="00FD0297"/>
    <w:rsid w:val="00FD06B2"/>
    <w:rsid w:val="00FD0AB9"/>
    <w:rsid w:val="00FD1B17"/>
    <w:rsid w:val="00FD1CBA"/>
    <w:rsid w:val="00FD1DE9"/>
    <w:rsid w:val="00FD2C51"/>
    <w:rsid w:val="00FD2F04"/>
    <w:rsid w:val="00FD40CE"/>
    <w:rsid w:val="00FD41E4"/>
    <w:rsid w:val="00FD4282"/>
    <w:rsid w:val="00FD5175"/>
    <w:rsid w:val="00FD6D73"/>
    <w:rsid w:val="00FE0243"/>
    <w:rsid w:val="00FE040C"/>
    <w:rsid w:val="00FE097A"/>
    <w:rsid w:val="00FE138A"/>
    <w:rsid w:val="00FE28DC"/>
    <w:rsid w:val="00FE337F"/>
    <w:rsid w:val="00FE3405"/>
    <w:rsid w:val="00FE4291"/>
    <w:rsid w:val="00FE4F88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068D"/>
    <w:rsid w:val="00FF13A2"/>
    <w:rsid w:val="00FF1463"/>
    <w:rsid w:val="00FF1471"/>
    <w:rsid w:val="00FF1E9B"/>
    <w:rsid w:val="00FF2790"/>
    <w:rsid w:val="00FF2BA5"/>
    <w:rsid w:val="00FF2D0B"/>
    <w:rsid w:val="00FF390E"/>
    <w:rsid w:val="00FF3DED"/>
    <w:rsid w:val="00FF4558"/>
    <w:rsid w:val="00FF5BDC"/>
    <w:rsid w:val="00FF5D0A"/>
    <w:rsid w:val="00FF614F"/>
    <w:rsid w:val="00FF6A0C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5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table" w:customStyle="1" w:styleId="LightShading-Accent11">
    <w:name w:val="Light Shading - Accent 11"/>
    <w:basedOn w:val="TableNormal"/>
    <w:uiPriority w:val="60"/>
    <w:rsid w:val="004F731B"/>
    <w:rPr>
      <w:color w:val="E65B01" w:themeColor="accent1" w:themeShade="BF"/>
    </w:rPr>
    <w:tblPr>
      <w:tblStyleRowBandSize w:val="1"/>
      <w:tblStyleColBandSize w:val="1"/>
      <w:tblInd w:w="0" w:type="dxa"/>
      <w:tblBorders>
        <w:top w:val="single" w:sz="8" w:space="0" w:color="FE8637" w:themeColor="accent1"/>
        <w:bottom w:val="single" w:sz="8" w:space="0" w:color="FE8637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8637" w:themeColor="accent1"/>
          <w:left w:val="nil"/>
          <w:bottom w:val="single" w:sz="8" w:space="0" w:color="FE863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1CD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hyperlink" Target="http://www.brookings.edu/tig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radovan.zivkovic\Dropbox\BDP%20po%20zemljam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olja.tomanovic\Desktop\mmi%202015-0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02_MMI\MMI_2015%2009\mmi%202015-0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projekat\statistika_kamatnih_stopa_banaka_avgust_2015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ilanka.jovanovic\Desktop\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style val="27"/>
  <c:chart>
    <c:title>
      <c:tx>
        <c:rich>
          <a:bodyPr/>
          <a:lstStyle/>
          <a:p>
            <a:pPr>
              <a:defRPr/>
            </a:pPr>
            <a:r>
              <a:rPr lang="sr-Latn-CS" sz="1000"/>
              <a:t>BDP </a:t>
            </a:r>
            <a:r>
              <a:rPr lang="sr-Latn-CS" sz="700"/>
              <a:t>po paritetu </a:t>
            </a:r>
            <a:r>
              <a:rPr lang="sr-Latn-CS" sz="800"/>
              <a:t>kupovne moći- učešće u svjetskoj ekonomiji</a:t>
            </a:r>
            <a:endParaRPr lang="sr-Latn-CS"/>
          </a:p>
        </c:rich>
      </c:tx>
      <c:layout>
        <c:manualLayout>
          <c:xMode val="edge"/>
          <c:yMode val="edge"/>
          <c:x val="0.15951322751322791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3478527336860668"/>
          <c:y val="0.10473090277777777"/>
          <c:w val="0.80361860670194007"/>
          <c:h val="0.79106206597222029"/>
        </c:manualLayout>
      </c:layout>
      <c:pie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2"/>
                        </a:solidFill>
                      </a:rPr>
                      <a:t>EU; 17,1</a:t>
                    </a:r>
                  </a:p>
                </c:rich>
              </c:tx>
              <c:showVal val="1"/>
              <c:showCatNam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2"/>
                        </a:solidFill>
                      </a:rPr>
                      <a:t>Kina; 16,3</a:t>
                    </a:r>
                  </a:p>
                </c:rich>
              </c:tx>
              <c:showVal val="1"/>
              <c:showCatName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2"/>
                        </a:solidFill>
                      </a:rPr>
                      <a:t>USA; 16,1</a:t>
                    </a:r>
                  </a:p>
                </c:rich>
              </c:tx>
              <c:showVal val="1"/>
              <c:showCatName val="1"/>
            </c:dLbl>
            <c:dLbl>
              <c:idx val="7"/>
              <c:layout>
                <c:manualLayout>
                  <c:x val="2.7297178130511533E-3"/>
                  <c:y val="-9.0365885416666875E-2"/>
                </c:manualLayout>
              </c:layout>
              <c:showVal val="1"/>
              <c:showCatName val="1"/>
            </c:dLbl>
            <c:numFmt formatCode="#,##0.0" sourceLinked="0"/>
            <c:txPr>
              <a:bodyPr/>
              <a:lstStyle/>
              <a:p>
                <a:pPr>
                  <a:defRPr sz="700"/>
                </a:pPr>
                <a:endParaRPr lang="sr-Latn-CS"/>
              </a:p>
            </c:txPr>
            <c:showVal val="1"/>
            <c:showCatName val="1"/>
            <c:showLeaderLines val="1"/>
          </c:dLbls>
          <c:cat>
            <c:strRef>
              <c:f>Sheet1!$C$3:$C$11</c:f>
              <c:strCache>
                <c:ptCount val="9"/>
                <c:pt idx="0">
                  <c:v>EU</c:v>
                </c:pt>
                <c:pt idx="1">
                  <c:v>Kina</c:v>
                </c:pt>
                <c:pt idx="2">
                  <c:v>USA</c:v>
                </c:pt>
                <c:pt idx="3">
                  <c:v> Indija</c:v>
                </c:pt>
                <c:pt idx="4">
                  <c:v> Japan</c:v>
                </c:pt>
                <c:pt idx="5">
                  <c:v> Rusija</c:v>
                </c:pt>
                <c:pt idx="6">
                  <c:v> Brazil</c:v>
                </c:pt>
                <c:pt idx="7">
                  <c:v>Indonezija</c:v>
                </c:pt>
                <c:pt idx="8">
                  <c:v>ostali</c:v>
                </c:pt>
              </c:strCache>
            </c:strRef>
          </c:cat>
          <c:val>
            <c:numRef>
              <c:f>Sheet1!$E$3:$E$11</c:f>
              <c:numCache>
                <c:formatCode>General</c:formatCode>
                <c:ptCount val="9"/>
                <c:pt idx="0">
                  <c:v>17.148371152342033</c:v>
                </c:pt>
                <c:pt idx="1">
                  <c:v>16.306803719113471</c:v>
                </c:pt>
                <c:pt idx="2">
                  <c:v>16.123162079482388</c:v>
                </c:pt>
                <c:pt idx="3">
                  <c:v>6.827229686263439</c:v>
                </c:pt>
                <c:pt idx="4">
                  <c:v>4.3974027296330407</c:v>
                </c:pt>
                <c:pt idx="5">
                  <c:v>3.2993479055689514</c:v>
                </c:pt>
                <c:pt idx="6">
                  <c:v>3.0210160455031403</c:v>
                </c:pt>
                <c:pt idx="7">
                  <c:v>2.4770332248823355</c:v>
                </c:pt>
                <c:pt idx="8">
                  <c:v>30.399633457211202</c:v>
                </c:pt>
              </c:numCache>
            </c:numRef>
          </c:val>
        </c:ser>
        <c:firstSliceAng val="0"/>
      </c:pieChart>
    </c:plotArea>
    <c:plotVisOnly val="1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Promet u maloprodaji</a:t>
            </a:r>
            <a:r>
              <a:rPr lang="sr-Latn-CS" sz="1000"/>
              <a:t>,</a:t>
            </a:r>
          </a:p>
          <a:p>
            <a:pPr>
              <a:defRPr lang="sr-Latn-CS" sz="1000"/>
            </a:pPr>
            <a:r>
              <a:rPr lang="sr-Latn-CS" sz="1000"/>
              <a:t> stope rasta, % </a:t>
            </a:r>
            <a:endParaRPr lang="en-US" sz="1000"/>
          </a:p>
        </c:rich>
      </c:tx>
      <c:layout>
        <c:manualLayout>
          <c:xMode val="edge"/>
          <c:yMode val="edge"/>
          <c:x val="0.21022446236559209"/>
          <c:y val="0"/>
        </c:manualLayout>
      </c:layout>
    </c:title>
    <c:plotArea>
      <c:layout>
        <c:manualLayout>
          <c:layoutTarget val="inner"/>
          <c:xMode val="edge"/>
          <c:yMode val="edge"/>
          <c:x val="0.13608467741935482"/>
          <c:y val="0.16048566308243883"/>
          <c:w val="0.79563575268818587"/>
          <c:h val="0.67212186379929006"/>
        </c:manualLayout>
      </c:layout>
      <c:lineChart>
        <c:grouping val="standard"/>
        <c:ser>
          <c:idx val="0"/>
          <c:order val="0"/>
          <c:tx>
            <c:v>tekuće cijene</c:v>
          </c:tx>
          <c:spPr>
            <a:ln w="31750">
              <a:solidFill>
                <a:srgbClr val="2CDA3D"/>
              </a:solidFill>
            </a:ln>
          </c:spPr>
          <c:marker>
            <c:symbol val="none"/>
          </c:marker>
          <c:cat>
            <c:strRef>
              <c:f>'Makroekonomski indikatori'!$AV$37:$BH$37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2015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indikatori'!$AV$19:$BH$19</c:f>
              <c:numCache>
                <c:formatCode>General</c:formatCode>
                <c:ptCount val="13"/>
                <c:pt idx="0">
                  <c:v>4.3</c:v>
                </c:pt>
                <c:pt idx="1">
                  <c:v>3.5</c:v>
                </c:pt>
                <c:pt idx="2">
                  <c:v>-0.60000000000000064</c:v>
                </c:pt>
                <c:pt idx="3">
                  <c:v>1.4</c:v>
                </c:pt>
                <c:pt idx="4" formatCode="0.0">
                  <c:v>2</c:v>
                </c:pt>
                <c:pt idx="5">
                  <c:v>2.9</c:v>
                </c:pt>
                <c:pt idx="6">
                  <c:v>2.8</c:v>
                </c:pt>
                <c:pt idx="7" formatCode="0.0">
                  <c:v>2</c:v>
                </c:pt>
                <c:pt idx="8">
                  <c:v>1.1000000000000001</c:v>
                </c:pt>
                <c:pt idx="9">
                  <c:v>0.8</c:v>
                </c:pt>
                <c:pt idx="10">
                  <c:v>4.7</c:v>
                </c:pt>
                <c:pt idx="11" formatCode="0.0">
                  <c:v>6</c:v>
                </c:pt>
                <c:pt idx="12">
                  <c:v>7.2</c:v>
                </c:pt>
              </c:numCache>
            </c:numRef>
          </c:val>
          <c:smooth val="1"/>
        </c:ser>
        <c:ser>
          <c:idx val="1"/>
          <c:order val="1"/>
          <c:tx>
            <c:v>stalne cijene</c:v>
          </c:tx>
          <c:spPr>
            <a:ln w="31750">
              <a:solidFill>
                <a:srgbClr val="1E13F9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indikatori'!$AV$37:$BH$37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2015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indikatori'!$AV$20:$BH$20</c:f>
              <c:numCache>
                <c:formatCode>General</c:formatCode>
                <c:ptCount val="13"/>
                <c:pt idx="0">
                  <c:v>6.2</c:v>
                </c:pt>
                <c:pt idx="1">
                  <c:v>3.9</c:v>
                </c:pt>
                <c:pt idx="2">
                  <c:v>0.1</c:v>
                </c:pt>
                <c:pt idx="3">
                  <c:v>1.4</c:v>
                </c:pt>
                <c:pt idx="4" formatCode="0.0">
                  <c:v>1.7000000000000022</c:v>
                </c:pt>
                <c:pt idx="5">
                  <c:v>1.8</c:v>
                </c:pt>
                <c:pt idx="6">
                  <c:v>1.3</c:v>
                </c:pt>
                <c:pt idx="7" formatCode="0.0">
                  <c:v>-0.30000000000000032</c:v>
                </c:pt>
                <c:pt idx="8">
                  <c:v>-1.5</c:v>
                </c:pt>
                <c:pt idx="9">
                  <c:v>-1.8</c:v>
                </c:pt>
                <c:pt idx="10">
                  <c:v>2.7</c:v>
                </c:pt>
                <c:pt idx="11" formatCode="0.0">
                  <c:v>3.8</c:v>
                </c:pt>
                <c:pt idx="12">
                  <c:v>4.5999999999999996</c:v>
                </c:pt>
              </c:numCache>
            </c:numRef>
          </c:val>
          <c:smooth val="1"/>
        </c:ser>
        <c:marker val="1"/>
        <c:axId val="121892224"/>
        <c:axId val="122082816"/>
      </c:lineChart>
      <c:catAx>
        <c:axId val="121892224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22082816"/>
        <c:crosses val="autoZero"/>
        <c:auto val="1"/>
        <c:lblAlgn val="ctr"/>
        <c:lblOffset val="100"/>
      </c:catAx>
      <c:valAx>
        <c:axId val="12208281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21892224"/>
        <c:crosses val="autoZero"/>
        <c:crossBetween val="between"/>
        <c:majorUnit val="2"/>
        <c:minorUnit val="0.5"/>
      </c:valAx>
    </c:plotArea>
    <c:legend>
      <c:legendPos val="b"/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Inflacija</a:t>
            </a:r>
          </a:p>
        </c:rich>
      </c:tx>
    </c:title>
    <c:plotArea>
      <c:layout>
        <c:manualLayout>
          <c:layoutTarget val="inner"/>
          <c:xMode val="edge"/>
          <c:yMode val="edge"/>
          <c:x val="0.17190322580645298"/>
          <c:y val="0.14910573476702693"/>
          <c:w val="0.76550716845878164"/>
          <c:h val="0.69465098566308825"/>
        </c:manualLayout>
      </c:layout>
      <c:lineChart>
        <c:grouping val="standard"/>
        <c:ser>
          <c:idx val="0"/>
          <c:order val="0"/>
          <c:tx>
            <c:v>CPI</c:v>
          </c:tx>
          <c:spPr>
            <a:ln w="31750">
              <a:solidFill>
                <a:srgbClr val="611EE8"/>
              </a:solidFill>
            </a:ln>
          </c:spPr>
          <c:marker>
            <c:symbol val="none"/>
          </c:marker>
          <c:cat>
            <c:strRef>
              <c:f>'Makroekonomski indikatori'!$AV$37:$BH$37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2015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indikatori'!$AV$25:$BH$25</c:f>
              <c:numCache>
                <c:formatCode>0.0</c:formatCode>
                <c:ptCount val="13"/>
                <c:pt idx="0">
                  <c:v>-1.1000000000000001</c:v>
                </c:pt>
                <c:pt idx="1">
                  <c:v>-0.70000000000000062</c:v>
                </c:pt>
                <c:pt idx="2">
                  <c:v>-0.5</c:v>
                </c:pt>
                <c:pt idx="3">
                  <c:v>0</c:v>
                </c:pt>
                <c:pt idx="4">
                  <c:v>-0.30000000000000032</c:v>
                </c:pt>
                <c:pt idx="5">
                  <c:v>0.2</c:v>
                </c:pt>
                <c:pt idx="6">
                  <c:v>0.60000000000000064</c:v>
                </c:pt>
                <c:pt idx="7" formatCode="General">
                  <c:v>1.6</c:v>
                </c:pt>
                <c:pt idx="8" formatCode="General">
                  <c:v>2.1</c:v>
                </c:pt>
                <c:pt idx="9" formatCode="General">
                  <c:v>2.2999999999999998</c:v>
                </c:pt>
                <c:pt idx="10" formatCode="General">
                  <c:v>1.9000000000000001</c:v>
                </c:pt>
                <c:pt idx="11" formatCode="General">
                  <c:v>1.9000000000000001</c:v>
                </c:pt>
                <c:pt idx="12" formatCode="General">
                  <c:v>1.9000000000000001</c:v>
                </c:pt>
              </c:numCache>
            </c:numRef>
          </c:val>
          <c:smooth val="1"/>
        </c:ser>
        <c:ser>
          <c:idx val="1"/>
          <c:order val="1"/>
          <c:tx>
            <c:v>HICP</c:v>
          </c:tx>
          <c:spPr>
            <a:ln w="31750">
              <a:solidFill>
                <a:srgbClr val="F214C2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indikatori'!$AV$37:$BH$37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2015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'Makroekonomski indikatori'!$AV$30:$BH$30</c:f>
              <c:numCache>
                <c:formatCode>0.0</c:formatCode>
                <c:ptCount val="13"/>
                <c:pt idx="0">
                  <c:v>-0.70000000000000062</c:v>
                </c:pt>
                <c:pt idx="1">
                  <c:v>-0.9</c:v>
                </c:pt>
                <c:pt idx="2">
                  <c:v>-0.8</c:v>
                </c:pt>
                <c:pt idx="3">
                  <c:v>-0.30000000000000032</c:v>
                </c:pt>
                <c:pt idx="4">
                  <c:v>-0.60000000000000064</c:v>
                </c:pt>
                <c:pt idx="5">
                  <c:v>-0.4</c:v>
                </c:pt>
                <c:pt idx="6">
                  <c:v>-0.1</c:v>
                </c:pt>
                <c:pt idx="7" formatCode="General">
                  <c:v>0.9</c:v>
                </c:pt>
                <c:pt idx="8" formatCode="General">
                  <c:v>1.3</c:v>
                </c:pt>
                <c:pt idx="9" formatCode="General">
                  <c:v>1.6</c:v>
                </c:pt>
                <c:pt idx="10">
                  <c:v>2</c:v>
                </c:pt>
                <c:pt idx="11" formatCode="General">
                  <c:v>2.2000000000000002</c:v>
                </c:pt>
                <c:pt idx="12" formatCode="General">
                  <c:v>2.1</c:v>
                </c:pt>
              </c:numCache>
            </c:numRef>
          </c:val>
          <c:smooth val="1"/>
        </c:ser>
        <c:marker val="1"/>
        <c:axId val="100426880"/>
        <c:axId val="100428416"/>
      </c:lineChart>
      <c:catAx>
        <c:axId val="100426880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00428416"/>
        <c:crosses val="autoZero"/>
        <c:auto val="1"/>
        <c:lblAlgn val="ctr"/>
        <c:lblOffset val="100"/>
      </c:catAx>
      <c:valAx>
        <c:axId val="100428416"/>
        <c:scaling>
          <c:orientation val="minMax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00426880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sz="800" b="0"/>
            </a:pPr>
            <a:r>
              <a:rPr lang="sr-Latn-CS" sz="1000" b="1"/>
              <a:t>S</a:t>
            </a:r>
            <a:r>
              <a:rPr lang="en-US" sz="1000" b="1"/>
              <a:t>lobodna rad</a:t>
            </a:r>
            <a:r>
              <a:rPr lang="sr-Latn-CS" sz="1000" b="1"/>
              <a:t>na</a:t>
            </a:r>
            <a:r>
              <a:rPr lang="sr-Latn-CS" sz="1000" b="1" baseline="0"/>
              <a:t> mjesta</a:t>
            </a:r>
            <a:endParaRPr lang="en-US" sz="1000" b="1"/>
          </a:p>
        </c:rich>
      </c:tx>
    </c:title>
    <c:plotArea>
      <c:layout>
        <c:manualLayout>
          <c:layoutTarget val="inner"/>
          <c:xMode val="edge"/>
          <c:yMode val="edge"/>
          <c:x val="0.21540281540910144"/>
          <c:y val="0.17936092480844321"/>
          <c:w val="0.78459718459089922"/>
          <c:h val="0.61340026787880075"/>
        </c:manualLayout>
      </c:layout>
      <c:lineChart>
        <c:grouping val="stacked"/>
        <c:ser>
          <c:idx val="0"/>
          <c:order val="0"/>
          <c:tx>
            <c:strRef>
              <c:f>'Makroekonomski indikatori'!$C$61</c:f>
              <c:strCache>
                <c:ptCount val="1"/>
                <c:pt idx="0">
                  <c:v>slobodna rad. mj.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cat>
            <c:strRef>
              <c:f>'Makroekonomski indikatori'!$D$60:$BG$60</c:f>
              <c:strCache>
                <c:ptCount val="14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2015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  <c:pt idx="13">
                  <c:v>VIII</c:v>
                </c:pt>
              </c:strCache>
            </c:strRef>
          </c:cat>
          <c:val>
            <c:numRef>
              <c:f>'Makroekonomski indikatori'!$D$61:$BG$61</c:f>
              <c:numCache>
                <c:formatCode>#,##0</c:formatCode>
                <c:ptCount val="14"/>
                <c:pt idx="0">
                  <c:v>3616</c:v>
                </c:pt>
                <c:pt idx="1">
                  <c:v>2235</c:v>
                </c:pt>
                <c:pt idx="2">
                  <c:v>2605</c:v>
                </c:pt>
                <c:pt idx="3">
                  <c:v>2563</c:v>
                </c:pt>
                <c:pt idx="4">
                  <c:v>2434</c:v>
                </c:pt>
                <c:pt idx="5">
                  <c:v>2098</c:v>
                </c:pt>
                <c:pt idx="6">
                  <c:v>3735</c:v>
                </c:pt>
                <c:pt idx="7">
                  <c:v>2343</c:v>
                </c:pt>
                <c:pt idx="8">
                  <c:v>4946</c:v>
                </c:pt>
                <c:pt idx="9">
                  <c:v>4529</c:v>
                </c:pt>
                <c:pt idx="10">
                  <c:v>3414</c:v>
                </c:pt>
                <c:pt idx="11">
                  <c:v>3322</c:v>
                </c:pt>
                <c:pt idx="12">
                  <c:v>1844</c:v>
                </c:pt>
                <c:pt idx="13">
                  <c:v>2216</c:v>
                </c:pt>
              </c:numCache>
            </c:numRef>
          </c:val>
        </c:ser>
        <c:marker val="1"/>
        <c:axId val="100460800"/>
        <c:axId val="100470784"/>
      </c:lineChart>
      <c:catAx>
        <c:axId val="100460800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00470784"/>
        <c:crosses val="autoZero"/>
        <c:auto val="1"/>
        <c:lblAlgn val="ctr"/>
        <c:lblOffset val="100"/>
      </c:catAx>
      <c:valAx>
        <c:axId val="100470784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sr-Latn-CS"/>
          </a:p>
        </c:txPr>
        <c:crossAx val="10046080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12116885389326336"/>
          <c:y val="5.2190278820432513E-2"/>
          <c:w val="0.77713429571303583"/>
          <c:h val="0.68713059200439863"/>
        </c:manualLayout>
      </c:layout>
      <c:barChart>
        <c:barDir val="col"/>
        <c:grouping val="clustered"/>
        <c:ser>
          <c:idx val="2"/>
          <c:order val="2"/>
          <c:tx>
            <c:v>budžetski balans-desna osa</c:v>
          </c:tx>
          <c:spPr>
            <a:solidFill>
              <a:schemeClr val="bg2"/>
            </a:solidFill>
            <a:ln>
              <a:solidFill>
                <a:srgbClr val="C00000"/>
              </a:solidFill>
            </a:ln>
          </c:spPr>
          <c:cat>
            <c:strRef>
              <c:f>'Fiskalni indikatori'!$AI$3:$AU$3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'Fiskalni indikatori'!$AI$17:$AU$17</c:f>
              <c:numCache>
                <c:formatCode>0.00,,</c:formatCode>
                <c:ptCount val="13"/>
                <c:pt idx="0">
                  <c:v>10463853.719999975</c:v>
                </c:pt>
                <c:pt idx="1">
                  <c:v>-4187715.1499999911</c:v>
                </c:pt>
                <c:pt idx="2">
                  <c:v>-1436809.9499999583</c:v>
                </c:pt>
                <c:pt idx="3">
                  <c:v>-12887782.269999981</c:v>
                </c:pt>
                <c:pt idx="4">
                  <c:v>-18669590.289999932</c:v>
                </c:pt>
                <c:pt idx="5">
                  <c:v>-21938190.850000039</c:v>
                </c:pt>
                <c:pt idx="6">
                  <c:v>-21306460.860000044</c:v>
                </c:pt>
                <c:pt idx="7">
                  <c:v>-10982931.670000045</c:v>
                </c:pt>
                <c:pt idx="8">
                  <c:v>-98002826.160000011</c:v>
                </c:pt>
                <c:pt idx="9">
                  <c:v>-13492772.620000005</c:v>
                </c:pt>
                <c:pt idx="10">
                  <c:v>-89774367.419999987</c:v>
                </c:pt>
                <c:pt idx="11">
                  <c:v>886443.18999998039</c:v>
                </c:pt>
                <c:pt idx="12">
                  <c:v>21937012.05999995</c:v>
                </c:pt>
              </c:numCache>
            </c:numRef>
          </c:val>
        </c:ser>
        <c:axId val="100506240"/>
        <c:axId val="100504704"/>
      </c:barChart>
      <c:lineChart>
        <c:grouping val="standard"/>
        <c:ser>
          <c:idx val="0"/>
          <c:order val="0"/>
          <c:tx>
            <c:v>Rashodi budžeta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indikatori'!$AI$3:$AU$3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'Fiskalni indikatori'!$AI$4:$AU$4</c:f>
              <c:numCache>
                <c:formatCode>0.00,,</c:formatCode>
                <c:ptCount val="13"/>
                <c:pt idx="0">
                  <c:v>126556297.33</c:v>
                </c:pt>
                <c:pt idx="1">
                  <c:v>117901924.08</c:v>
                </c:pt>
                <c:pt idx="2">
                  <c:v>158210534.23999998</c:v>
                </c:pt>
                <c:pt idx="3">
                  <c:v>98496460.13000001</c:v>
                </c:pt>
                <c:pt idx="4">
                  <c:v>155249038.93000001</c:v>
                </c:pt>
                <c:pt idx="5">
                  <c:v>71181389.560000002</c:v>
                </c:pt>
                <c:pt idx="6">
                  <c:v>86772014.340000033</c:v>
                </c:pt>
                <c:pt idx="7">
                  <c:v>100279648.52</c:v>
                </c:pt>
                <c:pt idx="8">
                  <c:v>111553145.60000001</c:v>
                </c:pt>
                <c:pt idx="9">
                  <c:v>99802277.800000012</c:v>
                </c:pt>
                <c:pt idx="10">
                  <c:v>118278734.59</c:v>
                </c:pt>
                <c:pt idx="11">
                  <c:v>127474955.42</c:v>
                </c:pt>
                <c:pt idx="12">
                  <c:v>124359062.84999996</c:v>
                </c:pt>
              </c:numCache>
            </c:numRef>
          </c:val>
          <c:smooth val="1"/>
        </c:ser>
        <c:ser>
          <c:idx val="1"/>
          <c:order val="1"/>
          <c:tx>
            <c:v>Prihodi budžeta</c:v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'Fiskalni indikatori'!$AI$3:$AU$3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'Fiskalni indikatori'!$AI$10:$AU$10</c:f>
              <c:numCache>
                <c:formatCode>0.00,,</c:formatCode>
                <c:ptCount val="13"/>
                <c:pt idx="0">
                  <c:v>116092443.61000001</c:v>
                </c:pt>
                <c:pt idx="1">
                  <c:v>122089639.22999999</c:v>
                </c:pt>
                <c:pt idx="2">
                  <c:v>159647344.19</c:v>
                </c:pt>
                <c:pt idx="3">
                  <c:v>111384242.39999999</c:v>
                </c:pt>
                <c:pt idx="4">
                  <c:v>173918629.21999988</c:v>
                </c:pt>
                <c:pt idx="5">
                  <c:v>93119537.460000023</c:v>
                </c:pt>
                <c:pt idx="6">
                  <c:v>108057426.51000005</c:v>
                </c:pt>
                <c:pt idx="7">
                  <c:v>111313688.47000001</c:v>
                </c:pt>
                <c:pt idx="8">
                  <c:v>209555971.76000002</c:v>
                </c:pt>
                <c:pt idx="9">
                  <c:v>113295050.42000002</c:v>
                </c:pt>
                <c:pt idx="10">
                  <c:v>208053102.00999999</c:v>
                </c:pt>
                <c:pt idx="11">
                  <c:v>126642751.95000002</c:v>
                </c:pt>
                <c:pt idx="12">
                  <c:v>102422050.79000002</c:v>
                </c:pt>
              </c:numCache>
            </c:numRef>
          </c:val>
          <c:smooth val="1"/>
        </c:ser>
        <c:marker val="1"/>
        <c:axId val="100493184"/>
        <c:axId val="100494720"/>
      </c:lineChart>
      <c:catAx>
        <c:axId val="10049318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800"/>
            </a:pPr>
            <a:endParaRPr lang="sr-Latn-CS"/>
          </a:p>
        </c:txPr>
        <c:crossAx val="100494720"/>
        <c:crosses val="autoZero"/>
        <c:auto val="1"/>
        <c:lblAlgn val="ctr"/>
        <c:lblOffset val="100"/>
        <c:tickLblSkip val="3"/>
      </c:catAx>
      <c:valAx>
        <c:axId val="100494720"/>
        <c:scaling>
          <c:orientation val="minMax"/>
          <c:max val="21000000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,," sourceLinked="1"/>
        <c:tickLblPos val="nextTo"/>
        <c:txPr>
          <a:bodyPr/>
          <a:lstStyle/>
          <a:p>
            <a:pPr>
              <a:defRPr lang="sr-Latn-CS" sz="800"/>
            </a:pPr>
            <a:endParaRPr lang="sr-Latn-CS"/>
          </a:p>
        </c:txPr>
        <c:crossAx val="100493184"/>
        <c:crosses val="autoZero"/>
        <c:crossBetween val="between"/>
        <c:majorUnit val="30000000"/>
      </c:valAx>
      <c:valAx>
        <c:axId val="100504704"/>
        <c:scaling>
          <c:orientation val="minMax"/>
          <c:max val="60000000"/>
          <c:min val="-100000000"/>
        </c:scaling>
        <c:axPos val="r"/>
        <c:numFmt formatCode="0.00,," sourceLinked="1"/>
        <c:tickLblPos val="nextTo"/>
        <c:txPr>
          <a:bodyPr/>
          <a:lstStyle/>
          <a:p>
            <a:pPr>
              <a:defRPr lang="sr-Latn-CS" sz="800"/>
            </a:pPr>
            <a:endParaRPr lang="sr-Latn-CS"/>
          </a:p>
        </c:txPr>
        <c:crossAx val="100506240"/>
        <c:crosses val="max"/>
        <c:crossBetween val="between"/>
        <c:majorUnit val="20000000"/>
      </c:valAx>
      <c:catAx>
        <c:axId val="100506240"/>
        <c:scaling>
          <c:orientation val="minMax"/>
        </c:scaling>
        <c:delete val="1"/>
        <c:axPos val="b"/>
        <c:numFmt formatCode="General" sourceLinked="1"/>
        <c:tickLblPos val="none"/>
        <c:crossAx val="100504704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1.6442925766354761E-2"/>
          <c:y val="0.83278473993567703"/>
          <c:w val="0.97443747833409966"/>
          <c:h val="0.16721526006433107"/>
        </c:manualLayout>
      </c:layout>
      <c:txPr>
        <a:bodyPr/>
        <a:lstStyle/>
        <a:p>
          <a:pPr>
            <a:defRPr lang="sr-Latn-CS" sz="8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900"/>
            </a:pPr>
            <a:r>
              <a:rPr lang="x-none" sz="900"/>
              <a:t>Novoodobreni krediti, u 000 </a:t>
            </a:r>
            <a:endParaRPr lang="en-US" sz="900"/>
          </a:p>
        </c:rich>
      </c:tx>
      <c:layout>
        <c:manualLayout>
          <c:xMode val="edge"/>
          <c:yMode val="edge"/>
          <c:x val="0.20666666666666669"/>
          <c:y val="0"/>
        </c:manualLayout>
      </c:layout>
      <c:overlay val="1"/>
    </c:title>
    <c:plotArea>
      <c:layout/>
      <c:barChart>
        <c:barDir val="col"/>
        <c:grouping val="clustered"/>
        <c:ser>
          <c:idx val="1"/>
          <c:order val="1"/>
          <c:tx>
            <c:v>Privreda</c:v>
          </c:tx>
          <c:val>
            <c:numRef>
              <c:f>'Iznosi kredita po sektorima'!$C$66:$R$66</c:f>
              <c:numCache>
                <c:formatCode>#,##0</c:formatCode>
                <c:ptCount val="16"/>
                <c:pt idx="0">
                  <c:v>26090</c:v>
                </c:pt>
                <c:pt idx="1">
                  <c:v>31407</c:v>
                </c:pt>
                <c:pt idx="2">
                  <c:v>38750</c:v>
                </c:pt>
                <c:pt idx="3">
                  <c:v>41053</c:v>
                </c:pt>
                <c:pt idx="4" formatCode="General">
                  <c:v>25154</c:v>
                </c:pt>
                <c:pt idx="5">
                  <c:v>28358</c:v>
                </c:pt>
                <c:pt idx="6" formatCode="General">
                  <c:v>29617</c:v>
                </c:pt>
                <c:pt idx="7">
                  <c:v>24682</c:v>
                </c:pt>
                <c:pt idx="8">
                  <c:v>22427</c:v>
                </c:pt>
                <c:pt idx="9">
                  <c:v>29585</c:v>
                </c:pt>
                <c:pt idx="10">
                  <c:v>54872</c:v>
                </c:pt>
                <c:pt idx="11">
                  <c:v>41749</c:v>
                </c:pt>
                <c:pt idx="12">
                  <c:v>41634</c:v>
                </c:pt>
                <c:pt idx="13">
                  <c:v>56306</c:v>
                </c:pt>
                <c:pt idx="14">
                  <c:v>36056</c:v>
                </c:pt>
                <c:pt idx="15">
                  <c:v>25665</c:v>
                </c:pt>
              </c:numCache>
            </c:numRef>
          </c:val>
        </c:ser>
        <c:ser>
          <c:idx val="2"/>
          <c:order val="2"/>
          <c:tx>
            <c:v>Stanovništvo</c:v>
          </c:tx>
          <c:val>
            <c:numRef>
              <c:f>'Iznosi kredita po sektorima'!$C$68:$R$68</c:f>
              <c:numCache>
                <c:formatCode>#,##0</c:formatCode>
                <c:ptCount val="16"/>
                <c:pt idx="0">
                  <c:v>13930</c:v>
                </c:pt>
                <c:pt idx="1">
                  <c:v>21119</c:v>
                </c:pt>
                <c:pt idx="2">
                  <c:v>25542</c:v>
                </c:pt>
                <c:pt idx="3">
                  <c:v>24849</c:v>
                </c:pt>
                <c:pt idx="4">
                  <c:v>20447</c:v>
                </c:pt>
                <c:pt idx="5">
                  <c:v>21614</c:v>
                </c:pt>
                <c:pt idx="6">
                  <c:v>20811</c:v>
                </c:pt>
                <c:pt idx="7">
                  <c:v>21026</c:v>
                </c:pt>
                <c:pt idx="8">
                  <c:v>14369</c:v>
                </c:pt>
                <c:pt idx="9">
                  <c:v>23290</c:v>
                </c:pt>
                <c:pt idx="10">
                  <c:v>32867</c:v>
                </c:pt>
                <c:pt idx="11">
                  <c:v>32752</c:v>
                </c:pt>
                <c:pt idx="12">
                  <c:v>27135</c:v>
                </c:pt>
                <c:pt idx="13">
                  <c:v>29725</c:v>
                </c:pt>
                <c:pt idx="14">
                  <c:v>24779</c:v>
                </c:pt>
                <c:pt idx="15">
                  <c:v>22068</c:v>
                </c:pt>
              </c:numCache>
            </c:numRef>
          </c:val>
        </c:ser>
        <c:gapWidth val="39"/>
        <c:axId val="100524032"/>
        <c:axId val="100525568"/>
      </c:barChart>
      <c:lineChart>
        <c:grouping val="standard"/>
        <c:ser>
          <c:idx val="0"/>
          <c:order val="0"/>
          <c:tx>
            <c:v>Ukupno</c:v>
          </c:tx>
          <c:marker>
            <c:symbol val="none"/>
          </c:marker>
          <c:cat>
            <c:strRef>
              <c:f>'Iznosi kredita po sektorima'!$C$62:$R$62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  <c:pt idx="13">
                  <c:v>VI</c:v>
                </c:pt>
                <c:pt idx="14">
                  <c:v>VII</c:v>
                </c:pt>
                <c:pt idx="15">
                  <c:v>VIII</c:v>
                </c:pt>
              </c:strCache>
            </c:strRef>
          </c:cat>
          <c:val>
            <c:numRef>
              <c:f>'Iznosi kredita po sektorima'!$C$64:$R$64</c:f>
              <c:numCache>
                <c:formatCode>#,##0</c:formatCode>
                <c:ptCount val="16"/>
                <c:pt idx="0">
                  <c:v>51860</c:v>
                </c:pt>
                <c:pt idx="1">
                  <c:v>54050</c:v>
                </c:pt>
                <c:pt idx="2">
                  <c:v>72193</c:v>
                </c:pt>
                <c:pt idx="3">
                  <c:v>76276</c:v>
                </c:pt>
                <c:pt idx="4">
                  <c:v>48054</c:v>
                </c:pt>
                <c:pt idx="5">
                  <c:v>56157</c:v>
                </c:pt>
                <c:pt idx="6">
                  <c:v>57153</c:v>
                </c:pt>
                <c:pt idx="7">
                  <c:v>48530</c:v>
                </c:pt>
                <c:pt idx="8">
                  <c:v>37248</c:v>
                </c:pt>
                <c:pt idx="9">
                  <c:v>61044</c:v>
                </c:pt>
                <c:pt idx="10">
                  <c:v>91960</c:v>
                </c:pt>
                <c:pt idx="11">
                  <c:v>91242</c:v>
                </c:pt>
                <c:pt idx="12">
                  <c:v>70661</c:v>
                </c:pt>
                <c:pt idx="13">
                  <c:v>91411</c:v>
                </c:pt>
                <c:pt idx="14">
                  <c:v>88997</c:v>
                </c:pt>
                <c:pt idx="15">
                  <c:v>54894</c:v>
                </c:pt>
              </c:numCache>
            </c:numRef>
          </c:val>
        </c:ser>
        <c:marker val="1"/>
        <c:axId val="100524032"/>
        <c:axId val="100525568"/>
      </c:lineChart>
      <c:catAx>
        <c:axId val="1005240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100525568"/>
        <c:crosses val="autoZero"/>
        <c:auto val="1"/>
        <c:lblAlgn val="ctr"/>
        <c:lblOffset val="100"/>
      </c:catAx>
      <c:valAx>
        <c:axId val="100525568"/>
        <c:scaling>
          <c:orientation val="minMax"/>
        </c:scaling>
        <c:axPos val="l"/>
        <c:numFmt formatCode="#,##0" sourceLinked="1"/>
        <c:tickLblPos val="nextTo"/>
        <c:txPr>
          <a:bodyPr/>
          <a:lstStyle/>
          <a:p>
            <a:pPr>
              <a:defRPr lang="sr-Latn-CS" sz="700" baseline="0"/>
            </a:pPr>
            <a:endParaRPr lang="sr-Latn-CS"/>
          </a:p>
        </c:txPr>
        <c:crossAx val="100524032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8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1000"/>
            </a:pPr>
            <a:r>
              <a:rPr lang="sr-Latn-CS" sz="1000"/>
              <a:t>Spoljnotrgovinska razmjena </a:t>
            </a:r>
            <a:endParaRPr lang="en-US" sz="1000" baseline="0"/>
          </a:p>
          <a:p>
            <a:pPr>
              <a:defRPr lang="sr-Latn-CS" sz="1000"/>
            </a:pPr>
            <a:r>
              <a:rPr lang="en-US" sz="1000" baseline="0"/>
              <a:t> </a:t>
            </a:r>
            <a:r>
              <a:rPr lang="sr-Latn-CS" sz="1000" baseline="0"/>
              <a:t>( u  mil.€)</a:t>
            </a:r>
            <a:endParaRPr lang="sr-Latn-CS" sz="1000"/>
          </a:p>
        </c:rich>
      </c:tx>
      <c:layout>
        <c:manualLayout>
          <c:xMode val="edge"/>
          <c:yMode val="edge"/>
          <c:x val="0.27277812673819279"/>
          <c:y val="4.9792963542419312E-3"/>
        </c:manualLayout>
      </c:layout>
    </c:title>
    <c:view3D>
      <c:rAngAx val="1"/>
    </c:view3D>
    <c:sideWall>
      <c:spPr>
        <a:effectLst/>
      </c:spPr>
    </c:sideWall>
    <c:backWall>
      <c:spPr>
        <a:effectLst/>
      </c:spPr>
    </c:backWall>
    <c:plotArea>
      <c:layout>
        <c:manualLayout>
          <c:layoutTarget val="inner"/>
          <c:xMode val="edge"/>
          <c:yMode val="edge"/>
          <c:x val="0.18640407924150809"/>
          <c:y val="0.17585624158507399"/>
          <c:w val="0.78521274953313258"/>
          <c:h val="0.42988917186539094"/>
        </c:manualLayout>
      </c:layout>
      <c:bar3DChart>
        <c:barDir val="col"/>
        <c:grouping val="clustered"/>
        <c:ser>
          <c:idx val="0"/>
          <c:order val="0"/>
          <c:tx>
            <c:strRef>
              <c:f>Sheet1!$C$2</c:f>
              <c:strCache>
                <c:ptCount val="1"/>
                <c:pt idx="0">
                  <c:v>Jan-Avg 2014</c:v>
                </c:pt>
              </c:strCache>
            </c:strRef>
          </c:tx>
          <c:cat>
            <c:strRef>
              <c:f>Sheet1!$B$3:$B$5</c:f>
              <c:strCache>
                <c:ptCount val="3"/>
                <c:pt idx="0">
                  <c:v>Uvoz </c:v>
                </c:pt>
                <c:pt idx="1">
                  <c:v>Izvoz </c:v>
                </c:pt>
                <c:pt idx="2">
                  <c:v>Spoljnotrg. Bilans</c:v>
                </c:pt>
              </c:strCache>
            </c:strRef>
          </c:cat>
          <c:val>
            <c:numRef>
              <c:f>Sheet1!$C$3:$C$5</c:f>
              <c:numCache>
                <c:formatCode>0.00</c:formatCode>
                <c:ptCount val="3"/>
                <c:pt idx="0">
                  <c:v>1178685.3700000001</c:v>
                </c:pt>
                <c:pt idx="1">
                  <c:v>205112.3</c:v>
                </c:pt>
                <c:pt idx="2">
                  <c:v>1383797.6700000011</c:v>
                </c:pt>
              </c:numCache>
            </c:numRef>
          </c:val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Jan-Avg 2015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cat>
            <c:strRef>
              <c:f>Sheet1!$B$3:$B$5</c:f>
              <c:strCache>
                <c:ptCount val="3"/>
                <c:pt idx="0">
                  <c:v>Uvoz </c:v>
                </c:pt>
                <c:pt idx="1">
                  <c:v>Izvoz </c:v>
                </c:pt>
                <c:pt idx="2">
                  <c:v>Spoljnotrg. Bilans</c:v>
                </c:pt>
              </c:strCache>
            </c:strRef>
          </c:cat>
          <c:val>
            <c:numRef>
              <c:f>Sheet1!$D$3:$D$5</c:f>
              <c:numCache>
                <c:formatCode>0.00</c:formatCode>
                <c:ptCount val="3"/>
                <c:pt idx="0">
                  <c:v>1223464.1500000008</c:v>
                </c:pt>
                <c:pt idx="1">
                  <c:v>191340.13</c:v>
                </c:pt>
                <c:pt idx="2">
                  <c:v>1414804.28</c:v>
                </c:pt>
              </c:numCache>
            </c:numRef>
          </c:val>
        </c:ser>
        <c:shape val="box"/>
        <c:axId val="102508800"/>
        <c:axId val="108249088"/>
        <c:axId val="0"/>
      </c:bar3DChart>
      <c:catAx>
        <c:axId val="10250880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sr-Latn-CS" sz="600"/>
            </a:pPr>
            <a:endParaRPr lang="sr-Latn-CS"/>
          </a:p>
        </c:txPr>
        <c:crossAx val="108249088"/>
        <c:crosses val="autoZero"/>
        <c:auto val="1"/>
        <c:lblAlgn val="ctr"/>
        <c:lblOffset val="100"/>
      </c:catAx>
      <c:valAx>
        <c:axId val="108249088"/>
        <c:scaling>
          <c:orientation val="minMax"/>
        </c:scaling>
        <c:axPos val="l"/>
        <c:numFmt formatCode="0.0" sourceLinked="0"/>
        <c:majorTickMark val="none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02508800"/>
        <c:crosses val="autoZero"/>
        <c:crossBetween val="between"/>
        <c:majorUnit val="200000"/>
        <c:minorUnit val="40000"/>
        <c:dispUnits>
          <c:builtInUnit val="thousands"/>
        </c:dispUnits>
      </c:valAx>
    </c:plotArea>
    <c:legend>
      <c:legendPos val="b"/>
      <c:layout>
        <c:manualLayout>
          <c:xMode val="edge"/>
          <c:yMode val="edge"/>
          <c:x val="0.34529633083985506"/>
          <c:y val="0.82652389386627168"/>
          <c:w val="0.30203908977397242"/>
          <c:h val="0.10322766680046648"/>
        </c:manualLayout>
      </c:layout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0.41157</cdr:x>
      <cdr:y>0.91732</cdr:y>
    </cdr:from>
    <cdr:to>
      <cdr:x>0.97154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33450" y="2157950"/>
          <a:ext cx="12700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 i="1"/>
            <a:t>izvor:MMF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FFF0E-69D8-40C5-823B-8D5E6A52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radovan.zivkovic</cp:lastModifiedBy>
  <cp:revision>153</cp:revision>
  <cp:lastPrinted>2015-10-07T08:41:00Z</cp:lastPrinted>
  <dcterms:created xsi:type="dcterms:W3CDTF">2015-08-10T11:41:00Z</dcterms:created>
  <dcterms:modified xsi:type="dcterms:W3CDTF">2015-10-08T09:14:00Z</dcterms:modified>
</cp:coreProperties>
</file>