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60" w:rsidRDefault="001E1060" w:rsidP="001E1060">
      <w:pPr>
        <w:jc w:val="both"/>
      </w:pPr>
    </w:p>
    <w:p w:rsidR="001E1060" w:rsidRDefault="001E1060" w:rsidP="001E1060">
      <w:pPr>
        <w:jc w:val="both"/>
      </w:pPr>
      <w:proofErr w:type="spell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 w:rsidRPr="007D11D3">
        <w:t xml:space="preserve"> </w:t>
      </w:r>
      <w:proofErr w:type="spellStart"/>
      <w:r w:rsidRPr="007D11D3">
        <w:t>provjer</w:t>
      </w:r>
      <w:r>
        <w:t>a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>
        <w:t>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8842BF">
        <w:t>dan</w:t>
      </w:r>
      <w:r>
        <w:t xml:space="preserve"> </w:t>
      </w:r>
      <w:r w:rsidR="00EC39EF">
        <w:rPr>
          <w:b/>
        </w:rPr>
        <w:t>3</w:t>
      </w:r>
      <w:r w:rsidRPr="00913210">
        <w:rPr>
          <w:b/>
          <w:bCs/>
        </w:rPr>
        <w:t>.</w:t>
      </w:r>
      <w:r w:rsidRPr="008842BF">
        <w:rPr>
          <w:b/>
          <w:bCs/>
        </w:rPr>
        <w:t xml:space="preserve"> </w:t>
      </w:r>
      <w:proofErr w:type="spellStart"/>
      <w:r w:rsidR="00EC39EF">
        <w:rPr>
          <w:b/>
          <w:bCs/>
        </w:rPr>
        <w:t>april</w:t>
      </w:r>
      <w:proofErr w:type="spellEnd"/>
      <w:r w:rsidRPr="008842BF">
        <w:t> </w:t>
      </w:r>
      <w:r w:rsidRPr="008842BF">
        <w:rPr>
          <w:b/>
        </w:rPr>
        <w:t>202</w:t>
      </w:r>
      <w:r>
        <w:rPr>
          <w:b/>
        </w:rPr>
        <w:t>3</w:t>
      </w:r>
      <w:r w:rsidRPr="008842BF">
        <w:t xml:space="preserve">. </w:t>
      </w:r>
      <w:proofErr w:type="spellStart"/>
      <w:r w:rsidRPr="008842BF">
        <w:t>godine</w:t>
      </w:r>
      <w:proofErr w:type="spellEnd"/>
      <w:r>
        <w:t xml:space="preserve"> (</w:t>
      </w:r>
      <w:proofErr w:type="spellStart"/>
      <w:r w:rsidR="00D41E6A">
        <w:t>ponedelj</w:t>
      </w:r>
      <w:r>
        <w:t>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 w:rsidRPr="008D61E9">
        <w:t>Bulevar</w:t>
      </w:r>
      <w:proofErr w:type="spellEnd"/>
      <w:r w:rsidRPr="008D61E9">
        <w:t xml:space="preserve"> Jovana </w:t>
      </w:r>
      <w:proofErr w:type="spellStart"/>
      <w:r w:rsidRPr="008D61E9">
        <w:t>Tomaševića</w:t>
      </w:r>
      <w:proofErr w:type="spellEnd"/>
      <w:r>
        <w:t xml:space="preserve"> </w:t>
      </w:r>
      <w:r w:rsidRPr="008D61E9">
        <w:t>2A</w:t>
      </w:r>
      <w:r>
        <w:t>).</w:t>
      </w:r>
    </w:p>
    <w:p w:rsidR="001E1060" w:rsidRDefault="001E1060" w:rsidP="001E1060">
      <w:pPr>
        <w:jc w:val="both"/>
      </w:pPr>
    </w:p>
    <w:p w:rsidR="001E1060" w:rsidRPr="001E1060" w:rsidRDefault="00EC39EF" w:rsidP="001E1060">
      <w:pPr>
        <w:numPr>
          <w:ilvl w:val="0"/>
          <w:numId w:val="1"/>
        </w:numPr>
        <w:ind w:right="288"/>
        <w:jc w:val="both"/>
      </w:pPr>
      <w:proofErr w:type="spellStart"/>
      <w:r>
        <w:t>Aleksa</w:t>
      </w:r>
      <w:proofErr w:type="spellEnd"/>
      <w:r>
        <w:t xml:space="preserve"> M</w:t>
      </w:r>
      <w:r>
        <w:rPr>
          <w:lang w:val="sr-Latn-RS"/>
        </w:rPr>
        <w:t>ićunović</w:t>
      </w:r>
    </w:p>
    <w:p w:rsidR="001E1060" w:rsidRDefault="00EC39EF" w:rsidP="001E1060">
      <w:pPr>
        <w:numPr>
          <w:ilvl w:val="0"/>
          <w:numId w:val="1"/>
        </w:numPr>
        <w:ind w:right="288"/>
        <w:jc w:val="both"/>
      </w:pPr>
      <w:proofErr w:type="spellStart"/>
      <w:r>
        <w:t>Radisav</w:t>
      </w:r>
      <w:proofErr w:type="spellEnd"/>
      <w:r>
        <w:t xml:space="preserve"> </w:t>
      </w:r>
      <w:proofErr w:type="spellStart"/>
      <w:r>
        <w:t>Obradović</w:t>
      </w:r>
      <w:proofErr w:type="spellEnd"/>
    </w:p>
    <w:p w:rsidR="001E1060" w:rsidRDefault="00EC39EF" w:rsidP="001E1060">
      <w:pPr>
        <w:numPr>
          <w:ilvl w:val="0"/>
          <w:numId w:val="1"/>
        </w:numPr>
        <w:ind w:right="288"/>
        <w:jc w:val="both"/>
      </w:pPr>
      <w:r>
        <w:t xml:space="preserve">Jelena </w:t>
      </w:r>
      <w:proofErr w:type="spellStart"/>
      <w:r>
        <w:t>Stevović</w:t>
      </w:r>
      <w:bookmarkStart w:id="0" w:name="_GoBack"/>
      <w:bookmarkEnd w:id="0"/>
      <w:proofErr w:type="spellEnd"/>
    </w:p>
    <w:p w:rsidR="001E1060" w:rsidRDefault="00EC39EF" w:rsidP="001E1060">
      <w:pPr>
        <w:numPr>
          <w:ilvl w:val="0"/>
          <w:numId w:val="1"/>
        </w:numPr>
        <w:ind w:right="288"/>
        <w:jc w:val="both"/>
      </w:pPr>
      <w:r>
        <w:t xml:space="preserve">Andrija </w:t>
      </w:r>
      <w:proofErr w:type="spellStart"/>
      <w:r>
        <w:t>Kostić</w:t>
      </w:r>
      <w:proofErr w:type="spellEnd"/>
    </w:p>
    <w:p w:rsidR="001E1060" w:rsidRDefault="00EC39EF" w:rsidP="001E1060">
      <w:pPr>
        <w:numPr>
          <w:ilvl w:val="0"/>
          <w:numId w:val="1"/>
        </w:numPr>
        <w:ind w:right="288"/>
        <w:jc w:val="both"/>
      </w:pPr>
      <w:proofErr w:type="spellStart"/>
      <w:r>
        <w:t>Nenad</w:t>
      </w:r>
      <w:proofErr w:type="spellEnd"/>
      <w:r>
        <w:t xml:space="preserve"> </w:t>
      </w:r>
      <w:proofErr w:type="spellStart"/>
      <w:r>
        <w:t>Bogojević</w:t>
      </w:r>
      <w:proofErr w:type="spellEnd"/>
    </w:p>
    <w:p w:rsidR="001E1060" w:rsidRDefault="00EC39EF" w:rsidP="00EC39EF">
      <w:pPr>
        <w:numPr>
          <w:ilvl w:val="0"/>
          <w:numId w:val="1"/>
        </w:numPr>
        <w:ind w:right="288"/>
        <w:jc w:val="both"/>
      </w:pPr>
      <w:proofErr w:type="spellStart"/>
      <w:r>
        <w:t>Agim</w:t>
      </w:r>
      <w:proofErr w:type="spellEnd"/>
      <w:r>
        <w:t xml:space="preserve"> </w:t>
      </w:r>
      <w:proofErr w:type="spellStart"/>
      <w:r>
        <w:t>Gjinoviq</w:t>
      </w:r>
      <w:proofErr w:type="spellEnd"/>
    </w:p>
    <w:p w:rsidR="001E1060" w:rsidRDefault="00EC39EF" w:rsidP="00EC39EF">
      <w:pPr>
        <w:numPr>
          <w:ilvl w:val="0"/>
          <w:numId w:val="1"/>
        </w:numPr>
        <w:ind w:right="288"/>
        <w:jc w:val="both"/>
      </w:pPr>
      <w:proofErr w:type="spellStart"/>
      <w:r>
        <w:t>Srđan</w:t>
      </w:r>
      <w:proofErr w:type="spellEnd"/>
      <w:r>
        <w:t xml:space="preserve"> </w:t>
      </w:r>
      <w:proofErr w:type="spellStart"/>
      <w:r>
        <w:t>Kontić</w:t>
      </w:r>
      <w:proofErr w:type="spellEnd"/>
    </w:p>
    <w:p w:rsidR="00EC39EF" w:rsidRPr="00EC39EF" w:rsidRDefault="00EC39EF" w:rsidP="00EC39EF">
      <w:pPr>
        <w:numPr>
          <w:ilvl w:val="0"/>
          <w:numId w:val="1"/>
        </w:numPr>
        <w:ind w:right="288"/>
        <w:jc w:val="both"/>
      </w:pPr>
      <w:proofErr w:type="spellStart"/>
      <w:r>
        <w:t>Mihailo</w:t>
      </w:r>
      <w:proofErr w:type="spellEnd"/>
      <w:r>
        <w:t xml:space="preserve"> </w:t>
      </w:r>
      <w:proofErr w:type="spellStart"/>
      <w:r>
        <w:t>Čolović</w:t>
      </w:r>
      <w:proofErr w:type="spellEnd"/>
    </w:p>
    <w:p w:rsidR="001E1060" w:rsidRDefault="001E1060" w:rsidP="001E1060">
      <w:pPr>
        <w:spacing w:after="0"/>
        <w:ind w:right="289"/>
      </w:pPr>
    </w:p>
    <w:p w:rsidR="001E1060" w:rsidRPr="00762C75" w:rsidRDefault="001E1060" w:rsidP="001E1060">
      <w:pPr>
        <w:spacing w:after="0"/>
        <w:ind w:right="289"/>
      </w:pPr>
    </w:p>
    <w:p w:rsidR="001E1060" w:rsidRPr="00F53320" w:rsidRDefault="001E1060" w:rsidP="001E1060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proofErr w:type="spellStart"/>
      <w:r w:rsidRPr="00F53320">
        <w:rPr>
          <w:lang w:val="en-US"/>
        </w:rPr>
        <w:t>Prije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početka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pisanog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dijela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dužni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sekreta</w:t>
      </w:r>
      <w:r>
        <w:rPr>
          <w:lang w:val="en-US"/>
        </w:rPr>
        <w:t>ru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Komisije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dostaviti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uvid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ličnu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kartu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pasoš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ili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drugu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ispravu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fotografijom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osnovu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koje</w:t>
      </w:r>
      <w:proofErr w:type="spellEnd"/>
      <w:r w:rsidRPr="00F53320">
        <w:rPr>
          <w:lang w:val="en-US"/>
        </w:rPr>
        <w:t xml:space="preserve"> se </w:t>
      </w:r>
      <w:proofErr w:type="spellStart"/>
      <w:r w:rsidRPr="00F53320">
        <w:rPr>
          <w:lang w:val="en-US"/>
        </w:rPr>
        <w:t>može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utvrditi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identitet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kandidata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kao</w:t>
      </w:r>
      <w:proofErr w:type="spellEnd"/>
      <w:r w:rsidRPr="00F53320">
        <w:rPr>
          <w:lang w:val="en-US"/>
        </w:rPr>
        <w:t xml:space="preserve"> i </w:t>
      </w:r>
      <w:proofErr w:type="spellStart"/>
      <w:r w:rsidRPr="00F53320">
        <w:rPr>
          <w:lang w:val="en-US"/>
        </w:rPr>
        <w:t>dokaz</w:t>
      </w:r>
      <w:proofErr w:type="spellEnd"/>
      <w:r w:rsidRPr="00F53320">
        <w:rPr>
          <w:lang w:val="en-US"/>
        </w:rPr>
        <w:t xml:space="preserve"> o </w:t>
      </w:r>
      <w:proofErr w:type="spellStart"/>
      <w:r w:rsidRPr="00F53320">
        <w:rPr>
          <w:lang w:val="en-US"/>
        </w:rPr>
        <w:t>izvršenoj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uplati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troškova</w:t>
      </w:r>
      <w:proofErr w:type="spellEnd"/>
      <w:r w:rsidRPr="00F53320">
        <w:rPr>
          <w:lang w:val="en-US"/>
        </w:rPr>
        <w:t xml:space="preserve"> za </w:t>
      </w:r>
      <w:proofErr w:type="spellStart"/>
      <w:r w:rsidRPr="00F53320">
        <w:rPr>
          <w:lang w:val="en-US"/>
        </w:rPr>
        <w:t>polaganje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. </w:t>
      </w:r>
    </w:p>
    <w:p w:rsidR="001E1060" w:rsidRDefault="001E1060" w:rsidP="001E1060">
      <w:pPr>
        <w:jc w:val="both"/>
      </w:pPr>
      <w:proofErr w:type="spellStart"/>
      <w:r w:rsidRPr="007D11D3">
        <w:t>Kandidati</w:t>
      </w:r>
      <w:proofErr w:type="spellEnd"/>
      <w:r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:rsidR="001E1060" w:rsidRDefault="001E1060" w:rsidP="001E1060">
      <w:pPr>
        <w:jc w:val="both"/>
      </w:pPr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t xml:space="preserve"> 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V, VI i VII </w:t>
      </w:r>
      <w:proofErr w:type="spellStart"/>
      <w:r w:rsidRPr="00430E9A">
        <w:t>nivoom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> </w:t>
      </w:r>
      <w:proofErr w:type="spellStart"/>
      <w:r w:rsidRPr="00430E9A">
        <w:t>iznose</w:t>
      </w:r>
      <w:proofErr w:type="spellEnd"/>
      <w:r w:rsidRPr="00430E9A">
        <w:t> </w:t>
      </w:r>
      <w:r w:rsidRPr="00430E9A">
        <w:rPr>
          <w:b/>
          <w:bCs/>
        </w:rPr>
        <w:t>79,30 €</w:t>
      </w:r>
      <w:r w:rsidRPr="00430E9A">
        <w:t xml:space="preserve">, a 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III i IV </w:t>
      </w:r>
      <w:proofErr w:type="spellStart"/>
      <w:r w:rsidRPr="00430E9A">
        <w:t>nivom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 xml:space="preserve"> </w:t>
      </w:r>
      <w:proofErr w:type="spellStart"/>
      <w:r w:rsidRPr="00430E9A">
        <w:t>iznose</w:t>
      </w:r>
      <w:proofErr w:type="spellEnd"/>
      <w:r w:rsidRPr="00430E9A">
        <w:t xml:space="preserve"> od </w:t>
      </w:r>
      <w:r w:rsidRPr="00430E9A">
        <w:rPr>
          <w:b/>
          <w:bCs/>
        </w:rPr>
        <w:t>39,65 €</w:t>
      </w:r>
      <w:r w:rsidRPr="00430E9A">
        <w:t>.</w:t>
      </w:r>
    </w:p>
    <w:p w:rsidR="001E1060" w:rsidRDefault="001E1060" w:rsidP="001E1060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ponovnog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kandidate</w:t>
      </w:r>
      <w:proofErr w:type="spellEnd"/>
      <w:r w:rsidRPr="00430E9A">
        <w:rPr>
          <w:b/>
          <w:bCs/>
        </w:rPr>
        <w:t xml:space="preserve"> za III, IV, V, VI i VII </w:t>
      </w:r>
      <w:proofErr w:type="spellStart"/>
      <w:r w:rsidRPr="00430E9A">
        <w:rPr>
          <w:b/>
          <w:bCs/>
        </w:rPr>
        <w:t>nivo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kvalifikacije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obrazovanja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iznose</w:t>
      </w:r>
      <w:proofErr w:type="spellEnd"/>
      <w:r w:rsidRPr="00430E9A">
        <w:rPr>
          <w:b/>
          <w:bCs/>
        </w:rPr>
        <w:t xml:space="preserve"> 39,65€.</w:t>
      </w:r>
      <w:r w:rsidRPr="00430E9A">
        <w:br/>
      </w:r>
      <w:r w:rsidRPr="00430E9A">
        <w:br/>
      </w:r>
      <w:proofErr w:type="spellStart"/>
      <w:r w:rsidRPr="00430E9A">
        <w:rPr>
          <w:b/>
          <w:bCs/>
        </w:rPr>
        <w:t>Uplata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troškova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polaganje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> </w:t>
      </w:r>
      <w:proofErr w:type="spellStart"/>
      <w:r w:rsidRPr="00430E9A">
        <w:t>vrši</w:t>
      </w:r>
      <w:proofErr w:type="spellEnd"/>
      <w:r w:rsidRPr="00430E9A">
        <w:t xml:space="preserve"> se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žiro</w:t>
      </w:r>
      <w:proofErr w:type="spellEnd"/>
      <w:r w:rsidRPr="00430E9A">
        <w:t xml:space="preserve"> </w:t>
      </w:r>
      <w:proofErr w:type="spellStart"/>
      <w:r w:rsidRPr="00430E9A">
        <w:t>račun</w:t>
      </w:r>
      <w:proofErr w:type="spellEnd"/>
      <w:r w:rsidRPr="00430E9A">
        <w:t xml:space="preserve">: </w:t>
      </w:r>
      <w:proofErr w:type="spellStart"/>
      <w:r w:rsidRPr="00430E9A">
        <w:t>Ministarstvo</w:t>
      </w:r>
      <w:proofErr w:type="spellEnd"/>
      <w:r w:rsidRPr="00430E9A">
        <w:t xml:space="preserve"> javne upr</w:t>
      </w:r>
      <w:r>
        <w:t>ave</w:t>
      </w:r>
      <w:r w:rsidRPr="00430E9A">
        <w:t xml:space="preserve">, </w:t>
      </w:r>
      <w:proofErr w:type="spellStart"/>
      <w:r w:rsidRPr="00430E9A">
        <w:t>broj</w:t>
      </w:r>
      <w:proofErr w:type="spellEnd"/>
      <w:r w:rsidRPr="00430E9A">
        <w:t xml:space="preserve">: 832-113687, </w:t>
      </w:r>
      <w:proofErr w:type="spellStart"/>
      <w:r w:rsidRPr="00430E9A">
        <w:t>eko</w:t>
      </w:r>
      <w:proofErr w:type="spellEnd"/>
      <w:r w:rsidRPr="00430E9A">
        <w:t xml:space="preserve"> </w:t>
      </w:r>
      <w:proofErr w:type="spellStart"/>
      <w:r w:rsidRPr="00430E9A">
        <w:t>koda</w:t>
      </w:r>
      <w:proofErr w:type="spellEnd"/>
      <w:r w:rsidRPr="00430E9A">
        <w:t xml:space="preserve">: 7149142001, </w:t>
      </w:r>
      <w:proofErr w:type="spellStart"/>
      <w:r w:rsidRPr="00430E9A">
        <w:t>sa</w:t>
      </w:r>
      <w:proofErr w:type="spellEnd"/>
      <w:r w:rsidRPr="00430E9A">
        <w:t xml:space="preserve"> </w:t>
      </w:r>
      <w:proofErr w:type="spellStart"/>
      <w:r w:rsidRPr="00430E9A">
        <w:t>pozivom</w:t>
      </w:r>
      <w:proofErr w:type="spellEnd"/>
      <w:r w:rsidRPr="00430E9A">
        <w:t xml:space="preserve">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broj</w:t>
      </w:r>
      <w:proofErr w:type="spellEnd"/>
      <w:r w:rsidRPr="00430E9A">
        <w:t xml:space="preserve"> </w:t>
      </w:r>
      <w:proofErr w:type="spellStart"/>
      <w:r w:rsidRPr="00430E9A">
        <w:t>odobrenja</w:t>
      </w:r>
      <w:proofErr w:type="spellEnd"/>
      <w:r w:rsidRPr="00430E9A">
        <w:t xml:space="preserve">: JMBG i </w:t>
      </w:r>
      <w:proofErr w:type="spellStart"/>
      <w:r w:rsidRPr="00430E9A">
        <w:t>naznakom</w:t>
      </w:r>
      <w:proofErr w:type="spellEnd"/>
      <w:r w:rsidRPr="00430E9A">
        <w:t xml:space="preserve">: </w:t>
      </w:r>
      <w:proofErr w:type="spellStart"/>
      <w:r w:rsidRPr="00430E9A">
        <w:t>naknada</w:t>
      </w:r>
      <w:proofErr w:type="spellEnd"/>
      <w:r w:rsidRPr="00430E9A">
        <w:t xml:space="preserve"> za </w:t>
      </w:r>
      <w:proofErr w:type="spellStart"/>
      <w:r w:rsidRPr="00430E9A">
        <w:t>polaganje</w:t>
      </w:r>
      <w:proofErr w:type="spellEnd"/>
      <w:r w:rsidRPr="00430E9A">
        <w:t xml:space="preserve"> </w:t>
      </w:r>
      <w:proofErr w:type="spellStart"/>
      <w:r w:rsidRPr="00430E9A">
        <w:t>stručnog</w:t>
      </w:r>
      <w:proofErr w:type="spellEnd"/>
      <w:r w:rsidRPr="00430E9A">
        <w:t xml:space="preserve"> </w:t>
      </w:r>
      <w:proofErr w:type="spellStart"/>
      <w:r w:rsidRPr="00430E9A">
        <w:t>ispita</w:t>
      </w:r>
      <w:proofErr w:type="spellEnd"/>
      <w:r w:rsidRPr="00430E9A">
        <w:t xml:space="preserve"> za </w:t>
      </w:r>
      <w:proofErr w:type="spellStart"/>
      <w:r w:rsidRPr="00430E9A">
        <w:t>vršenje</w:t>
      </w:r>
      <w:proofErr w:type="spellEnd"/>
      <w:r w:rsidRPr="00430E9A">
        <w:t xml:space="preserve"> </w:t>
      </w:r>
      <w:proofErr w:type="spellStart"/>
      <w:r w:rsidRPr="00430E9A">
        <w:t>poslova</w:t>
      </w:r>
      <w:proofErr w:type="spellEnd"/>
      <w:r w:rsidRPr="00430E9A">
        <w:t xml:space="preserve"> </w:t>
      </w:r>
      <w:proofErr w:type="spellStart"/>
      <w:r w:rsidRPr="00430E9A">
        <w:t>komunalne</w:t>
      </w:r>
      <w:proofErr w:type="spellEnd"/>
      <w:r w:rsidRPr="00430E9A">
        <w:t xml:space="preserve"> </w:t>
      </w:r>
      <w:proofErr w:type="spellStart"/>
      <w:r w:rsidRPr="00430E9A">
        <w:t>policije</w:t>
      </w:r>
      <w:proofErr w:type="spellEnd"/>
      <w:r w:rsidRPr="00430E9A">
        <w:t>.</w:t>
      </w:r>
    </w:p>
    <w:p w:rsidR="001E1060" w:rsidRDefault="001E1060" w:rsidP="001E1060">
      <w:pPr>
        <w:rPr>
          <w:b/>
          <w:lang w:val="en-US"/>
        </w:rPr>
      </w:pPr>
    </w:p>
    <w:p w:rsidR="001E1060" w:rsidRDefault="001E1060" w:rsidP="001E1060">
      <w:pPr>
        <w:rPr>
          <w:b/>
          <w:lang w:val="en-US"/>
        </w:rPr>
      </w:pPr>
    </w:p>
    <w:p w:rsidR="001E1060" w:rsidRDefault="001E1060" w:rsidP="001E1060">
      <w:pPr>
        <w:rPr>
          <w:b/>
          <w:lang w:val="en-US"/>
        </w:rPr>
      </w:pPr>
    </w:p>
    <w:p w:rsidR="001E1060" w:rsidRDefault="001E1060" w:rsidP="001E1060">
      <w:pPr>
        <w:rPr>
          <w:b/>
          <w:lang w:val="en-US"/>
        </w:rPr>
      </w:pPr>
      <w:proofErr w:type="spellStart"/>
      <w:r w:rsidRPr="00430E9A">
        <w:rPr>
          <w:b/>
          <w:lang w:val="en-US"/>
        </w:rPr>
        <w:t>Kandidati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koji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su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na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popravnom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polaganju</w:t>
      </w:r>
      <w:proofErr w:type="spellEnd"/>
      <w:r w:rsidRPr="001B6B13">
        <w:rPr>
          <w:color w:val="292929"/>
          <w:sz w:val="30"/>
          <w:szCs w:val="30"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dobi</w:t>
      </w:r>
      <w:r>
        <w:rPr>
          <w:bCs/>
        </w:rPr>
        <w:t>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ocjenu</w:t>
      </w:r>
      <w:proofErr w:type="spellEnd"/>
      <w:r w:rsidRPr="001B6B13">
        <w:rPr>
          <w:bCs/>
        </w:rPr>
        <w:t xml:space="preserve"> “</w:t>
      </w:r>
      <w:proofErr w:type="spellStart"/>
      <w:r w:rsidRPr="001B6B13">
        <w:rPr>
          <w:bCs/>
        </w:rPr>
        <w:t>nije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položio</w:t>
      </w:r>
      <w:proofErr w:type="spellEnd"/>
      <w:r w:rsidRPr="001B6B13">
        <w:rPr>
          <w:bCs/>
        </w:rPr>
        <w:t xml:space="preserve">”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istog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i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>,</w:t>
      </w:r>
      <w:r w:rsidRPr="001B6B13">
        <w:rPr>
          <w:b/>
        </w:rPr>
        <w:t xml:space="preserve"> </w:t>
      </w:r>
      <w:proofErr w:type="spellStart"/>
      <w:r w:rsidRPr="00430E9A">
        <w:rPr>
          <w:b/>
          <w:lang w:val="en-US"/>
        </w:rPr>
        <w:t>nijesu</w:t>
      </w:r>
      <w:proofErr w:type="spellEnd"/>
      <w:r w:rsidRPr="00430E9A">
        <w:rPr>
          <w:b/>
          <w:lang w:val="en-US"/>
        </w:rPr>
        <w:t xml:space="preserve"> u </w:t>
      </w:r>
      <w:proofErr w:type="spellStart"/>
      <w:r w:rsidRPr="00430E9A">
        <w:rPr>
          <w:b/>
          <w:lang w:val="en-US"/>
        </w:rPr>
        <w:t>obavezi</w:t>
      </w:r>
      <w:proofErr w:type="spellEnd"/>
      <w:r w:rsidRPr="00430E9A">
        <w:rPr>
          <w:b/>
          <w:lang w:val="en-US"/>
        </w:rPr>
        <w:t xml:space="preserve"> da </w:t>
      </w:r>
      <w:proofErr w:type="spellStart"/>
      <w:r w:rsidRPr="00430E9A">
        <w:rPr>
          <w:b/>
          <w:lang w:val="en-US"/>
        </w:rPr>
        <w:t>uplaćuju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troškove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1E1060" w:rsidRDefault="001E1060" w:rsidP="001E1060">
      <w:pPr>
        <w:rPr>
          <w:b/>
          <w:lang w:val="en-US"/>
        </w:rPr>
      </w:pPr>
      <w:proofErr w:type="spellStart"/>
      <w:r w:rsidRPr="006870B7">
        <w:rPr>
          <w:b/>
          <w:lang w:val="en-US"/>
        </w:rPr>
        <w:t>Kandidati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dužni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budu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prikladno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uredno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odjeveni</w:t>
      </w:r>
      <w:proofErr w:type="spellEnd"/>
      <w:r w:rsidRPr="006870B7">
        <w:rPr>
          <w:b/>
          <w:lang w:val="en-US"/>
        </w:rPr>
        <w:t xml:space="preserve">, </w:t>
      </w:r>
      <w:proofErr w:type="spellStart"/>
      <w:r w:rsidRPr="006870B7">
        <w:rPr>
          <w:b/>
          <w:lang w:val="en-US"/>
        </w:rPr>
        <w:t>te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načinom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odijevanja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ponašanja</w:t>
      </w:r>
      <w:proofErr w:type="spellEnd"/>
      <w:r w:rsidRPr="006870B7">
        <w:rPr>
          <w:b/>
          <w:lang w:val="en-US"/>
        </w:rPr>
        <w:t xml:space="preserve"> ne </w:t>
      </w:r>
      <w:proofErr w:type="spellStart"/>
      <w:r w:rsidRPr="006870B7">
        <w:rPr>
          <w:b/>
          <w:lang w:val="en-US"/>
        </w:rPr>
        <w:t>narušavaju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atmosferu</w:t>
      </w:r>
      <w:proofErr w:type="spellEnd"/>
      <w:r w:rsidRPr="006870B7">
        <w:rPr>
          <w:b/>
          <w:lang w:val="en-US"/>
        </w:rPr>
        <w:t xml:space="preserve"> u </w:t>
      </w:r>
      <w:proofErr w:type="spellStart"/>
      <w:r w:rsidRPr="006870B7">
        <w:rPr>
          <w:b/>
          <w:lang w:val="en-US"/>
        </w:rPr>
        <w:t>toku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polaganja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stručnog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ispita</w:t>
      </w:r>
      <w:proofErr w:type="spellEnd"/>
      <w:r w:rsidRPr="006870B7">
        <w:rPr>
          <w:b/>
          <w:lang w:val="en-US"/>
        </w:rPr>
        <w:t>.</w:t>
      </w:r>
    </w:p>
    <w:p w:rsidR="001E1060" w:rsidRPr="006870B7" w:rsidRDefault="001E1060" w:rsidP="001E1060">
      <w:pPr>
        <w:rPr>
          <w:b/>
          <w:lang w:val="en-US"/>
        </w:rPr>
      </w:pPr>
    </w:p>
    <w:p w:rsidR="001E1060" w:rsidRDefault="001E1060" w:rsidP="001E1060">
      <w:pPr>
        <w:jc w:val="both"/>
      </w:pPr>
      <w:r w:rsidRPr="007D11D3">
        <w:t>SEKRETAR KOMISIJE</w:t>
      </w:r>
    </w:p>
    <w:p w:rsidR="001E1060" w:rsidRPr="00262FB1" w:rsidRDefault="001E1060" w:rsidP="001E1060">
      <w:pPr>
        <w:jc w:val="both"/>
        <w:rPr>
          <w:lang w:val="sr-Latn-ME"/>
        </w:rPr>
      </w:pPr>
      <w:proofErr w:type="spellStart"/>
      <w:r>
        <w:t>Esmera</w:t>
      </w:r>
      <w:proofErr w:type="spellEnd"/>
      <w:r>
        <w:t xml:space="preserve"> </w:t>
      </w:r>
      <w:proofErr w:type="spellStart"/>
      <w:r>
        <w:t>Tahiragi</w:t>
      </w:r>
      <w:proofErr w:type="spellEnd"/>
      <w:r>
        <w:rPr>
          <w:lang w:val="sr-Latn-ME"/>
        </w:rPr>
        <w:t>ć</w:t>
      </w:r>
    </w:p>
    <w:p w:rsidR="001E1060" w:rsidRPr="007D11D3" w:rsidRDefault="001E1060" w:rsidP="001E1060">
      <w:pPr>
        <w:jc w:val="both"/>
      </w:pPr>
      <w:r>
        <w:t>068/866-677</w:t>
      </w:r>
    </w:p>
    <w:p w:rsidR="001E1060" w:rsidRDefault="001E1060" w:rsidP="001E1060">
      <w:pPr>
        <w:jc w:val="both"/>
      </w:pPr>
    </w:p>
    <w:p w:rsidR="001E1060" w:rsidRDefault="001E1060" w:rsidP="001E1060"/>
    <w:p w:rsidR="001E1060" w:rsidRDefault="001E1060" w:rsidP="001E1060"/>
    <w:p w:rsidR="001E1060" w:rsidRDefault="001E1060" w:rsidP="001E1060"/>
    <w:p w:rsidR="001E1060" w:rsidRDefault="001E1060"/>
    <w:sectPr w:rsidR="001E1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9E" w:rsidRDefault="008E0E9E">
      <w:pPr>
        <w:spacing w:after="0" w:line="240" w:lineRule="auto"/>
      </w:pPr>
      <w:r>
        <w:separator/>
      </w:r>
    </w:p>
  </w:endnote>
  <w:endnote w:type="continuationSeparator" w:id="0">
    <w:p w:rsidR="008E0E9E" w:rsidRDefault="008E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F5" w:rsidRDefault="00EA1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F5" w:rsidRDefault="00EA1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F5" w:rsidRDefault="00EA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9E" w:rsidRDefault="008E0E9E">
      <w:pPr>
        <w:spacing w:after="0" w:line="240" w:lineRule="auto"/>
      </w:pPr>
      <w:r>
        <w:separator/>
      </w:r>
    </w:p>
  </w:footnote>
  <w:footnote w:type="continuationSeparator" w:id="0">
    <w:p w:rsidR="008E0E9E" w:rsidRDefault="008E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F5" w:rsidRDefault="00EA1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63" w:rsidRDefault="001E1060" w:rsidP="00806C63">
    <w:pPr>
      <w:pStyle w:val="Header"/>
    </w:pPr>
    <w:r>
      <w:rPr>
        <w:noProof/>
        <w:lang w:val="sr-Latn-ME" w:eastAsia="sr-Latn-ME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2F7D58CB" wp14:editId="76C43EEE">
              <wp:simplePos x="0" y="0"/>
              <wp:positionH relativeFrom="page">
                <wp:posOffset>1390650</wp:posOffset>
              </wp:positionH>
              <wp:positionV relativeFrom="page">
                <wp:posOffset>342900</wp:posOffset>
              </wp:positionV>
              <wp:extent cx="4705350" cy="708660"/>
              <wp:effectExtent l="0" t="0" r="0" b="1524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7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9"/>
                            <w:gridCol w:w="7324"/>
                            <w:gridCol w:w="19"/>
                          </w:tblGrid>
                          <w:tr w:rsidR="00913210" w:rsidTr="00FA02A4">
                            <w:trPr>
                              <w:trHeight w:hRule="exact" w:val="1134"/>
                            </w:trPr>
                            <w:tc>
                              <w:tcPr>
                                <w:tcW w:w="13" w:type="pct"/>
                                <w:shd w:val="clear" w:color="auto" w:fill="4472C4" w:themeFill="accent1"/>
                                <w:vAlign w:val="center"/>
                              </w:tcPr>
                              <w:p w:rsidR="00806C63" w:rsidRDefault="008E0E9E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74" w:type="pct"/>
                                <w:shd w:val="clear" w:color="auto" w:fill="2F5496" w:themeFill="accent1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6C63" w:rsidRDefault="00EA12F5" w:rsidP="00D14ED4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Termin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i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informacije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u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vezi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organizovanja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ispita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provjeru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stručne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osposobljenosti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komunalnih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policajaca</w:t>
                                    </w:r>
                                    <w:proofErr w:type="spellEnd"/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4" w:type="pct"/>
                                <w:shd w:val="clear" w:color="auto" w:fill="4472C4" w:themeFill="accent1"/>
                                <w:vAlign w:val="center"/>
                              </w:tcPr>
                              <w:p w:rsidR="00806C63" w:rsidRDefault="008E0E9E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806C63" w:rsidRDefault="008E0E9E" w:rsidP="00806C6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D58C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109.5pt;margin-top:27pt;width:370.5pt;height:55.8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497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9"/>
                      <w:gridCol w:w="7324"/>
                      <w:gridCol w:w="19"/>
                    </w:tblGrid>
                    <w:tr w:rsidR="00913210" w:rsidTr="00FA02A4">
                      <w:trPr>
                        <w:trHeight w:hRule="exact" w:val="1134"/>
                      </w:trPr>
                      <w:tc>
                        <w:tcPr>
                          <w:tcW w:w="13" w:type="pct"/>
                          <w:shd w:val="clear" w:color="auto" w:fill="4472C4" w:themeFill="accent1"/>
                          <w:vAlign w:val="center"/>
                        </w:tcPr>
                        <w:p w:rsidR="00806C63" w:rsidRDefault="008E0E9E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974" w:type="pct"/>
                          <w:shd w:val="clear" w:color="auto" w:fill="2F5496" w:themeFill="accent1" w:themeFillShade="BF"/>
                          <w:vAlign w:val="center"/>
                        </w:tcPr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06C63" w:rsidRDefault="00EA12F5" w:rsidP="00D14E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Termin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i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informacije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u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vezi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organizovanja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ispita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za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provjeru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stručne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osposobljenosti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komunalnih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policajaca</w:t>
                              </w:r>
                              <w:proofErr w:type="spellEnd"/>
                            </w:p>
                          </w:sdtContent>
                        </w:sdt>
                      </w:tc>
                      <w:tc>
                        <w:tcPr>
                          <w:tcW w:w="14" w:type="pct"/>
                          <w:shd w:val="clear" w:color="auto" w:fill="4472C4" w:themeFill="accent1"/>
                          <w:vAlign w:val="center"/>
                        </w:tcPr>
                        <w:p w:rsidR="00806C63" w:rsidRDefault="008E0E9E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806C63" w:rsidRDefault="008E0E9E" w:rsidP="00806C63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D14ED4" w:rsidRPr="00A361D0" w:rsidRDefault="008E0E9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F5" w:rsidRDefault="00EA1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60"/>
    <w:rsid w:val="001E1060"/>
    <w:rsid w:val="00235FB6"/>
    <w:rsid w:val="005676D4"/>
    <w:rsid w:val="00632D6E"/>
    <w:rsid w:val="00640641"/>
    <w:rsid w:val="008E0E9E"/>
    <w:rsid w:val="009400E4"/>
    <w:rsid w:val="00A361D0"/>
    <w:rsid w:val="00A56AA8"/>
    <w:rsid w:val="00D41E6A"/>
    <w:rsid w:val="00DC3762"/>
    <w:rsid w:val="00E1350B"/>
    <w:rsid w:val="00E477C2"/>
    <w:rsid w:val="00EA12F5"/>
    <w:rsid w:val="00EA47F5"/>
    <w:rsid w:val="00E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7493A-8214-4E4C-89FE-8FEDD590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06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60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1E106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E4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Maja Dragojevic</cp:lastModifiedBy>
  <cp:revision>2</cp:revision>
  <cp:lastPrinted>2023-03-10T09:05:00Z</cp:lastPrinted>
  <dcterms:created xsi:type="dcterms:W3CDTF">2023-03-14T12:57:00Z</dcterms:created>
  <dcterms:modified xsi:type="dcterms:W3CDTF">2023-03-14T12:57:00Z</dcterms:modified>
</cp:coreProperties>
</file>