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73" w:rsidRPr="000A5D1C" w:rsidRDefault="00E10E73" w:rsidP="005F218B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0A5D1C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DNEVNOG REDA</w:t>
      </w:r>
      <w:r w:rsidRPr="000A5D1C">
        <w:rPr>
          <w:rFonts w:ascii="Arial" w:hAnsi="Arial" w:cs="Arial"/>
          <w:sz w:val="24"/>
          <w:szCs w:val="24"/>
          <w:lang w:val="sr-Latn-ME"/>
        </w:rPr>
        <w:br/>
      </w:r>
      <w:r w:rsidRPr="000A5D1C">
        <w:rPr>
          <w:rFonts w:ascii="Arial" w:hAnsi="Arial" w:cs="Arial"/>
          <w:sz w:val="24"/>
          <w:szCs w:val="24"/>
          <w:shd w:val="clear" w:color="auto" w:fill="FFFFFF"/>
          <w:lang w:val="sr-Latn-ME"/>
        </w:rPr>
        <w:t>za 20. sjednicu Vlade Crne Gore, koja je zakazana</w:t>
      </w:r>
    </w:p>
    <w:p w:rsidR="00092DFE" w:rsidRDefault="00E10E73" w:rsidP="00092DFE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0A5D1C">
        <w:rPr>
          <w:rFonts w:ascii="Arial" w:hAnsi="Arial" w:cs="Arial"/>
          <w:sz w:val="24"/>
          <w:szCs w:val="24"/>
          <w:shd w:val="clear" w:color="auto" w:fill="FFFFFF"/>
          <w:lang w:val="sr-Latn-ME"/>
        </w:rPr>
        <w:t>za četvrtak, 22. septembar 2022. godine, s početkom u 11,00 sati</w:t>
      </w:r>
    </w:p>
    <w:p w:rsidR="004C6F70" w:rsidRDefault="004C6F70" w:rsidP="00092DFE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</w:p>
    <w:p w:rsidR="004C6F70" w:rsidRPr="000A5D1C" w:rsidRDefault="004C6F70" w:rsidP="00092DFE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</w:p>
    <w:p w:rsidR="00092DFE" w:rsidRPr="000A5D1C" w:rsidRDefault="00092DFE" w:rsidP="00092DF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E233E" w:rsidRPr="000A5D1C" w:rsidRDefault="00E10E73" w:rsidP="00092DFE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  <w:r w:rsidRPr="000A5D1C">
        <w:rPr>
          <w:rFonts w:ascii="Arial" w:hAnsi="Arial" w:cs="Arial"/>
          <w:b/>
          <w:sz w:val="24"/>
          <w:szCs w:val="24"/>
          <w:lang w:val="sr-Latn-ME"/>
        </w:rPr>
        <w:t>I. MATERIJALI KOJI SU VLADI DOSTAVLJENI RADI RASPRAVE</w:t>
      </w:r>
    </w:p>
    <w:p w:rsidR="003E233E" w:rsidRPr="000A5D1C" w:rsidRDefault="00E10E73" w:rsidP="003E23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br/>
        <w:t xml:space="preserve">1. Usmena informacija o realizaciji aktivnosti iz procesa pristupanja Crne Gore Evropskoj uniji </w:t>
      </w:r>
    </w:p>
    <w:p w:rsidR="003E233E" w:rsidRPr="000A5D1C" w:rsidRDefault="003E233E" w:rsidP="003E23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2. </w:t>
      </w:r>
      <w:r w:rsidR="00E10E73" w:rsidRPr="000A5D1C">
        <w:rPr>
          <w:rFonts w:ascii="Arial" w:hAnsi="Arial" w:cs="Arial"/>
          <w:sz w:val="24"/>
          <w:szCs w:val="24"/>
          <w:lang w:val="sr-Latn-ME"/>
        </w:rPr>
        <w:t>Predlog uredbe o dopuni Uredbe o organizaciji i načinu rada državne uprave</w:t>
      </w:r>
    </w:p>
    <w:p w:rsidR="00CE3F44" w:rsidRDefault="00E10E73" w:rsidP="003E23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3. Predlog odluke o izmjenama i dopuni Odluke o uvođenju međunarodnih restriktivnih mjera utvrđenih odlukama Savjeta Evropske unije 2014/145/ZVBP od 17. marta 2014. godine, 2014/151/ ZVBP od 21. marta 2014. godine, 2014/238/ ZVBP od 28. aprila 2014. godine, 2014/265/ZVBP od 12. maja 2014. godine, 2014/308/ZVBP od 28. maja 2014. godine, 2014/455/ ZVBP od 11. jula 2014. godine, 2014/475/ZVBP od 18. jula 2014. godine, 2014/499/ZVBP od 25. jula 2014. godine, 2014/508/ZVBP od 30. jula 2014. godine, 2014/658/ZVBP od 8. septembra 2014. godine, 2014/801/ZVBP od 17. novembra 2014. godine, 2014/855/ZVBP od 28. novembra 2014. godine, 2015/241/ZVBP od 9. februara 2015. godine, 2015/432/ZVBP od 13. marta 2015. godine i 2015/1524/ZVBP od 14. septembra 2015. godine i 2016/359/ZVBP od 10. marta 2016. godine i 2016/1671/ZVBP od 15. septembra 2016. godine i 2016/1961/ZVBP od 8. novembra 2016. godine i 2017/445/ZVBP od 13. marta 2017. godine i 2017/1386/ZVBP od 25. jula 2017. godine i 2017/1418/ZVBP od 4. avgusta 2017. godine i 2017/1561/ZVBP od 14. septembra 2017. godine, 2017/2163/ZVBP od 20. novembra 2017. godine, 2018/392/ZVBP od 12. marta 2018. godine, 2018/706/ZVBP od 14. maja 2018. godine, 2018/1085/ZVBP od 30. jula 2018. godine, 2018/1237/ZVBP, od 12. septembra 2018. godine, 2018/1930/ZVBP od 10. decembra 2018. godine, 2019/95/ZVBP od 21. januara 2019. godine, 2019/415/ZVBP od 14. marta 2019. godine, 2019/416/ZVBP od 14. marta 2019. godine i 2019/1405/ZVBP od 12. septembra 2019. godine i 2020/120/ZVBP od 28. januara 2020. godine i 2020/399/ZVBP od 13. marta 2020. godine, 2020/1269/ZVBP od 1. septembra 2020. godine, 2020/1369/ZVBP od 1. oktobra 2020. godine, 2021/448/ZVBP od 12. marta 2021. godine, 2021/1470/ZVBP od 10. septembra 2021. godine i 2021/1792/ZVBP od 11. oktobra 2021. godine i 2021/2196/ZVBP od 13. decembra 2021. godine i 2022/241/ZVBP od 21. februara 2022. godine 2022/265/ZVBP od 23. februara 2022. godine, 2022/267/ZVBP od 23. februara 2022. godine, 2022/329/ZVBP od 25. februara 2022. godine, 2022/331/ZVBP od 25. februara 2022. godine i 2022/337/ZVBP od 28. februara 2022. godine i 2022/354/ZVBP od 2. marta 2022. godine i 2022/397/ZVBP od 9. marta 2022. godine i 2022/411/ZVBP od 10. marta 2022. godine 2022/429/ZVBP od 15. marta 2022. godine i 2022/582/ZVBP od 8. aprila 2022. godine i 2022/660/ZVBP od 21. aprila 2022. godine i 2022/883/ZVBP od 3. juna 2022.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godine i 2022/885/ZVBP od 3. juna 2022. godine u odnosu na djelovanja koja podrivaju ili ugrožavaju teritorijalni integritet, suverenitet i nezavisnost Ukrajine </w:t>
      </w:r>
    </w:p>
    <w:p w:rsidR="004C6F70" w:rsidRPr="000A5D1C" w:rsidRDefault="004C6F70" w:rsidP="003E23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6E4BD3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4. Predlog odluke o izmjeni Odluke o organizacijsko-formacijskoj strukturi i veličini Vojske Crne</w:t>
      </w:r>
      <w:r w:rsidR="00CE3F44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Gore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lastRenderedPageBreak/>
        <w:t xml:space="preserve">5. Predlog odluke o obrazovanju Operativnog tijela za sprovođenje Strategije informisanja javnosti o pristupanju Crne Gore Evropskoj uniji 2019-2022. </w:t>
      </w:r>
      <w:r w:rsidR="00CE3F44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odina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6. Izvještaj o radu Komisije za praćenje postupanja nadležnih organa u istragama slučajeva prijetnji i nasilja nad novinarima, ubistva novinara i napada na imovinu medija, za period od 10. februara 2022. do 23. juna 2022. 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7. Predlog dopune Plana davanja koncesija za detaljna geološka istraživanja i eksploataciju mineralnih sirovina za 2022. 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odinu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8. Izvještaj o radu Agencije za kontrolu i obezbjeđenje kvaliteta visokog obrazovanja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za 2021. godinu s Izvještajem nezavisnog revizora o finansijskim iskazima za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2021. godinu 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9. Informacija o obezbjeđivanju sredstava za izvođenje zamjenskih i dodatnih radova na izgradnji nove i rekonstrukciji postojeće zgrade Crnogorske akademije nauka i umjetnosti</w:t>
      </w:r>
    </w:p>
    <w:p w:rsidR="003E233E" w:rsidRPr="000A5D1C" w:rsidRDefault="00E10E73" w:rsidP="003E233E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br/>
      </w:r>
      <w:r w:rsidRPr="000A5D1C">
        <w:rPr>
          <w:rFonts w:ascii="Arial" w:hAnsi="Arial" w:cs="Arial"/>
          <w:b/>
          <w:sz w:val="24"/>
          <w:szCs w:val="24"/>
          <w:lang w:val="sr-Latn-ME"/>
        </w:rPr>
        <w:t>II. MATERIJALI KOJI SE VLADI DOSTAVLJAJU S PREDLOGOM DA SE O NJIMA NE RASPRAVLJA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10. Predlog odluke o izmjenama Statuta Agencije za kontrolu i obezbjeđenje kvaliteta visokog obrazovanja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11. Informacija o pripremi javnog oglasa za dostavljanje ponuda za dodjelu Ugovora o koncesiji za detaljna geološka istraživanja i eksploataciju nemetalične mineralne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sirovine tehničko-građevinskog kamena (vulkanit) lokaliteta „Piševska rijeka 1",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Opština Andrijevica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12. Informacija o potrebi transformacije JU Centar savremene umjetnosti u JU Muzej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savremene umjetnosti </w:t>
      </w:r>
    </w:p>
    <w:p w:rsidR="00CE3F44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13. Informacija o potpisivanju Okvirnog programa za saradnju Crne Gore i Međunarodne agencije za atomsku energiju (IAEA Country programme Framework - CPF) 2022-2027. godina s Predlogom okvirnog programa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14. Predlog programa rada i Finansijskog plana DOO „Centar za ekotoksikološka ispitivanja" - Podgorica za 2022. 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odinu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15. Izvještaj o radu Agencije za zaštitu konkurencije za 2021. godinu 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16. Predlog za davanje saglasnosti na Prilog ugovora o davanju prava na korišćenje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šuma i izgradnju i održavanje šumskih saobraćajnica u 2022. godini koncesionaru</w:t>
      </w:r>
      <w:r w:rsidR="006E4BD3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,,Boj commerce" doo iz Andrijevice za gazdinsku jedinicu „Jelovica - Gradišnica" 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17. Predlog za davanje saglasnosti na Prilog ugovora o davanju prava na korišćenje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šuma i izgradnju</w:t>
      </w:r>
      <w:r w:rsidR="006E4BD3" w:rsidRPr="000A5D1C">
        <w:rPr>
          <w:rFonts w:ascii="Arial" w:hAnsi="Arial" w:cs="Arial"/>
          <w:sz w:val="24"/>
          <w:szCs w:val="24"/>
          <w:lang w:val="sr-Latn-ME"/>
        </w:rPr>
        <w:t xml:space="preserve"> i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 održavanje šumskih saobraćajnica u 2022. godini koncesionaru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„Boj commerce" doo iz Andrijevice za gazdinsku jedinicu,,Mojanska rijeka" 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 w:rsidRPr="000A5D1C">
        <w:rPr>
          <w:rFonts w:ascii="Arial" w:hAnsi="Arial" w:cs="Arial"/>
          <w:sz w:val="24"/>
          <w:szCs w:val="24"/>
          <w:lang w:val="sr-Latn-ME"/>
        </w:rPr>
        <w:lastRenderedPageBreak/>
        <w:t>18. Predlog za davanje saglasnosti na Prilog ugovora o davanju prava na korišćenje šuma i izgradnju i održavanje šumskih saobraćajnica u 2022. godini koncesionaru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„Šik Polimlje" doo iz Berana za gazdinsku jedinicu „Šekularske šume"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19. Predlog za davanje saglasnosti na Prilog ugovora o davanju prava na korišćenje šuma i izgradnju i održavanje šumskih saobraćajnica u 2022. godini koncesionaru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„Pelengić Trade“ doo iz Bijelog Polja za gazdinsku jedinicu „Čakor - Visitor" u područnoj jedinici Plav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20. Predlog za davanje saglasnosti na Prilog ugovora o davanju prava na korišćenje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šuma i izgradnju i održavanje šumskih saobraćajnica u 2022. godini koncesionaru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„Šik Polimlje" doo iz Berana za gazdinsku jedinicu „Turjak" 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21. Predlog platforme za učešće ministra javne uprave mr Maraš</w:t>
      </w:r>
      <w:r w:rsidR="006E4BD3" w:rsidRPr="000A5D1C">
        <w:rPr>
          <w:rFonts w:ascii="Arial" w:hAnsi="Arial" w:cs="Arial"/>
          <w:sz w:val="24"/>
          <w:szCs w:val="24"/>
          <w:lang w:val="sr-Latn-ME"/>
        </w:rPr>
        <w:t>a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 Dukaja, na Digitalnom samitu 2022., Priština, Republika Kosovo, 21 - 22. septembra 2022. 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odine</w:t>
      </w:r>
    </w:p>
    <w:p w:rsidR="00CE3F44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22. Predlog platforme za učešće delegacije Crne Gore, koju predvodi prof. dr Biljana Šćepanović, ministarka nauke i tehnološkog razvoja, na 66. redovnom zasijedanju Generalne konferencije Međunarodne agencije za atomsku energiju, Beč, Republika Austrija, od 26. do 30. septembra 2022. </w:t>
      </w:r>
      <w:r w:rsidR="006E4BD3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 xml:space="preserve">23. Predlog platforme za učešće delegacije koju čine predstavnici Vrhovnog državnog tužilaštva i Vlade Crne Gore povodom potpisivanja Radnog sporazuma između Vrhovnog državnog tužilaštva i Kancelarije javnog tužioca EU (EPPO), koja će se održati u Luksemburgu, od 21. do 24. septembra 2022. </w:t>
      </w:r>
      <w:r w:rsidR="003E233E" w:rsidRPr="000A5D1C">
        <w:rPr>
          <w:rFonts w:ascii="Arial" w:hAnsi="Arial" w:cs="Arial"/>
          <w:sz w:val="24"/>
          <w:szCs w:val="24"/>
          <w:lang w:val="sr-Latn-ME"/>
        </w:rPr>
        <w:t>g</w:t>
      </w:r>
      <w:r w:rsidRPr="000A5D1C">
        <w:rPr>
          <w:rFonts w:ascii="Arial" w:hAnsi="Arial" w:cs="Arial"/>
          <w:sz w:val="24"/>
          <w:szCs w:val="24"/>
          <w:lang w:val="sr-Latn-ME"/>
        </w:rPr>
        <w:t>odine</w:t>
      </w:r>
    </w:p>
    <w:p w:rsidR="005F218B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24. Predlog za davanje saglasnosti JU OŠ „Maksim Gorki" iz Podgorice za davanje u zakup prostorija upisanih u listu nepokretnosti broj 190 KO Podgorica I, Glavni grad Podgorica, u svojini Crne Gore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25. Predlog za davanje saglasnosti JU OŠ „Meksiko" iz Bara za davanje u zakup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prostorija upisanih u listu nepokretnosti broj 281 KO Polje, opština Bar, u svojini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Crne Gore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26. Predlog za davanje saglasnosti JU OŠ „Mirko Srzentić“ iz Petrovca, za davanje u zakup prostorija upisanih u listu nepokretnosti broj 1129 KO Petrovac, opština Budva, u svojini Crne Gore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27. Predlog za davanje saglasnosti JU Umjetnička škola za muziku i balet „Vasa Pavić", iz Podgorice, za davanje u zakup prostorija upisanih u listu nepokretnosti broj 612 KO Podgorica II, Glavni grad Podgorica, u svojini Crne Gore</w:t>
      </w:r>
    </w:p>
    <w:p w:rsidR="003E233E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28. Predlog za davanje saglasnosti JU Škola za osnovno i srednje muzičko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obrazovanje „Vida Matjan", iz Kotora, za davanje u zakup prostorija upisanih u listu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>nepokretnosti broj 154 KO Kotor II, opština Kotor, u svojini Crne Gore</w:t>
      </w:r>
    </w:p>
    <w:p w:rsidR="006E4BD3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29.</w:t>
      </w:r>
      <w:r w:rsidR="005F218B" w:rsidRPr="000A5D1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A5D1C">
        <w:rPr>
          <w:rFonts w:ascii="Arial" w:hAnsi="Arial" w:cs="Arial"/>
          <w:sz w:val="24"/>
          <w:szCs w:val="24"/>
          <w:lang w:val="sr-Latn-ME"/>
        </w:rPr>
        <w:t xml:space="preserve">Zahtjev za davanje saglasnosti u skladu sa članom 26 Zakona o zaradama zaposlenih u javnom sektoru („Službeni list CG", br. 16/16, 83/16, 21/17, 42/17, 12/18, 39/18 42/18) </w:t>
      </w:r>
      <w:r w:rsidRPr="000A5D1C">
        <w:rPr>
          <w:rFonts w:ascii="Arial" w:hAnsi="Arial" w:cs="Arial"/>
          <w:sz w:val="24"/>
          <w:szCs w:val="24"/>
          <w:lang w:val="sr-Latn-ME"/>
        </w:rPr>
        <w:lastRenderedPageBreak/>
        <w:t>i Odlukom o kriterijumima za utvrđivanje visine naknade za rad člana radnog tijela ili drugog oblika rada (,,Službeni list CG", br. 26/12, 34/12 i 27/13) za isplatu naknade za rad članovima i sekretaru Odbora za utvrđivanje reprezentativnosti sindikata</w:t>
      </w:r>
    </w:p>
    <w:p w:rsidR="00F77D36" w:rsidRPr="000A5D1C" w:rsidRDefault="00E10E73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30. Pitanja i predlozi</w:t>
      </w:r>
    </w:p>
    <w:p w:rsidR="000A5D1C" w:rsidRPr="000A5D1C" w:rsidRDefault="000A5D1C" w:rsidP="003E233E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0A5D1C" w:rsidRPr="000A5D1C" w:rsidRDefault="000A5D1C" w:rsidP="000A5D1C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0A5D1C">
        <w:rPr>
          <w:rFonts w:ascii="Arial" w:hAnsi="Arial" w:cs="Arial"/>
          <w:sz w:val="24"/>
          <w:szCs w:val="24"/>
          <w:lang w:val="sr-Latn-ME"/>
        </w:rPr>
        <w:t>Podgorica, 21. septembar 2022. godine</w:t>
      </w:r>
    </w:p>
    <w:p w:rsidR="000A5D1C" w:rsidRPr="00CE3F44" w:rsidRDefault="000A5D1C" w:rsidP="003E233E">
      <w:pPr>
        <w:jc w:val="both"/>
        <w:rPr>
          <w:rFonts w:ascii="Arial" w:hAnsi="Arial" w:cs="Arial"/>
          <w:sz w:val="24"/>
          <w:szCs w:val="24"/>
        </w:rPr>
      </w:pPr>
    </w:p>
    <w:p w:rsidR="00CE3F44" w:rsidRPr="00CE3F44" w:rsidRDefault="00CE3F44" w:rsidP="003E233E">
      <w:pPr>
        <w:jc w:val="both"/>
        <w:rPr>
          <w:rFonts w:ascii="Arial" w:hAnsi="Arial" w:cs="Arial"/>
          <w:sz w:val="24"/>
          <w:szCs w:val="24"/>
        </w:rPr>
      </w:pPr>
    </w:p>
    <w:p w:rsidR="00CE3F44" w:rsidRPr="00CE3F44" w:rsidRDefault="00CE3F44" w:rsidP="003E233E">
      <w:pPr>
        <w:jc w:val="both"/>
        <w:rPr>
          <w:rFonts w:ascii="Arial" w:hAnsi="Arial" w:cs="Arial"/>
          <w:sz w:val="24"/>
          <w:szCs w:val="24"/>
        </w:rPr>
      </w:pPr>
    </w:p>
    <w:p w:rsidR="00CE3F44" w:rsidRPr="00CE3F44" w:rsidRDefault="00CE3F44" w:rsidP="003E233E">
      <w:pPr>
        <w:jc w:val="both"/>
        <w:rPr>
          <w:rFonts w:ascii="Arial" w:hAnsi="Arial" w:cs="Arial"/>
          <w:sz w:val="24"/>
          <w:szCs w:val="24"/>
        </w:rPr>
      </w:pP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  <w:r w:rsidRPr="00CE3F44">
        <w:rPr>
          <w:rFonts w:ascii="Arial" w:hAnsi="Arial" w:cs="Arial"/>
          <w:sz w:val="24"/>
          <w:szCs w:val="24"/>
        </w:rPr>
        <w:tab/>
      </w:r>
    </w:p>
    <w:sectPr w:rsidR="00CE3F44" w:rsidRPr="00CE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3"/>
    <w:rsid w:val="00092DFE"/>
    <w:rsid w:val="000A5D1C"/>
    <w:rsid w:val="003E233E"/>
    <w:rsid w:val="004C6F70"/>
    <w:rsid w:val="005F218B"/>
    <w:rsid w:val="006E4BD3"/>
    <w:rsid w:val="00932663"/>
    <w:rsid w:val="00CE3F44"/>
    <w:rsid w:val="00DF1511"/>
    <w:rsid w:val="00E10E73"/>
    <w:rsid w:val="00ED4768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C117"/>
  <w15:chartTrackingRefBased/>
  <w15:docId w15:val="{2A2DBF66-FB32-4911-86CD-A6C0948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2022-09-21T13:23:00Z</dcterms:created>
  <dcterms:modified xsi:type="dcterms:W3CDTF">2022-09-21T13:24:00Z</dcterms:modified>
</cp:coreProperties>
</file>