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094" w:type="dxa"/>
        <w:tblInd w:w="-1144" w:type="dxa"/>
        <w:tblCellMar>
          <w:top w:w="57" w:type="dxa"/>
          <w:left w:w="57" w:type="dxa"/>
          <w:bottom w:w="57" w:type="dxa"/>
          <w:right w:w="57" w:type="dxa"/>
        </w:tblCellMar>
        <w:tblLook w:val="04A0" w:firstRow="1" w:lastRow="0" w:firstColumn="1" w:lastColumn="0" w:noHBand="0" w:noVBand="1"/>
      </w:tblPr>
      <w:tblGrid>
        <w:gridCol w:w="430"/>
        <w:gridCol w:w="9872"/>
        <w:gridCol w:w="75"/>
        <w:gridCol w:w="3646"/>
        <w:gridCol w:w="71"/>
      </w:tblGrid>
      <w:tr w:rsidR="00340FAB" w:rsidRPr="00A26E0D" w14:paraId="7B5C42EF" w14:textId="77777777" w:rsidTr="00340FAB">
        <w:trPr>
          <w:trHeight w:val="300"/>
        </w:trPr>
        <w:tc>
          <w:tcPr>
            <w:tcW w:w="430" w:type="dxa"/>
            <w:tcBorders>
              <w:top w:val="single" w:sz="4" w:space="0" w:color="auto"/>
              <w:left w:val="single" w:sz="4" w:space="0" w:color="auto"/>
              <w:bottom w:val="single" w:sz="4" w:space="0" w:color="auto"/>
              <w:right w:val="single" w:sz="4" w:space="0" w:color="auto"/>
            </w:tcBorders>
            <w:shd w:val="clear" w:color="auto" w:fill="A6A6A6"/>
          </w:tcPr>
          <w:p w14:paraId="31A576FE" w14:textId="77777777" w:rsidR="00340FAB" w:rsidRPr="00A26E0D" w:rsidRDefault="00340FAB" w:rsidP="00551A04">
            <w:pPr>
              <w:spacing w:after="0" w:line="240" w:lineRule="auto"/>
              <w:jc w:val="center"/>
              <w:rPr>
                <w:rFonts w:ascii="Verdana" w:eastAsia="Times New Roman" w:hAnsi="Verdana" w:cs="Times New Roman"/>
                <w:b/>
                <w:bCs/>
                <w:sz w:val="20"/>
                <w:szCs w:val="20"/>
                <w:lang w:val="sr-Latn-ME" w:eastAsia="zh-TW"/>
              </w:rPr>
            </w:pPr>
          </w:p>
        </w:tc>
        <w:tc>
          <w:tcPr>
            <w:tcW w:w="13664" w:type="dxa"/>
            <w:gridSpan w:val="4"/>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bottom"/>
          </w:tcPr>
          <w:p w14:paraId="1750370A" w14:textId="5C688AE6" w:rsidR="00340FAB" w:rsidRPr="00A26E0D" w:rsidRDefault="00340FAB" w:rsidP="00551A04">
            <w:pPr>
              <w:spacing w:after="0" w:line="240" w:lineRule="auto"/>
              <w:jc w:val="center"/>
              <w:rPr>
                <w:rFonts w:ascii="Verdana" w:eastAsia="Times New Roman" w:hAnsi="Verdana" w:cs="Times New Roman"/>
                <w:b/>
                <w:bCs/>
                <w:sz w:val="20"/>
                <w:szCs w:val="20"/>
                <w:lang w:val="sr-Latn-ME" w:eastAsia="zh-TW"/>
              </w:rPr>
            </w:pPr>
            <w:r w:rsidRPr="00A26E0D">
              <w:rPr>
                <w:rFonts w:ascii="Verdana" w:eastAsia="Times New Roman" w:hAnsi="Verdana" w:cs="Times New Roman"/>
                <w:b/>
                <w:bCs/>
                <w:sz w:val="20"/>
                <w:szCs w:val="20"/>
                <w:lang w:val="sr-Latn-ME" w:eastAsia="zh-TW"/>
              </w:rPr>
              <w:t xml:space="preserve">Pitanja </w:t>
            </w:r>
            <w:r>
              <w:rPr>
                <w:rFonts w:ascii="Verdana" w:eastAsia="Times New Roman" w:hAnsi="Verdana" w:cs="Times New Roman"/>
                <w:b/>
                <w:bCs/>
                <w:sz w:val="20"/>
                <w:szCs w:val="20"/>
                <w:lang w:val="sr-Latn-ME" w:eastAsia="zh-TW"/>
              </w:rPr>
              <w:t>AUKCIJE</w:t>
            </w:r>
          </w:p>
        </w:tc>
      </w:tr>
      <w:tr w:rsidR="00340FAB" w:rsidRPr="00A26E0D" w14:paraId="28F31A85" w14:textId="77777777" w:rsidTr="00340FAB">
        <w:trPr>
          <w:trHeight w:val="300"/>
        </w:trPr>
        <w:tc>
          <w:tcPr>
            <w:tcW w:w="430" w:type="dxa"/>
            <w:tcBorders>
              <w:top w:val="single" w:sz="4" w:space="0" w:color="auto"/>
              <w:left w:val="single" w:sz="4" w:space="0" w:color="auto"/>
              <w:bottom w:val="single" w:sz="4" w:space="0" w:color="auto"/>
              <w:right w:val="single" w:sz="4" w:space="0" w:color="auto"/>
            </w:tcBorders>
            <w:shd w:val="clear" w:color="auto" w:fill="E8E8E8"/>
          </w:tcPr>
          <w:p w14:paraId="357C92ED" w14:textId="77777777" w:rsidR="00340FAB" w:rsidRPr="00A26E0D" w:rsidRDefault="00340FAB" w:rsidP="00551A04">
            <w:pPr>
              <w:spacing w:after="0" w:line="240" w:lineRule="auto"/>
              <w:rPr>
                <w:rFonts w:ascii="Verdana" w:eastAsia="Times New Roman" w:hAnsi="Verdana" w:cs="Times New Roman"/>
                <w:b/>
                <w:bCs/>
                <w:sz w:val="20"/>
                <w:szCs w:val="20"/>
                <w:lang w:val="sr-Latn-ME" w:eastAsia="zh-TW"/>
              </w:rPr>
            </w:pPr>
          </w:p>
        </w:tc>
        <w:tc>
          <w:tcPr>
            <w:tcW w:w="9872" w:type="dxa"/>
            <w:tcBorders>
              <w:top w:val="single" w:sz="4" w:space="0" w:color="auto"/>
              <w:left w:val="single" w:sz="4" w:space="0" w:color="auto"/>
              <w:bottom w:val="single" w:sz="4" w:space="0" w:color="auto"/>
              <w:right w:val="single" w:sz="4" w:space="0" w:color="auto"/>
            </w:tcBorders>
            <w:shd w:val="clear" w:color="auto" w:fill="E8E8E8"/>
            <w:tcMar>
              <w:top w:w="0" w:type="dxa"/>
              <w:left w:w="108" w:type="dxa"/>
              <w:bottom w:w="0" w:type="dxa"/>
              <w:right w:w="108" w:type="dxa"/>
            </w:tcMar>
            <w:vAlign w:val="bottom"/>
            <w:hideMark/>
          </w:tcPr>
          <w:p w14:paraId="1D80D5E5" w14:textId="33D2B528"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b/>
                <w:bCs/>
                <w:sz w:val="20"/>
                <w:szCs w:val="20"/>
                <w:lang w:val="sr-Latn-ME" w:eastAsia="zh-TW"/>
              </w:rPr>
              <w:t>Pitanje</w:t>
            </w:r>
          </w:p>
        </w:tc>
        <w:tc>
          <w:tcPr>
            <w:tcW w:w="3792" w:type="dxa"/>
            <w:gridSpan w:val="3"/>
            <w:tcBorders>
              <w:top w:val="single" w:sz="4" w:space="0" w:color="auto"/>
              <w:left w:val="single" w:sz="4" w:space="0" w:color="auto"/>
              <w:bottom w:val="single" w:sz="4" w:space="0" w:color="auto"/>
              <w:right w:val="single" w:sz="4" w:space="0" w:color="auto"/>
            </w:tcBorders>
            <w:shd w:val="clear" w:color="auto" w:fill="E8E8E8"/>
          </w:tcPr>
          <w:p w14:paraId="729A6A76" w14:textId="06CE621C" w:rsidR="00340FAB" w:rsidRPr="00A26E0D" w:rsidRDefault="00340FAB" w:rsidP="00551A04">
            <w:pPr>
              <w:spacing w:after="0" w:line="240" w:lineRule="auto"/>
              <w:rPr>
                <w:rFonts w:ascii="Verdana" w:eastAsia="Times New Roman" w:hAnsi="Verdana" w:cs="Times New Roman"/>
                <w:b/>
                <w:bCs/>
                <w:sz w:val="20"/>
                <w:szCs w:val="20"/>
                <w:lang w:val="sr-Latn-ME" w:eastAsia="zh-TW"/>
              </w:rPr>
            </w:pPr>
            <w:r>
              <w:rPr>
                <w:rFonts w:ascii="Verdana" w:eastAsia="Times New Roman" w:hAnsi="Verdana" w:cs="Times New Roman"/>
                <w:b/>
                <w:bCs/>
                <w:sz w:val="20"/>
                <w:szCs w:val="20"/>
                <w:lang w:val="sr-Latn-ME" w:eastAsia="zh-TW"/>
              </w:rPr>
              <w:t>O</w:t>
            </w:r>
            <w:r w:rsidRPr="00A26E0D">
              <w:rPr>
                <w:rFonts w:ascii="Verdana" w:eastAsia="Times New Roman" w:hAnsi="Verdana" w:cs="Times New Roman"/>
                <w:b/>
                <w:bCs/>
                <w:sz w:val="20"/>
                <w:szCs w:val="20"/>
                <w:lang w:val="sr-Latn-ME" w:eastAsia="zh-TW"/>
              </w:rPr>
              <w:t>dgovor</w:t>
            </w:r>
          </w:p>
        </w:tc>
      </w:tr>
      <w:tr w:rsidR="00340FAB" w:rsidRPr="00A26E0D" w14:paraId="66EBC7B3" w14:textId="77777777" w:rsidTr="00340FAB">
        <w:trPr>
          <w:trHeight w:val="737"/>
        </w:trPr>
        <w:tc>
          <w:tcPr>
            <w:tcW w:w="430" w:type="dxa"/>
            <w:tcBorders>
              <w:top w:val="single" w:sz="4" w:space="0" w:color="auto"/>
              <w:left w:val="single" w:sz="4" w:space="0" w:color="auto"/>
              <w:bottom w:val="single" w:sz="4" w:space="0" w:color="auto"/>
              <w:right w:val="single" w:sz="4" w:space="0" w:color="auto"/>
            </w:tcBorders>
          </w:tcPr>
          <w:p w14:paraId="0F1D88DF" w14:textId="209D8E59" w:rsidR="00340FAB" w:rsidRPr="00A26E0D" w:rsidRDefault="00340FAB" w:rsidP="00551A04">
            <w:pPr>
              <w:spacing w:after="0" w:line="240" w:lineRule="auto"/>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1</w:t>
            </w:r>
          </w:p>
        </w:tc>
        <w:tc>
          <w:tcPr>
            <w:tcW w:w="98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14D184B" w14:textId="071D6E4F"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Molimo vas da nam pojasnite da li je dozvoljeno da se instalira baterijski backup (BESS) kao ko-lokacija i da li to utiče na CfD pravila koja su navedena u tenderskoj dokumentaciji, naroćito u dijelu obračuna električne energije. BESS bi se koristila za skladištenje električne energije kada je referentna snaga negativna ili veoma niska ili kada nema PV proizvodnje.</w:t>
            </w:r>
          </w:p>
        </w:tc>
        <w:tc>
          <w:tcPr>
            <w:tcW w:w="3792" w:type="dxa"/>
            <w:gridSpan w:val="3"/>
            <w:tcBorders>
              <w:top w:val="single" w:sz="4" w:space="0" w:color="auto"/>
              <w:left w:val="single" w:sz="4" w:space="0" w:color="auto"/>
              <w:bottom w:val="single" w:sz="4" w:space="0" w:color="auto"/>
              <w:right w:val="single" w:sz="4" w:space="0" w:color="auto"/>
            </w:tcBorders>
            <w:shd w:val="clear" w:color="auto" w:fill="auto"/>
          </w:tcPr>
          <w:p w14:paraId="55A99CA8" w14:textId="77777777" w:rsidR="00340FAB" w:rsidRPr="00A26E0D" w:rsidRDefault="00340FAB" w:rsidP="00551A04">
            <w:pPr>
              <w:spacing w:after="0" w:line="240" w:lineRule="auto"/>
              <w:jc w:val="both"/>
              <w:rPr>
                <w:rFonts w:ascii="Verdana" w:eastAsia="Times New Roman" w:hAnsi="Verdana" w:cs="Times New Roman"/>
                <w:sz w:val="20"/>
                <w:szCs w:val="20"/>
                <w:lang w:val="sr-Latn-RS" w:eastAsia="zh-TW"/>
              </w:rPr>
            </w:pPr>
            <w:r w:rsidRPr="00A26E0D">
              <w:rPr>
                <w:rFonts w:ascii="Verdana" w:eastAsia="Times New Roman" w:hAnsi="Verdana" w:cs="Times New Roman"/>
                <w:sz w:val="20"/>
                <w:szCs w:val="20"/>
                <w:lang w:val="sr-Latn-ME" w:eastAsia="zh-TW"/>
              </w:rPr>
              <w:t xml:space="preserve">Dozvoljenost instaliranje BESS-a predmet je pravila o priključenju, ugovora i uslova datih od strane operatora prenosnog sistema. BESS je bez uticaja na CfD pravila iz Tenderske dokumentacije, jer se CfD odnosno tržišna premija isplaćuje samo za energiju  proizvedenu iz OIE elektrane. U slučaju instaliranja ko-lokacijskog BESS-a, proizvođač će biti dužan da obezbedi posebno, odvojeno merenje, </w:t>
            </w:r>
            <w:r w:rsidRPr="00A26E0D">
              <w:rPr>
                <w:rFonts w:ascii="Verdana" w:eastAsia="Times New Roman" w:hAnsi="Verdana" w:cs="Times New Roman"/>
                <w:sz w:val="20"/>
                <w:szCs w:val="20"/>
                <w:lang w:val="sr-Latn-RS" w:eastAsia="zh-TW"/>
              </w:rPr>
              <w:t>što će naknadno biti precizirano u Tenderskoj dokumentaciji, tj. Ugovoru o preuzimanju balansne odgovornosti iz Priloga 6</w:t>
            </w:r>
            <w:r w:rsidRPr="00A26E0D">
              <w:rPr>
                <w:rFonts w:ascii="Verdana" w:eastAsia="Times New Roman" w:hAnsi="Verdana" w:cs="Times New Roman"/>
                <w:sz w:val="20"/>
                <w:szCs w:val="20"/>
                <w:lang w:val="sr-Latn-ME" w:eastAsia="zh-TW"/>
              </w:rPr>
              <w:t xml:space="preserve">. </w:t>
            </w:r>
          </w:p>
        </w:tc>
      </w:tr>
      <w:tr w:rsidR="00340FAB" w:rsidRPr="00A26E0D" w14:paraId="73320A66" w14:textId="77777777" w:rsidTr="00340FAB">
        <w:trPr>
          <w:trHeight w:val="728"/>
        </w:trPr>
        <w:tc>
          <w:tcPr>
            <w:tcW w:w="430" w:type="dxa"/>
            <w:tcBorders>
              <w:top w:val="single" w:sz="4" w:space="0" w:color="auto"/>
              <w:left w:val="single" w:sz="4" w:space="0" w:color="auto"/>
              <w:bottom w:val="single" w:sz="4" w:space="0" w:color="auto"/>
              <w:right w:val="single" w:sz="4" w:space="0" w:color="auto"/>
            </w:tcBorders>
          </w:tcPr>
          <w:p w14:paraId="761A6485" w14:textId="576AC2B9" w:rsidR="00340FAB" w:rsidRPr="00A26E0D" w:rsidRDefault="00340FAB" w:rsidP="00551A04">
            <w:pPr>
              <w:spacing w:after="0" w:line="240" w:lineRule="auto"/>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2</w:t>
            </w:r>
          </w:p>
        </w:tc>
        <w:tc>
          <w:tcPr>
            <w:tcW w:w="98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E5902BA" w14:textId="7B188104"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Molimo vas da nam potvrdite da je kapacitet i ostala dokumentacija na koju se odnosi kapacitet (npr. Bankarska garancija, kapacitet elektrane i sl.) računata kao MWac odnosno odobrena priključna snaga na mrežu (naizmjenična).</w:t>
            </w:r>
          </w:p>
        </w:tc>
        <w:tc>
          <w:tcPr>
            <w:tcW w:w="3792" w:type="dxa"/>
            <w:gridSpan w:val="3"/>
            <w:tcBorders>
              <w:top w:val="single" w:sz="4" w:space="0" w:color="auto"/>
              <w:left w:val="single" w:sz="4" w:space="0" w:color="auto"/>
              <w:bottom w:val="single" w:sz="4" w:space="0" w:color="auto"/>
              <w:right w:val="single" w:sz="4" w:space="0" w:color="auto"/>
            </w:tcBorders>
            <w:shd w:val="clear" w:color="auto" w:fill="auto"/>
          </w:tcPr>
          <w:p w14:paraId="37CA9E92" w14:textId="77777777" w:rsidR="00340FAB" w:rsidRPr="00A26E0D" w:rsidRDefault="00340FAB" w:rsidP="00551A04">
            <w:pPr>
              <w:spacing w:after="0" w:line="240" w:lineRule="auto"/>
              <w:jc w:val="both"/>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Kapacitet elektrane odnosi se na instalisani kapacitet elektrane odobren od strane operatora sistema, izražen u MW.</w:t>
            </w:r>
          </w:p>
        </w:tc>
      </w:tr>
      <w:tr w:rsidR="00340FAB" w:rsidRPr="00A26E0D" w14:paraId="07E26AE9" w14:textId="77777777" w:rsidTr="00340FAB">
        <w:trPr>
          <w:trHeight w:val="511"/>
        </w:trPr>
        <w:tc>
          <w:tcPr>
            <w:tcW w:w="430" w:type="dxa"/>
            <w:tcBorders>
              <w:top w:val="single" w:sz="4" w:space="0" w:color="auto"/>
              <w:left w:val="single" w:sz="4" w:space="0" w:color="auto"/>
              <w:bottom w:val="single" w:sz="4" w:space="0" w:color="auto"/>
              <w:right w:val="single" w:sz="4" w:space="0" w:color="auto"/>
            </w:tcBorders>
          </w:tcPr>
          <w:p w14:paraId="2B008530" w14:textId="35BD1D9B" w:rsidR="00340FAB" w:rsidRPr="00A26E0D" w:rsidRDefault="00340FAB" w:rsidP="00551A04">
            <w:pPr>
              <w:spacing w:after="0" w:line="240" w:lineRule="auto"/>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3</w:t>
            </w:r>
          </w:p>
        </w:tc>
        <w:tc>
          <w:tcPr>
            <w:tcW w:w="9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C5D035" w14:textId="6D8F3C13"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Molimo vas da pojasnite kada se primjenjuju pravila u vezi s dobijanjem građevinske dozvole i vremenski okvir za postizanje COD-a (komercijalno operativnog datuma). Konkretno, koliko godina imamo za postizanje COD-a ako građevinsku dozvolu dobijemo nakon podnošenja ponude, ali prije potpisivanja CfD ugovora?</w:t>
            </w:r>
            <w:r w:rsidRPr="00A26E0D">
              <w:rPr>
                <w:rFonts w:ascii="Verdana" w:eastAsia="Times New Roman" w:hAnsi="Verdana" w:cs="Times New Roman"/>
                <w:sz w:val="20"/>
                <w:szCs w:val="20"/>
                <w:lang w:val="sr-Latn-ME" w:eastAsia="zh-TW"/>
              </w:rPr>
              <w:br/>
              <w:t>Osim toga, molimo vas da pojasnite da li se građevinska dozvola odnosi samo na solarnu elektranu ili uključuje i dalekovod odnosnoi tačku priključka.</w:t>
            </w:r>
          </w:p>
        </w:tc>
        <w:tc>
          <w:tcPr>
            <w:tcW w:w="3792" w:type="dxa"/>
            <w:gridSpan w:val="3"/>
            <w:tcBorders>
              <w:top w:val="single" w:sz="4" w:space="0" w:color="auto"/>
              <w:left w:val="single" w:sz="4" w:space="0" w:color="auto"/>
              <w:bottom w:val="single" w:sz="4" w:space="0" w:color="auto"/>
              <w:right w:val="single" w:sz="4" w:space="0" w:color="auto"/>
            </w:tcBorders>
          </w:tcPr>
          <w:p w14:paraId="57301D2E" w14:textId="77777777" w:rsidR="00BA019E" w:rsidRDefault="00340FAB" w:rsidP="00551A04">
            <w:pPr>
              <w:spacing w:after="0" w:line="240" w:lineRule="auto"/>
              <w:jc w:val="both"/>
              <w:rPr>
                <w:rFonts w:ascii="Verdana" w:eastAsia="Times New Roman" w:hAnsi="Verdana" w:cs="Times New Roman"/>
                <w:sz w:val="20"/>
                <w:szCs w:val="20"/>
                <w:lang w:eastAsia="zh-TW"/>
              </w:rPr>
            </w:pPr>
            <w:r w:rsidRPr="00A26E0D">
              <w:rPr>
                <w:rFonts w:ascii="Verdana" w:eastAsia="Times New Roman" w:hAnsi="Verdana" w:cs="Times New Roman"/>
                <w:sz w:val="20"/>
                <w:szCs w:val="20"/>
                <w:lang w:val="sr-Latn-ME" w:eastAsia="zh-TW"/>
              </w:rPr>
              <w:t xml:space="preserve">Članom 41. Zakona o korišćenju energije iz obnovljivih izvora Crne Gore detaljno su regulisani uslovi trajanja i produženja privremenog povlašćenog statusa, odnosno rokovi za postizanje COD-a zavisno od dokumentacije na osnovu koje je stečen status privremenog povlašćenog proizvođača (dokumentacije podnete uz ponudu na aukciji). </w:t>
            </w:r>
            <w:r w:rsidRPr="00A26E0D">
              <w:rPr>
                <w:rFonts w:ascii="Verdana" w:eastAsia="Times New Roman" w:hAnsi="Verdana" w:cs="Times New Roman"/>
                <w:sz w:val="20"/>
                <w:szCs w:val="20"/>
                <w:lang w:eastAsia="zh-TW"/>
              </w:rPr>
              <w:t xml:space="preserve">Period za dobijanje građevinske dzvole je dvije godine od sticanja privremenog </w:t>
            </w:r>
            <w:r w:rsidRPr="00A26E0D">
              <w:rPr>
                <w:rFonts w:ascii="Verdana" w:eastAsia="Times New Roman" w:hAnsi="Verdana" w:cs="Times New Roman"/>
                <w:sz w:val="20"/>
                <w:szCs w:val="20"/>
                <w:lang w:eastAsia="zh-TW"/>
              </w:rPr>
              <w:lastRenderedPageBreak/>
              <w:t xml:space="preserve">povlašćenog statusa (ne od potpisivanja CfD ugovora), ali se takav status može produžiti za još tri godine na zahtev proizvođača, pa samim tim period od pet godina je maksimalam period za završetak izgradnje elektrane. </w:t>
            </w:r>
          </w:p>
          <w:p w14:paraId="7C4762AD" w14:textId="391E9CEC" w:rsidR="00BA019E" w:rsidRDefault="00BA019E" w:rsidP="00551A04">
            <w:pPr>
              <w:spacing w:after="0" w:line="240" w:lineRule="auto"/>
              <w:jc w:val="both"/>
              <w:rPr>
                <w:rFonts w:ascii="Verdana" w:eastAsia="Times New Roman" w:hAnsi="Verdana" w:cs="Times New Roman"/>
                <w:sz w:val="20"/>
                <w:szCs w:val="20"/>
                <w:lang w:eastAsia="zh-TW"/>
              </w:rPr>
            </w:pPr>
          </w:p>
          <w:p w14:paraId="6676CD18" w14:textId="492BEBF0" w:rsidR="00BA019E" w:rsidRDefault="00BA019E" w:rsidP="00DD02BE">
            <w:pPr>
              <w:spacing w:after="0" w:line="240" w:lineRule="auto"/>
              <w:jc w:val="right"/>
              <w:rPr>
                <w:rFonts w:ascii="Verdana" w:eastAsia="Times New Roman" w:hAnsi="Verdana" w:cs="Times New Roman"/>
                <w:sz w:val="20"/>
                <w:szCs w:val="20"/>
                <w:lang w:eastAsia="zh-TW"/>
              </w:rPr>
            </w:pPr>
            <w:r>
              <w:rPr>
                <w:rFonts w:ascii="Verdana" w:eastAsia="Times New Roman" w:hAnsi="Verdana" w:cs="Times New Roman"/>
                <w:sz w:val="20"/>
                <w:szCs w:val="20"/>
                <w:lang w:eastAsia="zh-TW"/>
              </w:rPr>
              <w:t>Izuzeto od navedenog, ukoliko su UTU izdati na osnovu člana 218c Zakona o uređenju prostora i izgradnji objekata, dobijanje građevinske dozvole je ograničeno na period od 2 godine od stupanja na snagu Zakona o izgradnji, odnosno do 14.</w:t>
            </w:r>
            <w:proofErr w:type="gramStart"/>
            <w:r>
              <w:rPr>
                <w:rFonts w:ascii="Verdana" w:eastAsia="Times New Roman" w:hAnsi="Verdana" w:cs="Times New Roman"/>
                <w:sz w:val="20"/>
                <w:szCs w:val="20"/>
                <w:lang w:eastAsia="zh-TW"/>
              </w:rPr>
              <w:t>08.2027.godine</w:t>
            </w:r>
            <w:proofErr w:type="gramEnd"/>
            <w:r>
              <w:rPr>
                <w:rFonts w:ascii="Verdana" w:eastAsia="Times New Roman" w:hAnsi="Verdana" w:cs="Times New Roman"/>
                <w:sz w:val="20"/>
                <w:szCs w:val="20"/>
                <w:lang w:eastAsia="zh-TW"/>
              </w:rPr>
              <w:t>.</w:t>
            </w:r>
          </w:p>
          <w:p w14:paraId="249311CD" w14:textId="77777777" w:rsidR="00BA019E" w:rsidRDefault="00BA019E" w:rsidP="00551A04">
            <w:pPr>
              <w:spacing w:after="0" w:line="240" w:lineRule="auto"/>
              <w:jc w:val="both"/>
              <w:rPr>
                <w:rFonts w:ascii="Verdana" w:eastAsia="Times New Roman" w:hAnsi="Verdana" w:cs="Times New Roman"/>
                <w:sz w:val="20"/>
                <w:szCs w:val="20"/>
                <w:lang w:eastAsia="zh-TW"/>
              </w:rPr>
            </w:pPr>
          </w:p>
          <w:p w14:paraId="7CD1637B" w14:textId="6BDC44C6" w:rsidR="00340FAB" w:rsidRPr="00A26E0D" w:rsidRDefault="00340FAB" w:rsidP="00551A04">
            <w:pPr>
              <w:spacing w:after="0" w:line="240" w:lineRule="auto"/>
              <w:jc w:val="both"/>
              <w:rPr>
                <w:rFonts w:ascii="Verdana" w:eastAsia="Times New Roman" w:hAnsi="Verdana" w:cs="Times New Roman"/>
                <w:sz w:val="20"/>
                <w:szCs w:val="20"/>
                <w:lang w:eastAsia="zh-TW"/>
              </w:rPr>
            </w:pPr>
            <w:r w:rsidRPr="00A26E0D">
              <w:rPr>
                <w:rFonts w:ascii="Verdana" w:eastAsia="Times New Roman" w:hAnsi="Verdana" w:cs="Times New Roman"/>
                <w:sz w:val="20"/>
                <w:szCs w:val="20"/>
                <w:lang w:eastAsia="zh-TW"/>
              </w:rPr>
              <w:t>Ukoliko je u trenutku sticanja privremenog povlašćenog statusa učesnik aukcije već pribavio građevinsko dozvolu za elektranu, privremeni povlašćeni status i rok za završetak projekta iznosi tri godine. Ako privremeni povlašćeni proizvođač ne pribavi građevinsku dozvolu u roku iz člana 41. Zakona, Ministarstvo će rješenjem u cjelosti ukinuti rješenje o davanju prava na tržišnu premiju i sticanju statusa privremenog povlašćenog proizvođača.</w:t>
            </w:r>
          </w:p>
        </w:tc>
      </w:tr>
      <w:tr w:rsidR="00340FAB" w:rsidRPr="00A26E0D" w14:paraId="34D16267" w14:textId="77777777" w:rsidTr="00340FAB">
        <w:trPr>
          <w:trHeight w:val="728"/>
        </w:trPr>
        <w:tc>
          <w:tcPr>
            <w:tcW w:w="430" w:type="dxa"/>
            <w:tcBorders>
              <w:top w:val="single" w:sz="4" w:space="0" w:color="auto"/>
              <w:left w:val="single" w:sz="4" w:space="0" w:color="auto"/>
              <w:bottom w:val="single" w:sz="4" w:space="0" w:color="auto"/>
              <w:right w:val="single" w:sz="4" w:space="0" w:color="auto"/>
            </w:tcBorders>
          </w:tcPr>
          <w:p w14:paraId="4836C885" w14:textId="33259A74" w:rsidR="00340FAB" w:rsidRPr="00A26E0D" w:rsidRDefault="00340FAB" w:rsidP="00551A04">
            <w:pPr>
              <w:spacing w:after="0" w:line="240" w:lineRule="auto"/>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lastRenderedPageBreak/>
              <w:t>4</w:t>
            </w:r>
          </w:p>
        </w:tc>
        <w:tc>
          <w:tcPr>
            <w:tcW w:w="98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42C1EA0" w14:textId="4E0245A6"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Molimo vas da pojasnite kako će se primjenjivati prelazni aranžmani balansiranja ako se projekat prijavljuje sa djelimičnim kapacitetom. Da li bi bilo moguće da prelazni aranžmani balansiranja pokrivaju dijelove projekta koji nisu uključeni u CfD? Ako ne, kako bi BRP mogao razlikovati proizvodnju?</w:t>
            </w:r>
          </w:p>
        </w:tc>
        <w:tc>
          <w:tcPr>
            <w:tcW w:w="3792" w:type="dxa"/>
            <w:gridSpan w:val="3"/>
            <w:tcBorders>
              <w:top w:val="single" w:sz="4" w:space="0" w:color="auto"/>
              <w:left w:val="single" w:sz="4" w:space="0" w:color="auto"/>
              <w:bottom w:val="single" w:sz="4" w:space="0" w:color="auto"/>
              <w:right w:val="single" w:sz="4" w:space="0" w:color="auto"/>
            </w:tcBorders>
            <w:shd w:val="clear" w:color="auto" w:fill="auto"/>
          </w:tcPr>
          <w:p w14:paraId="7B9F9984" w14:textId="77777777" w:rsidR="00340FAB" w:rsidRPr="00A26E0D" w:rsidRDefault="00340FAB" w:rsidP="00551A04">
            <w:pPr>
              <w:spacing w:after="0" w:line="240" w:lineRule="auto"/>
              <w:jc w:val="both"/>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 xml:space="preserve">Prelazni aranžman za balansiranje odnosi se isključivo na dio kapaciteta elektrane za koji je stečeno pravo na tržišnu premiju. Proizvodnja se utvrđuje od strane BRP na osnovu Plana proizvodnje koji proizvođać </w:t>
            </w:r>
            <w:r w:rsidRPr="00A26E0D">
              <w:rPr>
                <w:rFonts w:ascii="Verdana" w:eastAsia="Times New Roman" w:hAnsi="Verdana" w:cs="Times New Roman"/>
                <w:sz w:val="20"/>
                <w:szCs w:val="20"/>
                <w:lang w:val="sr-Latn-ME" w:eastAsia="zh-TW"/>
              </w:rPr>
              <w:lastRenderedPageBreak/>
              <w:t xml:space="preserve">dostavlja na osnovu ugovora o preuzimanju balansne odgovornosti iz Prilog 6 Tenderske dokumentacije, a u slučaju da se tržišna premija stekla samo za dio kapaciteta elektrane, za obračun proizvodnje i naknade za balansiranje primenjivaće se pro-rata princip kao što je predviđen za isplatu tržišne premije u Ugovoru o tržišnoj premiji. Ovo će biti jasnije precizirano u Tenderskoj dokumentaciji, tj. Ugovoru o preuzimanju balansne odgovornosti. </w:t>
            </w:r>
          </w:p>
        </w:tc>
      </w:tr>
      <w:tr w:rsidR="00340FAB" w:rsidRPr="00A26E0D" w14:paraId="6C27A577" w14:textId="77777777" w:rsidTr="00340FAB">
        <w:trPr>
          <w:trHeight w:val="512"/>
        </w:trPr>
        <w:tc>
          <w:tcPr>
            <w:tcW w:w="430" w:type="dxa"/>
            <w:tcBorders>
              <w:top w:val="single" w:sz="4" w:space="0" w:color="auto"/>
              <w:left w:val="single" w:sz="4" w:space="0" w:color="auto"/>
              <w:bottom w:val="single" w:sz="4" w:space="0" w:color="auto"/>
              <w:right w:val="single" w:sz="4" w:space="0" w:color="auto"/>
            </w:tcBorders>
          </w:tcPr>
          <w:p w14:paraId="32CEE3C1" w14:textId="44A31122" w:rsidR="00340FAB" w:rsidRPr="00A26E0D" w:rsidRDefault="00340FAB" w:rsidP="00551A04">
            <w:pPr>
              <w:spacing w:after="0" w:line="240" w:lineRule="auto"/>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lastRenderedPageBreak/>
              <w:t>5</w:t>
            </w:r>
          </w:p>
        </w:tc>
        <w:tc>
          <w:tcPr>
            <w:tcW w:w="9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8D039" w14:textId="78B780A3"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Molimo vas da pojasnite da li je dozvoljeno prenijeti CfD ugovor na drugi projekat na drugoj lokaciji, ako projekat i investitor ispunjavaju sve uslove?</w:t>
            </w:r>
          </w:p>
        </w:tc>
        <w:tc>
          <w:tcPr>
            <w:tcW w:w="3792" w:type="dxa"/>
            <w:gridSpan w:val="3"/>
            <w:tcBorders>
              <w:top w:val="single" w:sz="4" w:space="0" w:color="auto"/>
              <w:left w:val="single" w:sz="4" w:space="0" w:color="auto"/>
              <w:bottom w:val="single" w:sz="4" w:space="0" w:color="auto"/>
              <w:right w:val="single" w:sz="4" w:space="0" w:color="auto"/>
            </w:tcBorders>
          </w:tcPr>
          <w:p w14:paraId="50190D7F" w14:textId="77777777" w:rsidR="00340FAB" w:rsidRPr="00A26E0D" w:rsidRDefault="00340FAB" w:rsidP="00551A04">
            <w:pPr>
              <w:spacing w:after="0" w:line="240" w:lineRule="auto"/>
              <w:jc w:val="both"/>
              <w:rPr>
                <w:rFonts w:ascii="Verdana" w:eastAsia="Times New Roman" w:hAnsi="Verdana" w:cs="Times New Roman"/>
                <w:sz w:val="20"/>
                <w:szCs w:val="20"/>
                <w:lang w:val="sr-Latn-RS" w:eastAsia="zh-TW"/>
              </w:rPr>
            </w:pPr>
            <w:r w:rsidRPr="00A26E0D">
              <w:rPr>
                <w:rFonts w:ascii="Verdana" w:eastAsia="Times New Roman" w:hAnsi="Verdana" w:cs="Times New Roman"/>
                <w:sz w:val="20"/>
                <w:szCs w:val="20"/>
                <w:lang w:val="sr-Latn-ME" w:eastAsia="zh-TW"/>
              </w:rPr>
              <w:t xml:space="preserve">Ne. CfD ugovor se zaključuje za konkretni projekat za koji je u postupku aukcije podneta ponuda i za koji je stečeno pravo na tržišnu premiju i (privremeni) povlašćeni status. U određenim slučajevima predviđenim članom 44. Zakona o korišćenju energije iz obnovljivih izvora i dijelom 4. Uputstva za ponuđače Tenderske dokumentacije, povlašćeni status, odnosno privremeni status može se prenijeti na drugo pravno lice, ali ne i na drugi projekat. </w:t>
            </w:r>
          </w:p>
        </w:tc>
      </w:tr>
      <w:tr w:rsidR="00340FAB" w:rsidRPr="00A26E0D" w14:paraId="25D62E9D" w14:textId="77777777" w:rsidTr="00340FAB">
        <w:trPr>
          <w:trHeight w:val="458"/>
        </w:trPr>
        <w:tc>
          <w:tcPr>
            <w:tcW w:w="430" w:type="dxa"/>
            <w:tcBorders>
              <w:top w:val="single" w:sz="4" w:space="0" w:color="auto"/>
              <w:left w:val="single" w:sz="4" w:space="0" w:color="auto"/>
              <w:bottom w:val="single" w:sz="4" w:space="0" w:color="auto"/>
              <w:right w:val="single" w:sz="4" w:space="0" w:color="auto"/>
            </w:tcBorders>
          </w:tcPr>
          <w:p w14:paraId="27F458BC" w14:textId="3ED519A5" w:rsidR="00340FAB" w:rsidRPr="00A26E0D" w:rsidRDefault="00340FAB" w:rsidP="00551A04">
            <w:pPr>
              <w:spacing w:after="0" w:line="240" w:lineRule="auto"/>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6</w:t>
            </w:r>
          </w:p>
        </w:tc>
        <w:tc>
          <w:tcPr>
            <w:tcW w:w="9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3A863" w14:textId="46042460"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Molimo vas da nam pojasnite da li iznos bankarske garancije za ozbiljnost ponude može biti viši od iznos 20kEUR/MW?</w:t>
            </w:r>
          </w:p>
        </w:tc>
        <w:tc>
          <w:tcPr>
            <w:tcW w:w="3792" w:type="dxa"/>
            <w:gridSpan w:val="3"/>
            <w:tcBorders>
              <w:top w:val="single" w:sz="4" w:space="0" w:color="auto"/>
              <w:left w:val="single" w:sz="4" w:space="0" w:color="auto"/>
              <w:bottom w:val="single" w:sz="4" w:space="0" w:color="auto"/>
              <w:right w:val="single" w:sz="4" w:space="0" w:color="auto"/>
            </w:tcBorders>
          </w:tcPr>
          <w:p w14:paraId="4F5FB601" w14:textId="77777777" w:rsidR="00340FAB" w:rsidRPr="00A26E0D" w:rsidRDefault="00340FAB" w:rsidP="00551A04">
            <w:pPr>
              <w:spacing w:after="0" w:line="240" w:lineRule="auto"/>
              <w:jc w:val="both"/>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 xml:space="preserve">Iznos bankarske garancije za ozbiljnost ponude određen je u fiksnom iznosu od 20,000 EUR po MW kapaciteta za koju je podnijeta ponuda u aukciji. Ukoliko iz nekog razloga ponuđač obezbijedi veći iznos garancije, takva garancija će biti prihvaćena, ali će se za potrebe </w:t>
            </w:r>
            <w:r w:rsidRPr="00A26E0D">
              <w:rPr>
                <w:rFonts w:ascii="Verdana" w:eastAsia="Times New Roman" w:hAnsi="Verdana" w:cs="Times New Roman"/>
                <w:sz w:val="20"/>
                <w:szCs w:val="20"/>
                <w:lang w:val="sr-Latn-ME" w:eastAsia="zh-TW"/>
              </w:rPr>
              <w:lastRenderedPageBreak/>
              <w:t>eventualne naplate po garanciji, maksimalnim dozvoljenim iznosom smatrati iznos od 20,000 EUR po MW kapaciteta za koju je podnijeta ponuda u aukciji.</w:t>
            </w:r>
          </w:p>
        </w:tc>
      </w:tr>
      <w:tr w:rsidR="00340FAB" w:rsidRPr="00A26E0D" w14:paraId="02190F07" w14:textId="77777777" w:rsidTr="00340FAB">
        <w:trPr>
          <w:trHeight w:val="422"/>
        </w:trPr>
        <w:tc>
          <w:tcPr>
            <w:tcW w:w="430" w:type="dxa"/>
            <w:tcBorders>
              <w:top w:val="single" w:sz="4" w:space="0" w:color="auto"/>
              <w:left w:val="single" w:sz="4" w:space="0" w:color="auto"/>
              <w:bottom w:val="single" w:sz="4" w:space="0" w:color="auto"/>
              <w:right w:val="single" w:sz="4" w:space="0" w:color="auto"/>
            </w:tcBorders>
          </w:tcPr>
          <w:p w14:paraId="773649DB" w14:textId="1045B60C" w:rsidR="00340FAB" w:rsidRPr="00A26E0D" w:rsidRDefault="00340FAB" w:rsidP="00551A04">
            <w:pPr>
              <w:spacing w:after="0" w:line="240" w:lineRule="auto"/>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lastRenderedPageBreak/>
              <w:t>7</w:t>
            </w:r>
          </w:p>
        </w:tc>
        <w:tc>
          <w:tcPr>
            <w:tcW w:w="9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C7063E" w14:textId="63FCE050"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Molimo vas da pojasnite koje su licence (ili drugo) potrebne za pokretanje CfD poravnanja.</w:t>
            </w:r>
          </w:p>
        </w:tc>
        <w:tc>
          <w:tcPr>
            <w:tcW w:w="3792" w:type="dxa"/>
            <w:gridSpan w:val="3"/>
            <w:tcBorders>
              <w:top w:val="single" w:sz="4" w:space="0" w:color="auto"/>
              <w:left w:val="single" w:sz="4" w:space="0" w:color="auto"/>
              <w:bottom w:val="single" w:sz="4" w:space="0" w:color="auto"/>
              <w:right w:val="single" w:sz="4" w:space="0" w:color="auto"/>
            </w:tcBorders>
          </w:tcPr>
          <w:p w14:paraId="02473DC3" w14:textId="77777777" w:rsidR="00340FAB" w:rsidRPr="00A26E0D" w:rsidRDefault="00340FAB" w:rsidP="00551A04">
            <w:pPr>
              <w:spacing w:after="0" w:line="240" w:lineRule="auto"/>
              <w:jc w:val="both"/>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Ukoliko se pitanje odnosi na primenu CfD mehanizma, CfD tj. isplata tržišne premije ili negativne tržišne premije primenjuje se (i) istekom prelaznog perioda iz člana 13. Zakona o korišćenju energije iz obnovljivih izvora, i (ii) sticanjem povlašćenog statusa od strane privremenog povlašćenog proizvođača. Status povlašćenog proizvođača stiče se na osnovu uslova iz člana 43. Zakona o korišćenju energije iz obnovljivih izvora, što uključuje i pribavljanje licence za proizvodnju električne energije. Molimo vas da precizirate pitanje, ukoliko je potrebno.</w:t>
            </w:r>
          </w:p>
        </w:tc>
      </w:tr>
      <w:tr w:rsidR="00340FAB" w:rsidRPr="00A26E0D" w14:paraId="457CE776" w14:textId="77777777" w:rsidTr="00340FAB">
        <w:trPr>
          <w:trHeight w:val="728"/>
        </w:trPr>
        <w:tc>
          <w:tcPr>
            <w:tcW w:w="430" w:type="dxa"/>
            <w:tcBorders>
              <w:top w:val="single" w:sz="4" w:space="0" w:color="auto"/>
              <w:left w:val="single" w:sz="4" w:space="0" w:color="auto"/>
              <w:bottom w:val="single" w:sz="4" w:space="0" w:color="auto"/>
              <w:right w:val="single" w:sz="4" w:space="0" w:color="auto"/>
            </w:tcBorders>
          </w:tcPr>
          <w:p w14:paraId="6ADDD9A8" w14:textId="5D659B70" w:rsidR="00340FAB" w:rsidRPr="00A26E0D" w:rsidRDefault="00340FAB" w:rsidP="00551A04">
            <w:pPr>
              <w:spacing w:after="0" w:line="240" w:lineRule="auto"/>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8</w:t>
            </w:r>
          </w:p>
        </w:tc>
        <w:tc>
          <w:tcPr>
            <w:tcW w:w="9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220F7" w14:textId="78BC4CDE"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U vezi sa posljednjim stavom u okviru forme bankarske garancije tj. Jedinstvenim pravilima za garancije na zahtjev - URDG 458, da li je moguće izmijeniti formulaciju garancije ili izdati kontragaranciju na URDG 758? URDG 758 je trenutna verzija dok je URDG 458 zastarela.</w:t>
            </w:r>
          </w:p>
        </w:tc>
        <w:tc>
          <w:tcPr>
            <w:tcW w:w="3792" w:type="dxa"/>
            <w:gridSpan w:val="3"/>
            <w:tcBorders>
              <w:top w:val="single" w:sz="4" w:space="0" w:color="auto"/>
              <w:left w:val="single" w:sz="4" w:space="0" w:color="auto"/>
              <w:bottom w:val="single" w:sz="4" w:space="0" w:color="auto"/>
              <w:right w:val="single" w:sz="4" w:space="0" w:color="auto"/>
            </w:tcBorders>
          </w:tcPr>
          <w:p w14:paraId="4D976EA7" w14:textId="77777777" w:rsidR="00340FAB" w:rsidRPr="00A26E0D" w:rsidRDefault="00340FAB" w:rsidP="00551A04">
            <w:pPr>
              <w:spacing w:after="0" w:line="240" w:lineRule="auto"/>
              <w:jc w:val="both"/>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 xml:space="preserve">Potvrđujemo da se na bankarske garancije iz Priloga 2 i Priloga 3 Tenderske dokumentacije primenjuju Jedinstvena pravila za garancije na zahtev - URDG 758. Formu bankarske garancije za ozbiljnost ponude iz Priloga 2 Tenderske dokumentacije možete izmeniti pre izdavanja tako da se na nju primenjuju URDG 758. Ministarstvo će naknadno izmeniti obrazac bankarskih garancija kroz izmenu Tenderske dokumentacije, </w:t>
            </w:r>
            <w:r w:rsidRPr="00A26E0D">
              <w:rPr>
                <w:rFonts w:ascii="Verdana" w:eastAsia="Times New Roman" w:hAnsi="Verdana" w:cs="Times New Roman"/>
                <w:sz w:val="20"/>
                <w:szCs w:val="20"/>
                <w:lang w:val="sr-Latn-ME" w:eastAsia="zh-TW"/>
              </w:rPr>
              <w:lastRenderedPageBreak/>
              <w:t>prije isteka roka za podnošenje ponuda.</w:t>
            </w:r>
          </w:p>
        </w:tc>
      </w:tr>
      <w:tr w:rsidR="00340FAB" w:rsidRPr="00A26E0D" w14:paraId="0CF9438C" w14:textId="77777777" w:rsidTr="00340FAB">
        <w:trPr>
          <w:trHeight w:val="1052"/>
        </w:trPr>
        <w:tc>
          <w:tcPr>
            <w:tcW w:w="430" w:type="dxa"/>
            <w:tcBorders>
              <w:top w:val="single" w:sz="4" w:space="0" w:color="auto"/>
              <w:left w:val="single" w:sz="4" w:space="0" w:color="auto"/>
              <w:bottom w:val="single" w:sz="4" w:space="0" w:color="auto"/>
              <w:right w:val="single" w:sz="4" w:space="0" w:color="auto"/>
            </w:tcBorders>
          </w:tcPr>
          <w:p w14:paraId="374C347B" w14:textId="1E08F08E" w:rsidR="00340FAB" w:rsidRPr="00A26E0D" w:rsidRDefault="00340FAB" w:rsidP="00551A04">
            <w:pPr>
              <w:spacing w:after="0" w:line="240" w:lineRule="auto"/>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lastRenderedPageBreak/>
              <w:t>9</w:t>
            </w:r>
          </w:p>
        </w:tc>
        <w:tc>
          <w:tcPr>
            <w:tcW w:w="9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C8659E" w14:textId="5BF3E95B"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Koje su posljedice ako se projekat ne realizuje u predviđenom roku, tj. ako se relevantne dozvole/licence/statusi ne dobiju u datom roku (uključujući, bez ograničenja u smislu raskida ugovora o tržišnoj premiji, plaćanja naknade za raskid, nemogućnosti ponovnog konkurisanja za CfD, gubitka garancija)? Pogledati član 32. Ugovora o prelaznoj tržišnoj premiji i član 33. Ugovora o tržišnoj premiji i član 1.10. Uputstva za tender.</w:t>
            </w:r>
          </w:p>
        </w:tc>
        <w:tc>
          <w:tcPr>
            <w:tcW w:w="3792" w:type="dxa"/>
            <w:gridSpan w:val="3"/>
            <w:tcBorders>
              <w:top w:val="single" w:sz="4" w:space="0" w:color="auto"/>
              <w:left w:val="single" w:sz="4" w:space="0" w:color="auto"/>
              <w:bottom w:val="single" w:sz="4" w:space="0" w:color="auto"/>
              <w:right w:val="single" w:sz="4" w:space="0" w:color="auto"/>
            </w:tcBorders>
          </w:tcPr>
          <w:p w14:paraId="19EF50BE" w14:textId="77777777" w:rsidR="00340FAB" w:rsidRPr="00A26E0D" w:rsidRDefault="00340FAB" w:rsidP="00551A04">
            <w:pPr>
              <w:spacing w:after="0" w:line="240" w:lineRule="auto"/>
              <w:jc w:val="both"/>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Ukoliko se projekat ne realizuje u zakonskom roku, tj. ako se povlašćeni status ne stekne u roku predviđenom članom 41. Zakona o korišćenju energije iz obnovljivih izvora, proizvođaču se ukida status privremenog povlašćenog proizvođača, na osnovu čega se raskidaju Ugovor o tržišnoj premiji i (ako je primenjivo) Ugovor o preuzimanju balansne odgovornosti (ukoliko zajmodavci nijesu imenovali substituta u skladu sa Ugovorom o ustupanju) i naplaćuje bankarska garancija za završetak projekta, data u skladu sa Prilogom 3 Tenderske dokumentacije. Za ostale posledice ovog scenarija, molimo vas pogledajte Zakon o korišćenju energije iz obnovljivih izvora i Tendersku dokumentaciju.</w:t>
            </w:r>
          </w:p>
        </w:tc>
      </w:tr>
      <w:tr w:rsidR="00340FAB" w:rsidRPr="00A26E0D" w14:paraId="61D4DD29" w14:textId="77777777" w:rsidTr="00340FAB">
        <w:trPr>
          <w:trHeight w:val="458"/>
        </w:trPr>
        <w:tc>
          <w:tcPr>
            <w:tcW w:w="430" w:type="dxa"/>
            <w:tcBorders>
              <w:top w:val="single" w:sz="4" w:space="0" w:color="auto"/>
              <w:left w:val="single" w:sz="4" w:space="0" w:color="auto"/>
              <w:bottom w:val="single" w:sz="4" w:space="0" w:color="auto"/>
              <w:right w:val="single" w:sz="4" w:space="0" w:color="auto"/>
            </w:tcBorders>
          </w:tcPr>
          <w:p w14:paraId="12728D59" w14:textId="42507A4B" w:rsidR="00340FAB" w:rsidRPr="00A26E0D" w:rsidRDefault="00340FAB" w:rsidP="00551A04">
            <w:pPr>
              <w:spacing w:after="0" w:line="240" w:lineRule="auto"/>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10</w:t>
            </w:r>
          </w:p>
        </w:tc>
        <w:tc>
          <w:tcPr>
            <w:tcW w:w="98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1A10004" w14:textId="01862628"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Koja je razlika između proizvedene i registrovane električne energije (jer se obje izražavaju u MWh - dakle mjere i obje mjeri CGES)?</w:t>
            </w:r>
          </w:p>
        </w:tc>
        <w:tc>
          <w:tcPr>
            <w:tcW w:w="3792" w:type="dxa"/>
            <w:gridSpan w:val="3"/>
            <w:tcBorders>
              <w:top w:val="single" w:sz="4" w:space="0" w:color="auto"/>
              <w:left w:val="single" w:sz="4" w:space="0" w:color="auto"/>
              <w:bottom w:val="single" w:sz="4" w:space="0" w:color="auto"/>
              <w:right w:val="single" w:sz="4" w:space="0" w:color="auto"/>
            </w:tcBorders>
            <w:shd w:val="clear" w:color="auto" w:fill="auto"/>
          </w:tcPr>
          <w:p w14:paraId="288A6F19" w14:textId="77777777" w:rsidR="00340FAB" w:rsidRPr="00A26E0D" w:rsidRDefault="00340FAB" w:rsidP="00551A04">
            <w:pPr>
              <w:spacing w:after="0" w:line="240" w:lineRule="auto"/>
              <w:jc w:val="both"/>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Razlika je samo u definisanim terminima iz člana 1. Ugovora o tržišnoj premiji i člana 1. Ugovora o tržišnoj premiji (period tržišne premije), ali suštinski predstavljaju istu količinu (MWh) energije na način što proizvedena energija postaje registrovana energija nakon sprovedenog merenja.</w:t>
            </w:r>
          </w:p>
        </w:tc>
      </w:tr>
      <w:tr w:rsidR="00340FAB" w:rsidRPr="00A26E0D" w14:paraId="11707F45" w14:textId="77777777" w:rsidTr="00340FAB">
        <w:trPr>
          <w:trHeight w:val="1077"/>
        </w:trPr>
        <w:tc>
          <w:tcPr>
            <w:tcW w:w="430" w:type="dxa"/>
            <w:tcBorders>
              <w:top w:val="single" w:sz="4" w:space="0" w:color="auto"/>
              <w:left w:val="single" w:sz="4" w:space="0" w:color="auto"/>
              <w:bottom w:val="single" w:sz="4" w:space="0" w:color="auto"/>
              <w:right w:val="single" w:sz="4" w:space="0" w:color="auto"/>
            </w:tcBorders>
          </w:tcPr>
          <w:p w14:paraId="12B0347D" w14:textId="0503DF1F" w:rsidR="00340FAB" w:rsidRPr="00A26E0D" w:rsidRDefault="00340FAB" w:rsidP="00551A04">
            <w:pPr>
              <w:spacing w:after="0" w:line="240" w:lineRule="auto"/>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lastRenderedPageBreak/>
              <w:t>11</w:t>
            </w:r>
          </w:p>
        </w:tc>
        <w:tc>
          <w:tcPr>
            <w:tcW w:w="9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3547E2" w14:textId="4FA54761"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Kako se probni period proizvodnje tretira u odnosu na vremenski okvir za realizaciju projekta? Imajte na umu da elektrana ne prima nadoknadu za proizvodnju tokom probnog perioda.</w:t>
            </w:r>
          </w:p>
        </w:tc>
        <w:tc>
          <w:tcPr>
            <w:tcW w:w="3792" w:type="dxa"/>
            <w:gridSpan w:val="3"/>
            <w:tcBorders>
              <w:top w:val="single" w:sz="4" w:space="0" w:color="auto"/>
              <w:left w:val="single" w:sz="4" w:space="0" w:color="auto"/>
              <w:bottom w:val="single" w:sz="4" w:space="0" w:color="auto"/>
              <w:right w:val="single" w:sz="4" w:space="0" w:color="auto"/>
            </w:tcBorders>
          </w:tcPr>
          <w:p w14:paraId="1D1388B6" w14:textId="77777777" w:rsidR="00340FAB" w:rsidRPr="00A26E0D" w:rsidRDefault="00340FAB" w:rsidP="00551A04">
            <w:pPr>
              <w:spacing w:after="0" w:line="240" w:lineRule="auto"/>
              <w:jc w:val="both"/>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Rokovi za završetak projekta iz člana 41. Zakona o korišćenju energije iz obnovljivih izvora uključuju i probni rad.</w:t>
            </w:r>
            <w:r w:rsidRPr="00A26E0D">
              <w:rPr>
                <w:rFonts w:ascii="Verdana" w:eastAsia="Times New Roman" w:hAnsi="Verdana" w:cs="Times New Roman"/>
                <w:sz w:val="20"/>
                <w:szCs w:val="20"/>
                <w:lang w:val="sr-Latn-ME"/>
              </w:rPr>
              <w:t xml:space="preserve"> Za ostvarivanje prava na tržišnu tremiju završetak projekta se vezuje za dobijanje statusa povlašćenog proizvođača. P</w:t>
            </w:r>
            <w:r w:rsidRPr="00A26E0D">
              <w:rPr>
                <w:rFonts w:ascii="Verdana" w:eastAsia="Times New Roman" w:hAnsi="Verdana" w:cs="Times New Roman"/>
                <w:sz w:val="20"/>
                <w:szCs w:val="20"/>
                <w:lang w:val="sr-Latn-ME" w:eastAsia="zh-TW"/>
              </w:rPr>
              <w:t xml:space="preserve">ravilnikom o sadržaju zahtjeva za dodjelu statusa povlašćenog proizvođača električne energije i dokazima o ispunjenosti uslova za sticanje statusa povlašćenog proizvođača (SL.list br.70/25) je propisano da se uz </w:t>
            </w:r>
            <w:r w:rsidRPr="00A26E0D">
              <w:rPr>
                <w:rFonts w:ascii="Verdana" w:eastAsia="Times New Roman" w:hAnsi="Verdana" w:cs="Times New Roman"/>
                <w:sz w:val="20"/>
                <w:szCs w:val="20"/>
                <w:lang w:eastAsia="zh-TW"/>
              </w:rPr>
              <w:t xml:space="preserve">zahtjev za dodjelu statusa povlašćenog proizvođača dostavlja i </w:t>
            </w:r>
            <w:r w:rsidRPr="00A26E0D">
              <w:rPr>
                <w:rFonts w:ascii="Verdana" w:eastAsia="Times New Roman" w:hAnsi="Verdana" w:cs="Times New Roman"/>
                <w:bCs/>
                <w:sz w:val="20"/>
                <w:szCs w:val="20"/>
                <w:lang w:eastAsia="zh-TW"/>
              </w:rPr>
              <w:t>upotrebna dozvola za objekat za koji se podnosi zahtjev, a za koji se traži status povlašćenog proizvođača, kao i ugovor o priključenju tog objekta.</w:t>
            </w:r>
          </w:p>
        </w:tc>
      </w:tr>
      <w:tr w:rsidR="00340FAB" w:rsidRPr="00A26E0D" w14:paraId="75916DAC" w14:textId="77777777" w:rsidTr="00340FAB">
        <w:trPr>
          <w:trHeight w:val="998"/>
        </w:trPr>
        <w:tc>
          <w:tcPr>
            <w:tcW w:w="430" w:type="dxa"/>
            <w:tcBorders>
              <w:top w:val="single" w:sz="4" w:space="0" w:color="auto"/>
              <w:left w:val="single" w:sz="4" w:space="0" w:color="auto"/>
              <w:bottom w:val="single" w:sz="4" w:space="0" w:color="auto"/>
              <w:right w:val="single" w:sz="4" w:space="0" w:color="auto"/>
            </w:tcBorders>
          </w:tcPr>
          <w:p w14:paraId="2D9F4C2A" w14:textId="2E058C6C" w:rsidR="00340FAB" w:rsidRPr="00A26E0D" w:rsidRDefault="00340FAB" w:rsidP="00551A04">
            <w:pPr>
              <w:spacing w:after="0" w:line="240" w:lineRule="auto"/>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12</w:t>
            </w:r>
          </w:p>
        </w:tc>
        <w:tc>
          <w:tcPr>
            <w:tcW w:w="98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3CF22AE" w14:textId="0CDA4BEC"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Možete li potvrditi da će tokom prelaznog perioda elektrana biti obavezna da proizvodi tokom sati negativne cijene i isporučuje energiju dobavljačima električne energije u Crnoj Gori bez naplate ikakve cijene za to? Da li proizvođač i tada plaća za balansne usluge? Ko određuje udio koji pripada svakom dobavljaču? Da li će se sklopiti neki sporazum između proizvođača i takvog dobavljača? Pogledajte Član 19 Ugovora o premiji na prelaznom tržištu.</w:t>
            </w:r>
          </w:p>
        </w:tc>
        <w:tc>
          <w:tcPr>
            <w:tcW w:w="3792" w:type="dxa"/>
            <w:gridSpan w:val="3"/>
            <w:tcBorders>
              <w:top w:val="single" w:sz="4" w:space="0" w:color="auto"/>
              <w:left w:val="single" w:sz="4" w:space="0" w:color="auto"/>
              <w:bottom w:val="single" w:sz="4" w:space="0" w:color="auto"/>
              <w:right w:val="single" w:sz="4" w:space="0" w:color="auto"/>
            </w:tcBorders>
            <w:shd w:val="clear" w:color="auto" w:fill="auto"/>
          </w:tcPr>
          <w:p w14:paraId="5C7231EB" w14:textId="77777777" w:rsidR="00340FAB" w:rsidRPr="00A26E0D" w:rsidRDefault="00340FAB" w:rsidP="00551A04">
            <w:pPr>
              <w:spacing w:after="0" w:line="240" w:lineRule="auto"/>
              <w:jc w:val="both"/>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 xml:space="preserve">U kontekstu CfD, tokom perioda negativnih referentnih cena, proizvođač neće imati pravo na isplatu tržišne premije. </w:t>
            </w:r>
          </w:p>
          <w:p w14:paraId="23F1F3DE" w14:textId="77777777" w:rsidR="00340FAB" w:rsidRPr="00A26E0D" w:rsidRDefault="00340FAB" w:rsidP="00551A04">
            <w:pPr>
              <w:spacing w:after="0" w:line="240" w:lineRule="auto"/>
              <w:jc w:val="both"/>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Tokom prelaznog perioda za balansiranje, prelazni aranžman za balansiranje i pripadajuće naknade koje se plaćaju BRP-u za razliku između prijavljene i izmerene električne energije primenjivaće se u potpunosti i tokom perioda negativnih referentnih cena.</w:t>
            </w:r>
          </w:p>
          <w:p w14:paraId="142549EB" w14:textId="77777777" w:rsidR="00340FAB" w:rsidRPr="00A26E0D" w:rsidRDefault="00340FAB" w:rsidP="00551A04">
            <w:pPr>
              <w:spacing w:after="0" w:line="240" w:lineRule="auto"/>
              <w:jc w:val="both"/>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 xml:space="preserve">Ugovorom o tržišnoj pemiji je predviđeno  da Ovlašćena ugovorna strana nema obavezu isplate novčanih sredstava za Obračunske intervale u kojima je Referentna tržišna cijena negativna. Električnu </w:t>
            </w:r>
            <w:r w:rsidRPr="00A26E0D">
              <w:rPr>
                <w:rFonts w:ascii="Verdana" w:eastAsia="Times New Roman" w:hAnsi="Verdana" w:cs="Times New Roman"/>
                <w:sz w:val="20"/>
                <w:szCs w:val="20"/>
                <w:lang w:val="sr-Latn-ME" w:eastAsia="zh-TW"/>
              </w:rPr>
              <w:lastRenderedPageBreak/>
              <w:t>energiju proizvedenu u Postrojenju u trenutku kada je Referentna tržišna cijena negativna Ovlašćena ugovorna strana prenosi snabdjevačima koji vrše snabdjevanje kupaca u Crnoj Gori bez naknade. Ugovore sa snabdevačima zaključuje ovlašćena ugovorna strana, ne proizvođač, a takav ugovor, proporcionalni udjeli, prava i obaveze snabdjevača i ovlašćene ugovorne strane biće regulisane podzakonskim aktima iz člana 48. Zakona o korišćenju energije iz obnovljivih izvora.</w:t>
            </w:r>
          </w:p>
        </w:tc>
      </w:tr>
      <w:tr w:rsidR="00340FAB" w:rsidRPr="00A26E0D" w14:paraId="3D9EBCD4" w14:textId="77777777" w:rsidTr="00340FAB">
        <w:trPr>
          <w:trHeight w:val="422"/>
        </w:trPr>
        <w:tc>
          <w:tcPr>
            <w:tcW w:w="430" w:type="dxa"/>
            <w:tcBorders>
              <w:top w:val="single" w:sz="4" w:space="0" w:color="auto"/>
              <w:left w:val="single" w:sz="4" w:space="0" w:color="auto"/>
              <w:bottom w:val="single" w:sz="4" w:space="0" w:color="auto"/>
              <w:right w:val="single" w:sz="4" w:space="0" w:color="auto"/>
            </w:tcBorders>
          </w:tcPr>
          <w:p w14:paraId="69920F2D" w14:textId="71ABF274" w:rsidR="00340FAB" w:rsidRPr="00A26E0D" w:rsidRDefault="00340FAB" w:rsidP="00551A04">
            <w:pPr>
              <w:spacing w:after="0" w:line="240" w:lineRule="auto"/>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lastRenderedPageBreak/>
              <w:t>13</w:t>
            </w:r>
          </w:p>
        </w:tc>
        <w:tc>
          <w:tcPr>
            <w:tcW w:w="9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294D41" w14:textId="5339C046"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Šta se dešava ako konačni instalirani kapacitet elektrane nije onakav kakav je podnesen u ponudi?</w:t>
            </w:r>
          </w:p>
        </w:tc>
        <w:tc>
          <w:tcPr>
            <w:tcW w:w="3792" w:type="dxa"/>
            <w:gridSpan w:val="3"/>
            <w:tcBorders>
              <w:top w:val="single" w:sz="4" w:space="0" w:color="auto"/>
              <w:left w:val="single" w:sz="4" w:space="0" w:color="auto"/>
              <w:bottom w:val="single" w:sz="4" w:space="0" w:color="auto"/>
              <w:right w:val="single" w:sz="4" w:space="0" w:color="auto"/>
            </w:tcBorders>
          </w:tcPr>
          <w:p w14:paraId="36859480" w14:textId="77777777" w:rsidR="00340FAB" w:rsidRPr="00A26E0D" w:rsidRDefault="00340FAB" w:rsidP="00551A04">
            <w:pPr>
              <w:spacing w:after="0" w:line="240" w:lineRule="auto"/>
              <w:jc w:val="both"/>
              <w:rPr>
                <w:rFonts w:ascii="Verdana" w:eastAsia="Times New Roman" w:hAnsi="Verdana" w:cs="Times New Roman"/>
                <w:sz w:val="20"/>
                <w:szCs w:val="20"/>
                <w:lang w:val="sr-Latn-ME"/>
              </w:rPr>
            </w:pPr>
            <w:r w:rsidRPr="00A26E0D">
              <w:rPr>
                <w:rFonts w:ascii="Verdana" w:eastAsia="Times New Roman" w:hAnsi="Verdana" w:cs="Times New Roman"/>
                <w:sz w:val="20"/>
                <w:szCs w:val="20"/>
                <w:lang w:val="sr-Latn-ME" w:eastAsia="zh-TW"/>
              </w:rPr>
              <w:t xml:space="preserve">Članom 11. Javnog poziva detaljno je regulisana Obavezna snaga elektrane i njena dozvoljena izmena. Molimo vas da precizirate pitanje, ukoliko je potrebno. </w:t>
            </w:r>
            <w:r w:rsidRPr="00A26E0D">
              <w:rPr>
                <w:rFonts w:ascii="Verdana" w:eastAsia="Times New Roman" w:hAnsi="Verdana" w:cs="Arial"/>
                <w:sz w:val="20"/>
                <w:szCs w:val="20"/>
                <w:lang w:val="sr-Latn-ME"/>
              </w:rPr>
              <w:t>Pravo na tržišnu premiju odnosi se na dio kapaciteta za koji je stečen privremeni povlašćeni status, i taj kapacitet ostaje nepromijenjen, iako se konačni instalirani kapacitet razlikuje od Obavezne snage elektrane navedene u ponudi.</w:t>
            </w:r>
          </w:p>
        </w:tc>
      </w:tr>
      <w:tr w:rsidR="00340FAB" w:rsidRPr="00A26E0D" w14:paraId="6EEB5753" w14:textId="77777777" w:rsidTr="00340FAB">
        <w:trPr>
          <w:trHeight w:val="458"/>
        </w:trPr>
        <w:tc>
          <w:tcPr>
            <w:tcW w:w="430" w:type="dxa"/>
            <w:tcBorders>
              <w:top w:val="single" w:sz="4" w:space="0" w:color="auto"/>
              <w:left w:val="single" w:sz="4" w:space="0" w:color="auto"/>
              <w:bottom w:val="single" w:sz="4" w:space="0" w:color="auto"/>
              <w:right w:val="single" w:sz="4" w:space="0" w:color="auto"/>
            </w:tcBorders>
          </w:tcPr>
          <w:p w14:paraId="447D16DC" w14:textId="36567975" w:rsidR="00340FAB" w:rsidRPr="00A26E0D" w:rsidRDefault="00340FAB" w:rsidP="00551A04">
            <w:pPr>
              <w:spacing w:after="0" w:line="240" w:lineRule="auto"/>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14</w:t>
            </w:r>
          </w:p>
        </w:tc>
        <w:tc>
          <w:tcPr>
            <w:tcW w:w="98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DBEF20D" w14:textId="235D11B5"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Da li je dozvoljena implementacija pomoćnih usluga i kako one utiču na obavezu proizvodnje tokom negativnih sati?</w:t>
            </w:r>
          </w:p>
        </w:tc>
        <w:tc>
          <w:tcPr>
            <w:tcW w:w="3792" w:type="dxa"/>
            <w:gridSpan w:val="3"/>
            <w:tcBorders>
              <w:top w:val="single" w:sz="4" w:space="0" w:color="auto"/>
              <w:left w:val="single" w:sz="4" w:space="0" w:color="auto"/>
              <w:bottom w:val="single" w:sz="4" w:space="0" w:color="auto"/>
              <w:right w:val="single" w:sz="4" w:space="0" w:color="auto"/>
            </w:tcBorders>
            <w:shd w:val="clear" w:color="auto" w:fill="auto"/>
          </w:tcPr>
          <w:p w14:paraId="715898D0" w14:textId="77777777" w:rsidR="00340FAB" w:rsidRPr="00A26E0D" w:rsidRDefault="00340FAB" w:rsidP="00551A04">
            <w:pPr>
              <w:spacing w:after="0" w:line="240" w:lineRule="auto"/>
              <w:jc w:val="both"/>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 xml:space="preserve">OIE elektrana može da učestvuje u tržištu pružanja pomoćnih usluga u skladu sa važećim propisima u Crnoj Gori. Ne postoji obaveza proizvodnje u ugovoru o tržišnoj premiji. </w:t>
            </w:r>
            <w:bookmarkStart w:id="0" w:name="clan_85"/>
            <w:bookmarkEnd w:id="0"/>
            <w:r w:rsidRPr="00A26E0D">
              <w:rPr>
                <w:rFonts w:ascii="Verdana" w:eastAsia="Times New Roman" w:hAnsi="Verdana" w:cs="Times New Roman"/>
                <w:sz w:val="20"/>
                <w:szCs w:val="20"/>
                <w:lang w:val="sr-Latn-ME" w:eastAsia="zh-TW"/>
              </w:rPr>
              <w:t xml:space="preserve">Članom 85 Zakona o energetici je propisano da je Proizvođač električne energije dužan da proizvodne objekte stavi u pogon na zahtjev operatora </w:t>
            </w:r>
            <w:r w:rsidRPr="00A26E0D">
              <w:rPr>
                <w:rFonts w:ascii="Verdana" w:eastAsia="Times New Roman" w:hAnsi="Verdana" w:cs="Times New Roman"/>
                <w:sz w:val="20"/>
                <w:szCs w:val="20"/>
                <w:lang w:val="sr-Latn-ME" w:eastAsia="zh-TW"/>
              </w:rPr>
              <w:lastRenderedPageBreak/>
              <w:t>prenosnog ili distributivnog sistema za potrebe pomoćnih usluga ili balansiranja.</w:t>
            </w:r>
          </w:p>
        </w:tc>
      </w:tr>
      <w:tr w:rsidR="00340FAB" w:rsidRPr="00A26E0D" w14:paraId="1C109688" w14:textId="77777777" w:rsidTr="00340FAB">
        <w:trPr>
          <w:trHeight w:val="512"/>
        </w:trPr>
        <w:tc>
          <w:tcPr>
            <w:tcW w:w="430" w:type="dxa"/>
            <w:tcBorders>
              <w:top w:val="single" w:sz="4" w:space="0" w:color="auto"/>
              <w:left w:val="single" w:sz="4" w:space="0" w:color="auto"/>
              <w:bottom w:val="single" w:sz="4" w:space="0" w:color="auto"/>
              <w:right w:val="single" w:sz="4" w:space="0" w:color="auto"/>
            </w:tcBorders>
          </w:tcPr>
          <w:p w14:paraId="4F3B352D" w14:textId="3FD29DAD" w:rsidR="00340FAB" w:rsidRPr="00A26E0D" w:rsidRDefault="00340FAB" w:rsidP="00551A04">
            <w:pPr>
              <w:spacing w:after="0" w:line="240" w:lineRule="auto"/>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lastRenderedPageBreak/>
              <w:t>15</w:t>
            </w:r>
          </w:p>
        </w:tc>
        <w:tc>
          <w:tcPr>
            <w:tcW w:w="9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1FD6B" w14:textId="0DE2C20D"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Postoje li garancije proizvodnje i dostupnosti?</w:t>
            </w:r>
          </w:p>
        </w:tc>
        <w:tc>
          <w:tcPr>
            <w:tcW w:w="3792" w:type="dxa"/>
            <w:gridSpan w:val="3"/>
            <w:tcBorders>
              <w:top w:val="single" w:sz="4" w:space="0" w:color="auto"/>
              <w:left w:val="single" w:sz="4" w:space="0" w:color="auto"/>
              <w:bottom w:val="single" w:sz="4" w:space="0" w:color="auto"/>
              <w:right w:val="single" w:sz="4" w:space="0" w:color="auto"/>
            </w:tcBorders>
          </w:tcPr>
          <w:p w14:paraId="76E3CBDB" w14:textId="77777777" w:rsidR="00340FAB" w:rsidRPr="00A26E0D" w:rsidRDefault="00340FAB" w:rsidP="00551A04">
            <w:pPr>
              <w:spacing w:after="0" w:line="240" w:lineRule="auto"/>
              <w:jc w:val="both"/>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Tržišna premija isplaćuje se samo za stvarnu proizvedenu energiju (u periodu kada referentna tržišna cijena nije negativna), što po pravilu predstavlja dovoljan podsticaj za dostupnost i proizvodnju.</w:t>
            </w:r>
          </w:p>
        </w:tc>
      </w:tr>
      <w:tr w:rsidR="00340FAB" w:rsidRPr="00A26E0D" w14:paraId="46458706" w14:textId="77777777" w:rsidTr="00340FAB">
        <w:trPr>
          <w:trHeight w:val="638"/>
        </w:trPr>
        <w:tc>
          <w:tcPr>
            <w:tcW w:w="430" w:type="dxa"/>
            <w:tcBorders>
              <w:top w:val="single" w:sz="4" w:space="0" w:color="auto"/>
              <w:left w:val="single" w:sz="4" w:space="0" w:color="auto"/>
              <w:bottom w:val="single" w:sz="4" w:space="0" w:color="auto"/>
              <w:right w:val="single" w:sz="4" w:space="0" w:color="auto"/>
            </w:tcBorders>
          </w:tcPr>
          <w:p w14:paraId="54174D4D" w14:textId="76072EB2" w:rsidR="00340FAB" w:rsidRPr="00A26E0D" w:rsidRDefault="00340FAB" w:rsidP="00551A04">
            <w:pPr>
              <w:spacing w:after="0" w:line="240" w:lineRule="auto"/>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16</w:t>
            </w:r>
          </w:p>
        </w:tc>
        <w:tc>
          <w:tcPr>
            <w:tcW w:w="9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6BB08E" w14:textId="2D73F1FD"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Da li je neophodno da bankarske garancije budu izdate od lokalnih crnogorskih banaka odnosno banaka koje su registrovane u Crnoj Gori ili to mogu biti i banke izvan Crne Gore?</w:t>
            </w:r>
          </w:p>
        </w:tc>
        <w:tc>
          <w:tcPr>
            <w:tcW w:w="3792" w:type="dxa"/>
            <w:gridSpan w:val="3"/>
            <w:tcBorders>
              <w:top w:val="single" w:sz="4" w:space="0" w:color="auto"/>
              <w:left w:val="single" w:sz="4" w:space="0" w:color="auto"/>
              <w:bottom w:val="single" w:sz="4" w:space="0" w:color="auto"/>
              <w:right w:val="single" w:sz="4" w:space="0" w:color="auto"/>
            </w:tcBorders>
          </w:tcPr>
          <w:p w14:paraId="15610690" w14:textId="77777777"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Bankarske garancije moraju biti izdate od strane banke registrovane u Crnoj Gori.</w:t>
            </w:r>
          </w:p>
        </w:tc>
      </w:tr>
      <w:tr w:rsidR="00340FAB" w:rsidRPr="00A26E0D" w14:paraId="7D9C6741" w14:textId="77777777" w:rsidTr="00340FAB">
        <w:trPr>
          <w:trHeight w:val="782"/>
        </w:trPr>
        <w:tc>
          <w:tcPr>
            <w:tcW w:w="430" w:type="dxa"/>
            <w:tcBorders>
              <w:top w:val="single" w:sz="4" w:space="0" w:color="auto"/>
              <w:left w:val="single" w:sz="4" w:space="0" w:color="auto"/>
              <w:bottom w:val="single" w:sz="4" w:space="0" w:color="auto"/>
              <w:right w:val="single" w:sz="4" w:space="0" w:color="auto"/>
            </w:tcBorders>
          </w:tcPr>
          <w:p w14:paraId="4159ACA7" w14:textId="23155A4D" w:rsidR="00340FAB" w:rsidRPr="00A26E0D" w:rsidRDefault="00340FAB" w:rsidP="00551A04">
            <w:pPr>
              <w:spacing w:after="0" w:line="240" w:lineRule="auto"/>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17</w:t>
            </w:r>
          </w:p>
        </w:tc>
        <w:tc>
          <w:tcPr>
            <w:tcW w:w="9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9BA4F" w14:textId="1CFD6D60" w:rsidR="00340FAB" w:rsidRPr="00A26E0D" w:rsidRDefault="00340FAB" w:rsidP="00551A04">
            <w:pPr>
              <w:spacing w:after="0" w:line="240" w:lineRule="auto"/>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Da li se period od 3 godine (ili 5 u slučaju da elektrana ne posjeduje gradjevinsku dozvolu) za izgradnju elektrane odnosi na period od dobijanja statusa privremenog proizvođača pa do komercijalnog operativnog statusa/datuma (COD) ili ?</w:t>
            </w:r>
          </w:p>
        </w:tc>
        <w:tc>
          <w:tcPr>
            <w:tcW w:w="3792" w:type="dxa"/>
            <w:gridSpan w:val="3"/>
            <w:tcBorders>
              <w:top w:val="single" w:sz="4" w:space="0" w:color="auto"/>
              <w:left w:val="single" w:sz="4" w:space="0" w:color="auto"/>
              <w:bottom w:val="single" w:sz="4" w:space="0" w:color="auto"/>
              <w:right w:val="single" w:sz="4" w:space="0" w:color="auto"/>
            </w:tcBorders>
          </w:tcPr>
          <w:p w14:paraId="314D4D54" w14:textId="77777777" w:rsidR="00340FAB" w:rsidRPr="00A26E0D" w:rsidRDefault="00340FAB" w:rsidP="00551A04">
            <w:pPr>
              <w:spacing w:after="0" w:line="240" w:lineRule="auto"/>
              <w:jc w:val="both"/>
              <w:rPr>
                <w:rFonts w:ascii="Verdana" w:eastAsia="Times New Roman" w:hAnsi="Verdana" w:cs="Times New Roman"/>
                <w:sz w:val="20"/>
                <w:szCs w:val="20"/>
                <w:lang w:val="sr-Latn-ME" w:eastAsia="zh-TW"/>
              </w:rPr>
            </w:pPr>
            <w:r w:rsidRPr="00A26E0D">
              <w:rPr>
                <w:rFonts w:ascii="Verdana" w:eastAsia="Times New Roman" w:hAnsi="Verdana" w:cs="Times New Roman"/>
                <w:sz w:val="20"/>
                <w:szCs w:val="20"/>
                <w:lang w:val="sr-Latn-ME" w:eastAsia="zh-TW"/>
              </w:rPr>
              <w:t>Period se odnosi na period od dobijanja statusa privremenog povlašćenog proizvođača do dobijanja statusa povlašćenog proizvođača, kako je predviđeno članom 41. i 43. Zakona o korišćenju energije iz obnovljivih izvora. U okviru odgovora na 3.pitanje je dato pojašnjenje</w:t>
            </w:r>
          </w:p>
        </w:tc>
      </w:tr>
      <w:tr w:rsidR="00340FAB" w:rsidRPr="007B33D1" w14:paraId="752E018C" w14:textId="77777777" w:rsidTr="00340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300"/>
        </w:trPr>
        <w:tc>
          <w:tcPr>
            <w:tcW w:w="430" w:type="dxa"/>
            <w:shd w:val="clear" w:color="auto" w:fill="FFFFFF"/>
          </w:tcPr>
          <w:p w14:paraId="6FF3C879" w14:textId="2563E030" w:rsidR="00340FAB" w:rsidRPr="007B33D1" w:rsidRDefault="00340FAB" w:rsidP="00551A04">
            <w:pPr>
              <w:spacing w:after="0" w:line="240" w:lineRule="auto"/>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18</w:t>
            </w:r>
          </w:p>
        </w:tc>
        <w:tc>
          <w:tcPr>
            <w:tcW w:w="9947" w:type="dxa"/>
            <w:gridSpan w:val="2"/>
            <w:shd w:val="clear" w:color="auto" w:fill="FFFFFF"/>
            <w:tcMar>
              <w:top w:w="0" w:type="dxa"/>
              <w:left w:w="108" w:type="dxa"/>
              <w:bottom w:w="0" w:type="dxa"/>
              <w:right w:w="108" w:type="dxa"/>
            </w:tcMar>
            <w:vAlign w:val="center"/>
            <w:hideMark/>
          </w:tcPr>
          <w:p w14:paraId="0A14B0CF" w14:textId="28416606" w:rsidR="00340FAB" w:rsidRPr="007B33D1" w:rsidRDefault="00340FAB" w:rsidP="00551A04">
            <w:pPr>
              <w:spacing w:after="0" w:line="240" w:lineRule="auto"/>
              <w:jc w:val="both"/>
              <w:rPr>
                <w:rFonts w:ascii="Verdana" w:eastAsia="Times New Roman" w:hAnsi="Verdana" w:cs="Times New Roman"/>
                <w:sz w:val="20"/>
                <w:szCs w:val="20"/>
                <w:lang w:val="sr-Latn-ME" w:eastAsia="zh-TW"/>
              </w:rPr>
            </w:pPr>
            <w:r w:rsidRPr="007B33D1">
              <w:rPr>
                <w:rFonts w:ascii="Verdana" w:eastAsia="Times New Roman" w:hAnsi="Verdana" w:cs="Times New Roman"/>
                <w:sz w:val="20"/>
                <w:szCs w:val="20"/>
                <w:lang w:val="sr-Latn-ME" w:eastAsia="zh-TW"/>
              </w:rPr>
              <w:t>Koristim ovu priliku da Vam se obratim ispred kompanije XXX, mi smo otkupili tendersku dokumentaciju, ukoliko se prijavljujemo za više potencijalnih lokacija (elektrana) sa istom kompanijom da li moramo nanovo izvaditi podatke za svaku posebnu lokaciju ili je dovoljno izvaditi jedan put podatke o nasoj kompaniji koji su zahtijevani tenderskom dokumentacijom.</w:t>
            </w:r>
          </w:p>
        </w:tc>
        <w:tc>
          <w:tcPr>
            <w:tcW w:w="3646" w:type="dxa"/>
            <w:shd w:val="clear" w:color="auto" w:fill="FFFFFF"/>
          </w:tcPr>
          <w:p w14:paraId="56CF9904" w14:textId="77777777" w:rsidR="00340FAB" w:rsidRPr="007B33D1" w:rsidRDefault="00340FAB" w:rsidP="00551A04">
            <w:pPr>
              <w:spacing w:after="0" w:line="240" w:lineRule="auto"/>
              <w:jc w:val="both"/>
              <w:rPr>
                <w:rFonts w:ascii="Verdana" w:eastAsia="Times New Roman" w:hAnsi="Verdana" w:cs="Times New Roman"/>
                <w:sz w:val="20"/>
                <w:szCs w:val="20"/>
                <w:lang w:val="sr-Latn-RS" w:eastAsia="zh-TW"/>
              </w:rPr>
            </w:pPr>
            <w:r w:rsidRPr="007B33D1">
              <w:rPr>
                <w:rFonts w:ascii="Verdana" w:eastAsia="Times New Roman" w:hAnsi="Verdana" w:cs="Times New Roman"/>
                <w:sz w:val="20"/>
                <w:szCs w:val="20"/>
                <w:lang w:val="sr-Latn-ME" w:eastAsia="zh-TW"/>
              </w:rPr>
              <w:t xml:space="preserve">Dokumenta koja su primjenjiva na više od jedne vaših ponuda kao što je npr. izvod iz privrednog registra CRPS za XXX, možete dostaviti u originalu u jednoj ponudi, a u overenom prepisu originala u ostalim ponudama. Naime, iako se radi o istom društvu koje podnosi više od jedne ponude, Komisija će i dalje svaku ponudu ceniti posebno te svaka ponuda mora da sadrži svaki traženi akt iz Tenderske dokumentacije (bilo u originalu ili overenom prepisu, kako nalažu </w:t>
            </w:r>
            <w:r w:rsidRPr="007B33D1">
              <w:rPr>
                <w:rFonts w:ascii="Verdana" w:eastAsia="Times New Roman" w:hAnsi="Verdana" w:cs="Times New Roman"/>
                <w:sz w:val="20"/>
                <w:szCs w:val="20"/>
                <w:lang w:val="sr-Latn-ME" w:eastAsia="zh-TW"/>
              </w:rPr>
              <w:lastRenderedPageBreak/>
              <w:t>pravila forme data u Tenderskoj dokumentaciji).</w:t>
            </w:r>
          </w:p>
        </w:tc>
      </w:tr>
      <w:tr w:rsidR="00340FAB" w:rsidRPr="007B33D1" w14:paraId="62D06D0B" w14:textId="77777777" w:rsidTr="00340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300"/>
        </w:trPr>
        <w:tc>
          <w:tcPr>
            <w:tcW w:w="430" w:type="dxa"/>
            <w:shd w:val="clear" w:color="auto" w:fill="FFFFFF"/>
          </w:tcPr>
          <w:p w14:paraId="29BB63E4" w14:textId="1E4028D8" w:rsidR="00340FAB" w:rsidRPr="007B33D1" w:rsidRDefault="00340FAB" w:rsidP="00551A04">
            <w:pPr>
              <w:spacing w:after="0" w:line="240" w:lineRule="auto"/>
              <w:jc w:val="both"/>
              <w:rPr>
                <w:rFonts w:ascii="Verdana" w:eastAsia="Times New Roman" w:hAnsi="Verdana" w:cs="Times New Roman"/>
                <w:sz w:val="20"/>
                <w:szCs w:val="20"/>
                <w:lang w:eastAsia="zh-TW"/>
              </w:rPr>
            </w:pPr>
            <w:r>
              <w:rPr>
                <w:rFonts w:ascii="Verdana" w:eastAsia="Times New Roman" w:hAnsi="Verdana" w:cs="Times New Roman"/>
                <w:sz w:val="20"/>
                <w:szCs w:val="20"/>
                <w:lang w:eastAsia="zh-TW"/>
              </w:rPr>
              <w:lastRenderedPageBreak/>
              <w:t>19</w:t>
            </w:r>
          </w:p>
        </w:tc>
        <w:tc>
          <w:tcPr>
            <w:tcW w:w="9947" w:type="dxa"/>
            <w:gridSpan w:val="2"/>
            <w:shd w:val="clear" w:color="auto" w:fill="FFFFFF"/>
            <w:tcMar>
              <w:top w:w="0" w:type="dxa"/>
              <w:left w:w="108" w:type="dxa"/>
              <w:bottom w:w="0" w:type="dxa"/>
              <w:right w:w="108" w:type="dxa"/>
            </w:tcMar>
            <w:vAlign w:val="center"/>
          </w:tcPr>
          <w:p w14:paraId="478ACAD1" w14:textId="765EB10E" w:rsidR="00340FAB" w:rsidRPr="007B33D1" w:rsidRDefault="00340FAB" w:rsidP="00551A04">
            <w:pPr>
              <w:spacing w:after="0" w:line="240" w:lineRule="auto"/>
              <w:jc w:val="both"/>
              <w:rPr>
                <w:rFonts w:ascii="Verdana" w:eastAsia="Times New Roman" w:hAnsi="Verdana" w:cs="Times New Roman"/>
                <w:sz w:val="20"/>
                <w:szCs w:val="20"/>
                <w:lang w:eastAsia="zh-TW"/>
              </w:rPr>
            </w:pPr>
            <w:r w:rsidRPr="007B33D1">
              <w:rPr>
                <w:rFonts w:ascii="Verdana" w:eastAsia="Times New Roman" w:hAnsi="Verdana" w:cs="Times New Roman"/>
                <w:sz w:val="20"/>
                <w:szCs w:val="20"/>
                <w:lang w:eastAsia="zh-TW"/>
              </w:rPr>
              <w:t>Dobijena je tenderska dokumentacija za aukcioni postupak za dodjelu prava na tržišnu premiju za nedefinisane lokacije solarnih elektrana. U vezi sa Stavom 12.1 "Finansijski instrument za osiguranje ponude", potrebna nam je razjašnjenja od Ministarstva energetike i rudarstva: Kao EPC strana, naša kompanija planira da potpiše EPC+F ugovor sa originalnim developerom (tj. učesnikom na aukciji) kako bi zajedno razvijali fotonaponski projekat. Dvije strane su se dogovorile da će originalni developer učestvovati na aukciji za pravo tržišne premije kao ponuđač, a uspešna ponuda može privući više investitora. Ako originalni developer projekta (učesnik na aukciji) ne može da obezbijedi bankarsku garanciju, da li naša kompanija (EPC realizator) ima pravo da izdaje bankarsku garanciju za ponudu za učesnika na aukciji?</w:t>
            </w:r>
          </w:p>
        </w:tc>
        <w:tc>
          <w:tcPr>
            <w:tcW w:w="3646" w:type="dxa"/>
            <w:shd w:val="clear" w:color="auto" w:fill="FFFFFF"/>
          </w:tcPr>
          <w:p w14:paraId="32939539" w14:textId="77777777" w:rsidR="00340FAB" w:rsidRPr="007B33D1" w:rsidRDefault="00340FAB" w:rsidP="00551A04">
            <w:pPr>
              <w:spacing w:after="0" w:line="240" w:lineRule="auto"/>
              <w:jc w:val="both"/>
              <w:rPr>
                <w:rFonts w:ascii="Verdana" w:eastAsia="Times New Roman" w:hAnsi="Verdana" w:cs="Times New Roman"/>
                <w:sz w:val="20"/>
                <w:szCs w:val="20"/>
                <w:lang w:val="sr-Latn-ME" w:eastAsia="zh-TW"/>
              </w:rPr>
            </w:pPr>
            <w:r w:rsidRPr="007B33D1">
              <w:rPr>
                <w:rFonts w:ascii="Verdana" w:eastAsia="Times New Roman" w:hAnsi="Verdana" w:cs="Times New Roman"/>
                <w:sz w:val="20"/>
                <w:szCs w:val="20"/>
                <w:lang w:val="sr-Latn-ME" w:eastAsia="zh-TW"/>
              </w:rPr>
              <w:t xml:space="preserve">Bankarska garancija za ozbiljnost ponude mora da odgovara modelu i uslovima iz Tenderske dokumentacije, da se odnosi na učesnika aukcije i njegovu ponudu, te da garantuje ispunjenje obaveza privrednog društva koje je podnelo ponudu u aukciji u skladu sa modelom. Ovo znači da je sa aspekta Komisije i ove aukcije, dozvoljeno da treće lice (npr. vi kao EPC ugovarač) obezbedi sredstva za izdavanje bankarske garancije banci (na banci je da predvidi uslove za zaključenje takvog ugovora o izdavanju bankarske garancije u korist trećeg lica tj. učesnika aukcije), sve dok se izdata bankarska garancija odnosi na obaveze učesnika aukcije i u potpunosti odgovara uslovima iz Tenderske dokumentacije. </w:t>
            </w:r>
          </w:p>
        </w:tc>
      </w:tr>
      <w:tr w:rsidR="00340FAB" w:rsidRPr="002B3609" w14:paraId="5A80A565" w14:textId="77777777" w:rsidTr="00340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300"/>
        </w:trPr>
        <w:tc>
          <w:tcPr>
            <w:tcW w:w="430" w:type="dxa"/>
            <w:shd w:val="clear" w:color="auto" w:fill="FFFFFF"/>
          </w:tcPr>
          <w:p w14:paraId="6EE82258" w14:textId="23D4E9DE" w:rsidR="00340FAB" w:rsidRPr="002B3609" w:rsidRDefault="00340FAB" w:rsidP="00341E5C">
            <w:pPr>
              <w:spacing w:after="0" w:line="240" w:lineRule="auto"/>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20</w:t>
            </w:r>
          </w:p>
        </w:tc>
        <w:tc>
          <w:tcPr>
            <w:tcW w:w="9947" w:type="dxa"/>
            <w:gridSpan w:val="2"/>
            <w:shd w:val="clear" w:color="auto" w:fill="FFFFFF"/>
            <w:tcMar>
              <w:top w:w="0" w:type="dxa"/>
              <w:left w:w="108" w:type="dxa"/>
              <w:bottom w:w="0" w:type="dxa"/>
              <w:right w:w="108" w:type="dxa"/>
            </w:tcMar>
            <w:vAlign w:val="center"/>
          </w:tcPr>
          <w:p w14:paraId="5BE59D35" w14:textId="14F3FAC5" w:rsidR="00340FAB" w:rsidRPr="002B3609" w:rsidRDefault="00340FAB" w:rsidP="00341E5C">
            <w:pPr>
              <w:spacing w:after="0" w:line="240" w:lineRule="auto"/>
              <w:jc w:val="both"/>
              <w:rPr>
                <w:rFonts w:ascii="Verdana" w:eastAsia="Times New Roman" w:hAnsi="Verdana" w:cs="Times New Roman"/>
                <w:sz w:val="20"/>
                <w:szCs w:val="20"/>
                <w:lang w:val="sr-Latn-ME" w:eastAsia="zh-TW"/>
              </w:rPr>
            </w:pPr>
            <w:r w:rsidRPr="002B3609">
              <w:rPr>
                <w:rFonts w:ascii="Verdana" w:eastAsia="Times New Roman" w:hAnsi="Verdana" w:cs="Times New Roman"/>
                <w:sz w:val="20"/>
                <w:szCs w:val="20"/>
                <w:lang w:val="sr-Latn-ME" w:eastAsia="zh-TW"/>
              </w:rPr>
              <w:t>Crnogorski operator tržišta, COTTE („Operator tržišta“) je ugovorna strana u ugovoru o tržišnoj premiji/CfD ugovoru. Primjetili smo da nema državne garancije za plaćanje cijene ponude/CFD cijene i da finansijska šema za finansiranje obaveza Operatora tržišta još nije usvojena.</w:t>
            </w:r>
          </w:p>
        </w:tc>
        <w:tc>
          <w:tcPr>
            <w:tcW w:w="3646" w:type="dxa"/>
            <w:shd w:val="clear" w:color="auto" w:fill="FFFFFF"/>
          </w:tcPr>
          <w:p w14:paraId="12CCEBD9" w14:textId="3F277059" w:rsidR="00340FAB" w:rsidRPr="002B3609" w:rsidRDefault="00340FAB" w:rsidP="00341E5C">
            <w:pPr>
              <w:spacing w:after="0" w:line="240" w:lineRule="auto"/>
              <w:jc w:val="both"/>
              <w:rPr>
                <w:rFonts w:ascii="Verdana" w:eastAsia="Times New Roman" w:hAnsi="Verdana" w:cs="Times New Roman"/>
                <w:sz w:val="20"/>
                <w:szCs w:val="20"/>
                <w:lang w:val="sr-Latn-RS" w:eastAsia="zh-TW"/>
              </w:rPr>
            </w:pPr>
            <w:r w:rsidRPr="002B3609">
              <w:rPr>
                <w:rFonts w:ascii="Verdana" w:eastAsia="Times New Roman" w:hAnsi="Verdana" w:cs="Times New Roman"/>
                <w:sz w:val="20"/>
                <w:szCs w:val="20"/>
                <w:lang w:val="sr-Latn-RS" w:eastAsia="zh-TW"/>
              </w:rPr>
              <w:t xml:space="preserve">Potvrdjujemo razumevanje. COTEE je Zakonom o koriscenju energije iz obnovljivih izvora imenovan kao ovlascena ugovorna strana i u ugovorima o trzisnoj premiji i u ugovoru o preuzimanju balansne odgovornosti. Finansiranje sistema podsticaja i svih obaveza COTEE po gorenavedenim ugovorima obezbedjuje se iz naknade koju placaju krajnji kupci i iz sredstava drzavnog budzeta, a sve na osnovu </w:t>
            </w:r>
            <w:r w:rsidRPr="002B3609">
              <w:rPr>
                <w:rFonts w:ascii="Verdana" w:eastAsia="Times New Roman" w:hAnsi="Verdana" w:cs="Times New Roman"/>
                <w:sz w:val="20"/>
                <w:szCs w:val="20"/>
                <w:lang w:val="sr-Latn-RS" w:eastAsia="zh-TW"/>
              </w:rPr>
              <w:lastRenderedPageBreak/>
              <w:t>clana 51. Zakona o koriscenju energije iz obnovljivih izvora. Podzakonski akt iz ovog clana Zakona, kojim se uredjuje, izmedju ostalog, prikupljanje sredstava za finansiranje sistema podsticaja i obaveza prema povlascenim proizvodjacima, trenutno je u izradi i usvajanje se ocekuje u narednim mesecima</w:t>
            </w:r>
          </w:p>
        </w:tc>
      </w:tr>
      <w:tr w:rsidR="00340FAB" w:rsidRPr="002B3609" w14:paraId="1FDC0F88" w14:textId="77777777" w:rsidTr="00340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300"/>
        </w:trPr>
        <w:tc>
          <w:tcPr>
            <w:tcW w:w="430" w:type="dxa"/>
            <w:shd w:val="clear" w:color="auto" w:fill="FFFFFF"/>
          </w:tcPr>
          <w:p w14:paraId="25EBFB95" w14:textId="7B6D90A0" w:rsidR="00340FAB" w:rsidRPr="002B06A6" w:rsidRDefault="00340FAB" w:rsidP="002B06A6">
            <w:pPr>
              <w:spacing w:after="0" w:line="240" w:lineRule="auto"/>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lastRenderedPageBreak/>
              <w:t>21</w:t>
            </w:r>
          </w:p>
        </w:tc>
        <w:tc>
          <w:tcPr>
            <w:tcW w:w="9947" w:type="dxa"/>
            <w:gridSpan w:val="2"/>
            <w:shd w:val="clear" w:color="auto" w:fill="FFFFFF"/>
            <w:tcMar>
              <w:top w:w="0" w:type="dxa"/>
              <w:left w:w="108" w:type="dxa"/>
              <w:bottom w:w="0" w:type="dxa"/>
              <w:right w:w="108" w:type="dxa"/>
            </w:tcMar>
            <w:vAlign w:val="center"/>
          </w:tcPr>
          <w:p w14:paraId="416564C1" w14:textId="5A7A6E72" w:rsidR="00340FAB" w:rsidRPr="002B06A6" w:rsidRDefault="00340FAB" w:rsidP="002B06A6">
            <w:pPr>
              <w:spacing w:after="0" w:line="240" w:lineRule="auto"/>
              <w:jc w:val="both"/>
              <w:rPr>
                <w:rFonts w:ascii="Verdana" w:eastAsia="Times New Roman" w:hAnsi="Verdana" w:cs="Times New Roman"/>
                <w:sz w:val="20"/>
                <w:szCs w:val="20"/>
                <w:lang w:val="sr-Latn-ME" w:eastAsia="zh-TW"/>
              </w:rPr>
            </w:pPr>
            <w:r w:rsidRPr="002B06A6">
              <w:rPr>
                <w:rFonts w:ascii="Verdana" w:eastAsia="Times New Roman" w:hAnsi="Verdana" w:cs="Times New Roman"/>
                <w:sz w:val="20"/>
                <w:szCs w:val="20"/>
                <w:lang w:val="sr-Latn-ME" w:eastAsia="zh-TW"/>
              </w:rPr>
              <w:t>U uslovima koji su propisani stoji između ostalog da učesnici  tendera nijesu   obezbijedili   finansijska sredstva za završetak građevinskih radova.</w:t>
            </w:r>
          </w:p>
          <w:p w14:paraId="69D7196D" w14:textId="77777777" w:rsidR="00340FAB" w:rsidRPr="002B06A6" w:rsidRDefault="00340FAB" w:rsidP="002B06A6">
            <w:pPr>
              <w:spacing w:after="0" w:line="240" w:lineRule="auto"/>
              <w:jc w:val="both"/>
              <w:rPr>
                <w:rFonts w:ascii="Verdana" w:eastAsia="Times New Roman" w:hAnsi="Verdana" w:cs="Times New Roman"/>
                <w:sz w:val="20"/>
                <w:szCs w:val="20"/>
                <w:lang w:val="sr-Latn-ME" w:eastAsia="zh-TW"/>
              </w:rPr>
            </w:pPr>
            <w:r w:rsidRPr="002B06A6">
              <w:rPr>
                <w:rFonts w:ascii="Verdana" w:eastAsia="Times New Roman" w:hAnsi="Verdana" w:cs="Times New Roman"/>
                <w:sz w:val="20"/>
                <w:szCs w:val="20"/>
                <w:lang w:val="sr-Latn-ME" w:eastAsia="zh-TW"/>
              </w:rPr>
              <w:t xml:space="preserve"> </w:t>
            </w:r>
          </w:p>
          <w:p w14:paraId="7BF75837" w14:textId="77777777" w:rsidR="00340FAB" w:rsidRPr="002B06A6" w:rsidRDefault="00340FAB" w:rsidP="002B06A6">
            <w:pPr>
              <w:spacing w:after="0" w:line="240" w:lineRule="auto"/>
              <w:jc w:val="both"/>
              <w:rPr>
                <w:rFonts w:ascii="Verdana" w:eastAsia="Times New Roman" w:hAnsi="Verdana" w:cs="Times New Roman"/>
                <w:sz w:val="20"/>
                <w:szCs w:val="20"/>
                <w:lang w:val="sr-Latn-ME" w:eastAsia="zh-TW"/>
              </w:rPr>
            </w:pPr>
            <w:r w:rsidRPr="002B06A6">
              <w:rPr>
                <w:rFonts w:ascii="Verdana" w:eastAsia="Times New Roman" w:hAnsi="Verdana" w:cs="Times New Roman"/>
                <w:sz w:val="20"/>
                <w:szCs w:val="20"/>
                <w:lang w:val="sr-Latn-ME" w:eastAsia="zh-TW"/>
              </w:rPr>
              <w:t xml:space="preserve">Naše pitanje je da li mi otkupom tenderske dokumentacije stičemo pravo da  apliciramo za finansijska sredstva kod banaka  a koja su nam potrebna  za realizaciju projekata? </w:t>
            </w:r>
          </w:p>
          <w:p w14:paraId="5B002C37" w14:textId="77777777" w:rsidR="00340FAB" w:rsidRPr="002B06A6" w:rsidRDefault="00340FAB" w:rsidP="002B06A6">
            <w:pPr>
              <w:spacing w:after="0" w:line="240" w:lineRule="auto"/>
              <w:jc w:val="both"/>
              <w:rPr>
                <w:rFonts w:ascii="Verdana" w:eastAsia="Times New Roman" w:hAnsi="Verdana" w:cs="Times New Roman"/>
                <w:sz w:val="20"/>
                <w:szCs w:val="20"/>
                <w:lang w:val="sr-Latn-ME" w:eastAsia="zh-TW"/>
              </w:rPr>
            </w:pPr>
          </w:p>
          <w:p w14:paraId="1FE5EF61" w14:textId="30AD2C19" w:rsidR="00340FAB" w:rsidRPr="002B3609" w:rsidRDefault="00340FAB" w:rsidP="002B06A6">
            <w:pPr>
              <w:spacing w:after="0" w:line="240" w:lineRule="auto"/>
              <w:jc w:val="both"/>
              <w:rPr>
                <w:rFonts w:ascii="Verdana" w:eastAsia="Times New Roman" w:hAnsi="Verdana" w:cs="Times New Roman"/>
                <w:sz w:val="20"/>
                <w:szCs w:val="20"/>
                <w:lang w:val="sr-Latn-ME" w:eastAsia="zh-TW"/>
              </w:rPr>
            </w:pPr>
            <w:r w:rsidRPr="002B06A6">
              <w:rPr>
                <w:rFonts w:ascii="Verdana" w:eastAsia="Times New Roman" w:hAnsi="Verdana" w:cs="Times New Roman"/>
                <w:sz w:val="20"/>
                <w:szCs w:val="20"/>
                <w:lang w:val="sr-Latn-ME" w:eastAsia="zh-TW"/>
              </w:rPr>
              <w:t>Obrazloženje:  Procedure dobijanja kredita kod banaka su duge I komplikovane I ne mogu biti završene do kraja roka za zatvaranje tendera.  I sigurno se do tada  finansijska sredstva za realizaciju projekata ne mogu obezbijediti ali se može dobiti na vremenu.</w:t>
            </w:r>
          </w:p>
        </w:tc>
        <w:tc>
          <w:tcPr>
            <w:tcW w:w="3646" w:type="dxa"/>
            <w:shd w:val="clear" w:color="auto" w:fill="FFFFFF"/>
          </w:tcPr>
          <w:p w14:paraId="531D2332" w14:textId="53C477A9" w:rsidR="00340FAB" w:rsidRPr="002B3609" w:rsidRDefault="00340FAB" w:rsidP="00341E5C">
            <w:pPr>
              <w:spacing w:after="0" w:line="240" w:lineRule="auto"/>
              <w:jc w:val="both"/>
              <w:rPr>
                <w:rFonts w:ascii="Verdana" w:eastAsia="Times New Roman" w:hAnsi="Verdana" w:cs="Times New Roman"/>
                <w:sz w:val="20"/>
                <w:szCs w:val="20"/>
                <w:lang w:val="sr-Latn-RS" w:eastAsia="zh-TW"/>
              </w:rPr>
            </w:pPr>
            <w:r w:rsidRPr="002B06A6">
              <w:rPr>
                <w:rFonts w:ascii="Verdana" w:eastAsia="Times New Roman" w:hAnsi="Verdana" w:cs="Times New Roman"/>
                <w:sz w:val="20"/>
                <w:szCs w:val="20"/>
                <w:lang w:val="sr-Latn-RS" w:eastAsia="zh-TW"/>
              </w:rPr>
              <w:t>U pitanju su dva potpuno odvojena procesa, otkup dokumentacije je samo prvi korak koji omogućava podnošenje ponude na aukciji i da nije povezan sa bankabilnošću projekata i ne omogućava dobijanje kredita. Banke imaju svoje procedure i kriterijume za odobravanje kredita. Projekti koji budu pobjednici na aukcijama tj koji dobiju pravo na tržišnu premiju, njihovi projekti imaju puno vecć šansu za dobijanje kredita tj finansijske podrške za realizaciju, ali to je takodje samo jedan od faktora koje banke uzimaju u obzir, ali vrlo bitan i banke su spremne da podrže projekte koji dobiju tr</w:t>
            </w:r>
            <w:r>
              <w:rPr>
                <w:rFonts w:ascii="Verdana" w:eastAsia="Times New Roman" w:hAnsi="Verdana" w:cs="Times New Roman"/>
                <w:sz w:val="20"/>
                <w:szCs w:val="20"/>
                <w:lang w:val="sr-Latn-RS" w:eastAsia="zh-TW"/>
              </w:rPr>
              <w:t>žiš</w:t>
            </w:r>
            <w:r w:rsidRPr="002B06A6">
              <w:rPr>
                <w:rFonts w:ascii="Verdana" w:eastAsia="Times New Roman" w:hAnsi="Verdana" w:cs="Times New Roman"/>
                <w:sz w:val="20"/>
                <w:szCs w:val="20"/>
                <w:lang w:val="sr-Latn-RS" w:eastAsia="zh-TW"/>
              </w:rPr>
              <w:t>nu premiju.</w:t>
            </w:r>
          </w:p>
        </w:tc>
      </w:tr>
      <w:tr w:rsidR="00340FAB" w14:paraId="1C8608A8" w14:textId="77777777" w:rsidTr="00340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72C2CD53" w14:textId="2D935160" w:rsidR="00340FAB" w:rsidRPr="00E02AD2" w:rsidRDefault="00340FAB" w:rsidP="00302FFF">
            <w:pPr>
              <w:spacing w:after="0" w:line="240" w:lineRule="auto"/>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22</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6CFE860" w14:textId="691F59BE" w:rsidR="00340FAB" w:rsidRPr="00E02AD2" w:rsidRDefault="00340FAB" w:rsidP="00302FFF">
            <w:pPr>
              <w:spacing w:after="0" w:line="240" w:lineRule="auto"/>
              <w:jc w:val="both"/>
              <w:rPr>
                <w:rFonts w:ascii="Verdana" w:eastAsia="Times New Roman" w:hAnsi="Verdana" w:cs="Times New Roman"/>
                <w:sz w:val="20"/>
                <w:szCs w:val="20"/>
                <w:lang w:val="sr-Latn-ME" w:eastAsia="zh-TW"/>
              </w:rPr>
            </w:pPr>
            <w:r w:rsidRPr="00E02AD2">
              <w:rPr>
                <w:rFonts w:ascii="Verdana" w:eastAsia="Times New Roman" w:hAnsi="Verdana" w:cs="Times New Roman"/>
                <w:sz w:val="20"/>
                <w:szCs w:val="20"/>
                <w:lang w:val="sr-Latn-ME" w:eastAsia="zh-TW"/>
              </w:rPr>
              <w:t>Da li je moguće da bankarsku garanciju izda banka koja nema sjedište u Crnoj Gori, I koji su uslovi za navedeno?</w:t>
            </w: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611277AD" w14:textId="77777777" w:rsidR="00340FAB" w:rsidRPr="00E02AD2" w:rsidRDefault="00340FAB" w:rsidP="00302FFF">
            <w:pPr>
              <w:spacing w:after="0" w:line="240" w:lineRule="auto"/>
              <w:jc w:val="both"/>
              <w:rPr>
                <w:rFonts w:ascii="Verdana" w:eastAsia="Times New Roman" w:hAnsi="Verdana" w:cs="Times New Roman"/>
                <w:sz w:val="20"/>
                <w:szCs w:val="20"/>
                <w:lang w:val="sr-Latn-RS" w:eastAsia="zh-TW"/>
              </w:rPr>
            </w:pPr>
            <w:r w:rsidRPr="00E02AD2">
              <w:rPr>
                <w:rFonts w:ascii="Verdana" w:eastAsia="Times New Roman" w:hAnsi="Verdana" w:cs="Times New Roman"/>
                <w:sz w:val="20"/>
                <w:szCs w:val="20"/>
                <w:lang w:val="sr-Latn-RS" w:eastAsia="zh-TW"/>
              </w:rPr>
              <w:t xml:space="preserve">Ne.Tenderskom dokumentacijom eksplicitno je predviđeno da bankarska garancija za ozbiljnost ponude, kao i bankarska garancija za završetak projekta moraju biti </w:t>
            </w:r>
            <w:r w:rsidRPr="00E02AD2">
              <w:rPr>
                <w:rFonts w:ascii="Verdana" w:eastAsia="Times New Roman" w:hAnsi="Verdana" w:cs="Times New Roman"/>
                <w:sz w:val="20"/>
                <w:szCs w:val="20"/>
                <w:lang w:val="sr-Latn-RS" w:eastAsia="zh-TW"/>
              </w:rPr>
              <w:lastRenderedPageBreak/>
              <w:t>izdate od strane banke registrovane u Crnoj Gori.</w:t>
            </w:r>
          </w:p>
        </w:tc>
      </w:tr>
      <w:tr w:rsidR="00340FAB" w14:paraId="6CE5E6E4" w14:textId="77777777" w:rsidTr="00340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170253E1" w14:textId="76C361CD" w:rsidR="00340FAB" w:rsidRPr="00E02AD2" w:rsidRDefault="00340FAB" w:rsidP="00302FFF">
            <w:pPr>
              <w:spacing w:after="0" w:line="240" w:lineRule="auto"/>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lastRenderedPageBreak/>
              <w:t>23</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06E295" w14:textId="364BDA4C" w:rsidR="00340FAB" w:rsidRPr="00E02AD2" w:rsidRDefault="00340FAB" w:rsidP="00302FFF">
            <w:pPr>
              <w:spacing w:after="0" w:line="240" w:lineRule="auto"/>
              <w:jc w:val="both"/>
              <w:rPr>
                <w:rFonts w:ascii="Verdana" w:eastAsia="Times New Roman" w:hAnsi="Verdana" w:cs="Times New Roman"/>
                <w:sz w:val="20"/>
                <w:szCs w:val="20"/>
                <w:lang w:val="sr-Latn-ME" w:eastAsia="zh-TW"/>
              </w:rPr>
            </w:pPr>
            <w:r w:rsidRPr="00E02AD2">
              <w:rPr>
                <w:rFonts w:ascii="Verdana" w:eastAsia="Times New Roman" w:hAnsi="Verdana" w:cs="Times New Roman"/>
                <w:sz w:val="20"/>
                <w:szCs w:val="20"/>
                <w:lang w:val="sr-Latn-ME" w:eastAsia="zh-TW"/>
              </w:rPr>
              <w:t>Da li u slučaju konzorcijuma, bankarska garancija mora da glasi na članove konzorcijuma ili može da glasi na jednog od članova konzorcijuma?</w:t>
            </w: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6C2F47E4" w14:textId="77777777" w:rsidR="00340FAB" w:rsidRPr="00E02AD2" w:rsidRDefault="00340FAB" w:rsidP="00302FFF">
            <w:pPr>
              <w:spacing w:after="0" w:line="240" w:lineRule="auto"/>
              <w:jc w:val="both"/>
              <w:rPr>
                <w:rFonts w:ascii="Verdana" w:eastAsia="Times New Roman" w:hAnsi="Verdana" w:cs="Times New Roman"/>
                <w:sz w:val="20"/>
                <w:szCs w:val="20"/>
                <w:lang w:val="sr-Latn-RS" w:eastAsia="zh-TW"/>
              </w:rPr>
            </w:pPr>
            <w:r w:rsidRPr="00E02AD2">
              <w:rPr>
                <w:rFonts w:ascii="Verdana" w:eastAsia="Times New Roman" w:hAnsi="Verdana" w:cs="Times New Roman"/>
                <w:sz w:val="20"/>
                <w:szCs w:val="20"/>
                <w:lang w:val="sr-Latn-RS" w:eastAsia="zh-TW"/>
              </w:rPr>
              <w:t>Bankarska garancija izdaje se kao sredstvo obezbeđenja ispunjenja obaveza od strane društva koje je podnelo ponudu za učestvovanje u aukciji (koje se time smatra učesnikom aukcije/ponuđačem). Svi uslovi za učestvovanje moraju biti ispunjeni od strane jednog lica koje se smatra učesnikom aukcije, dakle, sva dokumenta, dozvole, uslovi, izvodi i drugi dokazi predviđeni Tenderskom dokumentacijom za učestvovanje, kvalifikaciju i nadmetanje u ovom postupku aukcije moraju glasiti na jedno isto lice i projekat koji to lice razvija. Zajedničke ponude i ponude konzorcijuma zbog toga u ovom postupku aukcije nisu dozvoljene. Radi izbegavanja sumnje, učesnik aukcije ima pravo da bankarsku garanciju za ozbiljnost ponude (i kasnije za završetak projekta) obezbedi uz pomoć finansijskih sredstava koje je neko treće lice obezbedilo banci izdavaocu, sve dok se izdata bankarska garancija odnosi na obaveze tog učesnika aukcije koje je podnelo ponudu i dok u potpunosti odgovara uslovima iz Tenderske dokumentacije.</w:t>
            </w:r>
          </w:p>
        </w:tc>
      </w:tr>
      <w:tr w:rsidR="00340FAB" w14:paraId="1B8B4A90" w14:textId="77777777" w:rsidTr="00340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139ABD68" w14:textId="512F441E" w:rsidR="00340FAB" w:rsidRPr="00E02AD2" w:rsidRDefault="00340FAB" w:rsidP="00302FFF">
            <w:pPr>
              <w:spacing w:after="0" w:line="240" w:lineRule="auto"/>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24</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AD7BCC7" w14:textId="4F58900A" w:rsidR="00340FAB" w:rsidRPr="00E02AD2" w:rsidRDefault="00340FAB" w:rsidP="00302FFF">
            <w:pPr>
              <w:spacing w:after="0" w:line="240" w:lineRule="auto"/>
              <w:jc w:val="both"/>
              <w:rPr>
                <w:rFonts w:ascii="Verdana" w:eastAsia="Times New Roman" w:hAnsi="Verdana" w:cs="Times New Roman"/>
                <w:sz w:val="20"/>
                <w:szCs w:val="20"/>
                <w:lang w:val="sr-Latn-ME" w:eastAsia="zh-TW"/>
              </w:rPr>
            </w:pPr>
            <w:r w:rsidRPr="00E02AD2">
              <w:rPr>
                <w:rFonts w:ascii="Verdana" w:eastAsia="Times New Roman" w:hAnsi="Verdana" w:cs="Times New Roman"/>
                <w:sz w:val="20"/>
                <w:szCs w:val="20"/>
                <w:lang w:val="sr-Latn-ME" w:eastAsia="zh-TW"/>
              </w:rPr>
              <w:t xml:space="preserve">Na koji period se izdaje bankarska garancija za završetak projekta, obzirom da je u tenderskoj dokumentaciji navedeno da je to datum koji je dva (2) mjeseca duži od datuma isteka roka </w:t>
            </w:r>
            <w:r w:rsidRPr="00E02AD2">
              <w:rPr>
                <w:rFonts w:ascii="Verdana" w:eastAsia="Times New Roman" w:hAnsi="Verdana" w:cs="Times New Roman"/>
                <w:sz w:val="20"/>
                <w:szCs w:val="20"/>
                <w:lang w:val="sr-Latn-ME" w:eastAsia="zh-TW"/>
              </w:rPr>
              <w:lastRenderedPageBreak/>
              <w:t>trajanja statusa privremenog povlašćenog proizvođača, koji period je koliko smo razumjeli dvije (2) godine?</w:t>
            </w: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5171F330" w14:textId="77777777" w:rsidR="00340FAB" w:rsidRPr="00E02AD2" w:rsidRDefault="00340FAB" w:rsidP="00302FFF">
            <w:pPr>
              <w:spacing w:after="0" w:line="240" w:lineRule="auto"/>
              <w:jc w:val="both"/>
              <w:rPr>
                <w:rFonts w:ascii="Verdana" w:eastAsia="Times New Roman" w:hAnsi="Verdana" w:cs="Times New Roman"/>
                <w:sz w:val="20"/>
                <w:szCs w:val="20"/>
                <w:lang w:val="sr-Latn-RS" w:eastAsia="zh-TW"/>
              </w:rPr>
            </w:pPr>
            <w:r w:rsidRPr="00E02AD2">
              <w:rPr>
                <w:rFonts w:ascii="Verdana" w:eastAsia="Times New Roman" w:hAnsi="Verdana" w:cs="Times New Roman"/>
                <w:sz w:val="20"/>
                <w:szCs w:val="20"/>
                <w:lang w:val="sr-Latn-RS" w:eastAsia="zh-TW"/>
              </w:rPr>
              <w:lastRenderedPageBreak/>
              <w:t xml:space="preserve">Rok trajanja statusa privremenog povlašćenog proizvođača određuje </w:t>
            </w:r>
            <w:r w:rsidRPr="00E02AD2">
              <w:rPr>
                <w:rFonts w:ascii="Verdana" w:eastAsia="Times New Roman" w:hAnsi="Verdana" w:cs="Times New Roman"/>
                <w:sz w:val="20"/>
                <w:szCs w:val="20"/>
                <w:lang w:val="sr-Latn-RS" w:eastAsia="zh-TW"/>
              </w:rPr>
              <w:lastRenderedPageBreak/>
              <w:t>Ministarstvo u rešenju o dodeljivanu prava na tržišnu premiju i sticanju statusa privremenog povlašćenog proizvođača, nakon sprovedenog postupka aukcije, a rok trajanja statusa se utvrđuje u skladu sa članom 41. Zakona o korišćenju energije iz obnovljivih izvora. Bankarska garancija za završetak projekta se izdaje sa rokom važenja koji je najmanje 2 meseca duži od roka trajanja statusa privremenog povlašćenog proizvođača koji će biti utvrđen u pomenutom rešenju Ministarstva.</w:t>
            </w:r>
          </w:p>
        </w:tc>
      </w:tr>
      <w:tr w:rsidR="00340FAB" w14:paraId="79654641" w14:textId="77777777" w:rsidTr="00340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4CD2F8CB" w14:textId="65128698"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lastRenderedPageBreak/>
              <w:t>25</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A683B7" w14:textId="3260F63B"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r w:rsidRPr="00C55B70">
              <w:rPr>
                <w:rFonts w:ascii="Verdana" w:eastAsia="Times New Roman" w:hAnsi="Verdana" w:cs="Times New Roman"/>
                <w:sz w:val="20"/>
                <w:szCs w:val="20"/>
                <w:lang w:val="sr-Latn-ME" w:eastAsia="zh-TW"/>
              </w:rPr>
              <w:t>Postoje tri dozvole sa različitim kapacitetima u pogledu obavezne snage, prostorno-planske osnove za izgradnju elektrane ; dokumenta o uslovima u vezi sa mogućnošću priključenja elektrane; i građevinske dozvole ili radne dozvole elektrane (u skladu sa izjavom ponuđača). Koji kapacitet treba koristiti kao osnovu, a šta ako je kapacitet prostorno-planske osnove za izgradnju elektrane i dokumenta o uslovima u vezi sa mogućnošću priključenja elektrane manji od građevinske dozvole ili radne dozvole?</w:t>
            </w: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3B17BC6D" w14:textId="77777777" w:rsidR="00340FAB" w:rsidRPr="00C55B70" w:rsidRDefault="00340FAB" w:rsidP="00FF149A">
            <w:pPr>
              <w:spacing w:after="0" w:line="240" w:lineRule="auto"/>
              <w:jc w:val="both"/>
              <w:rPr>
                <w:rFonts w:ascii="Verdana" w:eastAsia="Times New Roman" w:hAnsi="Verdana" w:cs="Times New Roman"/>
                <w:sz w:val="20"/>
                <w:szCs w:val="20"/>
                <w:lang w:val="sr-Latn-RS" w:eastAsia="zh-TW"/>
              </w:rPr>
            </w:pPr>
            <w:r w:rsidRPr="00C55B70">
              <w:rPr>
                <w:rFonts w:ascii="MS Gothic" w:eastAsia="MS Gothic" w:hAnsi="MS Gothic" w:cs="MS Gothic" w:hint="eastAsia"/>
                <w:sz w:val="20"/>
                <w:szCs w:val="20"/>
                <w:lang w:val="sr-Latn-RS" w:eastAsia="zh-TW"/>
              </w:rPr>
              <w:t xml:space="preserve">　</w:t>
            </w:r>
            <w:r w:rsidRPr="00C55B70">
              <w:rPr>
                <w:rFonts w:ascii="Verdana" w:eastAsia="Times New Roman" w:hAnsi="Verdana" w:cs="Times New Roman"/>
                <w:sz w:val="20"/>
                <w:szCs w:val="20"/>
                <w:lang w:val="sr-Latn-RS" w:eastAsia="zh-TW"/>
              </w:rPr>
              <w:t>Obavezna snaga elektrane biće snaga elektrane iz izjave ponuđača podnete u skladu sa članom 2.1.2, stav 1, tačka 12) Uputstva (tj. Snaga elektrane za koju će Učesnik aukcije dobiti građevinsku dozvolu i/ili upotrebnu dozvolu, odnosno snaga elektrane za koju će dobiti dozvolu za izgradnju elektrane i/ili akt nadležnog organa kojim se odobrava upotreba elektrane u MW („Obavezna snaga“).</w:t>
            </w:r>
          </w:p>
          <w:p w14:paraId="18A47D3D" w14:textId="77777777" w:rsidR="00340FAB" w:rsidRPr="00C55B70" w:rsidRDefault="00340FAB" w:rsidP="00FF149A">
            <w:pPr>
              <w:spacing w:after="0" w:line="240" w:lineRule="auto"/>
              <w:jc w:val="both"/>
              <w:rPr>
                <w:rFonts w:ascii="Verdana" w:eastAsia="Times New Roman" w:hAnsi="Verdana" w:cs="Times New Roman"/>
                <w:sz w:val="20"/>
                <w:szCs w:val="20"/>
                <w:lang w:val="sr-Latn-RS" w:eastAsia="zh-TW"/>
              </w:rPr>
            </w:pPr>
            <w:r w:rsidRPr="00C55B70">
              <w:rPr>
                <w:rFonts w:ascii="Verdana" w:eastAsia="Times New Roman" w:hAnsi="Verdana" w:cs="Times New Roman"/>
                <w:sz w:val="20"/>
                <w:szCs w:val="20"/>
                <w:lang w:val="sr-Latn-RS" w:eastAsia="zh-TW"/>
              </w:rPr>
              <w:t xml:space="preserve">U ovoj izjavi, ponuđač sam određuje koja je obavezna snaga koju se obavezuje da izgradi, a ta obavezna snaga će se dalje smatrati kao ukupna snaga elektrane za procenu minimalnog ponuđene snage (najmanje 50% Obavezne snage) i drugih ocena u toku aukcije. Sve dok Obavezna </w:t>
            </w:r>
            <w:r w:rsidRPr="00C55B70">
              <w:rPr>
                <w:rFonts w:ascii="Verdana" w:eastAsia="Times New Roman" w:hAnsi="Verdana" w:cs="Times New Roman"/>
                <w:sz w:val="20"/>
                <w:szCs w:val="20"/>
                <w:lang w:val="sr-Latn-RS" w:eastAsia="zh-TW"/>
              </w:rPr>
              <w:lastRenderedPageBreak/>
              <w:t>snaga nije veća od bilo koje od snaga utvrđenih u prostorno-planskoj dokumentaciji za izgradnju, građevinskoj dozvoli ili ugovoru o priključenju/analizi o mogućnostima priključenja, dozvoljeno je (tj. podrazumeva se) da se ta Obavezna snaga iz Izjave razlikuje (i bude manja) od snage elektrane utvrđene u prostorno-planskoj dokumentaciji za izgradnju, građevinskoj dozvoli ili ugovoru/analizi o priključenju.</w:t>
            </w:r>
          </w:p>
        </w:tc>
      </w:tr>
      <w:tr w:rsidR="00340FAB" w14:paraId="315E35DD" w14:textId="77777777" w:rsidTr="00340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028821A4" w14:textId="46E37BA4"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lastRenderedPageBreak/>
              <w:t>26</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D451530" w14:textId="549F68E6"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r w:rsidRPr="00C55B70">
              <w:rPr>
                <w:rFonts w:ascii="Verdana" w:eastAsia="Times New Roman" w:hAnsi="Verdana" w:cs="Times New Roman"/>
                <w:sz w:val="20"/>
                <w:szCs w:val="20"/>
                <w:lang w:val="sr-Latn-ME" w:eastAsia="zh-TW"/>
              </w:rPr>
              <w:t>Da li se bankarska garancija za završetak projekta može prevremeno osloboditi nakon uspešnog završetka projekta i sticanja statusa privilegovanog proizvođača, pre isteka privremenog statusa?</w:t>
            </w: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1E4AA9BB" w14:textId="77777777" w:rsidR="00340FAB" w:rsidRPr="00C55B70" w:rsidRDefault="00340FAB" w:rsidP="00FF149A">
            <w:pPr>
              <w:spacing w:after="0" w:line="240" w:lineRule="auto"/>
              <w:jc w:val="both"/>
              <w:rPr>
                <w:rFonts w:ascii="Verdana" w:eastAsia="Times New Roman" w:hAnsi="Verdana" w:cs="Times New Roman"/>
                <w:sz w:val="20"/>
                <w:szCs w:val="20"/>
                <w:lang w:val="sr-Latn-RS" w:eastAsia="zh-TW"/>
              </w:rPr>
            </w:pPr>
            <w:r w:rsidRPr="00C55B70">
              <w:rPr>
                <w:rFonts w:ascii="Verdana" w:eastAsia="Times New Roman" w:hAnsi="Verdana" w:cs="Times New Roman"/>
                <w:sz w:val="20"/>
                <w:szCs w:val="20"/>
                <w:lang w:val="sr-Latn-RS" w:eastAsia="zh-TW"/>
              </w:rPr>
              <w:t>Da. Garancija za završetak projekta biće vraćena privremenom povlašćenom proizvođaču čim proizvođač pribavi status povlašćenog proizvođača. Ova garancija biće vraćena u razumnom roku, nakon podnošenja zahteva za vraćanje garancije nakon sticanja statusa povlašćenog proizvođača, koji proizvođač podnosi Ministarstvu u slobodnoj formi.</w:t>
            </w:r>
          </w:p>
        </w:tc>
      </w:tr>
      <w:tr w:rsidR="00340FAB" w14:paraId="599EEB1E" w14:textId="77777777" w:rsidTr="00340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1B0C8E27" w14:textId="67678E5B"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27</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6452B57" w14:textId="3B7F3B23"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r w:rsidRPr="00C55B70">
              <w:rPr>
                <w:rFonts w:ascii="Verdana" w:eastAsia="Times New Roman" w:hAnsi="Verdana" w:cs="Times New Roman"/>
                <w:sz w:val="20"/>
                <w:szCs w:val="20"/>
                <w:lang w:val="sr-Latn-ME" w:eastAsia="zh-TW"/>
              </w:rPr>
              <w:t>Koji je tačan rok za podnošenje i otvaranje koverte 2.1.1 (Dokumentacija o podobnosti)?</w:t>
            </w: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269C6A18" w14:textId="77777777" w:rsidR="00340FAB" w:rsidRPr="00C55B70" w:rsidRDefault="00340FAB" w:rsidP="00FF149A">
            <w:pPr>
              <w:spacing w:after="0" w:line="240" w:lineRule="auto"/>
              <w:jc w:val="both"/>
              <w:rPr>
                <w:rFonts w:ascii="Verdana" w:eastAsia="Times New Roman" w:hAnsi="Verdana" w:cs="Times New Roman"/>
                <w:sz w:val="20"/>
                <w:szCs w:val="20"/>
                <w:lang w:val="sr-Latn-RS" w:eastAsia="zh-TW"/>
              </w:rPr>
            </w:pPr>
            <w:r w:rsidRPr="00C55B70">
              <w:rPr>
                <w:rFonts w:ascii="Verdana" w:eastAsia="Times New Roman" w:hAnsi="Verdana" w:cs="Times New Roman"/>
                <w:sz w:val="20"/>
                <w:szCs w:val="20"/>
                <w:lang w:val="sr-Latn-RS" w:eastAsia="zh-TW"/>
              </w:rPr>
              <w:t xml:space="preserve">Sva dokumenta koja predstavljaju sastavni deo ponude i koja su navedena u članu 2.1 Uputstva za ponuđače i sve Koverte uključujući Kovertu 2.1.1, se podnose istovremeno do 10. novembra 2025. godine (rok za podnošenje ponuda), sve u skladu sa Tenderskom dokumentacijom. Otvaranje Ponuda i vremenski </w:t>
            </w:r>
            <w:r w:rsidRPr="00C55B70">
              <w:rPr>
                <w:rFonts w:ascii="Verdana" w:eastAsia="Times New Roman" w:hAnsi="Verdana" w:cs="Times New Roman"/>
                <w:sz w:val="20"/>
                <w:szCs w:val="20"/>
                <w:lang w:val="sr-Latn-RS" w:eastAsia="zh-TW"/>
              </w:rPr>
              <w:lastRenderedPageBreak/>
              <w:t>rokovi u aukciji su predviđeni u članu 1.9 Uputstva za ponuđače.</w:t>
            </w:r>
          </w:p>
        </w:tc>
      </w:tr>
      <w:tr w:rsidR="00340FAB" w:rsidRPr="00351F66" w14:paraId="76FA7340" w14:textId="77777777" w:rsidTr="00340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2757B00B" w14:textId="7D87F79B"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lastRenderedPageBreak/>
              <w:t>28</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0AEB3EB" w14:textId="4BB62FE1"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r w:rsidRPr="00C55B70">
              <w:rPr>
                <w:rFonts w:ascii="Verdana" w:eastAsia="Times New Roman" w:hAnsi="Verdana" w:cs="Times New Roman"/>
                <w:sz w:val="20"/>
                <w:szCs w:val="20"/>
                <w:lang w:val="sr-Latn-ME" w:eastAsia="zh-TW"/>
              </w:rPr>
              <w:t>Nakon što Ugovor 2 ( Dodatak 1 , str . 56) stupi na snagu, obaveze ( prenos energije/vlasništva na mestu isporuke) i (balansiranje odgovornosti) se više ne primenjuju na nas prema ovom sporazumu?</w:t>
            </w:r>
          </w:p>
          <w:p w14:paraId="093905EE" w14:textId="77777777"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r w:rsidRPr="00C55B70">
              <w:rPr>
                <w:rFonts w:ascii="Verdana" w:eastAsia="Times New Roman" w:hAnsi="Verdana" w:cs="Times New Roman"/>
                <w:sz w:val="20"/>
                <w:szCs w:val="20"/>
                <w:lang w:val="sr-Latn-ME" w:eastAsia="zh-TW"/>
              </w:rPr>
              <w:t>Ako je tako, da li treba da organizujemo pre kraja prelaznog perioda da neka druga ovlašćena ugovorna strana preuzme ove obaveze?</w:t>
            </w:r>
          </w:p>
          <w:p w14:paraId="6BA540D8" w14:textId="77777777"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r w:rsidRPr="00C55B70">
              <w:rPr>
                <w:rFonts w:ascii="Verdana" w:eastAsia="Times New Roman" w:hAnsi="Verdana" w:cs="Times New Roman"/>
                <w:sz w:val="20"/>
                <w:szCs w:val="20"/>
                <w:lang w:val="sr-Latn-ME" w:eastAsia="zh-TW"/>
              </w:rPr>
              <w:t>Nakon završetka prelaznog perioda, da li je potrebno da potpišemo poseban sporazum kako bismo osigurali prenos energije novoj ovlašćenoj ugovornoj strani ili se ovaj prelaz obavlja automatski u okviru tržišne premije?</w:t>
            </w: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3DB57FF3" w14:textId="77777777" w:rsidR="00340FAB" w:rsidRPr="00C55B70" w:rsidRDefault="00340FAB" w:rsidP="00FF149A">
            <w:pPr>
              <w:spacing w:after="0" w:line="240" w:lineRule="auto"/>
              <w:jc w:val="both"/>
              <w:rPr>
                <w:rFonts w:ascii="Verdana" w:eastAsia="Times New Roman" w:hAnsi="Verdana" w:cs="Times New Roman"/>
                <w:sz w:val="20"/>
                <w:szCs w:val="20"/>
                <w:lang w:val="sr-Latn-RS" w:eastAsia="zh-TW"/>
              </w:rPr>
            </w:pPr>
            <w:r w:rsidRPr="00C55B70">
              <w:rPr>
                <w:rFonts w:ascii="Verdana" w:eastAsia="Times New Roman" w:hAnsi="Verdana" w:cs="Times New Roman"/>
                <w:sz w:val="20"/>
                <w:szCs w:val="20"/>
                <w:lang w:val="sr-Latn-RS" w:eastAsia="zh-TW"/>
              </w:rPr>
              <w:t>Nakon završetka prelaznog perioda iz člana 13. Zakona o OIE, prestaje pravo proizvođača na prenos i prodaju električne energije ovlašćenoj ugovornoj stranu po Ugovoru 1 Priloga 5 Tenderske dokumentacije, a umesto tog ugovora na snagu stupa Ugovor 2 ( CfD ). Po završetku takvog prelaznog perioda i prestanka važenja Ugovora 1, proizvođač je dužan da reguliše prodaju električne energije iz svoje elektrane na otvorenom tržištu.</w:t>
            </w:r>
          </w:p>
        </w:tc>
      </w:tr>
      <w:tr w:rsidR="00340FAB" w:rsidRPr="00351F66" w14:paraId="76C7E581" w14:textId="77777777" w:rsidTr="00340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04A7525A" w14:textId="0EF0B7B9"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29</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2466A0" w14:textId="6A095FA6"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r w:rsidRPr="00C55B70">
              <w:rPr>
                <w:rFonts w:ascii="Verdana" w:eastAsia="Times New Roman" w:hAnsi="Verdana" w:cs="Times New Roman"/>
                <w:sz w:val="20"/>
                <w:szCs w:val="20"/>
                <w:lang w:val="sr-Latn-ME" w:eastAsia="zh-TW"/>
              </w:rPr>
              <w:t>Da li potpisivanje naša dva Ugovora o tržišnoj premiji (P40 i P56) znači da smo automatski zaključili ugovor o preuzimanju odgovornosti za balansiranje sa ovlašćenom protivnom stranom?</w:t>
            </w:r>
          </w:p>
          <w:p w14:paraId="6C81ABB7" w14:textId="77777777"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r w:rsidRPr="00C55B70">
              <w:rPr>
                <w:rFonts w:ascii="Verdana" w:eastAsia="Times New Roman" w:hAnsi="Verdana" w:cs="Times New Roman"/>
                <w:sz w:val="20"/>
                <w:szCs w:val="20"/>
                <w:lang w:val="sr-Latn-ME" w:eastAsia="zh-TW"/>
              </w:rPr>
              <w:t>Ako ne, da li je potrebno da posebno potpišemo Ugovor o odgovornosti za balansiranje i da li to treba da se uradi pre ili nakon što Ugovori o tržišnoj premiji stupe na snagu?</w:t>
            </w: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45A57009" w14:textId="77777777" w:rsidR="00340FAB" w:rsidRPr="00C55B70" w:rsidRDefault="00340FAB" w:rsidP="00FF149A">
            <w:pPr>
              <w:spacing w:after="0" w:line="240" w:lineRule="auto"/>
              <w:jc w:val="both"/>
              <w:rPr>
                <w:rFonts w:ascii="Verdana" w:eastAsia="Times New Roman" w:hAnsi="Verdana" w:cs="Times New Roman"/>
                <w:sz w:val="20"/>
                <w:szCs w:val="20"/>
                <w:lang w:val="sr-Latn-RS" w:eastAsia="zh-TW"/>
              </w:rPr>
            </w:pPr>
            <w:r w:rsidRPr="00C55B70">
              <w:rPr>
                <w:rFonts w:ascii="Verdana" w:eastAsia="Times New Roman" w:hAnsi="Verdana" w:cs="Times New Roman"/>
                <w:sz w:val="20"/>
                <w:szCs w:val="20"/>
                <w:lang w:val="sr-Latn-RS" w:eastAsia="zh-TW"/>
              </w:rPr>
              <w:t xml:space="preserve">Ugovor o preuzimanju balansne odgovornosti iz Priloga 6 Tenderske dokumentacije mora biti zasebno potpisan od strane povlašćenog proizvođača i ovlašćene ugovorne strane, paralelno sa potpisivanjem Ugovora o tržišnoj premiji iz Priloga 5 Tenderske dokumentacije. Balansna odgovornost povlašćenog proizvođača prenosi se na ovlašćenu ugovornu stranu uz naknadu od 0,05471 EUR/kWh za svako odstupanje tokom prelaznog perioda za balansiranje iz člana 23 Zakona o OIE, u skladu sa Ugovorom o preuzimanju balansne  odgovornosti iz Priloga 6 Tenderske dokumentacije. Po isteku prelaznog perioda za balansiranje iz člana 23 Zakona o OIE, </w:t>
            </w:r>
            <w:r w:rsidRPr="00C55B70">
              <w:rPr>
                <w:rFonts w:ascii="Verdana" w:eastAsia="Times New Roman" w:hAnsi="Verdana" w:cs="Times New Roman"/>
                <w:sz w:val="20"/>
                <w:szCs w:val="20"/>
                <w:lang w:val="sr-Latn-RS" w:eastAsia="zh-TW"/>
              </w:rPr>
              <w:lastRenderedPageBreak/>
              <w:t>povlašćeni proizvođači su dužni da regulišu sopstvenu balansnu odgovornost i po potrebi je prenesu na drugu balansno odgovornu stranu.</w:t>
            </w:r>
          </w:p>
        </w:tc>
      </w:tr>
      <w:tr w:rsidR="00340FAB" w14:paraId="291BA921" w14:textId="77777777" w:rsidTr="00340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2485"/>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34B9EEFC" w14:textId="721EAB95"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lastRenderedPageBreak/>
              <w:t>30</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90A4BB5" w14:textId="220F0184"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r w:rsidRPr="00C55B70">
              <w:rPr>
                <w:rFonts w:ascii="Verdana" w:eastAsia="Times New Roman" w:hAnsi="Verdana" w:cs="Times New Roman"/>
                <w:sz w:val="20"/>
                <w:szCs w:val="20"/>
                <w:lang w:val="sr-Latn-ME" w:eastAsia="zh-TW"/>
              </w:rPr>
              <w:t xml:space="preserve">Kako se vrši dodjela I rangiranje u slučaju kad preostala kvota nije dovoljna za 50% ponudjenog kapaciteta čak i onda ako se kvota proširi za 20%? Da li se tada ponudjaču odobrava kvota koja je preostala I proširena za maks 20% iako je to manje od ponudjenog minimuma od 50% kapaciteta? </w:t>
            </w:r>
          </w:p>
          <w:p w14:paraId="2B073646" w14:textId="77777777"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r w:rsidRPr="00C55B70">
              <w:rPr>
                <w:rFonts w:ascii="Verdana" w:eastAsia="Times New Roman" w:hAnsi="Verdana" w:cs="Times New Roman"/>
                <w:sz w:val="20"/>
                <w:szCs w:val="20"/>
                <w:lang w:val="sr-Latn-ME" w:eastAsia="zh-TW"/>
              </w:rPr>
              <w:t>Primjer: Prvorangirani ponudjač je dobio 200MW, drugorangirani  sa svojih 50% kapaciteta je ponudio 110MW. Sa proširenom kvotom od 20% preostala kvota za dodjelu je 100MW što je manje od ponudjenih 110MW. Da li se u tom slučaju drugorangiranom dodjeluje kvota od 100MW koja je manja od 50% kapaciteta elektrane?</w:t>
            </w:r>
          </w:p>
          <w:p w14:paraId="4EB9D4E6" w14:textId="77777777"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p>
          <w:p w14:paraId="4A29619B" w14:textId="77777777"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5CF7CA60" w14:textId="1937A02F" w:rsidR="00340FAB" w:rsidRPr="00C55B70" w:rsidRDefault="00340FAB" w:rsidP="00FF149A">
            <w:pPr>
              <w:spacing w:after="0" w:line="240" w:lineRule="auto"/>
              <w:jc w:val="both"/>
              <w:rPr>
                <w:rFonts w:ascii="Verdana" w:eastAsia="Times New Roman" w:hAnsi="Verdana" w:cs="Times New Roman"/>
                <w:sz w:val="20"/>
                <w:szCs w:val="20"/>
                <w:lang w:val="sr-Latn-RS" w:eastAsia="zh-TW"/>
              </w:rPr>
            </w:pPr>
            <w:r w:rsidRPr="00C55B70">
              <w:rPr>
                <w:rFonts w:ascii="Verdana" w:eastAsia="Times New Roman" w:hAnsi="Verdana" w:cs="Times New Roman"/>
                <w:sz w:val="20"/>
                <w:szCs w:val="20"/>
                <w:lang w:val="sr-Latn-RS" w:eastAsia="zh-TW"/>
              </w:rPr>
              <w:t xml:space="preserve">U datom primeru, preostala kvota bi se popunjavala u skladu sa članom 3. tačka 5) Uredbe o postupku popunjavanja kvote, proširenja kvote na aukcijama za dodjelu prava na tržišnu premiju za neodređene lokacije i rangiranju ponuda na aukcijama za neodređene lokacije („Službeni list CG”, broj 72/25), a koje je takođe predviđeno u tački 6), člana 1.8 Javnog poziva. S obzirom da je u konkretnom primeru deo ponuđene snage elektrane koji prelazi kvotu veći od 20% kvote aukcije (u primeru deo snage koji prelazi kvotu je 60MW), od Vlade se ne bi tražilo odobrenje za proširenje kvote i ponuđaču bi bilo ponuđeno da stekne pravo na tržišnu premiju samo za deo ponuđene snage koji je popunio inicijalnu kvotu (u vašem primeru to je 50MW). Ovaj ponuđač bi imao pravo da stekne tržišnu premiju za tih 50MW iako to predstavlja manje od 50% njegove odobrene snage. Shodno tome, a u skladu sa članom 5. Pomenute Uredbe, garancija za ozbiljnost ponude ne bi bila aktivirana i ima pravo na umanjenje iznosa finansijskog instrumenta </w:t>
            </w:r>
            <w:r w:rsidRPr="00C55B70">
              <w:rPr>
                <w:rFonts w:ascii="Verdana" w:eastAsia="Times New Roman" w:hAnsi="Verdana" w:cs="Times New Roman"/>
                <w:sz w:val="20"/>
                <w:szCs w:val="20"/>
                <w:lang w:val="sr-Latn-RS" w:eastAsia="zh-TW"/>
              </w:rPr>
              <w:lastRenderedPageBreak/>
              <w:t>obezbjeđenja za ozbiljnost ponude srazmerno dijelu ponuđene snage elektrane koji je ušao u kvotu, a ganarcija za završetak projekta bi bila izdata u odnosu na 50MW snage koja je ušla u kvotu.</w:t>
            </w:r>
          </w:p>
        </w:tc>
      </w:tr>
      <w:tr w:rsidR="00340FAB" w14:paraId="15005E2C" w14:textId="77777777" w:rsidTr="00340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39653255" w14:textId="1D8AF62E"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lastRenderedPageBreak/>
              <w:t>31</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6575F9" w14:textId="5C11FEB4"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r w:rsidRPr="00C55B70">
              <w:rPr>
                <w:rFonts w:ascii="Verdana" w:eastAsia="Times New Roman" w:hAnsi="Verdana" w:cs="Times New Roman"/>
                <w:sz w:val="20"/>
                <w:szCs w:val="20"/>
                <w:lang w:val="sr-Latn-ME" w:eastAsia="zh-TW"/>
              </w:rPr>
              <w:t>U slučaju da projekat ne uspije iz razloga koji nisu povezani sa samim ponuđačem (na primjer, nadležni organ odbije da izda građevinsku dozvolu ili, ako se izda građevinska dozvola a ne može se započeti iz razloga više sile (primjer Botun), ili CGES se obezbijedi mjesto priključka u skladu sa ugovorom), šta će se desiti sa uplaćenim finansijskim garancionim instrumentom, da li se može povući?</w:t>
            </w:r>
          </w:p>
          <w:p w14:paraId="286B9D49" w14:textId="77777777"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p>
          <w:p w14:paraId="437DCC77" w14:textId="77777777" w:rsidR="00340FAB" w:rsidRPr="00C55B70" w:rsidRDefault="00340FAB" w:rsidP="00FF149A">
            <w:pPr>
              <w:spacing w:after="0" w:line="240" w:lineRule="auto"/>
              <w:jc w:val="both"/>
              <w:rPr>
                <w:rFonts w:ascii="Verdana" w:eastAsia="Times New Roman" w:hAnsi="Verdana" w:cs="Times New Roman"/>
                <w:sz w:val="20"/>
                <w:szCs w:val="20"/>
                <w:lang w:val="sr-Latn-ME" w:eastAsia="zh-TW"/>
              </w:rPr>
            </w:pP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4C19CDFE" w14:textId="77777777" w:rsidR="00340FAB" w:rsidRPr="00C55B70" w:rsidRDefault="00340FAB" w:rsidP="00FF149A">
            <w:pPr>
              <w:spacing w:after="0" w:line="240" w:lineRule="auto"/>
              <w:jc w:val="both"/>
              <w:rPr>
                <w:rFonts w:ascii="Verdana" w:eastAsia="Times New Roman" w:hAnsi="Verdana" w:cs="Times New Roman"/>
                <w:sz w:val="20"/>
                <w:szCs w:val="20"/>
                <w:lang w:val="sr-Latn-RS" w:eastAsia="zh-TW"/>
              </w:rPr>
            </w:pPr>
            <w:r w:rsidRPr="00C55B70">
              <w:rPr>
                <w:rFonts w:ascii="Verdana" w:eastAsia="Times New Roman" w:hAnsi="Verdana" w:cs="Times New Roman"/>
                <w:sz w:val="20"/>
                <w:szCs w:val="20"/>
                <w:lang w:val="sr-Latn-RS" w:eastAsia="zh-TW"/>
              </w:rPr>
              <w:t xml:space="preserve">Finansijskim instrumentom obezbeđenja za završetak projekta garantuje se, između ostalog, da će privremeni povlašćeni proizvođač steći status povlašćenog proizvođača u roku propisanom rešenjem o dodeljivanju tržišne premije, odnosno u roku predviđenim članom 41. Zakona o korišćenju energije iz obnovljivih izvora. Članom 41, stav 1. Zakona o korišćenju energije iz obnovljivih izvora predviđeno je da je privremeni povlašćeni proizvođač dužan da u roku od dve godine od sticanja tog statusa pribavi građevinsku dozvolu, a stavom 2. je predviđeno da ukoliko u se građevinska dozvola ne pribavi u roku od dve godine niti se u tom roku podnese zahtev za produženje roka za pribavljanje građevinske dozvole za dodatnih godinu dana usled nastupanja događaja više sile iz stave 4. tog člana, Ministarstvo ukida rešenje o dodeljivanju tržišne premije i samim tim naplaćuje u </w:t>
            </w:r>
            <w:r w:rsidRPr="00C55B70">
              <w:rPr>
                <w:rFonts w:ascii="Verdana" w:eastAsia="Times New Roman" w:hAnsi="Verdana" w:cs="Times New Roman"/>
                <w:sz w:val="20"/>
                <w:szCs w:val="20"/>
                <w:lang w:val="sr-Latn-RS" w:eastAsia="zh-TW"/>
              </w:rPr>
              <w:lastRenderedPageBreak/>
              <w:t xml:space="preserve">celosti datu garanciju za završetak projekta. Stavom 3. pomenutog člana predviđeno je da ukoliko privremeni povlašćeni proizvođač pribavi građevinsku dozvolu u roku od dve godine od sticanja tog statusa, privremeni povlašćeni status može se na njegov zahtev produžiti za još tri godine. Hipotetička situacija koju ste naveli mogla bi da se podvede pod događaj više sile iz člana 41. stav 4. tačka 3) Zakona čime je predviđeno da se trajanje statusa privremenog povlašćenog proizvođača može produžiti za još godinu dana u slučaju "nečinjenja državnih organa, nosilaca javnih ovlašćenja, odnosno nadležnog organa jedinice lokalne samouprave, usljed čega je došlo do prestanka licence, dozvole, odobrenja neophodnog za ispunjavanje obaveza ili ostvarivanje prava koja prestaju da važe ili su poništeni, ili nijesu izdati, izmijenjeni ili produženi u propisanim rokovima prema podnijetom zahtjevu, iz razloga koji se ne mogu pripisati nezakonitom ili nenamjernom ponašanju privremenog povlašćenog proizvođača". Dakle, nastupanjem takvog događaja više sile privremeni povlašćeni proizvođač ima pravo da od Ministarstva zahteva produženje </w:t>
            </w:r>
            <w:r w:rsidRPr="00C55B70">
              <w:rPr>
                <w:rFonts w:ascii="Verdana" w:eastAsia="Times New Roman" w:hAnsi="Verdana" w:cs="Times New Roman"/>
                <w:sz w:val="20"/>
                <w:szCs w:val="20"/>
                <w:lang w:val="sr-Latn-RS" w:eastAsia="zh-TW"/>
              </w:rPr>
              <w:lastRenderedPageBreak/>
              <w:t>trajanja tog statusa za još godinu dana, a ukoliko projekat ne bude završen ni u tom produženom roku tj. Ne stekne povlašćeni status u tom produženom roku, Ministarstvo će u celosti naplatiti dostavljenu garanciju za završetak projekta. proizvođača</w:t>
            </w:r>
          </w:p>
        </w:tc>
      </w:tr>
      <w:tr w:rsidR="00340FAB" w14:paraId="3945F3C7"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51FF7C92" w14:textId="31B1509D" w:rsidR="00340FAB" w:rsidRPr="00D62727" w:rsidRDefault="00340FAB" w:rsidP="003D0711">
            <w:pPr>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lastRenderedPageBreak/>
              <w:t>32</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A71385E" w14:textId="7A48B2C7" w:rsidR="00340FAB" w:rsidRPr="00D62727" w:rsidRDefault="00340FAB" w:rsidP="003D0711">
            <w:pPr>
              <w:jc w:val="both"/>
              <w:rPr>
                <w:rFonts w:ascii="Verdana" w:eastAsia="Times New Roman" w:hAnsi="Verdana" w:cs="Times New Roman"/>
                <w:sz w:val="20"/>
                <w:szCs w:val="20"/>
                <w:lang w:val="sr-Latn-ME" w:eastAsia="zh-TW"/>
              </w:rPr>
            </w:pPr>
            <w:r w:rsidRPr="00D62727">
              <w:rPr>
                <w:rFonts w:ascii="Verdana" w:eastAsia="Times New Roman" w:hAnsi="Verdana" w:cs="Times New Roman"/>
                <w:sz w:val="20"/>
                <w:szCs w:val="20"/>
                <w:lang w:val="sr-Latn-ME" w:eastAsia="zh-TW"/>
              </w:rPr>
              <w:t>Je li proizvođac dužan proizvoditi za vrijeme kad su cijene na referentom tržištu negativne?</w:t>
            </w:r>
          </w:p>
          <w:p w14:paraId="248C328F" w14:textId="77777777" w:rsidR="00340FAB" w:rsidRPr="00D62727" w:rsidRDefault="00340FAB" w:rsidP="003D0711">
            <w:pPr>
              <w:jc w:val="both"/>
              <w:rPr>
                <w:rFonts w:ascii="Verdana" w:eastAsia="Times New Roman" w:hAnsi="Verdana" w:cs="Times New Roman"/>
                <w:sz w:val="20"/>
                <w:szCs w:val="20"/>
                <w:lang w:val="sr-Latn-ME" w:eastAsia="zh-TW"/>
              </w:rPr>
            </w:pPr>
          </w:p>
          <w:p w14:paraId="317C6B92" w14:textId="77777777" w:rsidR="00340FAB" w:rsidRPr="00D62727" w:rsidRDefault="00340FAB" w:rsidP="003D0711">
            <w:pPr>
              <w:jc w:val="both"/>
              <w:rPr>
                <w:rFonts w:ascii="Verdana" w:eastAsia="Times New Roman" w:hAnsi="Verdana" w:cs="Times New Roman"/>
                <w:sz w:val="20"/>
                <w:szCs w:val="20"/>
                <w:lang w:val="sr-Latn-ME" w:eastAsia="zh-TW"/>
              </w:rPr>
            </w:pPr>
            <w:r w:rsidRPr="00D62727">
              <w:rPr>
                <w:rFonts w:ascii="Verdana" w:eastAsia="Times New Roman" w:hAnsi="Verdana" w:cs="Times New Roman"/>
                <w:sz w:val="20"/>
                <w:szCs w:val="20"/>
                <w:lang w:val="sr-Latn-ME" w:eastAsia="zh-TW"/>
              </w:rPr>
              <w:t>Je li proizvođac dužan pružiti pomoćnu uslugu (Ancillary service) i staviti elektranu u operativni mode na zahtjev CGES-a ili je to dužan učiniti ako se kvalifikovao za pružanje pomoćnih usluga i obavezao na pružanje istih kroz primjenjivu proceduru odabira pružaoca pomoćnih usluga koju sprovodi nadležno tijelo?</w:t>
            </w:r>
          </w:p>
          <w:p w14:paraId="0D378ECB" w14:textId="77777777" w:rsidR="00340FAB" w:rsidRPr="00D62727" w:rsidRDefault="00340FAB" w:rsidP="003D0711">
            <w:pPr>
              <w:jc w:val="both"/>
              <w:rPr>
                <w:rFonts w:ascii="Verdana" w:eastAsia="Times New Roman" w:hAnsi="Verdana" w:cs="Times New Roman"/>
                <w:sz w:val="20"/>
                <w:szCs w:val="20"/>
                <w:lang w:val="sr-Latn-ME" w:eastAsia="zh-TW"/>
              </w:rPr>
            </w:pP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276DB18D" w14:textId="77777777" w:rsidR="00340FAB" w:rsidRPr="00D62727" w:rsidRDefault="00340FAB" w:rsidP="003D0711">
            <w:pPr>
              <w:jc w:val="both"/>
              <w:rPr>
                <w:rFonts w:ascii="Verdana" w:eastAsia="Times New Roman" w:hAnsi="Verdana" w:cs="Times New Roman"/>
                <w:sz w:val="20"/>
                <w:szCs w:val="20"/>
                <w:lang w:val="sr-Latn-RS" w:eastAsia="zh-TW"/>
              </w:rPr>
            </w:pPr>
            <w:r w:rsidRPr="00D62727">
              <w:rPr>
                <w:rFonts w:ascii="Verdana" w:eastAsia="Times New Roman" w:hAnsi="Verdana" w:cs="Times New Roman"/>
                <w:sz w:val="20"/>
                <w:szCs w:val="20"/>
                <w:lang w:val="sr-Latn-RS" w:eastAsia="zh-TW"/>
              </w:rPr>
              <w:t>Tokom prelaznog perioda za balansiranje, prelazni aranžman za balansiranje i pripadajuće naknade koje se plaćaju BRP-u za razliku između prijavljene i izmerene električne energije primenjivaće se u potpunosti i tokom perioda negativnih referentnih cena. Ugovorom o tržišnoj pemiji je predviđeno  da Ovlašćena ugovorna strana nema obavezu isplate novčanih sredstava za Obračunske intervale u kojima je Referentna tržišna cijena negativna. Dakle, u kontekstu CfD-a, tokom perioda negativnih referentnih cena, proizvođač neće imati pravo na isplatu tržišne premije, a ukoliko ne proizvede prijavljenu električnu energiju balansno odgovornoj strani, primenjivaće se naknada za disbalans iz zaključenog Ugovora o preuzimanju balansne odgovornosti.</w:t>
            </w:r>
          </w:p>
          <w:p w14:paraId="00CFA6FD" w14:textId="77777777" w:rsidR="00340FAB" w:rsidRPr="00D62727" w:rsidRDefault="00340FAB" w:rsidP="003D0711">
            <w:pPr>
              <w:jc w:val="both"/>
              <w:rPr>
                <w:rFonts w:ascii="Verdana" w:eastAsia="Times New Roman" w:hAnsi="Verdana" w:cs="Times New Roman"/>
                <w:sz w:val="20"/>
                <w:szCs w:val="20"/>
                <w:lang w:val="sr-Latn-RS" w:eastAsia="zh-TW"/>
              </w:rPr>
            </w:pPr>
            <w:r w:rsidRPr="00D62727">
              <w:rPr>
                <w:rFonts w:ascii="Verdana" w:eastAsia="Times New Roman" w:hAnsi="Verdana" w:cs="Times New Roman"/>
                <w:sz w:val="20"/>
                <w:szCs w:val="20"/>
                <w:lang w:val="sr-Latn-RS" w:eastAsia="zh-TW"/>
              </w:rPr>
              <w:lastRenderedPageBreak/>
              <w:t>Pomoćne usluge i dužnosti proizvođača električne energije nisu predmet aukcije ni CfD, te Komisija nije u mogućnosti da odgovori na preostale delove upita.</w:t>
            </w:r>
          </w:p>
        </w:tc>
      </w:tr>
      <w:tr w:rsidR="00340FAB" w14:paraId="0196C835"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225E797B" w14:textId="783DE671" w:rsidR="00340FAB" w:rsidRPr="00D62727" w:rsidRDefault="00340FAB" w:rsidP="003D0711">
            <w:pPr>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lastRenderedPageBreak/>
              <w:t>33</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BA5F827" w14:textId="515AC5AE" w:rsidR="00340FAB" w:rsidRPr="00D62727" w:rsidRDefault="00340FAB" w:rsidP="003D0711">
            <w:pPr>
              <w:jc w:val="both"/>
              <w:rPr>
                <w:rFonts w:ascii="Verdana" w:eastAsia="Times New Roman" w:hAnsi="Verdana" w:cs="Times New Roman"/>
                <w:sz w:val="20"/>
                <w:szCs w:val="20"/>
                <w:lang w:val="sr-Latn-ME" w:eastAsia="zh-TW"/>
              </w:rPr>
            </w:pPr>
          </w:p>
          <w:p w14:paraId="392DD3D3" w14:textId="77777777" w:rsidR="00340FAB" w:rsidRPr="00D62727" w:rsidRDefault="00340FAB" w:rsidP="003D0711">
            <w:pPr>
              <w:jc w:val="both"/>
              <w:rPr>
                <w:rFonts w:ascii="Verdana" w:eastAsia="Times New Roman" w:hAnsi="Verdana" w:cs="Times New Roman"/>
                <w:sz w:val="20"/>
                <w:szCs w:val="20"/>
                <w:lang w:val="sr-Latn-ME" w:eastAsia="zh-TW"/>
              </w:rPr>
            </w:pPr>
            <w:r w:rsidRPr="00D62727">
              <w:rPr>
                <w:rFonts w:ascii="Verdana" w:eastAsia="Times New Roman" w:hAnsi="Verdana" w:cs="Times New Roman"/>
                <w:sz w:val="20"/>
                <w:szCs w:val="20"/>
                <w:lang w:val="sr-Latn-ME" w:eastAsia="zh-TW"/>
              </w:rPr>
              <w:t>Jezik dokumentacije: Da li je prihvatljiva dokumentacija na srpskom jeziku ili je potreban ovjeren (sudski) prevod?</w:t>
            </w:r>
          </w:p>
          <w:p w14:paraId="2E240F75" w14:textId="77777777" w:rsidR="00340FAB" w:rsidRPr="00D62727" w:rsidRDefault="00340FAB" w:rsidP="003D0711">
            <w:pPr>
              <w:jc w:val="both"/>
              <w:rPr>
                <w:rFonts w:ascii="Verdana" w:eastAsia="Times New Roman" w:hAnsi="Verdana" w:cs="Times New Roman"/>
                <w:sz w:val="20"/>
                <w:szCs w:val="20"/>
                <w:lang w:val="sr-Latn-ME" w:eastAsia="zh-TW"/>
              </w:rPr>
            </w:pP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3871D21F" w14:textId="50FBE8DE" w:rsidR="00340FAB" w:rsidRPr="00D62727" w:rsidRDefault="003126A7" w:rsidP="003D0711">
            <w:pPr>
              <w:jc w:val="both"/>
              <w:rPr>
                <w:rFonts w:ascii="Verdana" w:eastAsia="Times New Roman" w:hAnsi="Verdana" w:cs="Times New Roman"/>
                <w:sz w:val="20"/>
                <w:szCs w:val="20"/>
                <w:lang w:val="sr-Latn-RS" w:eastAsia="zh-TW"/>
              </w:rPr>
            </w:pPr>
            <w:r>
              <w:rPr>
                <w:rFonts w:ascii="Verdana" w:eastAsia="Times New Roman" w:hAnsi="Verdana" w:cs="Times New Roman"/>
                <w:sz w:val="20"/>
                <w:szCs w:val="20"/>
                <w:lang w:val="sr-Latn-RS" w:eastAsia="zh-TW"/>
              </w:rPr>
              <w:t xml:space="preserve">Shodno Javnom pozivu, član 2 – Rok i način podnošenja ponuda, </w:t>
            </w:r>
            <w:bookmarkStart w:id="1" w:name="_GoBack"/>
            <w:bookmarkEnd w:id="1"/>
            <w:r>
              <w:rPr>
                <w:rFonts w:ascii="Verdana" w:eastAsia="Times New Roman" w:hAnsi="Verdana" w:cs="Times New Roman"/>
                <w:sz w:val="20"/>
                <w:szCs w:val="20"/>
                <w:lang w:val="sr-Latn-RS" w:eastAsia="zh-TW"/>
              </w:rPr>
              <w:t xml:space="preserve">ponude moraju biti dostavljene na crnogorskom jeziku. </w:t>
            </w:r>
          </w:p>
        </w:tc>
      </w:tr>
      <w:tr w:rsidR="00340FAB" w14:paraId="15BB25A2"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1B00E2C1" w14:textId="1C6D71A3" w:rsidR="00340FAB" w:rsidRPr="00D62727" w:rsidRDefault="00340FAB" w:rsidP="003D0711">
            <w:pPr>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34</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08B3DAC" w14:textId="1D673249" w:rsidR="00340FAB" w:rsidRPr="00D62727" w:rsidRDefault="00340FAB" w:rsidP="003D0711">
            <w:pPr>
              <w:jc w:val="both"/>
              <w:rPr>
                <w:rFonts w:ascii="Verdana" w:eastAsia="Times New Roman" w:hAnsi="Verdana" w:cs="Times New Roman"/>
                <w:sz w:val="20"/>
                <w:szCs w:val="20"/>
                <w:lang w:val="sr-Latn-ME" w:eastAsia="zh-TW"/>
              </w:rPr>
            </w:pPr>
          </w:p>
          <w:p w14:paraId="48C9AD9A" w14:textId="77777777" w:rsidR="00340FAB" w:rsidRPr="00D62727" w:rsidRDefault="00340FAB" w:rsidP="003D0711">
            <w:pPr>
              <w:jc w:val="both"/>
              <w:rPr>
                <w:rFonts w:ascii="Verdana" w:eastAsia="Times New Roman" w:hAnsi="Verdana" w:cs="Times New Roman"/>
                <w:sz w:val="20"/>
                <w:szCs w:val="20"/>
                <w:lang w:val="sr-Latn-ME" w:eastAsia="zh-TW"/>
              </w:rPr>
            </w:pPr>
            <w:r w:rsidRPr="00D62727">
              <w:rPr>
                <w:rFonts w:ascii="Verdana" w:eastAsia="Times New Roman" w:hAnsi="Verdana" w:cs="Times New Roman"/>
                <w:sz w:val="20"/>
                <w:szCs w:val="20"/>
                <w:lang w:val="sr-Latn-ME" w:eastAsia="zh-TW"/>
              </w:rPr>
              <w:t>Potvrde Poreske uprave: Da li su potrebne posebne potvrde iz lokalnih jedinica Poreske uprave ili je dovoljna potvrda Poreske uprave na državnom nivou?</w:t>
            </w:r>
          </w:p>
          <w:p w14:paraId="7C15C22C" w14:textId="77777777" w:rsidR="00340FAB" w:rsidRPr="00D62727" w:rsidRDefault="00340FAB" w:rsidP="003D0711">
            <w:pPr>
              <w:jc w:val="both"/>
              <w:rPr>
                <w:rFonts w:ascii="Verdana" w:eastAsia="Times New Roman" w:hAnsi="Verdana" w:cs="Times New Roman"/>
                <w:sz w:val="20"/>
                <w:szCs w:val="20"/>
                <w:lang w:val="sr-Latn-ME" w:eastAsia="zh-TW"/>
              </w:rPr>
            </w:pP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69C7169B" w14:textId="77777777" w:rsidR="00340FAB" w:rsidRPr="00D62727" w:rsidRDefault="00340FAB" w:rsidP="003D0711">
            <w:pPr>
              <w:jc w:val="both"/>
              <w:rPr>
                <w:rFonts w:ascii="Verdana" w:eastAsia="Times New Roman" w:hAnsi="Verdana" w:cs="Times New Roman"/>
                <w:sz w:val="20"/>
                <w:szCs w:val="20"/>
                <w:lang w:val="sr-Latn-RS" w:eastAsia="zh-TW"/>
              </w:rPr>
            </w:pPr>
            <w:r w:rsidRPr="00D62727">
              <w:rPr>
                <w:rFonts w:ascii="Verdana" w:eastAsia="Times New Roman" w:hAnsi="Verdana" w:cs="Times New Roman"/>
                <w:sz w:val="20"/>
                <w:szCs w:val="20"/>
                <w:lang w:val="sr-Latn-RS" w:eastAsia="zh-TW"/>
              </w:rPr>
              <w:t xml:space="preserve">Neophodno je dostaviti potvrdu Poreske uprave na državnom nivou, a ukoliko je podnosilac obveznik plaćanja lokalnih poreza (porez na nepokretnosti i sl.), neophodno je dostaviti i potvrde takvih nadležnih lokalnih poreskih adminsitracija. </w:t>
            </w:r>
          </w:p>
        </w:tc>
      </w:tr>
      <w:tr w:rsidR="00340FAB" w14:paraId="608F9DEF"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1FFD20CE" w14:textId="6B1D0A2C" w:rsidR="00340FAB" w:rsidRPr="00D62727" w:rsidRDefault="00340FAB" w:rsidP="003D0711">
            <w:pPr>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35</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79F6BDA" w14:textId="0C07BD7D" w:rsidR="00340FAB" w:rsidRPr="00D62727" w:rsidRDefault="00340FAB" w:rsidP="003D0711">
            <w:pPr>
              <w:jc w:val="both"/>
              <w:rPr>
                <w:rFonts w:ascii="Verdana" w:eastAsia="Times New Roman" w:hAnsi="Verdana" w:cs="Times New Roman"/>
                <w:sz w:val="20"/>
                <w:szCs w:val="20"/>
                <w:lang w:val="sr-Latn-ME" w:eastAsia="zh-TW"/>
              </w:rPr>
            </w:pPr>
          </w:p>
          <w:p w14:paraId="49F96648" w14:textId="77777777" w:rsidR="00340FAB" w:rsidRPr="00D62727" w:rsidRDefault="00340FAB" w:rsidP="003D0711">
            <w:pPr>
              <w:jc w:val="both"/>
              <w:rPr>
                <w:rFonts w:ascii="Verdana" w:eastAsia="Times New Roman" w:hAnsi="Verdana" w:cs="Times New Roman"/>
                <w:sz w:val="20"/>
                <w:szCs w:val="20"/>
                <w:lang w:val="sr-Latn-ME" w:eastAsia="zh-TW"/>
              </w:rPr>
            </w:pPr>
            <w:r w:rsidRPr="00D62727">
              <w:rPr>
                <w:rFonts w:ascii="Verdana" w:eastAsia="Times New Roman" w:hAnsi="Verdana" w:cs="Times New Roman"/>
                <w:sz w:val="20"/>
                <w:szCs w:val="20"/>
                <w:lang w:val="sr-Latn-ME" w:eastAsia="zh-TW"/>
              </w:rPr>
              <w:t>BG za ozbiljnost ponude: Rok važenja bankarske garancije je najmanje šest (6) mjeseci duže od Krajnjeg roka iz Javnog poziva. Ako Komisija odloži Krajnji rok, da li je potrebno dostaviti novu garanciju (sa produženim rokom). U slučaju da je obavezno produženje rok BG, da li je prihvatljivo produženje postojećeg instrumenta (amandman dodatkom)?</w:t>
            </w:r>
          </w:p>
          <w:p w14:paraId="7FD5BB0F" w14:textId="77777777" w:rsidR="00340FAB" w:rsidRPr="00D62727" w:rsidRDefault="00340FAB" w:rsidP="003D0711">
            <w:pPr>
              <w:jc w:val="both"/>
              <w:rPr>
                <w:rFonts w:ascii="Verdana" w:eastAsia="Times New Roman" w:hAnsi="Verdana" w:cs="Times New Roman"/>
                <w:sz w:val="20"/>
                <w:szCs w:val="20"/>
                <w:lang w:val="sr-Latn-ME" w:eastAsia="zh-TW"/>
              </w:rPr>
            </w:pP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457625A9" w14:textId="77777777" w:rsidR="00340FAB" w:rsidRPr="00D62727" w:rsidRDefault="00340FAB" w:rsidP="003D0711">
            <w:pPr>
              <w:jc w:val="both"/>
              <w:rPr>
                <w:rFonts w:ascii="Verdana" w:eastAsia="Times New Roman" w:hAnsi="Verdana" w:cs="Times New Roman"/>
                <w:sz w:val="20"/>
                <w:szCs w:val="20"/>
                <w:lang w:val="sr-Latn-RS" w:eastAsia="zh-TW"/>
              </w:rPr>
            </w:pPr>
            <w:r w:rsidRPr="00D62727">
              <w:rPr>
                <w:rFonts w:ascii="Verdana" w:eastAsia="Times New Roman" w:hAnsi="Verdana" w:cs="Times New Roman"/>
                <w:sz w:val="20"/>
                <w:szCs w:val="20"/>
                <w:lang w:val="sr-Latn-RS" w:eastAsia="zh-TW"/>
              </w:rPr>
              <w:t xml:space="preserve">Tenderskom dokumentacijom je predviđeno da važenje bankarske garancije za ozbiljnost ponude mora da bude najmanje 6 meseci duže od krajnjeg roka za podnošenje ponuda. Ukoliko se krajnji rok za podnošenje ponuda produži, a Tenderska dokumentacija ne izmeni u ovom delu koji određuje najmanji rok važenja bankarske garancije, ponuđači će biti dužni da izmene rok važenja bankarske garancije. </w:t>
            </w:r>
            <w:r w:rsidRPr="00D62727">
              <w:rPr>
                <w:rFonts w:ascii="Verdana" w:eastAsia="Times New Roman" w:hAnsi="Verdana" w:cs="Times New Roman"/>
                <w:sz w:val="20"/>
                <w:szCs w:val="20"/>
                <w:lang w:val="sr-Latn-RS" w:eastAsia="zh-TW"/>
              </w:rPr>
              <w:lastRenderedPageBreak/>
              <w:t>Za te potrebe, Komisija će prihvatiti amandman bankarske garancije dodatkom.</w:t>
            </w:r>
          </w:p>
        </w:tc>
      </w:tr>
      <w:tr w:rsidR="00340FAB" w14:paraId="636DB313"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52471E18" w14:textId="589264F6" w:rsidR="00340FAB" w:rsidRPr="00D62727" w:rsidRDefault="00340FAB" w:rsidP="003D0711">
            <w:pPr>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lastRenderedPageBreak/>
              <w:t>36</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0AAB5FD" w14:textId="4CE041BF" w:rsidR="00340FAB" w:rsidRPr="00D62727" w:rsidRDefault="00340FAB" w:rsidP="003D0711">
            <w:pPr>
              <w:jc w:val="both"/>
              <w:rPr>
                <w:rFonts w:ascii="Verdana" w:eastAsia="Times New Roman" w:hAnsi="Verdana" w:cs="Times New Roman"/>
                <w:sz w:val="20"/>
                <w:szCs w:val="20"/>
                <w:lang w:val="sr-Latn-ME" w:eastAsia="zh-TW"/>
              </w:rPr>
            </w:pPr>
          </w:p>
          <w:p w14:paraId="30146E6C" w14:textId="77777777" w:rsidR="00340FAB" w:rsidRPr="00D62727" w:rsidRDefault="00340FAB" w:rsidP="003D0711">
            <w:pPr>
              <w:jc w:val="both"/>
              <w:rPr>
                <w:rFonts w:ascii="Verdana" w:eastAsia="Times New Roman" w:hAnsi="Verdana" w:cs="Times New Roman"/>
                <w:sz w:val="20"/>
                <w:szCs w:val="20"/>
                <w:lang w:val="sr-Latn-ME" w:eastAsia="zh-TW"/>
              </w:rPr>
            </w:pPr>
            <w:r w:rsidRPr="00D62727">
              <w:rPr>
                <w:rFonts w:ascii="Verdana" w:eastAsia="Times New Roman" w:hAnsi="Verdana" w:cs="Times New Roman"/>
                <w:sz w:val="20"/>
                <w:szCs w:val="20"/>
                <w:lang w:val="sr-Latn-ME" w:eastAsia="zh-TW"/>
              </w:rPr>
              <w:t>Lični dokument zastupnika: Da li je potrebno dostaviti lični dokument zakonskog zastupnika, kako se navodi u stavu 2 člana 2.1.2 Uputstva? Ako jeste, u koju kovertu se ovaj dokument prilaže?</w:t>
            </w:r>
          </w:p>
          <w:p w14:paraId="1ADCF1F7" w14:textId="77777777" w:rsidR="00340FAB" w:rsidRPr="00D62727" w:rsidRDefault="00340FAB" w:rsidP="003D0711">
            <w:pPr>
              <w:jc w:val="both"/>
              <w:rPr>
                <w:rFonts w:ascii="Verdana" w:eastAsia="Times New Roman" w:hAnsi="Verdana" w:cs="Times New Roman"/>
                <w:sz w:val="20"/>
                <w:szCs w:val="20"/>
                <w:lang w:val="sr-Latn-ME" w:eastAsia="zh-TW"/>
              </w:rPr>
            </w:pP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293B4FB6" w14:textId="77777777" w:rsidR="00340FAB" w:rsidRPr="00D62727" w:rsidRDefault="00340FAB" w:rsidP="003D0711">
            <w:pPr>
              <w:jc w:val="both"/>
              <w:rPr>
                <w:rFonts w:ascii="Verdana" w:eastAsia="Times New Roman" w:hAnsi="Verdana" w:cs="Times New Roman"/>
                <w:sz w:val="20"/>
                <w:szCs w:val="20"/>
                <w:lang w:val="sr-Latn-RS" w:eastAsia="zh-TW"/>
              </w:rPr>
            </w:pPr>
            <w:r w:rsidRPr="00D62727">
              <w:rPr>
                <w:rFonts w:ascii="Verdana" w:eastAsia="Times New Roman" w:hAnsi="Verdana" w:cs="Times New Roman"/>
                <w:sz w:val="20"/>
                <w:szCs w:val="20"/>
                <w:lang w:val="sr-Latn-RS" w:eastAsia="zh-TW"/>
              </w:rPr>
              <w:t>Potrebno je priložiti kopiju ličnog dokumenta zakonskog zastupnika (lična karta za državljane Crne Gore ili pasoš za strane državljane), kao deo Koverte 2 „KVALIFIKACIONI USLOVI“, član 2.1.2, stav 1., tačka 2). Ovaj uslov će biti preciziran u Tenderskoj dokumentaciji.</w:t>
            </w:r>
          </w:p>
        </w:tc>
      </w:tr>
      <w:tr w:rsidR="00340FAB" w14:paraId="179A9988"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5D3540EE" w14:textId="19A80FB2" w:rsidR="00340FAB" w:rsidRPr="00D62727" w:rsidRDefault="00340FAB" w:rsidP="003D0711">
            <w:pPr>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37</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27BB9B5" w14:textId="0D5A532B" w:rsidR="00340FAB" w:rsidRPr="00D62727" w:rsidRDefault="00340FAB" w:rsidP="003D0711">
            <w:pPr>
              <w:jc w:val="both"/>
              <w:rPr>
                <w:rFonts w:ascii="Verdana" w:eastAsia="Times New Roman" w:hAnsi="Verdana" w:cs="Times New Roman"/>
                <w:sz w:val="20"/>
                <w:szCs w:val="20"/>
                <w:lang w:val="sr-Latn-ME" w:eastAsia="zh-TW"/>
              </w:rPr>
            </w:pPr>
          </w:p>
          <w:p w14:paraId="5F900FCC" w14:textId="77777777" w:rsidR="00340FAB" w:rsidRPr="00D62727" w:rsidRDefault="00340FAB" w:rsidP="003D0711">
            <w:pPr>
              <w:jc w:val="both"/>
              <w:rPr>
                <w:rFonts w:ascii="Verdana" w:eastAsia="Times New Roman" w:hAnsi="Verdana" w:cs="Times New Roman"/>
                <w:sz w:val="20"/>
                <w:szCs w:val="20"/>
                <w:lang w:val="sr-Latn-ME" w:eastAsia="zh-TW"/>
              </w:rPr>
            </w:pPr>
            <w:r w:rsidRPr="00D62727">
              <w:rPr>
                <w:rFonts w:ascii="Verdana" w:eastAsia="Times New Roman" w:hAnsi="Verdana" w:cs="Times New Roman"/>
                <w:sz w:val="20"/>
                <w:szCs w:val="20"/>
                <w:lang w:val="sr-Latn-ME" w:eastAsia="zh-TW"/>
              </w:rPr>
              <w:t>Obrazac kontakta: Da li postoji propisani obrazac/dokument za unos kontakt podataka učesnika (ime i prezime kontakt osobe, e-mail kontakt osobe i/ili učesnika, adresa učesnika za prijem pošte u Crnoj Gori, broj telefona kontakt osobe i/ili učesnika)?</w:t>
            </w:r>
          </w:p>
          <w:p w14:paraId="34BAE40C" w14:textId="77777777" w:rsidR="00340FAB" w:rsidRPr="00D62727" w:rsidRDefault="00340FAB" w:rsidP="003D0711">
            <w:pPr>
              <w:jc w:val="both"/>
              <w:rPr>
                <w:rFonts w:ascii="Verdana" w:eastAsia="Times New Roman" w:hAnsi="Verdana" w:cs="Times New Roman"/>
                <w:sz w:val="20"/>
                <w:szCs w:val="20"/>
                <w:lang w:val="sr-Latn-ME" w:eastAsia="zh-TW"/>
              </w:rPr>
            </w:pP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00CB702A" w14:textId="77777777" w:rsidR="00340FAB" w:rsidRPr="00D62727" w:rsidRDefault="00340FAB" w:rsidP="00D62727">
            <w:pPr>
              <w:jc w:val="both"/>
              <w:rPr>
                <w:rFonts w:ascii="Verdana" w:eastAsia="Times New Roman" w:hAnsi="Verdana" w:cs="Times New Roman"/>
                <w:sz w:val="20"/>
                <w:szCs w:val="20"/>
                <w:lang w:val="sr-Latn-RS" w:eastAsia="zh-TW"/>
              </w:rPr>
            </w:pPr>
            <w:r w:rsidRPr="00D62727">
              <w:rPr>
                <w:rFonts w:ascii="Verdana" w:eastAsia="Times New Roman" w:hAnsi="Verdana" w:cs="Times New Roman"/>
                <w:sz w:val="20"/>
                <w:szCs w:val="20"/>
                <w:lang w:val="sr-Latn-RS" w:eastAsia="zh-TW"/>
              </w:rPr>
              <w:t>Ne postoji poseban obrazac. Podaci iz člana 2.1.2, stav 1., tačka 3) se mogu navesti u dokumentu u slobodnoj formi</w:t>
            </w:r>
          </w:p>
        </w:tc>
      </w:tr>
      <w:tr w:rsidR="00340FAB" w14:paraId="00DFE99F"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72871FCB" w14:textId="38BE1F3B" w:rsidR="00340FAB" w:rsidRPr="00D62727" w:rsidRDefault="00340FAB" w:rsidP="003D0711">
            <w:pPr>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38</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100B892" w14:textId="5F08E006" w:rsidR="00340FAB" w:rsidRPr="00D62727" w:rsidRDefault="00340FAB" w:rsidP="003D0711">
            <w:pPr>
              <w:jc w:val="both"/>
              <w:rPr>
                <w:rFonts w:ascii="Verdana" w:eastAsia="Times New Roman" w:hAnsi="Verdana" w:cs="Times New Roman"/>
                <w:sz w:val="20"/>
                <w:szCs w:val="20"/>
                <w:lang w:val="sr-Latn-ME" w:eastAsia="zh-TW"/>
              </w:rPr>
            </w:pPr>
          </w:p>
          <w:p w14:paraId="33B586EE" w14:textId="77777777" w:rsidR="00340FAB" w:rsidRPr="00D62727" w:rsidRDefault="00340FAB" w:rsidP="003D0711">
            <w:pPr>
              <w:jc w:val="both"/>
              <w:rPr>
                <w:rFonts w:ascii="Verdana" w:eastAsia="Times New Roman" w:hAnsi="Verdana" w:cs="Times New Roman"/>
                <w:sz w:val="20"/>
                <w:szCs w:val="20"/>
                <w:lang w:val="sr-Latn-ME" w:eastAsia="zh-TW"/>
              </w:rPr>
            </w:pPr>
            <w:r w:rsidRPr="00D62727">
              <w:rPr>
                <w:rFonts w:ascii="Verdana" w:eastAsia="Times New Roman" w:hAnsi="Verdana" w:cs="Times New Roman"/>
                <w:sz w:val="20"/>
                <w:szCs w:val="20"/>
                <w:lang w:val="sr-Latn-ME" w:eastAsia="zh-TW"/>
              </w:rPr>
              <w:t>Punomoćje: Da li ovjereno punomoćje mora biti sastavni dio Koverte 2 ukoliko sve relevantne izjave potpisuje i ponudu podnosi zakonski zastupnik, ali druga ovlašćena lica će sprovoditi radnje nakon podnošenja ponude?</w:t>
            </w:r>
          </w:p>
          <w:p w14:paraId="56061809" w14:textId="77777777" w:rsidR="00340FAB" w:rsidRPr="00D62727" w:rsidRDefault="00340FAB" w:rsidP="003D0711">
            <w:pPr>
              <w:jc w:val="both"/>
              <w:rPr>
                <w:rFonts w:ascii="Verdana" w:eastAsia="Times New Roman" w:hAnsi="Verdana" w:cs="Times New Roman"/>
                <w:sz w:val="20"/>
                <w:szCs w:val="20"/>
                <w:lang w:val="sr-Latn-ME" w:eastAsia="zh-TW"/>
              </w:rPr>
            </w:pP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42D502F9" w14:textId="77777777" w:rsidR="00340FAB" w:rsidRPr="00D62727" w:rsidRDefault="00340FAB" w:rsidP="003D0711">
            <w:pPr>
              <w:jc w:val="both"/>
              <w:rPr>
                <w:rFonts w:ascii="Verdana" w:eastAsia="Times New Roman" w:hAnsi="Verdana" w:cs="Times New Roman"/>
                <w:sz w:val="20"/>
                <w:szCs w:val="20"/>
                <w:lang w:val="sr-Latn-RS" w:eastAsia="zh-TW"/>
              </w:rPr>
            </w:pPr>
            <w:r w:rsidRPr="00D62727">
              <w:rPr>
                <w:rFonts w:ascii="Verdana" w:eastAsia="Times New Roman" w:hAnsi="Verdana" w:cs="Times New Roman"/>
                <w:sz w:val="20"/>
                <w:szCs w:val="20"/>
                <w:lang w:val="sr-Latn-RS" w:eastAsia="zh-TW"/>
              </w:rPr>
              <w:t>Da. Ovjereno punomoćje mora biti sastavni dio Koverte 2, osim ukoliko sve potpise i sve radnje u postupku aukcije (uključujući i radnje nakon podnošenja ponude, poput prisustvovanja otvaranju ponuda) ne sprovodi zakonski zastupnik učesnika aukcije.</w:t>
            </w:r>
          </w:p>
        </w:tc>
      </w:tr>
      <w:tr w:rsidR="00340FAB" w14:paraId="43889BE0"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36782434" w14:textId="14114693" w:rsidR="00340FAB" w:rsidRPr="00D62727" w:rsidRDefault="00340FAB" w:rsidP="003D0711">
            <w:pPr>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t>39</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B65AFB" w14:textId="28852A50" w:rsidR="00340FAB" w:rsidRPr="00D62727" w:rsidRDefault="00340FAB" w:rsidP="003D0711">
            <w:pPr>
              <w:jc w:val="both"/>
              <w:rPr>
                <w:rFonts w:ascii="Verdana" w:eastAsia="Times New Roman" w:hAnsi="Verdana" w:cs="Times New Roman"/>
                <w:sz w:val="20"/>
                <w:szCs w:val="20"/>
                <w:lang w:val="sr-Latn-ME" w:eastAsia="zh-TW"/>
              </w:rPr>
            </w:pPr>
            <w:r w:rsidRPr="00D62727">
              <w:rPr>
                <w:rFonts w:ascii="Verdana" w:eastAsia="Times New Roman" w:hAnsi="Verdana" w:cs="Times New Roman"/>
                <w:sz w:val="20"/>
                <w:szCs w:val="20"/>
                <w:lang w:val="sr-Latn-ME" w:eastAsia="zh-TW"/>
              </w:rPr>
              <w:t>Izvod iz CRPS-a: Da li je dovoljan običan izvod iz CRPS-a (sa podacima o nazivu, sjedištu, osnovnom kapitalu, direktorima i članovima društva) kao dokaz da su podaci o poslovanju, svojini, finansijskim i fiskalnim evidencijama dostupni nadležnim organima Crne Gore?</w:t>
            </w: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13CD3C22" w14:textId="52E23499" w:rsidR="00340FAB" w:rsidRPr="00D62727" w:rsidRDefault="00340FAB" w:rsidP="003D0711">
            <w:pPr>
              <w:jc w:val="both"/>
              <w:rPr>
                <w:rFonts w:ascii="Verdana" w:eastAsia="Times New Roman" w:hAnsi="Verdana" w:cs="Times New Roman"/>
                <w:sz w:val="20"/>
                <w:szCs w:val="20"/>
                <w:lang w:val="sr-Latn-RS" w:eastAsia="zh-TW"/>
              </w:rPr>
            </w:pPr>
            <w:r w:rsidRPr="00D62727">
              <w:rPr>
                <w:rFonts w:ascii="Verdana" w:eastAsia="Times New Roman" w:hAnsi="Verdana" w:cs="Times New Roman"/>
                <w:sz w:val="20"/>
                <w:szCs w:val="20"/>
                <w:lang w:val="sr-Latn-RS" w:eastAsia="zh-TW"/>
              </w:rPr>
              <w:t>Potvrđujemo.</w:t>
            </w:r>
          </w:p>
        </w:tc>
      </w:tr>
      <w:tr w:rsidR="00340FAB" w14:paraId="6C40BB1B"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540B5990" w14:textId="5C639D5D" w:rsidR="00340FAB" w:rsidRPr="00D62727" w:rsidRDefault="00340FAB" w:rsidP="003D0711">
            <w:pPr>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ME" w:eastAsia="zh-TW"/>
              </w:rPr>
              <w:lastRenderedPageBreak/>
              <w:t>40</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AD0AAB4" w14:textId="3A11B2F6" w:rsidR="00340FAB" w:rsidRPr="00D62727" w:rsidRDefault="00340FAB" w:rsidP="003D0711">
            <w:pPr>
              <w:jc w:val="both"/>
              <w:rPr>
                <w:rFonts w:ascii="Verdana" w:eastAsia="Times New Roman" w:hAnsi="Verdana" w:cs="Times New Roman"/>
                <w:sz w:val="20"/>
                <w:szCs w:val="20"/>
                <w:lang w:val="sr-Latn-ME" w:eastAsia="zh-TW"/>
              </w:rPr>
            </w:pPr>
          </w:p>
          <w:p w14:paraId="62319C6C" w14:textId="77777777" w:rsidR="00340FAB" w:rsidRPr="00D62727" w:rsidRDefault="00340FAB" w:rsidP="003D0711">
            <w:pPr>
              <w:jc w:val="both"/>
              <w:rPr>
                <w:rFonts w:ascii="Verdana" w:eastAsia="Times New Roman" w:hAnsi="Verdana" w:cs="Times New Roman"/>
                <w:sz w:val="20"/>
                <w:szCs w:val="20"/>
                <w:lang w:val="sr-Latn-ME" w:eastAsia="zh-TW"/>
              </w:rPr>
            </w:pPr>
            <w:r w:rsidRPr="00D62727">
              <w:rPr>
                <w:rFonts w:ascii="Verdana" w:eastAsia="Times New Roman" w:hAnsi="Verdana" w:cs="Times New Roman"/>
                <w:sz w:val="20"/>
                <w:szCs w:val="20"/>
                <w:lang w:val="sr-Latn-ME" w:eastAsia="zh-TW"/>
              </w:rPr>
              <w:t>Potvrda o nekažnjavanju – strani direktor: Ako je direktor strani državljanin (sa prebivalištem u inostranstvu) ali ima privremeni boravak u Crnoj Gori, da li je potrebno pribaviti potvrdu o neosuđivanosti od Ministarstva pravde Crne Gore, ili je dovoljna/obavezna potvrda iz države prebivališta/državljanstva (ili oba)?</w:t>
            </w:r>
          </w:p>
          <w:p w14:paraId="244ABDC4" w14:textId="77777777" w:rsidR="00340FAB" w:rsidRPr="00D62727" w:rsidRDefault="00340FAB" w:rsidP="003D0711">
            <w:pPr>
              <w:jc w:val="both"/>
              <w:rPr>
                <w:rFonts w:ascii="Verdana" w:eastAsia="Times New Roman" w:hAnsi="Verdana" w:cs="Times New Roman"/>
                <w:sz w:val="20"/>
                <w:szCs w:val="20"/>
                <w:lang w:val="sr-Latn-ME" w:eastAsia="zh-TW"/>
              </w:rPr>
            </w:pP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625EDC92" w14:textId="77777777" w:rsidR="00340FAB" w:rsidRPr="00D62727" w:rsidRDefault="00340FAB" w:rsidP="003D0711">
            <w:pPr>
              <w:jc w:val="both"/>
              <w:rPr>
                <w:rFonts w:ascii="Verdana" w:eastAsia="Times New Roman" w:hAnsi="Verdana" w:cs="Times New Roman"/>
                <w:sz w:val="20"/>
                <w:szCs w:val="20"/>
                <w:lang w:val="sr-Latn-RS" w:eastAsia="zh-TW"/>
              </w:rPr>
            </w:pPr>
            <w:r w:rsidRPr="00D62727">
              <w:rPr>
                <w:rFonts w:ascii="Verdana" w:eastAsia="Times New Roman" w:hAnsi="Verdana" w:cs="Times New Roman"/>
                <w:sz w:val="20"/>
                <w:szCs w:val="20"/>
                <w:lang w:val="sr-Latn-RS" w:eastAsia="zh-TW"/>
              </w:rPr>
              <w:t xml:space="preserve">Dovoljno je dostaviti potvrdu o neosuđivanosti iz države prebivališta/državljanstva, kao i od strane Ministarstva pravde Crne Gore. </w:t>
            </w:r>
          </w:p>
        </w:tc>
      </w:tr>
      <w:tr w:rsidR="00340FAB" w14:paraId="6A3DCDDF"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5904CFA3" w14:textId="27C93F4C" w:rsidR="00340FAB" w:rsidRDefault="00340FAB" w:rsidP="003D0711">
            <w:pPr>
              <w:jc w:val="both"/>
              <w:rPr>
                <w:rFonts w:ascii="Verdana" w:eastAsia="Times New Roman" w:hAnsi="Verdana" w:cs="Times New Roman"/>
                <w:sz w:val="20"/>
                <w:szCs w:val="20"/>
                <w:lang w:val="sr-Latn-RS" w:eastAsia="zh-TW"/>
              </w:rPr>
            </w:pPr>
            <w:r>
              <w:rPr>
                <w:rFonts w:ascii="Verdana" w:eastAsia="Times New Roman" w:hAnsi="Verdana" w:cs="Times New Roman"/>
                <w:sz w:val="20"/>
                <w:szCs w:val="20"/>
                <w:lang w:val="sr-Latn-RS" w:eastAsia="zh-TW"/>
              </w:rPr>
              <w:t>41</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F37F02" w14:textId="5277CD1E" w:rsidR="00340FAB" w:rsidRPr="00D62727" w:rsidRDefault="00340FAB" w:rsidP="003D0711">
            <w:pPr>
              <w:jc w:val="both"/>
              <w:rPr>
                <w:rFonts w:ascii="Verdana" w:eastAsia="Times New Roman" w:hAnsi="Verdana" w:cs="Times New Roman"/>
                <w:sz w:val="20"/>
                <w:szCs w:val="20"/>
                <w:lang w:val="sr-Latn-ME" w:eastAsia="zh-TW"/>
              </w:rPr>
            </w:pPr>
            <w:r>
              <w:rPr>
                <w:rFonts w:ascii="Verdana" w:eastAsia="Times New Roman" w:hAnsi="Verdana" w:cs="Times New Roman"/>
                <w:sz w:val="20"/>
                <w:szCs w:val="20"/>
                <w:lang w:val="sr-Latn-RS" w:eastAsia="zh-TW"/>
              </w:rPr>
              <w:t>U</w:t>
            </w:r>
            <w:r w:rsidRPr="00EF649C">
              <w:rPr>
                <w:rFonts w:ascii="Verdana" w:eastAsia="Times New Roman" w:hAnsi="Verdana" w:cs="Times New Roman"/>
                <w:sz w:val="20"/>
                <w:szCs w:val="20"/>
                <w:lang w:val="sr-Latn-RS" w:eastAsia="zh-TW"/>
              </w:rPr>
              <w:t>koliko ponuđač posjeduje potvrde izdate od strane Centralne banke, Poreske uprave, Privrednog suda, Minsitarstva pravde a na istima je navedeno da su izdate za potrebe učešća u postupcima javnih nabavki (tenderima), i iste su stare desetak dana, da li su iste validne ili na njima mora eksplicitno pisati da su izdate za potrebe učešća u postupku aukcije za dodjelu pra</w:t>
            </w:r>
            <w:r>
              <w:rPr>
                <w:rFonts w:ascii="Verdana" w:eastAsia="Times New Roman" w:hAnsi="Verdana" w:cs="Times New Roman"/>
                <w:sz w:val="20"/>
                <w:szCs w:val="20"/>
                <w:lang w:val="sr-Latn-RS" w:eastAsia="zh-TW"/>
              </w:rPr>
              <w:t>v</w:t>
            </w:r>
            <w:r w:rsidRPr="00EF649C">
              <w:rPr>
                <w:rFonts w:ascii="Verdana" w:eastAsia="Times New Roman" w:hAnsi="Verdana" w:cs="Times New Roman"/>
                <w:sz w:val="20"/>
                <w:szCs w:val="20"/>
                <w:lang w:val="sr-Latn-RS" w:eastAsia="zh-TW"/>
              </w:rPr>
              <w:t>a na tržišnu premiju</w:t>
            </w: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134D14D3" w14:textId="36B4E15B" w:rsidR="00340FAB" w:rsidRDefault="00340FAB" w:rsidP="00990592">
            <w:pPr>
              <w:spacing w:after="0" w:line="240" w:lineRule="auto"/>
              <w:jc w:val="both"/>
              <w:rPr>
                <w:rFonts w:ascii="Verdana" w:eastAsia="Times New Roman" w:hAnsi="Verdana" w:cs="Times New Roman"/>
                <w:sz w:val="20"/>
                <w:szCs w:val="20"/>
                <w:lang w:val="sr-Latn-RS" w:eastAsia="zh-TW"/>
              </w:rPr>
            </w:pPr>
            <w:r w:rsidRPr="00990592">
              <w:rPr>
                <w:rFonts w:ascii="Verdana" w:eastAsia="Times New Roman" w:hAnsi="Verdana" w:cs="Times New Roman"/>
                <w:sz w:val="20"/>
                <w:szCs w:val="20"/>
                <w:lang w:val="sr-Latn-RS" w:eastAsia="zh-TW"/>
              </w:rPr>
              <w:t>Potvrde koje su izdate za „potrebe učešća u po</w:t>
            </w:r>
            <w:r w:rsidR="00A55C7F">
              <w:rPr>
                <w:rFonts w:ascii="Verdana" w:eastAsia="Times New Roman" w:hAnsi="Verdana" w:cs="Times New Roman"/>
                <w:sz w:val="20"/>
                <w:szCs w:val="20"/>
                <w:lang w:val="sr-Latn-RS" w:eastAsia="zh-TW"/>
              </w:rPr>
              <w:t>s</w:t>
            </w:r>
            <w:r w:rsidRPr="00990592">
              <w:rPr>
                <w:rFonts w:ascii="Verdana" w:eastAsia="Times New Roman" w:hAnsi="Verdana" w:cs="Times New Roman"/>
                <w:sz w:val="20"/>
                <w:szCs w:val="20"/>
                <w:lang w:val="sr-Latn-RS" w:eastAsia="zh-TW"/>
              </w:rPr>
              <w:t xml:space="preserve">tupku aukcije za dodjelu prava na tržišnu premiju za neodređene lokacije za solarne elektrane“ </w:t>
            </w:r>
            <w:r w:rsidR="00203113">
              <w:rPr>
                <w:rFonts w:ascii="Verdana" w:eastAsia="Times New Roman" w:hAnsi="Verdana" w:cs="Times New Roman"/>
                <w:sz w:val="20"/>
                <w:szCs w:val="20"/>
                <w:lang w:val="sr-Latn-RS" w:eastAsia="zh-TW"/>
              </w:rPr>
              <w:t xml:space="preserve">ili </w:t>
            </w:r>
            <w:r w:rsidR="00716A09">
              <w:rPr>
                <w:rFonts w:ascii="Verdana" w:eastAsia="Times New Roman" w:hAnsi="Verdana" w:cs="Times New Roman"/>
                <w:sz w:val="20"/>
                <w:szCs w:val="20"/>
                <w:lang w:val="sr-Latn-RS" w:eastAsia="zh-TW"/>
              </w:rPr>
              <w:t xml:space="preserve">izdate </w:t>
            </w:r>
            <w:r w:rsidR="00203113">
              <w:rPr>
                <w:rFonts w:ascii="Verdana" w:eastAsia="Times New Roman" w:hAnsi="Verdana" w:cs="Times New Roman"/>
                <w:sz w:val="20"/>
                <w:szCs w:val="20"/>
                <w:lang w:val="sr-Latn-RS" w:eastAsia="zh-TW"/>
              </w:rPr>
              <w:t>u skladu sa formulacijom nadle</w:t>
            </w:r>
            <w:r w:rsidR="00716A09">
              <w:rPr>
                <w:rFonts w:ascii="Verdana" w:eastAsia="Times New Roman" w:hAnsi="Verdana" w:cs="Times New Roman"/>
                <w:sz w:val="20"/>
                <w:szCs w:val="20"/>
                <w:lang w:val="sr-Latn-RS" w:eastAsia="zh-TW"/>
              </w:rPr>
              <w:t>ž</w:t>
            </w:r>
            <w:r w:rsidR="00203113">
              <w:rPr>
                <w:rFonts w:ascii="Verdana" w:eastAsia="Times New Roman" w:hAnsi="Verdana" w:cs="Times New Roman"/>
                <w:sz w:val="20"/>
                <w:szCs w:val="20"/>
                <w:lang w:val="sr-Latn-RS" w:eastAsia="zh-TW"/>
              </w:rPr>
              <w:t>ne institucije koja ih i</w:t>
            </w:r>
            <w:r w:rsidR="00716A09">
              <w:rPr>
                <w:rFonts w:ascii="Verdana" w:eastAsia="Times New Roman" w:hAnsi="Verdana" w:cs="Times New Roman"/>
                <w:sz w:val="20"/>
                <w:szCs w:val="20"/>
                <w:lang w:val="sr-Latn-RS" w:eastAsia="zh-TW"/>
              </w:rPr>
              <w:t xml:space="preserve">zdaje, </w:t>
            </w:r>
            <w:r w:rsidRPr="00990592">
              <w:rPr>
                <w:rFonts w:ascii="Verdana" w:eastAsia="Times New Roman" w:hAnsi="Verdana" w:cs="Times New Roman"/>
                <w:sz w:val="20"/>
                <w:szCs w:val="20"/>
                <w:lang w:val="sr-Latn-RS" w:eastAsia="zh-TW"/>
              </w:rPr>
              <w:t>biće prihvaćene.</w:t>
            </w:r>
            <w:r>
              <w:rPr>
                <w:rFonts w:ascii="Verdana" w:eastAsia="Times New Roman" w:hAnsi="Verdana" w:cs="Times New Roman"/>
                <w:sz w:val="20"/>
                <w:szCs w:val="20"/>
                <w:lang w:val="sr-Latn-RS" w:eastAsia="zh-TW"/>
              </w:rPr>
              <w:t xml:space="preserve"> Što se tiče datuma izdavanja ovih potvrda, imajte u vidu rokove predviđene Tenderskom dokumentacijom tj.:</w:t>
            </w:r>
          </w:p>
          <w:p w14:paraId="0F2498C1" w14:textId="77777777" w:rsidR="00340FAB" w:rsidRDefault="00340FAB" w:rsidP="00990592">
            <w:pPr>
              <w:pStyle w:val="ListParagraph"/>
              <w:numPr>
                <w:ilvl w:val="0"/>
                <w:numId w:val="1"/>
              </w:numPr>
              <w:spacing w:after="0" w:line="240" w:lineRule="auto"/>
              <w:jc w:val="both"/>
              <w:rPr>
                <w:rFonts w:ascii="Verdana" w:eastAsia="Times New Roman" w:hAnsi="Verdana" w:cs="Times New Roman"/>
                <w:sz w:val="20"/>
                <w:szCs w:val="20"/>
                <w:lang w:val="sr-Latn-RS" w:eastAsia="zh-TW"/>
              </w:rPr>
            </w:pPr>
            <w:r>
              <w:rPr>
                <w:rFonts w:ascii="Verdana" w:eastAsia="Times New Roman" w:hAnsi="Verdana" w:cs="Times New Roman"/>
                <w:sz w:val="20"/>
                <w:szCs w:val="20"/>
                <w:lang w:val="sr-Latn-RS" w:eastAsia="zh-TW"/>
              </w:rPr>
              <w:t>Dokumenta kojima se dokazuju uslovi u pogledu podobnosti ponuđača iz člana 4. Javnog poziva, ne smeju biti starija od 60 dana od dana otvaranja ponuda prema Tenderskoj dokumentaciji, u skladu sa članom 2.1.1 Uputstva za ponuđače;</w:t>
            </w:r>
          </w:p>
          <w:p w14:paraId="0A04DD23" w14:textId="77777777" w:rsidR="00340FAB" w:rsidRDefault="00340FAB" w:rsidP="00990592">
            <w:pPr>
              <w:pStyle w:val="ListParagraph"/>
              <w:numPr>
                <w:ilvl w:val="0"/>
                <w:numId w:val="1"/>
              </w:numPr>
              <w:spacing w:after="0" w:line="240" w:lineRule="auto"/>
              <w:jc w:val="both"/>
              <w:rPr>
                <w:rFonts w:ascii="Verdana" w:eastAsia="Times New Roman" w:hAnsi="Verdana" w:cs="Times New Roman"/>
                <w:sz w:val="20"/>
                <w:szCs w:val="20"/>
                <w:lang w:val="sr-Latn-RS" w:eastAsia="zh-TW"/>
              </w:rPr>
            </w:pPr>
            <w:r>
              <w:rPr>
                <w:rFonts w:ascii="Verdana" w:eastAsia="Times New Roman" w:hAnsi="Verdana" w:cs="Times New Roman"/>
                <w:sz w:val="20"/>
                <w:szCs w:val="20"/>
                <w:lang w:val="sr-Latn-RS" w:eastAsia="zh-TW"/>
              </w:rPr>
              <w:t>Dokumenta za dokazivanje Uslova u pogledu finansijske sposobnosti iz člana 1.4 Uputstva za ponuđače ne smeju biti starija od datuma Javnog poziva;</w:t>
            </w:r>
          </w:p>
          <w:p w14:paraId="005C2681" w14:textId="77A443F4" w:rsidR="00340FAB" w:rsidRPr="00D62727" w:rsidRDefault="00340FAB" w:rsidP="00990592">
            <w:pPr>
              <w:jc w:val="both"/>
              <w:rPr>
                <w:rFonts w:ascii="Verdana" w:eastAsia="Times New Roman" w:hAnsi="Verdana" w:cs="Times New Roman"/>
                <w:sz w:val="20"/>
                <w:szCs w:val="20"/>
                <w:lang w:val="sr-Latn-RS" w:eastAsia="zh-TW"/>
              </w:rPr>
            </w:pPr>
            <w:r>
              <w:rPr>
                <w:rFonts w:ascii="Verdana" w:eastAsia="Times New Roman" w:hAnsi="Verdana" w:cs="Times New Roman"/>
                <w:sz w:val="20"/>
                <w:szCs w:val="20"/>
                <w:lang w:val="sr-Latn-RS" w:eastAsia="zh-TW"/>
              </w:rPr>
              <w:lastRenderedPageBreak/>
              <w:t>Ostala dokumenta, a pogoovo dokumenta kojima se dokazuje ispunjenost kvalifikacinoh uslova iz člana 2.1.2 Uputstva za ponuđače ne smeju biti starija od datuma objavljivanja Javnog poziva, a informacije i podaci u njima moraju biti potpuni i ispravni i na dan podnošenja pondue učesnika aukcije.</w:t>
            </w:r>
          </w:p>
        </w:tc>
      </w:tr>
      <w:tr w:rsidR="00340FAB" w14:paraId="707C0B83"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66C52E54" w14:textId="5974DC01" w:rsidR="00340FAB" w:rsidRDefault="00340FAB" w:rsidP="003D0711">
            <w:pPr>
              <w:jc w:val="both"/>
              <w:rPr>
                <w:rFonts w:ascii="Verdana" w:eastAsia="Times New Roman" w:hAnsi="Verdana" w:cs="Times New Roman"/>
                <w:sz w:val="20"/>
                <w:szCs w:val="20"/>
                <w:lang w:val="sr-Latn-RS" w:eastAsia="zh-TW"/>
              </w:rPr>
            </w:pPr>
            <w:r>
              <w:rPr>
                <w:rFonts w:ascii="Verdana" w:eastAsia="Times New Roman" w:hAnsi="Verdana" w:cs="Times New Roman"/>
                <w:sz w:val="20"/>
                <w:szCs w:val="20"/>
                <w:lang w:val="sr-Latn-RS" w:eastAsia="zh-TW"/>
              </w:rPr>
              <w:lastRenderedPageBreak/>
              <w:t>42</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1E7333B" w14:textId="289E94F4" w:rsidR="00340FAB" w:rsidRDefault="00340FAB" w:rsidP="003D0711">
            <w:pPr>
              <w:jc w:val="both"/>
              <w:rPr>
                <w:rFonts w:ascii="Verdana" w:eastAsia="Times New Roman" w:hAnsi="Verdana" w:cs="Times New Roman"/>
                <w:sz w:val="20"/>
                <w:szCs w:val="20"/>
                <w:lang w:val="sr-Latn-RS" w:eastAsia="zh-TW"/>
              </w:rPr>
            </w:pPr>
            <w:r>
              <w:rPr>
                <w:rFonts w:ascii="Verdana" w:eastAsia="Times New Roman" w:hAnsi="Verdana" w:cs="Times New Roman"/>
                <w:sz w:val="20"/>
                <w:szCs w:val="20"/>
                <w:lang w:val="sr-Latn-RS" w:eastAsia="zh-TW"/>
              </w:rPr>
              <w:t>U</w:t>
            </w:r>
            <w:r w:rsidRPr="00EF649C">
              <w:rPr>
                <w:rFonts w:ascii="Verdana" w:eastAsia="Times New Roman" w:hAnsi="Verdana" w:cs="Times New Roman"/>
                <w:sz w:val="20"/>
                <w:szCs w:val="20"/>
                <w:lang w:val="sr-Latn-RS" w:eastAsia="zh-TW"/>
              </w:rPr>
              <w:t xml:space="preserve"> tenderskoj dokumentaciji kao jedan od uslova naveden je i sljedeći ,,Učesnik aukcije koji za elektranu posjeduje građevinsku dozvolu ili odobrenje za građenje, ili drugi akt kojim se odobrava izgradnja elektrane kako je primjenjivo, ili je podnio prijavu građenja, pored akta iz stava 1 ovog člana, dostavlja i kopiju takve dozvole, odobrenja, prijave ili drugog akta, a u slučaju upravnog akta, koje sadrži i pečat pravnosnažnosti ”. Molimo Vas da pojasnite na koji način se dokazuje pravosnažnost gradjevinske dozvole kao upravnog akta, da li pečatiranjem izdatog Rješenja od strane nadležnog organa uz pisanu zabilješku da je isto pravosnažno ili je dovoljno da nadležni organ izdavanja na naš zahtjev izda pisanu potvrdu da je Rješenje kojim se izdaje građevinska dozvola pravosnažno.</w:t>
            </w: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6DA510A2" w14:textId="64813CC0" w:rsidR="00340FAB" w:rsidRPr="0097083A" w:rsidRDefault="00340FAB" w:rsidP="00990592">
            <w:pPr>
              <w:spacing w:after="0" w:line="240" w:lineRule="auto"/>
              <w:jc w:val="both"/>
              <w:rPr>
                <w:rFonts w:ascii="Verdana" w:eastAsia="Times New Roman" w:hAnsi="Verdana" w:cs="Times New Roman"/>
                <w:sz w:val="20"/>
                <w:szCs w:val="20"/>
                <w:highlight w:val="yellow"/>
                <w:lang w:val="sr-Latn-RS" w:eastAsia="zh-TW"/>
              </w:rPr>
            </w:pPr>
            <w:r w:rsidRPr="00990592">
              <w:rPr>
                <w:rFonts w:ascii="Verdana" w:eastAsia="Times New Roman" w:hAnsi="Verdana" w:cs="Times New Roman"/>
                <w:sz w:val="20"/>
                <w:szCs w:val="20"/>
                <w:lang w:val="sr-Latn-RS" w:eastAsia="zh-TW"/>
              </w:rPr>
              <w:t xml:space="preserve">Dokaz da je rješenje postalo pravnosnažno može se dati u vidu potvrde od strane nadležnog </w:t>
            </w:r>
            <w:r w:rsidRPr="00990592">
              <w:rPr>
                <w:rFonts w:ascii="Verdana" w:eastAsia="Times New Roman" w:hAnsi="Verdana" w:cs="Times New Roman"/>
                <w:sz w:val="20"/>
                <w:szCs w:val="20"/>
                <w:lang w:val="sr-Latn-ME" w:eastAsia="zh-TW"/>
              </w:rPr>
              <w:t>ministarstva.</w:t>
            </w:r>
          </w:p>
        </w:tc>
      </w:tr>
      <w:tr w:rsidR="00340FAB" w:rsidRPr="00AC436A" w14:paraId="55CAD278"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522F06AA" w14:textId="07CBAC98" w:rsidR="00340FAB" w:rsidRPr="00C30338" w:rsidRDefault="00340FAB" w:rsidP="008F70FB">
            <w:pPr>
              <w:jc w:val="both"/>
              <w:rPr>
                <w:rFonts w:ascii="Verdana" w:eastAsia="Times New Roman" w:hAnsi="Verdana" w:cs="Times New Roman"/>
                <w:sz w:val="20"/>
                <w:szCs w:val="20"/>
                <w:lang w:val="sr-Latn-RS" w:eastAsia="zh-TW"/>
              </w:rPr>
            </w:pPr>
            <w:r>
              <w:rPr>
                <w:rFonts w:ascii="Verdana" w:eastAsia="Times New Roman" w:hAnsi="Verdana" w:cs="Times New Roman"/>
                <w:sz w:val="20"/>
                <w:szCs w:val="20"/>
                <w:lang w:val="sr-Latn-RS" w:eastAsia="zh-TW"/>
              </w:rPr>
              <w:t>43</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25A380" w14:textId="358F369D"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Tenderskom dokumentacijom je navedeno da učesnik aukcije za elektranu za koju se podnosi ponuda: (1) nije bila predmet i nije predmet podsticaja za proizvodnju električne energije iz obnovljivih izvora energije u Crnoj Gori</w:t>
            </w:r>
          </w:p>
          <w:p w14:paraId="1AFE0E7D"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Pitanje glasi - Ukoliko se podnosi ponuda za samo jedan dio elektrane, da li drugi dio elektrane, koji nije bio predmet podsticaja, ima prava da učestvuje na budućim aukcijama?</w:t>
            </w: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1F7E929A"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Da. Dio elektrane koji nije u sistemu podsticaja može biti ponuđen na narednoj aukciji.</w:t>
            </w:r>
          </w:p>
        </w:tc>
      </w:tr>
      <w:tr w:rsidR="00340FAB" w:rsidRPr="00AC436A" w14:paraId="2577830A"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64A10F60" w14:textId="0EBEBD4D" w:rsidR="00340FAB" w:rsidRPr="00C30338" w:rsidRDefault="00340FAB" w:rsidP="008F70FB">
            <w:pPr>
              <w:jc w:val="both"/>
              <w:rPr>
                <w:rFonts w:ascii="Verdana" w:eastAsia="Times New Roman" w:hAnsi="Verdana" w:cs="Times New Roman"/>
                <w:sz w:val="20"/>
                <w:szCs w:val="20"/>
                <w:lang w:val="sr-Latn-RS" w:eastAsia="zh-TW"/>
              </w:rPr>
            </w:pPr>
            <w:r>
              <w:rPr>
                <w:rFonts w:ascii="Verdana" w:eastAsia="Times New Roman" w:hAnsi="Verdana" w:cs="Times New Roman"/>
                <w:sz w:val="20"/>
                <w:szCs w:val="20"/>
                <w:lang w:val="sr-Latn-RS" w:eastAsia="zh-TW"/>
              </w:rPr>
              <w:t>44</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F92C18" w14:textId="711F9B98"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Tenderskom dokumentacijom je navedeno:  Učesnik aukcije ispunjava uslov u pogledu mogućnosti priključenja elektrane na elektroenergetski sistem ako je za elektranu za koju podnosi ponudu, a koja se priključuje na prenosni sistem električne energije, pribavio analizu mogućnosti priključenja na prenosni sistem, koju je izradio operator prenosnog sistema; </w:t>
            </w:r>
          </w:p>
          <w:p w14:paraId="521D8124"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Pitanje glasi: Da li Ponuđač ima pravo učešća na aukciji ako ima predmetnu analizu bez obzira na složenost uslova za priključenje koje je dala ta analiza?</w:t>
            </w: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50F0158C"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Da. Za potrebe kvalifikacije na aukciji, neophodno je da Ponuđač ima izrađenu analizu o mogućnostima priključenja na prenosni sistem, bez obzira na to koliko su dati uslovi priključenja složeni. Posjedovanje Analize o </w:t>
            </w:r>
            <w:r w:rsidRPr="00C30338">
              <w:rPr>
                <w:rFonts w:ascii="Verdana" w:eastAsia="Times New Roman" w:hAnsi="Verdana" w:cs="Times New Roman"/>
                <w:sz w:val="20"/>
                <w:szCs w:val="20"/>
                <w:lang w:val="sr-Latn-RS" w:eastAsia="zh-TW"/>
              </w:rPr>
              <w:lastRenderedPageBreak/>
              <w:t>mogućnosti priključenja ili Ugovora o izgradnji infrastukture za priključenje i priključenju definisan je Javnim pozivom. Ponuđači znaju da to što imaju Analizu ne mora da znači da će potpisati Ugovor. Takođe, svi dalji rizici oko uslova su na ponuđaču. Komisija konstatuje da li ponuđač posjeduje ili ne Analizu isporučenu od strane CGES-a, a sve u skladu sa tenderskom dokumentacijom.</w:t>
            </w:r>
          </w:p>
        </w:tc>
      </w:tr>
      <w:tr w:rsidR="00340FAB" w:rsidRPr="00E960A3" w14:paraId="0962760D"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1E98E1D2" w14:textId="75764DBD" w:rsidR="00340FAB" w:rsidRPr="00C30338" w:rsidRDefault="00340FAB" w:rsidP="008F70FB">
            <w:pPr>
              <w:jc w:val="both"/>
              <w:rPr>
                <w:rFonts w:ascii="Verdana" w:eastAsia="Times New Roman" w:hAnsi="Verdana" w:cs="Times New Roman"/>
                <w:sz w:val="20"/>
                <w:szCs w:val="20"/>
                <w:lang w:val="sr-Latn-RS" w:eastAsia="zh-TW"/>
              </w:rPr>
            </w:pPr>
            <w:r>
              <w:rPr>
                <w:rFonts w:ascii="Verdana" w:eastAsia="Times New Roman" w:hAnsi="Verdana" w:cs="Times New Roman"/>
                <w:sz w:val="20"/>
                <w:szCs w:val="20"/>
                <w:lang w:val="sr-Latn-RS" w:eastAsia="zh-TW"/>
              </w:rPr>
              <w:lastRenderedPageBreak/>
              <w:t>45</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4EACEAD" w14:textId="11D7CB24"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Tenderskom dokumentacijom je navedeno: Učesnik aukcije koji je prije sticanja statusa privremenog povlašćenog proizvođača pribavio građevinsku dozvolu za elektranu, ili odobrenje za građenje ili drugi akt kojim se odobrava izgradnja elektrane, ima pravo da promjeni Obaveznu snagu elektrane iz izjave date u skladu sa članom 2.1.2, stav 1, tačka 12) Uputstva za +/- 20% u upotrebnoj dozvoli, pod uslovom da dio snage elektrane za koju je učesnik aukcije stekao privremeni povlašćeni status i dalje predstavlja najmanje 50% tako izmjenjene snage elektrane u upotrebnoj dozvoli ili odobrenju za upotrebu elektrane. </w:t>
            </w:r>
          </w:p>
          <w:p w14:paraId="6F07BDF4"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Molimo vas da potvrdite naše razumijevanje da ukoliko je u građevinskoj dozvoli, primjera radi, kapacitet 200 MW, ponuda mora biti najmanje na 100 MW, a u slučaju da u upotrebnoj dozvoli bude npr 180 MW to je u redu jel je u okvirima +20/-20 %, a ponuđena snaga je veća od 50% nove obavezne snage iz upotrebne dozvole.</w:t>
            </w: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170F2444"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Obavezna snaga je snaga iz Izjave ponuđača date u skladu sa članom 2.1.2, stav 1, tačka 12) Uputstva za ponuđače i predstavlja snagu koju se ponuđač obavezuje da izgradi i pusti u upotrebu. Takva snaga ne može da bude veća od maksimalne snage elektrane utvrđene u urbanističko tehničkim  uslovima u pogledu prostorno-planske osnove za izgradnju elektrane i infrastrukture za priključenje iz člana 9 ovog Javnog poziva i dokumentu o uslovima u pogledu mogućnosti priključenja elektrane na elektroenergetski sistem iz člana 10 ovog Javnog poziva, kako je detaljno objašnjeno u članu 11. Javnog poziva. Minimalni procenat snage elektrane koji mora da se ponudi u ovoj aukciji je 50% takve Obavezne snage elektrane koju je ponuđač naveo u pomenutoj izjavi.</w:t>
            </w:r>
          </w:p>
          <w:p w14:paraId="3AEF0A76"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lastRenderedPageBreak/>
              <w:t>Dakle, u vašem primjeru, ukoliko je snaga elektrane u građevinskoj dozvoli 200 MW, i ponuđač je u izjavi kao Obaveznu snagu naveo istih 200MW, ponuđeni kapacitet mora da bude najmanje 100MW i upotrebna dozvola može da bude pribavljena na 180MW jer 100MW za koje je stečeno pravo na premiju i dalje predstavlja najmanje 50% snage elektrane, a smanjenje Obavezne snage je u okvirima dozvoljenih 20%.</w:t>
            </w:r>
          </w:p>
          <w:p w14:paraId="7F712ED3"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Ukoliko se zahtjeva povećanje snage +20%, u konkretnom primjeru nije moguće povećanje Obavezne snage budući da u tom slučaju ponuđena snaga od 100MW bi bila manja od 50% tako izmjenjene snage elektrane. Naime članom 11. Javnog poziva je propisano da učesnik aukcije koji je prije sticanja statusa privremenog povlašćenog proizvođača pribavio građevinsku dozvolu za elektranu, ili odobrenje za građenje ili drugi akt kojim se odobrava izgradnja elektrane, ima pravo da promjeni Obaveznu snagu elektrane iz izjave date u skladu sa članom 2.1.2, stav 1, tačka 12) Uputstva za +/- 20% u upotrebnoj dozvoli, pod uslovom da dio snage elektrane za koju je učesnik aukcije stekao privremeni povlašćeni status i dalje predstavlja najmanje 50% tako izmjenjene snage elektrane u </w:t>
            </w:r>
            <w:r w:rsidRPr="00C30338">
              <w:rPr>
                <w:rFonts w:ascii="Verdana" w:eastAsia="Times New Roman" w:hAnsi="Verdana" w:cs="Times New Roman"/>
                <w:sz w:val="20"/>
                <w:szCs w:val="20"/>
                <w:lang w:val="sr-Latn-RS" w:eastAsia="zh-TW"/>
              </w:rPr>
              <w:lastRenderedPageBreak/>
              <w:t>upotrebnoj dozvoli ili odobrenju za upotrebu elektrane.</w:t>
            </w:r>
          </w:p>
          <w:p w14:paraId="341E4C50"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Ukoliko se zahtjeva povećanje snage +20%, isto je moguće sprovođenjem nove procedure pribavljanja dokumentacije, urbanističko tehničkih uslova, građevinske dozvole, a sve mora biti u skladu sa planskim dokumentima (predmetne elektrane moraju biti prepoznate kroz važeću prostorno plansku dokumentaciju).</w:t>
            </w:r>
          </w:p>
        </w:tc>
      </w:tr>
      <w:tr w:rsidR="00340FAB" w:rsidRPr="00AC436A" w14:paraId="215C72CE"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4F9A4C63" w14:textId="1CCDC96B" w:rsidR="00340FAB" w:rsidRPr="00C30338" w:rsidRDefault="00340FAB" w:rsidP="008F70FB">
            <w:pPr>
              <w:jc w:val="both"/>
              <w:rPr>
                <w:rFonts w:ascii="Verdana" w:eastAsia="Times New Roman" w:hAnsi="Verdana" w:cs="Times New Roman"/>
                <w:sz w:val="20"/>
                <w:szCs w:val="20"/>
                <w:lang w:val="sr-Latn-RS" w:eastAsia="zh-TW"/>
              </w:rPr>
            </w:pPr>
            <w:r>
              <w:rPr>
                <w:rFonts w:ascii="Verdana" w:eastAsia="Times New Roman" w:hAnsi="Verdana" w:cs="Times New Roman"/>
                <w:sz w:val="20"/>
                <w:szCs w:val="20"/>
                <w:lang w:val="sr-Latn-RS" w:eastAsia="zh-TW"/>
              </w:rPr>
              <w:lastRenderedPageBreak/>
              <w:t>46</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1579429" w14:textId="6A1C028A"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Tenderskom dokumentacijom je navedeno:</w:t>
            </w:r>
          </w:p>
          <w:p w14:paraId="37DBAEA7"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 ako dio ponuđene snage elektrane ulazi u kvotu, a preostala ponuđena snaga je veća od preostale kvote, pri čemu je dio ponuđene snage koji prelazi kvotu manji ili jednak 20% kvote utvrđene za tu aukciju, Komisija primjenjuje proširenje kvote u skladu sa propisom iz člana 37 stav 6 Zakona, ako je donijet tako da ukupna preostala ponuđena snaga ponuđača aukcije popuni tako proširenu kvotu;  </w:t>
            </w:r>
          </w:p>
          <w:p w14:paraId="01C81AA2"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ako dio ponuđene snage elektrane ulazi u kvotu, a preostala ponuđena snaga je veća od preostale kvote, pri čemu je dio ponuđene snage koji prelazi kvotu veći od 20% kvote utvrđene za tu aukciju, ili za tu aukciju nije odobreno proširenje kvote u skladu sa propisom iz člana 37 stav 6 Zakona, tržišna premija dodjeljuje se ponuđaču u postupku aukcije samo za dio ponuđene snage koji je ušao u kvotu;</w:t>
            </w:r>
          </w:p>
          <w:p w14:paraId="74B263C8"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U slučaju iz stava 1 tač. 3) ili 5) ovog člana, Komisija predlaže Vladi donošenje odluke o proširenju kvote za najviše 20% u skladu sa članom 37 stav 6 Zakona. Nakon odluke Vlade, Komisija sprovodi postupak popunjavanja kvote u skladu sa stavom 1 ovog člana i Uredbom o postupku popunjavanja kvote, proširenja kvote na aukcijama za dodjelu prava na tržišnu premiju za neodređene lokacije i rangiranju ponuda na aukcijama za neodređene lokacije („Službeni list CG”, broj 72/25). </w:t>
            </w:r>
          </w:p>
          <w:p w14:paraId="7AAAF2EE"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Bliži način i pravila popunjavanja kvote za ovu aukciju, način i rokovi za izjašnjenje ponuđača o prihvatanju tržišne premije za dio ponuđene snage i prava ponuđača koji je prihvatio dodjeljivanje tržišne premije za dio ponuđene snage elektrane na umanjenje finansijskog instrumenta </w:t>
            </w:r>
            <w:r w:rsidRPr="00C30338">
              <w:rPr>
                <w:rFonts w:ascii="Verdana" w:eastAsia="Times New Roman" w:hAnsi="Verdana" w:cs="Times New Roman"/>
                <w:sz w:val="20"/>
                <w:szCs w:val="20"/>
                <w:lang w:val="sr-Latn-RS" w:eastAsia="zh-TW"/>
              </w:rPr>
              <w:lastRenderedPageBreak/>
              <w:t xml:space="preserve">obezbjeđenja za ozbiljnost ponude, utvrđeni su u Uredbi o postupku popunjavanja kvote, proširenja kvote na aukcijama za dodjelu prava na tržišnu premiju za neodređene lokacije i rangiranju ponuda na aukcijama za neodređene lokacije („Službeni list CG”, broj 72/25). </w:t>
            </w:r>
          </w:p>
          <w:p w14:paraId="0B368E5F"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Pitanja glase:</w:t>
            </w:r>
          </w:p>
          <w:p w14:paraId="47009A5E"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Ako je data ponuda  na 210 MW , a ostalo je nepodijeljenih 160 MW  od kvote da li Komisija i Vlada obavezno sprovode proširenje kapaciteta kako bi se ponuđaču garantovano dodijelila cjelokupna tražena snaga , jer se nedostatak uklapa u manje ili jednako 20 % kvote?</w:t>
            </w:r>
          </w:p>
          <w:p w14:paraId="7D2EE967"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Ako je data ponuda  na 210 MW , a ostalo je nepodijeljenih 100 MW od kvote da li je komisija obavezna da pita ponuđača prihvata li da mu se dodijeli 100 MW ili se smatra da je on obavezan da to prihvati, bez obzira što je njegova ponuda bila za veću snagu?</w:t>
            </w:r>
          </w:p>
          <w:p w14:paraId="0BBD0BC8" w14:textId="77777777" w:rsidR="00340FAB" w:rsidRPr="00C30338" w:rsidRDefault="00340FAB" w:rsidP="008F70FB">
            <w:pPr>
              <w:jc w:val="both"/>
              <w:rPr>
                <w:rFonts w:ascii="Verdana" w:eastAsia="Times New Roman" w:hAnsi="Verdana" w:cs="Times New Roman"/>
                <w:sz w:val="20"/>
                <w:szCs w:val="20"/>
                <w:lang w:val="sr-Latn-RS" w:eastAsia="zh-TW"/>
              </w:rPr>
            </w:pP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6E79B8C4"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lastRenderedPageBreak/>
              <w:t>Odgovor na prvo pitanje (ponuđenih 210MW, 160MW preostale kvote):</w:t>
            </w:r>
          </w:p>
          <w:p w14:paraId="4EB2317C"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Proširenje kvote se razmatra u odnosu na sve ponude. Ne gleda se pojedinačna ponuda, odnosno ponuđena snaga jednog ponuđača u odnosu na ukupnu kvotu, pa samim tim ni preostala snaga se ne uzima u obzir samo te ponudu.</w:t>
            </w:r>
          </w:p>
          <w:p w14:paraId="25214CAC"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U slučaju da je nakon popunjavanja  kvote sa cijelim iznosima ponuđenih snaga ponuđača  preostalo 160MW, a prva naredna ponuda rangirana po ponuđenoj snazi iznosi 210MW primjenjuje se proširenje kvote shodno Uredbi o postupku popunjavanja kvote, proširenja kvote na aukcijama za dodjelu prava na tržišnu premiju za neodređene lokacije i rangiranju ponuda na aukcijama za neodređene lokacije („Službeni list CG”, broj 72/25).</w:t>
            </w:r>
          </w:p>
          <w:p w14:paraId="0987282C"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lastRenderedPageBreak/>
              <w:t>Članom 4 pomenute Uredbe Komisija prvo poziva ponuđača na aukciji da se izjasni, u roku od tri dana od dana prijema zahtjeva za izjašnjenje, da li prihvataju da im se dodjeli tržišna premija za dio ponuđenog kapaciteta elektrane.</w:t>
            </w:r>
          </w:p>
          <w:p w14:paraId="211CD09D"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Ukoliko ponuđač ne želi da prihvati za dio ponuđenog kapaciteta već za cijeli kapacitete što bi u konkretnom primjeru značilo 210MW, odnosno proširenje od 50MW, u tom slučaju Komisija je obavezna da Vladi uputi predlog za proširenje kvote za 50MW, budući da u ovom slučaju taj iznos predstavlja iznos manji ili jednak 20% kvote utvrđene za tu aukciju iznos.Vlada na osnovu člana 37. stav 6. ZKOIE može donijeti odluku o proširenju kvote za aukciju, tako da ponuđač čija je ponuđena snaga elektrane djelimično ušla u kvotu nakon rangiranja svih ponuda, ima pravo na tržišnu premiju za ukupnu ponuđenu snagu elektrane, </w:t>
            </w:r>
          </w:p>
          <w:p w14:paraId="697BEC74"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Ukoliko Vlada odobri proširenje kvote od 50MW ponuđaču se dodeljuje pravo na tržišnu premiju za celokupni ponuđeni kapacitet (210MW u vašem primeru) i ponuđač nema pravo da se izjasni niti odbije dodelijivanje prava na tržišnu premiju za celokupni traženi kapacitet.</w:t>
            </w:r>
          </w:p>
          <w:p w14:paraId="522AFAAD"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p>
          <w:p w14:paraId="55DFA533"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lastRenderedPageBreak/>
              <w:t>Odgovor na drugo pitanje (ponuđenih 210MW, 100MW preostale kvote):</w:t>
            </w:r>
          </w:p>
          <w:p w14:paraId="7FD17402"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U ovom slučaju, Komisija će od ponuđača tražiti da se izjasni u roku od tri dana od prijema zahteva da li prihvata dodeljivanje prava na tržišnu premiju za dio ponuđenog kapaciteta elektrane (za 100MW od ponuđenih 210MW). Ponuđač ima pravo da odbije dodeljivanje tržišne premije za dio ponuđenog kapaciteta u ovom primjeru. Ukoliko ponuđač prihvati da mu se tržišna premija dodjeli samo za dio ponuđene snage, stiče pravo na umanjenje finansijskog instrumenta za ozbiljnost ponude, na način predviđen gore pomenutom Uredbom.  </w:t>
            </w:r>
          </w:p>
        </w:tc>
      </w:tr>
      <w:tr w:rsidR="00340FAB" w:rsidRPr="00AC436A" w14:paraId="412F85A7"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2EA9AD2E" w14:textId="3AE5DF72" w:rsidR="00340FAB" w:rsidRPr="00C30338" w:rsidRDefault="00340FAB" w:rsidP="008F70FB">
            <w:pPr>
              <w:jc w:val="both"/>
              <w:rPr>
                <w:rFonts w:ascii="Verdana" w:eastAsia="Times New Roman" w:hAnsi="Verdana" w:cs="Times New Roman"/>
                <w:sz w:val="20"/>
                <w:szCs w:val="20"/>
                <w:lang w:val="sr-Latn-RS" w:eastAsia="zh-TW"/>
              </w:rPr>
            </w:pPr>
            <w:r>
              <w:rPr>
                <w:rFonts w:ascii="Verdana" w:eastAsia="Times New Roman" w:hAnsi="Verdana" w:cs="Times New Roman"/>
                <w:sz w:val="20"/>
                <w:szCs w:val="20"/>
                <w:lang w:val="sr-Latn-RS" w:eastAsia="zh-TW"/>
              </w:rPr>
              <w:lastRenderedPageBreak/>
              <w:t>47</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2AD08E6" w14:textId="6D714D26"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Tenderskom dokumentacijom je navedeno: 1) da je učesnik aukcije u finansijskoj ponudi ponudio snagu koja je koja je jednaka ili veća od minimalnog procenta Obavezne snage elektrane sa kojim ponuđač može učestvovati na Aukciji u skladu sa Javnim pozivom;  2) da elektrana za koju je podneta ponuda koristi tehnologiju solarne energije; 3) da je snaga elektrane veća od 400 kW; 4) da učesnik aukcije nije podnio finansijsku ponudu za snagu, odnosno dio snage elektrane veći od 250 MW; </w:t>
            </w:r>
          </w:p>
          <w:p w14:paraId="43D33578" w14:textId="59ACDBCF"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Pitanje glasi: S obzirom da se nakon otvaranja koverti za kvalifikacione uslove određuje koji su ponuđači prošli kvalifikaciju , kako se provjeravaju tačke 1 i 4 u toj fazi ili se to radi naknadno?</w:t>
            </w: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18B70B0C"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Otvaranjem djelova ponuda (uslovi u pogledu podobnosti ponuđača i dokazi o ispunjenosti kvalifikacionih uslova), Komisija samo konstatuje u prisustvu svih ponuđača koja su dokumenta podnijeta uz svaku od ponuda. Faza evaluacije i ocjene ispunjenosti uslova podobnosti i kvalifikacionih uslova sprovodi se naknadno (u roku od 45 dana od dana otvaranja kvalifikacionog dijela ponuda).</w:t>
            </w:r>
          </w:p>
        </w:tc>
      </w:tr>
      <w:tr w:rsidR="00340FAB" w:rsidRPr="00AC436A" w14:paraId="77A09BFB"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5AC44A46" w14:textId="37EF030F" w:rsidR="00340FAB" w:rsidRPr="00C30338" w:rsidRDefault="00340FAB" w:rsidP="008F70FB">
            <w:pPr>
              <w:jc w:val="both"/>
              <w:rPr>
                <w:rFonts w:ascii="Verdana" w:eastAsia="Times New Roman" w:hAnsi="Verdana" w:cs="Times New Roman"/>
                <w:sz w:val="20"/>
                <w:szCs w:val="20"/>
                <w:lang w:val="sr-Latn-RS" w:eastAsia="zh-TW"/>
              </w:rPr>
            </w:pPr>
            <w:r>
              <w:rPr>
                <w:rFonts w:ascii="Verdana" w:eastAsia="Times New Roman" w:hAnsi="Verdana" w:cs="Times New Roman"/>
                <w:sz w:val="20"/>
                <w:szCs w:val="20"/>
                <w:lang w:val="sr-Latn-RS" w:eastAsia="zh-TW"/>
              </w:rPr>
              <w:t>48</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7273DA5" w14:textId="3E6599A6"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Tenderskom dokumentacijom je navedeno: izjava zakonskog zastupnika učesnika aukcije kojom se navode podaci o lokaciji elektrane i priključne infrastrukture, podaci o pravima na zemljištu u </w:t>
            </w:r>
            <w:r w:rsidRPr="00C30338">
              <w:rPr>
                <w:rFonts w:ascii="Verdana" w:eastAsia="Times New Roman" w:hAnsi="Verdana" w:cs="Times New Roman"/>
                <w:sz w:val="20"/>
                <w:szCs w:val="20"/>
                <w:lang w:val="sr-Latn-RS" w:eastAsia="zh-TW"/>
              </w:rPr>
              <w:lastRenderedPageBreak/>
              <w:t xml:space="preserve">obuhvatu lokacije i kojom se potvrđuje da su na lokaciji elektrane riješeni imovinsko-pravni odnosi -  Prilog 3 forma izjave data u prilogu Tenderske dokumentacije; </w:t>
            </w:r>
          </w:p>
          <w:p w14:paraId="1774C4F3"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Lokacija elektrane u odnosu na koju je Učesnik aukcije podneo ponudu u postupku Aukcije nalazi se na ___________ [uneti katastarske parcele i opštine] ("Lokacija"); </w:t>
            </w:r>
          </w:p>
          <w:p w14:paraId="75B4683B"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imovinsko-pravni odnosi na zemljištu u obuhvatu Lokacije su riješeni.   </w:t>
            </w:r>
          </w:p>
          <w:p w14:paraId="250F83FD"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Ovu izjavu dajem za potrebe učestvovanja Učesnika aukcije na Aukciji u skladu sa Tenderskom dokumentacijom. </w:t>
            </w:r>
          </w:p>
          <w:p w14:paraId="5F4751C2"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Potpisom ove izjave potvrđujem tačnost njene sadržine i da sam upoznat/a sa posledicama ukoliko se utvrdi da je ova Izjava u bilo kom delu netačna ili nepotpuna. </w:t>
            </w:r>
          </w:p>
          <w:p w14:paraId="4E1858F1"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Pitanje glasi: Da li se ovom izjavom potvrđuje da su riješeni imovinsko-pravni odnosi na zemljištu u obuhvatu lokacije koja uključuje i priključnu infrastrukturu?</w:t>
            </w: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1718EABF"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lastRenderedPageBreak/>
              <w:t xml:space="preserve">Da. </w:t>
            </w:r>
            <w:bookmarkStart w:id="2" w:name="_Hlk212681630"/>
            <w:r w:rsidRPr="00C30338">
              <w:rPr>
                <w:rFonts w:ascii="Verdana" w:eastAsia="Times New Roman" w:hAnsi="Verdana" w:cs="Times New Roman"/>
                <w:sz w:val="20"/>
                <w:szCs w:val="20"/>
                <w:lang w:val="sr-Latn-RS" w:eastAsia="zh-TW"/>
              </w:rPr>
              <w:t xml:space="preserve">U članu 2.1.2. Koverta "KVALIFIKACIONI USLOVI" stav 1 tačka 11 je propisano da ponuđač </w:t>
            </w:r>
            <w:r w:rsidRPr="00C30338">
              <w:rPr>
                <w:rFonts w:ascii="Verdana" w:eastAsia="Times New Roman" w:hAnsi="Verdana" w:cs="Times New Roman"/>
                <w:sz w:val="20"/>
                <w:szCs w:val="20"/>
                <w:lang w:val="sr-Latn-RS" w:eastAsia="zh-TW"/>
              </w:rPr>
              <w:lastRenderedPageBreak/>
              <w:t>dostavlja izjavu zakonskog zastupnika učesnika aukcije kojom se navode podaci o lokaciji elektrane i priključne infrastrukture, podaci o pravima na zemljištu u obuhvatu lokacije i kojom se potvrđuje da su na lokaciji elektrane riješeni imovinsko-pravni odnosi - Prilog 3 forma izjave data u prilogu Tenderske dokumentacije;</w:t>
            </w:r>
          </w:p>
          <w:bookmarkEnd w:id="2"/>
          <w:p w14:paraId="31F26905"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p>
          <w:p w14:paraId="3BB3B12B" w14:textId="0561282E"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Samim izdavanjem gradjevinske dozvole rije</w:t>
            </w:r>
            <w:r w:rsidR="00EA592A">
              <w:rPr>
                <w:rFonts w:ascii="Verdana" w:eastAsia="Times New Roman" w:hAnsi="Verdana" w:cs="Times New Roman"/>
                <w:sz w:val="20"/>
                <w:szCs w:val="20"/>
                <w:lang w:val="sr-Latn-RS" w:eastAsia="zh-TW"/>
              </w:rPr>
              <w:t>š</w:t>
            </w:r>
            <w:r w:rsidRPr="00C30338">
              <w:rPr>
                <w:rFonts w:ascii="Verdana" w:eastAsia="Times New Roman" w:hAnsi="Verdana" w:cs="Times New Roman"/>
                <w:sz w:val="20"/>
                <w:szCs w:val="20"/>
                <w:lang w:val="sr-Latn-RS" w:eastAsia="zh-TW"/>
              </w:rPr>
              <w:t>eni su imovinsko pravni odnosi</w:t>
            </w:r>
            <w:r w:rsidR="00EA592A">
              <w:rPr>
                <w:rFonts w:ascii="Verdana" w:eastAsia="Times New Roman" w:hAnsi="Verdana" w:cs="Times New Roman"/>
                <w:sz w:val="20"/>
                <w:szCs w:val="20"/>
                <w:lang w:val="sr-Latn-RS" w:eastAsia="zh-TW"/>
              </w:rPr>
              <w:t>, a u izjavi ponuđač navodi parcele na osnovu kojih su izdati urbanističko tehnički uslovi.</w:t>
            </w:r>
          </w:p>
        </w:tc>
      </w:tr>
      <w:tr w:rsidR="00340FAB" w:rsidRPr="00AC436A" w14:paraId="5812F5B5"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4E1F1F08" w14:textId="485B8D60" w:rsidR="00340FAB" w:rsidRPr="00C30338" w:rsidRDefault="00340FAB" w:rsidP="008F70FB">
            <w:pPr>
              <w:jc w:val="both"/>
              <w:rPr>
                <w:rFonts w:ascii="Verdana" w:eastAsia="Times New Roman" w:hAnsi="Verdana" w:cs="Times New Roman"/>
                <w:sz w:val="20"/>
                <w:szCs w:val="20"/>
                <w:lang w:val="sr-Latn-RS" w:eastAsia="zh-TW"/>
              </w:rPr>
            </w:pPr>
            <w:r>
              <w:rPr>
                <w:rFonts w:ascii="Verdana" w:eastAsia="Times New Roman" w:hAnsi="Verdana" w:cs="Times New Roman"/>
                <w:sz w:val="20"/>
                <w:szCs w:val="20"/>
                <w:lang w:val="sr-Latn-RS" w:eastAsia="zh-TW"/>
              </w:rPr>
              <w:lastRenderedPageBreak/>
              <w:t>49</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78CD275" w14:textId="37623885"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Tenderskom dokumentacijom je navedeno: Proizvođač je dužan da: </w:t>
            </w:r>
          </w:p>
          <w:p w14:paraId="2072D076"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1)</w:t>
            </w:r>
            <w:r w:rsidRPr="00C30338">
              <w:rPr>
                <w:rFonts w:ascii="Verdana" w:eastAsia="Times New Roman" w:hAnsi="Verdana" w:cs="Times New Roman"/>
                <w:sz w:val="20"/>
                <w:szCs w:val="20"/>
                <w:lang w:val="sr-Latn-RS" w:eastAsia="zh-TW"/>
              </w:rPr>
              <w:tab/>
              <w:t xml:space="preserve">obezbedi da Postrojenje ne prelazi snagu [unijeti snagu za koju je Proizvođač stekao status privremenog povlašćenog proizvođača]; </w:t>
            </w:r>
          </w:p>
          <w:p w14:paraId="6FB3FF4E"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2)</w:t>
            </w:r>
            <w:r w:rsidRPr="00C30338">
              <w:rPr>
                <w:rFonts w:ascii="Verdana" w:eastAsia="Times New Roman" w:hAnsi="Verdana" w:cs="Times New Roman"/>
                <w:sz w:val="20"/>
                <w:szCs w:val="20"/>
                <w:lang w:val="sr-Latn-RS" w:eastAsia="zh-TW"/>
              </w:rPr>
              <w:tab/>
              <w:t xml:space="preserve">koristi reaktivnu energiju u skladu sa zakonom kojim se uređuje energetika i pravilima o radu sistema na koji je Postrojenje priključeno; </w:t>
            </w:r>
          </w:p>
          <w:p w14:paraId="67563544"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Ovlašćena ugovorna strana nema obavezu da isplaćuje tržišnu premiju za Obračunske intervale unutar Obračunskog perioda u kome je Postrojenje priješlo vrijednost odobrene snage iz tačke 1, stava 1 ovog člana ili koristilo reaktivnu energiju suprotno zakonu kojim se uređuje energetika i pravilima o radu sistema na koji je Postrojenje priključeno. </w:t>
            </w:r>
          </w:p>
          <w:p w14:paraId="71465B20"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Tržišna premija se ne isplaćuje se za period od probnog rada Postrojenja do početka podsticajnog perioda. </w:t>
            </w:r>
          </w:p>
          <w:p w14:paraId="3322CA45"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Ovlašćena ugovorna strana nema obavezu isplate tržišne premije za Obračunske intervale u kojima je Referentna tržišna cijena negativna. </w:t>
            </w:r>
          </w:p>
          <w:p w14:paraId="58B6856B"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 xml:space="preserve">Pitanje glasi: Zašto se tenderska dokumentacija bavi reaktivnom energijom koja predstavlja složeno tehničko pitanje i predmet je ugovora između ponuđača i operatora sistema i da li će se </w:t>
            </w:r>
            <w:r w:rsidRPr="00C30338">
              <w:rPr>
                <w:rFonts w:ascii="Verdana" w:eastAsia="Times New Roman" w:hAnsi="Verdana" w:cs="Times New Roman"/>
                <w:sz w:val="20"/>
                <w:szCs w:val="20"/>
                <w:lang w:val="sr-Latn-RS" w:eastAsia="zh-TW"/>
              </w:rPr>
              <w:lastRenderedPageBreak/>
              <w:t>ovaj član - stav 2, precizirati u tenderskoj dokumentaciji kako bi ponuđači mogli precizno znati kakva im je pozicija?</w:t>
            </w: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6D29373B"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lastRenderedPageBreak/>
              <w:t>Ove odredbe su unesene kao sigurnost ovlašćene ugovorne strane da povlašćeni proizvođač postupa u skladu sa obavezama proizvođača električne energije iz zakona o energetici i u skladu sa obavezama korisnika sistema električne energije, pri čemu se dodatno obezbeđuje da se ugovorom o tržišnoj premiji plaćaju podsticaji samo za  električnu energiju koja je proizvedena u konkretnoj solarnoj elektrani.</w:t>
            </w:r>
          </w:p>
          <w:p w14:paraId="6138B8B6"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p>
        </w:tc>
      </w:tr>
      <w:tr w:rsidR="00340FAB" w:rsidRPr="00AC436A" w14:paraId="50FECA89" w14:textId="77777777" w:rsidTr="00340FAB">
        <w:trPr>
          <w:gridAfter w:val="1"/>
          <w:wAfter w:w="71" w:type="dxa"/>
          <w:trHeight w:val="300"/>
        </w:trPr>
        <w:tc>
          <w:tcPr>
            <w:tcW w:w="430" w:type="dxa"/>
            <w:tcBorders>
              <w:top w:val="single" w:sz="4" w:space="0" w:color="auto"/>
              <w:left w:val="single" w:sz="4" w:space="0" w:color="auto"/>
              <w:bottom w:val="single" w:sz="4" w:space="0" w:color="auto"/>
              <w:right w:val="single" w:sz="4" w:space="0" w:color="auto"/>
            </w:tcBorders>
            <w:shd w:val="clear" w:color="auto" w:fill="FFFFFF"/>
          </w:tcPr>
          <w:p w14:paraId="76BA1FEB" w14:textId="1A908C67" w:rsidR="00340FAB" w:rsidRPr="00C30338" w:rsidRDefault="00340FAB" w:rsidP="008F70FB">
            <w:pPr>
              <w:jc w:val="both"/>
              <w:rPr>
                <w:rFonts w:ascii="Verdana" w:eastAsia="Times New Roman" w:hAnsi="Verdana" w:cs="Times New Roman"/>
                <w:sz w:val="20"/>
                <w:szCs w:val="20"/>
                <w:lang w:val="sr-Latn-RS" w:eastAsia="zh-TW"/>
              </w:rPr>
            </w:pPr>
            <w:r>
              <w:rPr>
                <w:rFonts w:ascii="Verdana" w:eastAsia="Times New Roman" w:hAnsi="Verdana" w:cs="Times New Roman"/>
                <w:sz w:val="20"/>
                <w:szCs w:val="20"/>
                <w:lang w:val="sr-Latn-RS" w:eastAsia="zh-TW"/>
              </w:rPr>
              <w:t>50</w:t>
            </w:r>
          </w:p>
        </w:tc>
        <w:tc>
          <w:tcPr>
            <w:tcW w:w="99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A69078E" w14:textId="1AF65225"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Tenderskom dokumentacijom je opisan balansni mehanizam koji se koristi od momenta kad stupi na snagu ugovor sa tržišnom premijom i traje do početka rada unutar dnevnog tržišta u Crnoj Gori:</w:t>
            </w:r>
          </w:p>
          <w:p w14:paraId="5A53B484"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Da li je ova donja računica tačna za jedan obračunski interval ako je cijena na MEPEXu za taj interval jednaka ponuđenoj cijeni na aukciji od npr 60 Eura.</w:t>
            </w:r>
          </w:p>
          <w:p w14:paraId="5841154D"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Tržišna premija će biti 0 Eura, a ponuđač će biti dužan da plati ovlašćenoj strani u slučaju da mu je ostvarena proizvodnja manja od prijavljenog plana u tom obračunskom intervalu za 1MWh/h iznos od 114,71 Eura, a ako mu je ostvarena proizvodnja veća od prijavljenog plana u tom obračunskom interval za 1 MWh/h Ovlašćena strana će ponuđaču platiti 5,29 Eur/MWh.</w:t>
            </w:r>
          </w:p>
          <w:p w14:paraId="53DB13A6" w14:textId="77777777" w:rsidR="00340FAB" w:rsidRPr="00C30338" w:rsidRDefault="00340FAB" w:rsidP="008F70FB">
            <w:pPr>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Posebno vas molimo da nam konkretno na primjerima pojasnite kako ova ista računica izgleda ako je cijena u tom intervalu na MEPEX-u 0, a kako kad je cijena negativna?</w:t>
            </w:r>
          </w:p>
        </w:tc>
        <w:tc>
          <w:tcPr>
            <w:tcW w:w="3646" w:type="dxa"/>
            <w:tcBorders>
              <w:top w:val="single" w:sz="4" w:space="0" w:color="auto"/>
              <w:left w:val="single" w:sz="4" w:space="0" w:color="auto"/>
              <w:bottom w:val="single" w:sz="4" w:space="0" w:color="auto"/>
              <w:right w:val="single" w:sz="4" w:space="0" w:color="auto"/>
            </w:tcBorders>
            <w:shd w:val="clear" w:color="auto" w:fill="FFFFFF"/>
          </w:tcPr>
          <w:p w14:paraId="168D97A1" w14:textId="77777777" w:rsidR="00340FAB" w:rsidRPr="00C30338" w:rsidRDefault="00340FAB" w:rsidP="00C30338">
            <w:pPr>
              <w:spacing w:after="0" w:line="240" w:lineRule="auto"/>
              <w:jc w:val="both"/>
              <w:rPr>
                <w:rFonts w:ascii="Verdana" w:eastAsia="Times New Roman" w:hAnsi="Verdana" w:cs="Times New Roman"/>
                <w:sz w:val="20"/>
                <w:szCs w:val="20"/>
                <w:lang w:val="sr-Latn-RS" w:eastAsia="zh-TW"/>
              </w:rPr>
            </w:pPr>
            <w:r w:rsidRPr="00C30338">
              <w:rPr>
                <w:rFonts w:ascii="Verdana" w:eastAsia="Times New Roman" w:hAnsi="Verdana" w:cs="Times New Roman"/>
                <w:sz w:val="20"/>
                <w:szCs w:val="20"/>
                <w:lang w:val="sr-Latn-RS" w:eastAsia="zh-TW"/>
              </w:rPr>
              <w:t>U tabeli ispod predstavili smo primere obračuna ponuđača ako se pretpostavi da je cena na MEPEX-u u intervalu obračuna (sat): 60 EUR/MWh, 0 EUR/MWh i kada je cena negativna (-10 EUR/MWh radi ilustracije). Pretpostavili smo hipotetički prijavljenu proizvodnju od 15 MWh, za slučaj negativnog odstupanja stvarnu proizvodnju od 14 MWh, a za slučaj pozitivnog odstupanja stvarnu proizvodnju od 16 MWh. Nadamo se da ovo pomaže u ilustrovanju plaćanja u različitim scenarijima. Imajte u vidu da pozitivni brojevi predstavljaju priliv novca za proizvođača, a negativni brojevi odliv novca. Takođe, radi izbegavanja sumnje, napominjemo da isplate iz stavke [7], [8] i [10] isplaćuje ovlašćena ugovorna strana, dok isplate iz stavke [9] povlašćeni proizvođač ostvaruje prodajom energije na tržištu. Na kraju, dati obračun uzima u obzir zakonsko rešenje da se tržišna premija ne plaća kada je referentna cena negativna.</w:t>
            </w:r>
          </w:p>
        </w:tc>
      </w:tr>
    </w:tbl>
    <w:p w14:paraId="7E0F528A" w14:textId="36670EC8" w:rsidR="00DE6CBD" w:rsidRDefault="00DE6CBD"/>
    <w:p w14:paraId="2AAECD73" w14:textId="0F0C7080" w:rsidR="00340FAB" w:rsidRDefault="00340FAB"/>
    <w:p w14:paraId="6B44890F" w14:textId="77777777" w:rsidR="00340FAB" w:rsidRDefault="00340FAB"/>
    <w:p w14:paraId="7621BE42" w14:textId="078CDB92" w:rsidR="003B1783" w:rsidRDefault="003B1783"/>
    <w:tbl>
      <w:tblPr>
        <w:tblW w:w="13172" w:type="dxa"/>
        <w:tblInd w:w="1" w:type="dxa"/>
        <w:tblLayout w:type="fixed"/>
        <w:tblLook w:val="04A0" w:firstRow="1" w:lastRow="0" w:firstColumn="1" w:lastColumn="0" w:noHBand="0" w:noVBand="1"/>
      </w:tblPr>
      <w:tblGrid>
        <w:gridCol w:w="1549"/>
        <w:gridCol w:w="1306"/>
        <w:gridCol w:w="1029"/>
        <w:gridCol w:w="1204"/>
        <w:gridCol w:w="997"/>
        <w:gridCol w:w="708"/>
        <w:gridCol w:w="851"/>
        <w:gridCol w:w="1276"/>
        <w:gridCol w:w="708"/>
        <w:gridCol w:w="1036"/>
        <w:gridCol w:w="665"/>
        <w:gridCol w:w="1843"/>
      </w:tblGrid>
      <w:tr w:rsidR="003B1783" w:rsidRPr="003B1783" w14:paraId="07FC8CCF" w14:textId="77777777" w:rsidTr="003B1783">
        <w:trPr>
          <w:trHeight w:val="650"/>
        </w:trPr>
        <w:tc>
          <w:tcPr>
            <w:tcW w:w="1549" w:type="dxa"/>
            <w:tcBorders>
              <w:top w:val="single" w:sz="8" w:space="0" w:color="auto"/>
              <w:left w:val="single" w:sz="8" w:space="0" w:color="auto"/>
              <w:bottom w:val="nil"/>
              <w:right w:val="single" w:sz="8" w:space="0" w:color="auto"/>
            </w:tcBorders>
            <w:vAlign w:val="bottom"/>
            <w:hideMark/>
          </w:tcPr>
          <w:p w14:paraId="05C91421"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 </w:t>
            </w:r>
          </w:p>
        </w:tc>
        <w:tc>
          <w:tcPr>
            <w:tcW w:w="1306" w:type="dxa"/>
            <w:tcBorders>
              <w:top w:val="single" w:sz="8" w:space="0" w:color="auto"/>
              <w:left w:val="nil"/>
              <w:bottom w:val="nil"/>
              <w:right w:val="nil"/>
            </w:tcBorders>
            <w:vAlign w:val="bottom"/>
            <w:hideMark/>
          </w:tcPr>
          <w:p w14:paraId="0E15E439"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b/>
                <w:bCs/>
                <w:color w:val="000000"/>
                <w:sz w:val="18"/>
                <w:szCs w:val="18"/>
              </w:rPr>
              <w:t>Prijavljena</w:t>
            </w:r>
          </w:p>
        </w:tc>
        <w:tc>
          <w:tcPr>
            <w:tcW w:w="1029" w:type="dxa"/>
            <w:tcBorders>
              <w:top w:val="single" w:sz="8" w:space="0" w:color="auto"/>
              <w:left w:val="nil"/>
              <w:bottom w:val="nil"/>
              <w:right w:val="nil"/>
            </w:tcBorders>
            <w:vAlign w:val="bottom"/>
            <w:hideMark/>
          </w:tcPr>
          <w:p w14:paraId="78E114F4"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b/>
                <w:bCs/>
                <w:color w:val="000000"/>
                <w:sz w:val="18"/>
                <w:szCs w:val="18"/>
              </w:rPr>
              <w:t>Stvarna</w:t>
            </w:r>
          </w:p>
        </w:tc>
        <w:tc>
          <w:tcPr>
            <w:tcW w:w="1204" w:type="dxa"/>
            <w:tcBorders>
              <w:top w:val="single" w:sz="8" w:space="0" w:color="auto"/>
              <w:left w:val="nil"/>
              <w:bottom w:val="nil"/>
              <w:right w:val="nil"/>
            </w:tcBorders>
            <w:vAlign w:val="bottom"/>
            <w:hideMark/>
          </w:tcPr>
          <w:p w14:paraId="6DEDC1F5"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b/>
                <w:bCs/>
                <w:color w:val="000000"/>
                <w:sz w:val="18"/>
                <w:szCs w:val="18"/>
              </w:rPr>
              <w:t>Disbalans</w:t>
            </w:r>
          </w:p>
        </w:tc>
        <w:tc>
          <w:tcPr>
            <w:tcW w:w="997" w:type="dxa"/>
            <w:tcBorders>
              <w:top w:val="single" w:sz="8" w:space="0" w:color="auto"/>
              <w:left w:val="single" w:sz="8" w:space="0" w:color="auto"/>
              <w:bottom w:val="nil"/>
              <w:right w:val="nil"/>
            </w:tcBorders>
            <w:vAlign w:val="bottom"/>
            <w:hideMark/>
          </w:tcPr>
          <w:p w14:paraId="5536D4CE"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b/>
                <w:bCs/>
                <w:color w:val="000000"/>
                <w:sz w:val="18"/>
                <w:szCs w:val="18"/>
              </w:rPr>
              <w:t>Naknada za disbalans</w:t>
            </w:r>
          </w:p>
        </w:tc>
        <w:tc>
          <w:tcPr>
            <w:tcW w:w="708" w:type="dxa"/>
            <w:tcBorders>
              <w:top w:val="single" w:sz="8" w:space="0" w:color="auto"/>
              <w:left w:val="nil"/>
              <w:bottom w:val="nil"/>
              <w:right w:val="nil"/>
            </w:tcBorders>
            <w:vAlign w:val="bottom"/>
            <w:hideMark/>
          </w:tcPr>
          <w:p w14:paraId="338EC5F8"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b/>
                <w:bCs/>
                <w:color w:val="000000"/>
                <w:sz w:val="18"/>
                <w:szCs w:val="18"/>
              </w:rPr>
              <w:t>MEPEX Cena</w:t>
            </w:r>
          </w:p>
        </w:tc>
        <w:tc>
          <w:tcPr>
            <w:tcW w:w="851" w:type="dxa"/>
            <w:tcBorders>
              <w:top w:val="single" w:sz="8" w:space="0" w:color="auto"/>
              <w:left w:val="nil"/>
              <w:bottom w:val="nil"/>
              <w:right w:val="single" w:sz="8" w:space="0" w:color="auto"/>
            </w:tcBorders>
            <w:vAlign w:val="bottom"/>
            <w:hideMark/>
          </w:tcPr>
          <w:p w14:paraId="074D7A7D"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b/>
                <w:bCs/>
                <w:color w:val="000000"/>
                <w:sz w:val="18"/>
                <w:szCs w:val="18"/>
              </w:rPr>
              <w:t>Ostvarena cena na aukciji</w:t>
            </w:r>
          </w:p>
        </w:tc>
        <w:tc>
          <w:tcPr>
            <w:tcW w:w="1276" w:type="dxa"/>
            <w:tcBorders>
              <w:top w:val="single" w:sz="8" w:space="0" w:color="auto"/>
              <w:left w:val="nil"/>
              <w:bottom w:val="nil"/>
              <w:right w:val="nil"/>
            </w:tcBorders>
            <w:vAlign w:val="bottom"/>
            <w:hideMark/>
          </w:tcPr>
          <w:p w14:paraId="4260B426"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b/>
                <w:bCs/>
                <w:color w:val="000000"/>
                <w:sz w:val="18"/>
                <w:szCs w:val="18"/>
              </w:rPr>
              <w:t>Isplata naknade za disbalans</w:t>
            </w:r>
          </w:p>
        </w:tc>
        <w:tc>
          <w:tcPr>
            <w:tcW w:w="708" w:type="dxa"/>
            <w:tcBorders>
              <w:top w:val="single" w:sz="8" w:space="0" w:color="auto"/>
              <w:left w:val="nil"/>
              <w:bottom w:val="nil"/>
              <w:right w:val="nil"/>
            </w:tcBorders>
            <w:vAlign w:val="bottom"/>
            <w:hideMark/>
          </w:tcPr>
          <w:p w14:paraId="12EBEC20"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b/>
                <w:bCs/>
                <w:color w:val="000000"/>
                <w:sz w:val="18"/>
                <w:szCs w:val="18"/>
              </w:rPr>
              <w:t>Isplata za energiju</w:t>
            </w:r>
          </w:p>
        </w:tc>
        <w:tc>
          <w:tcPr>
            <w:tcW w:w="1036" w:type="dxa"/>
            <w:tcBorders>
              <w:top w:val="single" w:sz="8" w:space="0" w:color="auto"/>
              <w:left w:val="nil"/>
              <w:bottom w:val="nil"/>
              <w:right w:val="nil"/>
            </w:tcBorders>
            <w:vAlign w:val="bottom"/>
            <w:hideMark/>
          </w:tcPr>
          <w:p w14:paraId="7FCE44B0"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b/>
                <w:bCs/>
                <w:color w:val="000000"/>
                <w:sz w:val="18"/>
                <w:szCs w:val="18"/>
              </w:rPr>
              <w:t>Tržišni prihod</w:t>
            </w:r>
          </w:p>
        </w:tc>
        <w:tc>
          <w:tcPr>
            <w:tcW w:w="665" w:type="dxa"/>
            <w:tcBorders>
              <w:top w:val="single" w:sz="8" w:space="0" w:color="auto"/>
              <w:left w:val="nil"/>
              <w:bottom w:val="nil"/>
              <w:right w:val="single" w:sz="8" w:space="0" w:color="auto"/>
            </w:tcBorders>
            <w:vAlign w:val="bottom"/>
            <w:hideMark/>
          </w:tcPr>
          <w:p w14:paraId="272E1591"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b/>
                <w:bCs/>
                <w:color w:val="000000"/>
                <w:sz w:val="18"/>
                <w:szCs w:val="18"/>
              </w:rPr>
              <w:t>Isplata tržišne premije</w:t>
            </w:r>
          </w:p>
        </w:tc>
        <w:tc>
          <w:tcPr>
            <w:tcW w:w="1843" w:type="dxa"/>
            <w:tcBorders>
              <w:top w:val="single" w:sz="8" w:space="0" w:color="auto"/>
              <w:left w:val="nil"/>
              <w:bottom w:val="nil"/>
              <w:right w:val="single" w:sz="8" w:space="0" w:color="auto"/>
            </w:tcBorders>
            <w:vAlign w:val="bottom"/>
            <w:hideMark/>
          </w:tcPr>
          <w:p w14:paraId="2DFE1872"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b/>
                <w:bCs/>
                <w:color w:val="000000"/>
                <w:sz w:val="18"/>
                <w:szCs w:val="18"/>
              </w:rPr>
              <w:t>Ukupno</w:t>
            </w:r>
          </w:p>
        </w:tc>
      </w:tr>
      <w:tr w:rsidR="003B1783" w:rsidRPr="003B1783" w14:paraId="5CEC35B3" w14:textId="77777777" w:rsidTr="003B1783">
        <w:trPr>
          <w:trHeight w:val="325"/>
        </w:trPr>
        <w:tc>
          <w:tcPr>
            <w:tcW w:w="1549" w:type="dxa"/>
            <w:tcBorders>
              <w:top w:val="nil"/>
              <w:left w:val="single" w:sz="8" w:space="0" w:color="auto"/>
              <w:bottom w:val="nil"/>
              <w:right w:val="single" w:sz="8" w:space="0" w:color="auto"/>
            </w:tcBorders>
            <w:vAlign w:val="bottom"/>
            <w:hideMark/>
          </w:tcPr>
          <w:p w14:paraId="7EB287EF"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 </w:t>
            </w:r>
          </w:p>
        </w:tc>
        <w:tc>
          <w:tcPr>
            <w:tcW w:w="1306" w:type="dxa"/>
            <w:tcBorders>
              <w:top w:val="nil"/>
              <w:left w:val="nil"/>
              <w:bottom w:val="single" w:sz="8" w:space="0" w:color="auto"/>
              <w:right w:val="nil"/>
            </w:tcBorders>
            <w:vAlign w:val="bottom"/>
            <w:hideMark/>
          </w:tcPr>
          <w:p w14:paraId="2215D882"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color w:val="000000"/>
                <w:sz w:val="18"/>
                <w:szCs w:val="18"/>
              </w:rPr>
              <w:t>MWh</w:t>
            </w:r>
          </w:p>
        </w:tc>
        <w:tc>
          <w:tcPr>
            <w:tcW w:w="1029" w:type="dxa"/>
            <w:tcBorders>
              <w:top w:val="nil"/>
              <w:left w:val="nil"/>
              <w:bottom w:val="single" w:sz="8" w:space="0" w:color="auto"/>
              <w:right w:val="nil"/>
            </w:tcBorders>
            <w:vAlign w:val="bottom"/>
            <w:hideMark/>
          </w:tcPr>
          <w:p w14:paraId="3B1FB04B"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color w:val="000000"/>
                <w:sz w:val="18"/>
                <w:szCs w:val="18"/>
              </w:rPr>
              <w:t>MWh</w:t>
            </w:r>
          </w:p>
        </w:tc>
        <w:tc>
          <w:tcPr>
            <w:tcW w:w="1204" w:type="dxa"/>
            <w:tcBorders>
              <w:top w:val="nil"/>
              <w:left w:val="nil"/>
              <w:bottom w:val="single" w:sz="8" w:space="0" w:color="auto"/>
              <w:right w:val="nil"/>
            </w:tcBorders>
            <w:vAlign w:val="bottom"/>
            <w:hideMark/>
          </w:tcPr>
          <w:p w14:paraId="49BB0882"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color w:val="000000"/>
                <w:sz w:val="18"/>
                <w:szCs w:val="18"/>
              </w:rPr>
              <w:t>MWh</w:t>
            </w:r>
          </w:p>
        </w:tc>
        <w:tc>
          <w:tcPr>
            <w:tcW w:w="997" w:type="dxa"/>
            <w:tcBorders>
              <w:top w:val="nil"/>
              <w:left w:val="single" w:sz="8" w:space="0" w:color="auto"/>
              <w:bottom w:val="single" w:sz="8" w:space="0" w:color="auto"/>
              <w:right w:val="nil"/>
            </w:tcBorders>
            <w:vAlign w:val="bottom"/>
            <w:hideMark/>
          </w:tcPr>
          <w:p w14:paraId="27424635"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color w:val="000000"/>
                <w:sz w:val="18"/>
                <w:szCs w:val="18"/>
              </w:rPr>
              <w:t>EUR/MWh</w:t>
            </w:r>
          </w:p>
        </w:tc>
        <w:tc>
          <w:tcPr>
            <w:tcW w:w="708" w:type="dxa"/>
            <w:tcBorders>
              <w:top w:val="nil"/>
              <w:left w:val="nil"/>
              <w:bottom w:val="single" w:sz="8" w:space="0" w:color="auto"/>
              <w:right w:val="nil"/>
            </w:tcBorders>
            <w:vAlign w:val="bottom"/>
            <w:hideMark/>
          </w:tcPr>
          <w:p w14:paraId="348C3712"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color w:val="000000"/>
                <w:sz w:val="18"/>
                <w:szCs w:val="18"/>
              </w:rPr>
              <w:t>EUR/MWh</w:t>
            </w:r>
          </w:p>
        </w:tc>
        <w:tc>
          <w:tcPr>
            <w:tcW w:w="851" w:type="dxa"/>
            <w:tcBorders>
              <w:top w:val="nil"/>
              <w:left w:val="nil"/>
              <w:bottom w:val="single" w:sz="8" w:space="0" w:color="auto"/>
              <w:right w:val="single" w:sz="8" w:space="0" w:color="auto"/>
            </w:tcBorders>
            <w:vAlign w:val="bottom"/>
            <w:hideMark/>
          </w:tcPr>
          <w:p w14:paraId="022982E3"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color w:val="000000"/>
                <w:sz w:val="18"/>
                <w:szCs w:val="18"/>
              </w:rPr>
              <w:t>EUR/MWh</w:t>
            </w:r>
          </w:p>
        </w:tc>
        <w:tc>
          <w:tcPr>
            <w:tcW w:w="1276" w:type="dxa"/>
            <w:tcBorders>
              <w:top w:val="nil"/>
              <w:left w:val="nil"/>
              <w:bottom w:val="single" w:sz="8" w:space="0" w:color="auto"/>
              <w:right w:val="nil"/>
            </w:tcBorders>
            <w:vAlign w:val="bottom"/>
            <w:hideMark/>
          </w:tcPr>
          <w:p w14:paraId="0D8EEDAC"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color w:val="000000"/>
                <w:sz w:val="18"/>
                <w:szCs w:val="18"/>
              </w:rPr>
              <w:t>EUR</w:t>
            </w:r>
          </w:p>
        </w:tc>
        <w:tc>
          <w:tcPr>
            <w:tcW w:w="708" w:type="dxa"/>
            <w:tcBorders>
              <w:top w:val="nil"/>
              <w:left w:val="nil"/>
              <w:bottom w:val="single" w:sz="8" w:space="0" w:color="auto"/>
              <w:right w:val="nil"/>
            </w:tcBorders>
            <w:vAlign w:val="bottom"/>
            <w:hideMark/>
          </w:tcPr>
          <w:p w14:paraId="3F40A399"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color w:val="000000"/>
                <w:sz w:val="18"/>
                <w:szCs w:val="18"/>
              </w:rPr>
              <w:t>EUR</w:t>
            </w:r>
          </w:p>
        </w:tc>
        <w:tc>
          <w:tcPr>
            <w:tcW w:w="1036" w:type="dxa"/>
            <w:tcBorders>
              <w:top w:val="nil"/>
              <w:left w:val="nil"/>
              <w:bottom w:val="single" w:sz="8" w:space="0" w:color="auto"/>
              <w:right w:val="nil"/>
            </w:tcBorders>
            <w:vAlign w:val="bottom"/>
            <w:hideMark/>
          </w:tcPr>
          <w:p w14:paraId="2DD0F355"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color w:val="000000"/>
                <w:sz w:val="18"/>
                <w:szCs w:val="18"/>
              </w:rPr>
              <w:t>EUR</w:t>
            </w:r>
          </w:p>
        </w:tc>
        <w:tc>
          <w:tcPr>
            <w:tcW w:w="665" w:type="dxa"/>
            <w:tcBorders>
              <w:top w:val="nil"/>
              <w:left w:val="nil"/>
              <w:bottom w:val="single" w:sz="8" w:space="0" w:color="auto"/>
              <w:right w:val="single" w:sz="8" w:space="0" w:color="auto"/>
            </w:tcBorders>
            <w:vAlign w:val="bottom"/>
            <w:hideMark/>
          </w:tcPr>
          <w:p w14:paraId="4413DA0C"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color w:val="000000"/>
                <w:sz w:val="18"/>
                <w:szCs w:val="18"/>
              </w:rPr>
              <w:t>EUR</w:t>
            </w:r>
          </w:p>
        </w:tc>
        <w:tc>
          <w:tcPr>
            <w:tcW w:w="1843" w:type="dxa"/>
            <w:tcBorders>
              <w:top w:val="nil"/>
              <w:left w:val="nil"/>
              <w:bottom w:val="single" w:sz="8" w:space="0" w:color="auto"/>
              <w:right w:val="single" w:sz="8" w:space="0" w:color="auto"/>
            </w:tcBorders>
            <w:vAlign w:val="bottom"/>
            <w:hideMark/>
          </w:tcPr>
          <w:p w14:paraId="48A0D3DA"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color w:val="000000"/>
                <w:sz w:val="18"/>
                <w:szCs w:val="18"/>
              </w:rPr>
              <w:t>EUR</w:t>
            </w:r>
          </w:p>
        </w:tc>
      </w:tr>
      <w:tr w:rsidR="003B1783" w:rsidRPr="003B1783" w14:paraId="056005D5" w14:textId="77777777" w:rsidTr="003B1783">
        <w:trPr>
          <w:trHeight w:val="325"/>
        </w:trPr>
        <w:tc>
          <w:tcPr>
            <w:tcW w:w="1549" w:type="dxa"/>
            <w:tcBorders>
              <w:top w:val="nil"/>
              <w:left w:val="single" w:sz="8" w:space="0" w:color="auto"/>
              <w:bottom w:val="nil"/>
              <w:right w:val="single" w:sz="8" w:space="0" w:color="auto"/>
            </w:tcBorders>
            <w:vAlign w:val="bottom"/>
            <w:hideMark/>
          </w:tcPr>
          <w:p w14:paraId="6CD4F642"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 </w:t>
            </w:r>
          </w:p>
        </w:tc>
        <w:tc>
          <w:tcPr>
            <w:tcW w:w="1306" w:type="dxa"/>
            <w:vAlign w:val="bottom"/>
            <w:hideMark/>
          </w:tcPr>
          <w:p w14:paraId="40F820D6"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[1]</w:t>
            </w:r>
          </w:p>
        </w:tc>
        <w:tc>
          <w:tcPr>
            <w:tcW w:w="1029" w:type="dxa"/>
            <w:vAlign w:val="bottom"/>
            <w:hideMark/>
          </w:tcPr>
          <w:p w14:paraId="0A108A16"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[2]</w:t>
            </w:r>
          </w:p>
        </w:tc>
        <w:tc>
          <w:tcPr>
            <w:tcW w:w="1204" w:type="dxa"/>
            <w:vAlign w:val="bottom"/>
            <w:hideMark/>
          </w:tcPr>
          <w:p w14:paraId="378E2763"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[3] = [2] - [1]</w:t>
            </w:r>
          </w:p>
        </w:tc>
        <w:tc>
          <w:tcPr>
            <w:tcW w:w="997" w:type="dxa"/>
            <w:tcBorders>
              <w:top w:val="nil"/>
              <w:left w:val="single" w:sz="8" w:space="0" w:color="auto"/>
              <w:bottom w:val="nil"/>
              <w:right w:val="nil"/>
            </w:tcBorders>
            <w:vAlign w:val="bottom"/>
            <w:hideMark/>
          </w:tcPr>
          <w:p w14:paraId="6389E00C"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[4]</w:t>
            </w:r>
          </w:p>
        </w:tc>
        <w:tc>
          <w:tcPr>
            <w:tcW w:w="708" w:type="dxa"/>
            <w:vAlign w:val="bottom"/>
            <w:hideMark/>
          </w:tcPr>
          <w:p w14:paraId="3B651975"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[5]</w:t>
            </w:r>
          </w:p>
        </w:tc>
        <w:tc>
          <w:tcPr>
            <w:tcW w:w="851" w:type="dxa"/>
            <w:tcBorders>
              <w:top w:val="nil"/>
              <w:left w:val="nil"/>
              <w:bottom w:val="nil"/>
              <w:right w:val="single" w:sz="8" w:space="0" w:color="auto"/>
            </w:tcBorders>
            <w:vAlign w:val="bottom"/>
            <w:hideMark/>
          </w:tcPr>
          <w:p w14:paraId="308E62F7"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[6]</w:t>
            </w:r>
          </w:p>
        </w:tc>
        <w:tc>
          <w:tcPr>
            <w:tcW w:w="1276" w:type="dxa"/>
            <w:vAlign w:val="center"/>
            <w:hideMark/>
          </w:tcPr>
          <w:p w14:paraId="61775FD1"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[7] = -[</w:t>
            </w:r>
            <w:proofErr w:type="gramStart"/>
            <w:r w:rsidRPr="003B1783">
              <w:rPr>
                <w:rFonts w:ascii="Arial" w:eastAsia="Calibri" w:hAnsi="Arial" w:cs="Arial"/>
                <w:i/>
                <w:iCs/>
                <w:color w:val="000000"/>
                <w:sz w:val="18"/>
                <w:szCs w:val="18"/>
              </w:rPr>
              <w:t>4]*</w:t>
            </w:r>
            <w:proofErr w:type="gramEnd"/>
            <w:r w:rsidRPr="003B1783">
              <w:rPr>
                <w:rFonts w:ascii="Arial" w:eastAsia="Calibri" w:hAnsi="Arial" w:cs="Arial"/>
                <w:i/>
                <w:iCs/>
                <w:color w:val="000000"/>
                <w:sz w:val="18"/>
                <w:szCs w:val="18"/>
              </w:rPr>
              <w:t>ABS([3])</w:t>
            </w:r>
          </w:p>
        </w:tc>
        <w:tc>
          <w:tcPr>
            <w:tcW w:w="708" w:type="dxa"/>
            <w:vAlign w:val="center"/>
            <w:hideMark/>
          </w:tcPr>
          <w:p w14:paraId="3BA3B6B5"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[8] = [3]*[5]</w:t>
            </w:r>
          </w:p>
        </w:tc>
        <w:tc>
          <w:tcPr>
            <w:tcW w:w="1036" w:type="dxa"/>
            <w:vAlign w:val="center"/>
            <w:hideMark/>
          </w:tcPr>
          <w:p w14:paraId="12A5192B"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[9] = [1]*[5]</w:t>
            </w:r>
          </w:p>
        </w:tc>
        <w:tc>
          <w:tcPr>
            <w:tcW w:w="665" w:type="dxa"/>
            <w:tcBorders>
              <w:top w:val="nil"/>
              <w:left w:val="nil"/>
              <w:bottom w:val="nil"/>
              <w:right w:val="single" w:sz="8" w:space="0" w:color="auto"/>
            </w:tcBorders>
            <w:vAlign w:val="center"/>
            <w:hideMark/>
          </w:tcPr>
          <w:p w14:paraId="62C3512C"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[10] = [2]*([6]-[5])</w:t>
            </w:r>
          </w:p>
        </w:tc>
        <w:tc>
          <w:tcPr>
            <w:tcW w:w="1843" w:type="dxa"/>
            <w:tcBorders>
              <w:top w:val="nil"/>
              <w:left w:val="nil"/>
              <w:bottom w:val="nil"/>
              <w:right w:val="single" w:sz="8" w:space="0" w:color="auto"/>
            </w:tcBorders>
            <w:vAlign w:val="center"/>
            <w:hideMark/>
          </w:tcPr>
          <w:p w14:paraId="7A0DFAEB"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[11] = [7]+[8]+[9]+[10]</w:t>
            </w:r>
          </w:p>
        </w:tc>
      </w:tr>
      <w:tr w:rsidR="003B1783" w:rsidRPr="003B1783" w14:paraId="6CB9A128" w14:textId="77777777" w:rsidTr="003B1783">
        <w:trPr>
          <w:trHeight w:val="325"/>
        </w:trPr>
        <w:tc>
          <w:tcPr>
            <w:tcW w:w="1549" w:type="dxa"/>
            <w:tcBorders>
              <w:top w:val="single" w:sz="8" w:space="0" w:color="auto"/>
              <w:left w:val="single" w:sz="8" w:space="0" w:color="auto"/>
              <w:bottom w:val="single" w:sz="8" w:space="0" w:color="auto"/>
              <w:right w:val="nil"/>
            </w:tcBorders>
            <w:shd w:val="clear" w:color="auto" w:fill="F2F2F2"/>
            <w:vAlign w:val="bottom"/>
            <w:hideMark/>
          </w:tcPr>
          <w:p w14:paraId="4FCC649D"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b/>
                <w:bCs/>
                <w:color w:val="000000"/>
                <w:sz w:val="18"/>
                <w:szCs w:val="18"/>
              </w:rPr>
              <w:t>Slučaj negativnog disbalansa</w:t>
            </w:r>
          </w:p>
        </w:tc>
        <w:tc>
          <w:tcPr>
            <w:tcW w:w="1306" w:type="dxa"/>
            <w:tcBorders>
              <w:top w:val="single" w:sz="8" w:space="0" w:color="auto"/>
              <w:left w:val="nil"/>
              <w:bottom w:val="single" w:sz="8" w:space="0" w:color="auto"/>
              <w:right w:val="nil"/>
            </w:tcBorders>
            <w:shd w:val="clear" w:color="auto" w:fill="F2F2F2"/>
            <w:vAlign w:val="bottom"/>
            <w:hideMark/>
          </w:tcPr>
          <w:p w14:paraId="6F3CC9A0"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 </w:t>
            </w:r>
          </w:p>
        </w:tc>
        <w:tc>
          <w:tcPr>
            <w:tcW w:w="1029" w:type="dxa"/>
            <w:tcBorders>
              <w:top w:val="single" w:sz="8" w:space="0" w:color="auto"/>
              <w:left w:val="nil"/>
              <w:bottom w:val="single" w:sz="8" w:space="0" w:color="auto"/>
              <w:right w:val="nil"/>
            </w:tcBorders>
            <w:shd w:val="clear" w:color="auto" w:fill="F2F2F2"/>
            <w:vAlign w:val="bottom"/>
            <w:hideMark/>
          </w:tcPr>
          <w:p w14:paraId="0A10033A"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 </w:t>
            </w:r>
          </w:p>
        </w:tc>
        <w:tc>
          <w:tcPr>
            <w:tcW w:w="1204" w:type="dxa"/>
            <w:tcBorders>
              <w:top w:val="single" w:sz="8" w:space="0" w:color="auto"/>
              <w:left w:val="nil"/>
              <w:bottom w:val="single" w:sz="8" w:space="0" w:color="auto"/>
              <w:right w:val="nil"/>
            </w:tcBorders>
            <w:shd w:val="clear" w:color="auto" w:fill="F2F2F2"/>
            <w:vAlign w:val="bottom"/>
            <w:hideMark/>
          </w:tcPr>
          <w:p w14:paraId="2358848A"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 </w:t>
            </w:r>
          </w:p>
        </w:tc>
        <w:tc>
          <w:tcPr>
            <w:tcW w:w="997" w:type="dxa"/>
            <w:tcBorders>
              <w:top w:val="single" w:sz="8" w:space="0" w:color="auto"/>
              <w:left w:val="nil"/>
              <w:bottom w:val="single" w:sz="8" w:space="0" w:color="auto"/>
              <w:right w:val="nil"/>
            </w:tcBorders>
            <w:shd w:val="clear" w:color="auto" w:fill="F2F2F2"/>
            <w:vAlign w:val="bottom"/>
            <w:hideMark/>
          </w:tcPr>
          <w:p w14:paraId="15E16C04"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 </w:t>
            </w:r>
          </w:p>
        </w:tc>
        <w:tc>
          <w:tcPr>
            <w:tcW w:w="708" w:type="dxa"/>
            <w:tcBorders>
              <w:top w:val="single" w:sz="8" w:space="0" w:color="auto"/>
              <w:left w:val="nil"/>
              <w:bottom w:val="single" w:sz="8" w:space="0" w:color="auto"/>
              <w:right w:val="nil"/>
            </w:tcBorders>
            <w:shd w:val="clear" w:color="auto" w:fill="F2F2F2"/>
            <w:vAlign w:val="bottom"/>
            <w:hideMark/>
          </w:tcPr>
          <w:p w14:paraId="03F98CAE"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 </w:t>
            </w:r>
          </w:p>
        </w:tc>
        <w:tc>
          <w:tcPr>
            <w:tcW w:w="851" w:type="dxa"/>
            <w:tcBorders>
              <w:top w:val="single" w:sz="8" w:space="0" w:color="auto"/>
              <w:left w:val="nil"/>
              <w:bottom w:val="single" w:sz="8" w:space="0" w:color="auto"/>
              <w:right w:val="nil"/>
            </w:tcBorders>
            <w:shd w:val="clear" w:color="auto" w:fill="F2F2F2"/>
            <w:vAlign w:val="bottom"/>
            <w:hideMark/>
          </w:tcPr>
          <w:p w14:paraId="17969DAB"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 </w:t>
            </w:r>
          </w:p>
        </w:tc>
        <w:tc>
          <w:tcPr>
            <w:tcW w:w="1276" w:type="dxa"/>
            <w:tcBorders>
              <w:top w:val="single" w:sz="8" w:space="0" w:color="auto"/>
              <w:left w:val="nil"/>
              <w:bottom w:val="single" w:sz="8" w:space="0" w:color="auto"/>
              <w:right w:val="nil"/>
            </w:tcBorders>
            <w:shd w:val="clear" w:color="auto" w:fill="F2F2F2"/>
            <w:vAlign w:val="center"/>
            <w:hideMark/>
          </w:tcPr>
          <w:p w14:paraId="082B7447"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 </w:t>
            </w:r>
          </w:p>
        </w:tc>
        <w:tc>
          <w:tcPr>
            <w:tcW w:w="708" w:type="dxa"/>
            <w:tcBorders>
              <w:top w:val="single" w:sz="8" w:space="0" w:color="auto"/>
              <w:left w:val="nil"/>
              <w:bottom w:val="single" w:sz="8" w:space="0" w:color="auto"/>
              <w:right w:val="nil"/>
            </w:tcBorders>
            <w:shd w:val="clear" w:color="auto" w:fill="F2F2F2"/>
            <w:vAlign w:val="center"/>
            <w:hideMark/>
          </w:tcPr>
          <w:p w14:paraId="06188264"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 </w:t>
            </w:r>
          </w:p>
        </w:tc>
        <w:tc>
          <w:tcPr>
            <w:tcW w:w="1036" w:type="dxa"/>
            <w:tcBorders>
              <w:top w:val="single" w:sz="8" w:space="0" w:color="auto"/>
              <w:left w:val="nil"/>
              <w:bottom w:val="single" w:sz="8" w:space="0" w:color="auto"/>
              <w:right w:val="nil"/>
            </w:tcBorders>
            <w:shd w:val="clear" w:color="auto" w:fill="F2F2F2"/>
            <w:vAlign w:val="center"/>
            <w:hideMark/>
          </w:tcPr>
          <w:p w14:paraId="754EEB73"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 </w:t>
            </w:r>
          </w:p>
        </w:tc>
        <w:tc>
          <w:tcPr>
            <w:tcW w:w="665" w:type="dxa"/>
            <w:tcBorders>
              <w:top w:val="single" w:sz="8" w:space="0" w:color="auto"/>
              <w:left w:val="nil"/>
              <w:bottom w:val="single" w:sz="8" w:space="0" w:color="auto"/>
              <w:right w:val="nil"/>
            </w:tcBorders>
            <w:shd w:val="clear" w:color="auto" w:fill="F2F2F2"/>
            <w:vAlign w:val="center"/>
            <w:hideMark/>
          </w:tcPr>
          <w:p w14:paraId="6FAB92A9"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 </w:t>
            </w:r>
          </w:p>
        </w:tc>
        <w:tc>
          <w:tcPr>
            <w:tcW w:w="1843" w:type="dxa"/>
            <w:tcBorders>
              <w:top w:val="single" w:sz="8" w:space="0" w:color="auto"/>
              <w:left w:val="nil"/>
              <w:bottom w:val="single" w:sz="8" w:space="0" w:color="auto"/>
              <w:right w:val="single" w:sz="8" w:space="0" w:color="auto"/>
            </w:tcBorders>
            <w:shd w:val="clear" w:color="auto" w:fill="F2F2F2"/>
            <w:vAlign w:val="center"/>
            <w:hideMark/>
          </w:tcPr>
          <w:p w14:paraId="24264F36" w14:textId="77777777" w:rsidR="003B1783" w:rsidRPr="003B1783" w:rsidRDefault="003B1783" w:rsidP="008F70FB">
            <w:pPr>
              <w:spacing w:after="0" w:line="240" w:lineRule="auto"/>
              <w:jc w:val="center"/>
              <w:rPr>
                <w:rFonts w:ascii="Arial" w:eastAsia="Calibri" w:hAnsi="Arial" w:cs="Arial"/>
                <w:sz w:val="18"/>
                <w:szCs w:val="18"/>
              </w:rPr>
            </w:pPr>
            <w:r w:rsidRPr="003B1783">
              <w:rPr>
                <w:rFonts w:ascii="Arial" w:eastAsia="Calibri" w:hAnsi="Arial" w:cs="Arial"/>
                <w:i/>
                <w:iCs/>
                <w:color w:val="000000"/>
                <w:sz w:val="18"/>
                <w:szCs w:val="18"/>
              </w:rPr>
              <w:t> </w:t>
            </w:r>
          </w:p>
        </w:tc>
      </w:tr>
      <w:tr w:rsidR="003B1783" w:rsidRPr="003B1783" w14:paraId="09069D88" w14:textId="77777777" w:rsidTr="003B1783">
        <w:trPr>
          <w:trHeight w:val="325"/>
        </w:trPr>
        <w:tc>
          <w:tcPr>
            <w:tcW w:w="1549" w:type="dxa"/>
            <w:tcBorders>
              <w:top w:val="nil"/>
              <w:left w:val="single" w:sz="8" w:space="0" w:color="auto"/>
              <w:bottom w:val="nil"/>
              <w:right w:val="single" w:sz="8" w:space="0" w:color="auto"/>
            </w:tcBorders>
            <w:vAlign w:val="bottom"/>
            <w:hideMark/>
          </w:tcPr>
          <w:p w14:paraId="286873DE"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Primer1 - EUR 60/MWh cena u satu</w:t>
            </w:r>
          </w:p>
        </w:tc>
        <w:tc>
          <w:tcPr>
            <w:tcW w:w="1306" w:type="dxa"/>
            <w:vAlign w:val="bottom"/>
            <w:hideMark/>
          </w:tcPr>
          <w:p w14:paraId="4A31DAB3"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15</w:t>
            </w:r>
          </w:p>
        </w:tc>
        <w:tc>
          <w:tcPr>
            <w:tcW w:w="1029" w:type="dxa"/>
            <w:vAlign w:val="bottom"/>
            <w:hideMark/>
          </w:tcPr>
          <w:p w14:paraId="759FD0B4"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14</w:t>
            </w:r>
          </w:p>
        </w:tc>
        <w:tc>
          <w:tcPr>
            <w:tcW w:w="1204" w:type="dxa"/>
            <w:tcBorders>
              <w:top w:val="nil"/>
              <w:left w:val="nil"/>
              <w:bottom w:val="nil"/>
              <w:right w:val="single" w:sz="8" w:space="0" w:color="auto"/>
            </w:tcBorders>
            <w:vAlign w:val="bottom"/>
            <w:hideMark/>
          </w:tcPr>
          <w:p w14:paraId="0F1674C4"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w:t>
            </w:r>
          </w:p>
        </w:tc>
        <w:tc>
          <w:tcPr>
            <w:tcW w:w="997" w:type="dxa"/>
            <w:vAlign w:val="bottom"/>
            <w:hideMark/>
          </w:tcPr>
          <w:p w14:paraId="6B8A41EA"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54.71</w:t>
            </w:r>
          </w:p>
        </w:tc>
        <w:tc>
          <w:tcPr>
            <w:tcW w:w="708" w:type="dxa"/>
            <w:vAlign w:val="bottom"/>
            <w:hideMark/>
          </w:tcPr>
          <w:p w14:paraId="320FAF7C"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60</w:t>
            </w:r>
          </w:p>
        </w:tc>
        <w:tc>
          <w:tcPr>
            <w:tcW w:w="851" w:type="dxa"/>
            <w:tcBorders>
              <w:top w:val="nil"/>
              <w:left w:val="nil"/>
              <w:bottom w:val="nil"/>
              <w:right w:val="single" w:sz="8" w:space="0" w:color="auto"/>
            </w:tcBorders>
            <w:vAlign w:val="bottom"/>
            <w:hideMark/>
          </w:tcPr>
          <w:p w14:paraId="1ECBFD18"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60</w:t>
            </w:r>
          </w:p>
        </w:tc>
        <w:tc>
          <w:tcPr>
            <w:tcW w:w="1276" w:type="dxa"/>
            <w:vAlign w:val="bottom"/>
            <w:hideMark/>
          </w:tcPr>
          <w:p w14:paraId="12B93B6B"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-54.71</w:t>
            </w:r>
          </w:p>
        </w:tc>
        <w:tc>
          <w:tcPr>
            <w:tcW w:w="708" w:type="dxa"/>
            <w:vAlign w:val="bottom"/>
            <w:hideMark/>
          </w:tcPr>
          <w:p w14:paraId="6729261A"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-60</w:t>
            </w:r>
          </w:p>
        </w:tc>
        <w:tc>
          <w:tcPr>
            <w:tcW w:w="1036" w:type="dxa"/>
            <w:vAlign w:val="bottom"/>
            <w:hideMark/>
          </w:tcPr>
          <w:p w14:paraId="30A7900F"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900</w:t>
            </w:r>
          </w:p>
        </w:tc>
        <w:tc>
          <w:tcPr>
            <w:tcW w:w="665" w:type="dxa"/>
            <w:tcBorders>
              <w:top w:val="nil"/>
              <w:left w:val="nil"/>
              <w:bottom w:val="nil"/>
              <w:right w:val="single" w:sz="8" w:space="0" w:color="auto"/>
            </w:tcBorders>
            <w:vAlign w:val="bottom"/>
            <w:hideMark/>
          </w:tcPr>
          <w:p w14:paraId="274E5668"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0</w:t>
            </w:r>
          </w:p>
        </w:tc>
        <w:tc>
          <w:tcPr>
            <w:tcW w:w="1843" w:type="dxa"/>
            <w:tcBorders>
              <w:top w:val="nil"/>
              <w:left w:val="nil"/>
              <w:bottom w:val="nil"/>
              <w:right w:val="single" w:sz="8" w:space="0" w:color="auto"/>
            </w:tcBorders>
            <w:vAlign w:val="bottom"/>
            <w:hideMark/>
          </w:tcPr>
          <w:p w14:paraId="0355AE26"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785.29</w:t>
            </w:r>
          </w:p>
        </w:tc>
      </w:tr>
      <w:tr w:rsidR="003B1783" w:rsidRPr="003B1783" w14:paraId="029A004C" w14:textId="77777777" w:rsidTr="003B1783">
        <w:trPr>
          <w:trHeight w:val="325"/>
        </w:trPr>
        <w:tc>
          <w:tcPr>
            <w:tcW w:w="1549" w:type="dxa"/>
            <w:tcBorders>
              <w:top w:val="nil"/>
              <w:left w:val="single" w:sz="8" w:space="0" w:color="auto"/>
              <w:bottom w:val="nil"/>
              <w:right w:val="single" w:sz="8" w:space="0" w:color="auto"/>
            </w:tcBorders>
            <w:vAlign w:val="bottom"/>
            <w:hideMark/>
          </w:tcPr>
          <w:p w14:paraId="5DD626F2"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Primer 2 - EUR 0/MWh cena u satu</w:t>
            </w:r>
          </w:p>
        </w:tc>
        <w:tc>
          <w:tcPr>
            <w:tcW w:w="1306" w:type="dxa"/>
            <w:vAlign w:val="bottom"/>
            <w:hideMark/>
          </w:tcPr>
          <w:p w14:paraId="7BA1091F"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15</w:t>
            </w:r>
          </w:p>
        </w:tc>
        <w:tc>
          <w:tcPr>
            <w:tcW w:w="1029" w:type="dxa"/>
            <w:vAlign w:val="bottom"/>
            <w:hideMark/>
          </w:tcPr>
          <w:p w14:paraId="6BE7EA16"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14</w:t>
            </w:r>
          </w:p>
        </w:tc>
        <w:tc>
          <w:tcPr>
            <w:tcW w:w="1204" w:type="dxa"/>
            <w:tcBorders>
              <w:top w:val="nil"/>
              <w:left w:val="nil"/>
              <w:bottom w:val="nil"/>
              <w:right w:val="single" w:sz="8" w:space="0" w:color="auto"/>
            </w:tcBorders>
            <w:vAlign w:val="bottom"/>
            <w:hideMark/>
          </w:tcPr>
          <w:p w14:paraId="3B0C49B3"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w:t>
            </w:r>
          </w:p>
        </w:tc>
        <w:tc>
          <w:tcPr>
            <w:tcW w:w="997" w:type="dxa"/>
            <w:vAlign w:val="bottom"/>
            <w:hideMark/>
          </w:tcPr>
          <w:p w14:paraId="61742DAB"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54.71</w:t>
            </w:r>
          </w:p>
        </w:tc>
        <w:tc>
          <w:tcPr>
            <w:tcW w:w="708" w:type="dxa"/>
            <w:vAlign w:val="bottom"/>
            <w:hideMark/>
          </w:tcPr>
          <w:p w14:paraId="4108EA90"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0</w:t>
            </w:r>
          </w:p>
        </w:tc>
        <w:tc>
          <w:tcPr>
            <w:tcW w:w="851" w:type="dxa"/>
            <w:tcBorders>
              <w:top w:val="nil"/>
              <w:left w:val="nil"/>
              <w:bottom w:val="nil"/>
              <w:right w:val="single" w:sz="8" w:space="0" w:color="auto"/>
            </w:tcBorders>
            <w:vAlign w:val="bottom"/>
            <w:hideMark/>
          </w:tcPr>
          <w:p w14:paraId="0E1B704E"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60</w:t>
            </w:r>
          </w:p>
        </w:tc>
        <w:tc>
          <w:tcPr>
            <w:tcW w:w="1276" w:type="dxa"/>
            <w:vAlign w:val="bottom"/>
            <w:hideMark/>
          </w:tcPr>
          <w:p w14:paraId="4DB01995"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-54.71</w:t>
            </w:r>
          </w:p>
        </w:tc>
        <w:tc>
          <w:tcPr>
            <w:tcW w:w="708" w:type="dxa"/>
            <w:vAlign w:val="bottom"/>
            <w:hideMark/>
          </w:tcPr>
          <w:p w14:paraId="77D23A46"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0</w:t>
            </w:r>
          </w:p>
        </w:tc>
        <w:tc>
          <w:tcPr>
            <w:tcW w:w="1036" w:type="dxa"/>
            <w:vAlign w:val="bottom"/>
            <w:hideMark/>
          </w:tcPr>
          <w:p w14:paraId="571284C4"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0</w:t>
            </w:r>
          </w:p>
        </w:tc>
        <w:tc>
          <w:tcPr>
            <w:tcW w:w="665" w:type="dxa"/>
            <w:tcBorders>
              <w:top w:val="nil"/>
              <w:left w:val="nil"/>
              <w:bottom w:val="nil"/>
              <w:right w:val="single" w:sz="8" w:space="0" w:color="auto"/>
            </w:tcBorders>
            <w:vAlign w:val="bottom"/>
            <w:hideMark/>
          </w:tcPr>
          <w:p w14:paraId="7C7C3E6C"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840</w:t>
            </w:r>
          </w:p>
        </w:tc>
        <w:tc>
          <w:tcPr>
            <w:tcW w:w="1843" w:type="dxa"/>
            <w:tcBorders>
              <w:top w:val="nil"/>
              <w:left w:val="nil"/>
              <w:bottom w:val="nil"/>
              <w:right w:val="single" w:sz="8" w:space="0" w:color="auto"/>
            </w:tcBorders>
            <w:vAlign w:val="bottom"/>
            <w:hideMark/>
          </w:tcPr>
          <w:p w14:paraId="4573B2AA"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785.29</w:t>
            </w:r>
          </w:p>
        </w:tc>
      </w:tr>
      <w:tr w:rsidR="003B1783" w:rsidRPr="003B1783" w14:paraId="047BFB81" w14:textId="77777777" w:rsidTr="003B1783">
        <w:trPr>
          <w:trHeight w:val="325"/>
        </w:trPr>
        <w:tc>
          <w:tcPr>
            <w:tcW w:w="1549" w:type="dxa"/>
            <w:tcBorders>
              <w:top w:val="nil"/>
              <w:left w:val="single" w:sz="8" w:space="0" w:color="auto"/>
              <w:bottom w:val="nil"/>
              <w:right w:val="single" w:sz="8" w:space="0" w:color="auto"/>
            </w:tcBorders>
            <w:vAlign w:val="bottom"/>
            <w:hideMark/>
          </w:tcPr>
          <w:p w14:paraId="690A2399"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Primer 3 - EUR -10/MWh cena u satu</w:t>
            </w:r>
          </w:p>
        </w:tc>
        <w:tc>
          <w:tcPr>
            <w:tcW w:w="1306" w:type="dxa"/>
            <w:vAlign w:val="bottom"/>
            <w:hideMark/>
          </w:tcPr>
          <w:p w14:paraId="45048312"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15</w:t>
            </w:r>
          </w:p>
        </w:tc>
        <w:tc>
          <w:tcPr>
            <w:tcW w:w="1029" w:type="dxa"/>
            <w:vAlign w:val="bottom"/>
            <w:hideMark/>
          </w:tcPr>
          <w:p w14:paraId="592515E4"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14</w:t>
            </w:r>
          </w:p>
        </w:tc>
        <w:tc>
          <w:tcPr>
            <w:tcW w:w="1204" w:type="dxa"/>
            <w:tcBorders>
              <w:top w:val="nil"/>
              <w:left w:val="nil"/>
              <w:bottom w:val="nil"/>
              <w:right w:val="single" w:sz="8" w:space="0" w:color="auto"/>
            </w:tcBorders>
            <w:vAlign w:val="bottom"/>
            <w:hideMark/>
          </w:tcPr>
          <w:p w14:paraId="7EC5A92F"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w:t>
            </w:r>
          </w:p>
        </w:tc>
        <w:tc>
          <w:tcPr>
            <w:tcW w:w="997" w:type="dxa"/>
            <w:vAlign w:val="bottom"/>
            <w:hideMark/>
          </w:tcPr>
          <w:p w14:paraId="7FF87CB6"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54.71</w:t>
            </w:r>
          </w:p>
        </w:tc>
        <w:tc>
          <w:tcPr>
            <w:tcW w:w="708" w:type="dxa"/>
            <w:vAlign w:val="bottom"/>
            <w:hideMark/>
          </w:tcPr>
          <w:p w14:paraId="7AD55012"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-10</w:t>
            </w:r>
          </w:p>
        </w:tc>
        <w:tc>
          <w:tcPr>
            <w:tcW w:w="851" w:type="dxa"/>
            <w:tcBorders>
              <w:top w:val="nil"/>
              <w:left w:val="nil"/>
              <w:bottom w:val="nil"/>
              <w:right w:val="single" w:sz="8" w:space="0" w:color="auto"/>
            </w:tcBorders>
            <w:vAlign w:val="bottom"/>
            <w:hideMark/>
          </w:tcPr>
          <w:p w14:paraId="646DA96A"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60</w:t>
            </w:r>
          </w:p>
        </w:tc>
        <w:tc>
          <w:tcPr>
            <w:tcW w:w="1276" w:type="dxa"/>
            <w:vAlign w:val="bottom"/>
            <w:hideMark/>
          </w:tcPr>
          <w:p w14:paraId="5E09307B"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-54.71</w:t>
            </w:r>
          </w:p>
        </w:tc>
        <w:tc>
          <w:tcPr>
            <w:tcW w:w="708" w:type="dxa"/>
            <w:vAlign w:val="bottom"/>
            <w:hideMark/>
          </w:tcPr>
          <w:p w14:paraId="2195CAE2"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10</w:t>
            </w:r>
          </w:p>
        </w:tc>
        <w:tc>
          <w:tcPr>
            <w:tcW w:w="1036" w:type="dxa"/>
            <w:vAlign w:val="bottom"/>
            <w:hideMark/>
          </w:tcPr>
          <w:p w14:paraId="0A94FEAC"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-150</w:t>
            </w:r>
          </w:p>
        </w:tc>
        <w:tc>
          <w:tcPr>
            <w:tcW w:w="665" w:type="dxa"/>
            <w:tcBorders>
              <w:top w:val="nil"/>
              <w:left w:val="nil"/>
              <w:bottom w:val="nil"/>
              <w:right w:val="single" w:sz="8" w:space="0" w:color="auto"/>
            </w:tcBorders>
            <w:vAlign w:val="bottom"/>
            <w:hideMark/>
          </w:tcPr>
          <w:p w14:paraId="10FAB34D"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0</w:t>
            </w:r>
          </w:p>
        </w:tc>
        <w:tc>
          <w:tcPr>
            <w:tcW w:w="1843" w:type="dxa"/>
            <w:tcBorders>
              <w:top w:val="nil"/>
              <w:left w:val="nil"/>
              <w:bottom w:val="nil"/>
              <w:right w:val="single" w:sz="8" w:space="0" w:color="auto"/>
            </w:tcBorders>
            <w:vAlign w:val="bottom"/>
            <w:hideMark/>
          </w:tcPr>
          <w:p w14:paraId="7CBD47E4"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-194.71</w:t>
            </w:r>
          </w:p>
        </w:tc>
      </w:tr>
      <w:tr w:rsidR="003B1783" w:rsidRPr="003B1783" w14:paraId="220845FB" w14:textId="77777777" w:rsidTr="003B1783">
        <w:trPr>
          <w:trHeight w:val="325"/>
        </w:trPr>
        <w:tc>
          <w:tcPr>
            <w:tcW w:w="1549" w:type="dxa"/>
            <w:tcBorders>
              <w:top w:val="single" w:sz="8" w:space="0" w:color="auto"/>
              <w:left w:val="single" w:sz="8" w:space="0" w:color="auto"/>
              <w:bottom w:val="single" w:sz="8" w:space="0" w:color="auto"/>
              <w:right w:val="nil"/>
            </w:tcBorders>
            <w:shd w:val="clear" w:color="auto" w:fill="F2F2F2"/>
            <w:vAlign w:val="bottom"/>
            <w:hideMark/>
          </w:tcPr>
          <w:p w14:paraId="236C3924"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b/>
                <w:bCs/>
                <w:color w:val="000000"/>
                <w:sz w:val="18"/>
                <w:szCs w:val="18"/>
              </w:rPr>
              <w:t>Slučaj pozitivnog disbalansa</w:t>
            </w:r>
          </w:p>
        </w:tc>
        <w:tc>
          <w:tcPr>
            <w:tcW w:w="1306" w:type="dxa"/>
            <w:tcBorders>
              <w:top w:val="single" w:sz="8" w:space="0" w:color="auto"/>
              <w:left w:val="nil"/>
              <w:bottom w:val="single" w:sz="8" w:space="0" w:color="auto"/>
              <w:right w:val="nil"/>
            </w:tcBorders>
            <w:shd w:val="clear" w:color="auto" w:fill="F2F2F2"/>
            <w:vAlign w:val="bottom"/>
            <w:hideMark/>
          </w:tcPr>
          <w:p w14:paraId="09D8D32D"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 </w:t>
            </w:r>
          </w:p>
        </w:tc>
        <w:tc>
          <w:tcPr>
            <w:tcW w:w="1029" w:type="dxa"/>
            <w:tcBorders>
              <w:top w:val="single" w:sz="8" w:space="0" w:color="auto"/>
              <w:left w:val="nil"/>
              <w:bottom w:val="single" w:sz="8" w:space="0" w:color="auto"/>
              <w:right w:val="nil"/>
            </w:tcBorders>
            <w:shd w:val="clear" w:color="auto" w:fill="F2F2F2"/>
            <w:vAlign w:val="bottom"/>
            <w:hideMark/>
          </w:tcPr>
          <w:p w14:paraId="5E2A288F"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 </w:t>
            </w:r>
          </w:p>
        </w:tc>
        <w:tc>
          <w:tcPr>
            <w:tcW w:w="1204" w:type="dxa"/>
            <w:tcBorders>
              <w:top w:val="single" w:sz="8" w:space="0" w:color="auto"/>
              <w:left w:val="nil"/>
              <w:bottom w:val="single" w:sz="8" w:space="0" w:color="auto"/>
              <w:right w:val="nil"/>
            </w:tcBorders>
            <w:shd w:val="clear" w:color="auto" w:fill="F2F2F2"/>
            <w:vAlign w:val="bottom"/>
            <w:hideMark/>
          </w:tcPr>
          <w:p w14:paraId="1262CD2B"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 </w:t>
            </w:r>
          </w:p>
        </w:tc>
        <w:tc>
          <w:tcPr>
            <w:tcW w:w="997" w:type="dxa"/>
            <w:tcBorders>
              <w:top w:val="single" w:sz="8" w:space="0" w:color="auto"/>
              <w:left w:val="nil"/>
              <w:bottom w:val="single" w:sz="8" w:space="0" w:color="auto"/>
              <w:right w:val="nil"/>
            </w:tcBorders>
            <w:shd w:val="clear" w:color="auto" w:fill="F2F2F2"/>
            <w:vAlign w:val="bottom"/>
            <w:hideMark/>
          </w:tcPr>
          <w:p w14:paraId="7365AE94"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 </w:t>
            </w:r>
          </w:p>
        </w:tc>
        <w:tc>
          <w:tcPr>
            <w:tcW w:w="708" w:type="dxa"/>
            <w:tcBorders>
              <w:top w:val="single" w:sz="8" w:space="0" w:color="auto"/>
              <w:left w:val="nil"/>
              <w:bottom w:val="single" w:sz="8" w:space="0" w:color="auto"/>
              <w:right w:val="nil"/>
            </w:tcBorders>
            <w:shd w:val="clear" w:color="auto" w:fill="F2F2F2"/>
            <w:vAlign w:val="bottom"/>
            <w:hideMark/>
          </w:tcPr>
          <w:p w14:paraId="1EE75A4E"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 </w:t>
            </w:r>
          </w:p>
        </w:tc>
        <w:tc>
          <w:tcPr>
            <w:tcW w:w="851" w:type="dxa"/>
            <w:tcBorders>
              <w:top w:val="single" w:sz="8" w:space="0" w:color="auto"/>
              <w:left w:val="nil"/>
              <w:bottom w:val="single" w:sz="8" w:space="0" w:color="auto"/>
              <w:right w:val="nil"/>
            </w:tcBorders>
            <w:shd w:val="clear" w:color="auto" w:fill="F2F2F2"/>
            <w:vAlign w:val="bottom"/>
            <w:hideMark/>
          </w:tcPr>
          <w:p w14:paraId="2C80239A"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 </w:t>
            </w:r>
          </w:p>
        </w:tc>
        <w:tc>
          <w:tcPr>
            <w:tcW w:w="1276" w:type="dxa"/>
            <w:tcBorders>
              <w:top w:val="single" w:sz="8" w:space="0" w:color="auto"/>
              <w:left w:val="nil"/>
              <w:bottom w:val="single" w:sz="8" w:space="0" w:color="auto"/>
              <w:right w:val="nil"/>
            </w:tcBorders>
            <w:shd w:val="clear" w:color="auto" w:fill="F2F2F2"/>
            <w:vAlign w:val="bottom"/>
            <w:hideMark/>
          </w:tcPr>
          <w:p w14:paraId="4AE28670"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 </w:t>
            </w:r>
          </w:p>
        </w:tc>
        <w:tc>
          <w:tcPr>
            <w:tcW w:w="708" w:type="dxa"/>
            <w:tcBorders>
              <w:top w:val="single" w:sz="8" w:space="0" w:color="auto"/>
              <w:left w:val="nil"/>
              <w:bottom w:val="single" w:sz="8" w:space="0" w:color="auto"/>
              <w:right w:val="nil"/>
            </w:tcBorders>
            <w:shd w:val="clear" w:color="auto" w:fill="F2F2F2"/>
            <w:vAlign w:val="bottom"/>
            <w:hideMark/>
          </w:tcPr>
          <w:p w14:paraId="6F4C5911"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 </w:t>
            </w:r>
          </w:p>
        </w:tc>
        <w:tc>
          <w:tcPr>
            <w:tcW w:w="1036" w:type="dxa"/>
            <w:tcBorders>
              <w:top w:val="single" w:sz="8" w:space="0" w:color="auto"/>
              <w:left w:val="nil"/>
              <w:bottom w:val="single" w:sz="8" w:space="0" w:color="auto"/>
              <w:right w:val="nil"/>
            </w:tcBorders>
            <w:shd w:val="clear" w:color="auto" w:fill="F2F2F2"/>
            <w:vAlign w:val="bottom"/>
            <w:hideMark/>
          </w:tcPr>
          <w:p w14:paraId="5F01CDF8"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 </w:t>
            </w:r>
          </w:p>
        </w:tc>
        <w:tc>
          <w:tcPr>
            <w:tcW w:w="665" w:type="dxa"/>
            <w:tcBorders>
              <w:top w:val="single" w:sz="8" w:space="0" w:color="auto"/>
              <w:left w:val="nil"/>
              <w:bottom w:val="single" w:sz="8" w:space="0" w:color="auto"/>
              <w:right w:val="nil"/>
            </w:tcBorders>
            <w:shd w:val="clear" w:color="auto" w:fill="F2F2F2"/>
            <w:vAlign w:val="bottom"/>
            <w:hideMark/>
          </w:tcPr>
          <w:p w14:paraId="63479967"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 </w:t>
            </w:r>
          </w:p>
        </w:tc>
        <w:tc>
          <w:tcPr>
            <w:tcW w:w="1843" w:type="dxa"/>
            <w:tcBorders>
              <w:top w:val="single" w:sz="8" w:space="0" w:color="auto"/>
              <w:left w:val="nil"/>
              <w:bottom w:val="single" w:sz="8" w:space="0" w:color="auto"/>
              <w:right w:val="single" w:sz="8" w:space="0" w:color="auto"/>
            </w:tcBorders>
            <w:shd w:val="clear" w:color="auto" w:fill="F2F2F2"/>
            <w:vAlign w:val="bottom"/>
            <w:hideMark/>
          </w:tcPr>
          <w:p w14:paraId="4CD4FD5A"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 </w:t>
            </w:r>
          </w:p>
        </w:tc>
      </w:tr>
      <w:tr w:rsidR="003B1783" w:rsidRPr="003B1783" w14:paraId="5C2B645F" w14:textId="77777777" w:rsidTr="003B1783">
        <w:trPr>
          <w:trHeight w:val="325"/>
        </w:trPr>
        <w:tc>
          <w:tcPr>
            <w:tcW w:w="1549" w:type="dxa"/>
            <w:tcBorders>
              <w:top w:val="nil"/>
              <w:left w:val="single" w:sz="8" w:space="0" w:color="auto"/>
              <w:bottom w:val="nil"/>
              <w:right w:val="single" w:sz="8" w:space="0" w:color="auto"/>
            </w:tcBorders>
            <w:vAlign w:val="bottom"/>
            <w:hideMark/>
          </w:tcPr>
          <w:p w14:paraId="32717152"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Primer 1 - EUR 60/MWh cena u satu</w:t>
            </w:r>
          </w:p>
        </w:tc>
        <w:tc>
          <w:tcPr>
            <w:tcW w:w="1306" w:type="dxa"/>
            <w:vAlign w:val="bottom"/>
            <w:hideMark/>
          </w:tcPr>
          <w:p w14:paraId="4515270A"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15</w:t>
            </w:r>
          </w:p>
        </w:tc>
        <w:tc>
          <w:tcPr>
            <w:tcW w:w="1029" w:type="dxa"/>
            <w:vAlign w:val="bottom"/>
            <w:hideMark/>
          </w:tcPr>
          <w:p w14:paraId="578772B6"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16</w:t>
            </w:r>
          </w:p>
        </w:tc>
        <w:tc>
          <w:tcPr>
            <w:tcW w:w="1204" w:type="dxa"/>
            <w:tcBorders>
              <w:top w:val="nil"/>
              <w:left w:val="nil"/>
              <w:bottom w:val="nil"/>
              <w:right w:val="single" w:sz="8" w:space="0" w:color="auto"/>
            </w:tcBorders>
            <w:vAlign w:val="bottom"/>
            <w:hideMark/>
          </w:tcPr>
          <w:p w14:paraId="0248A648"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w:t>
            </w:r>
          </w:p>
        </w:tc>
        <w:tc>
          <w:tcPr>
            <w:tcW w:w="997" w:type="dxa"/>
            <w:vAlign w:val="bottom"/>
            <w:hideMark/>
          </w:tcPr>
          <w:p w14:paraId="381FDCCB"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54.71</w:t>
            </w:r>
          </w:p>
        </w:tc>
        <w:tc>
          <w:tcPr>
            <w:tcW w:w="708" w:type="dxa"/>
            <w:vAlign w:val="bottom"/>
            <w:hideMark/>
          </w:tcPr>
          <w:p w14:paraId="396619E9"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60</w:t>
            </w:r>
          </w:p>
        </w:tc>
        <w:tc>
          <w:tcPr>
            <w:tcW w:w="851" w:type="dxa"/>
            <w:tcBorders>
              <w:top w:val="nil"/>
              <w:left w:val="nil"/>
              <w:bottom w:val="nil"/>
              <w:right w:val="single" w:sz="8" w:space="0" w:color="auto"/>
            </w:tcBorders>
            <w:vAlign w:val="bottom"/>
            <w:hideMark/>
          </w:tcPr>
          <w:p w14:paraId="1CFCD909"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60</w:t>
            </w:r>
          </w:p>
        </w:tc>
        <w:tc>
          <w:tcPr>
            <w:tcW w:w="1276" w:type="dxa"/>
            <w:vAlign w:val="bottom"/>
            <w:hideMark/>
          </w:tcPr>
          <w:p w14:paraId="2B1EFC7F"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-54.71</w:t>
            </w:r>
          </w:p>
        </w:tc>
        <w:tc>
          <w:tcPr>
            <w:tcW w:w="708" w:type="dxa"/>
            <w:vAlign w:val="bottom"/>
            <w:hideMark/>
          </w:tcPr>
          <w:p w14:paraId="5EC95FE3"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60</w:t>
            </w:r>
          </w:p>
        </w:tc>
        <w:tc>
          <w:tcPr>
            <w:tcW w:w="1036" w:type="dxa"/>
            <w:vAlign w:val="bottom"/>
            <w:hideMark/>
          </w:tcPr>
          <w:p w14:paraId="6E7079CE"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900</w:t>
            </w:r>
          </w:p>
        </w:tc>
        <w:tc>
          <w:tcPr>
            <w:tcW w:w="665" w:type="dxa"/>
            <w:tcBorders>
              <w:top w:val="nil"/>
              <w:left w:val="nil"/>
              <w:bottom w:val="nil"/>
              <w:right w:val="single" w:sz="8" w:space="0" w:color="auto"/>
            </w:tcBorders>
            <w:vAlign w:val="bottom"/>
            <w:hideMark/>
          </w:tcPr>
          <w:p w14:paraId="6BFDB4B7"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0</w:t>
            </w:r>
          </w:p>
        </w:tc>
        <w:tc>
          <w:tcPr>
            <w:tcW w:w="1843" w:type="dxa"/>
            <w:tcBorders>
              <w:top w:val="nil"/>
              <w:left w:val="nil"/>
              <w:bottom w:val="nil"/>
              <w:right w:val="single" w:sz="8" w:space="0" w:color="auto"/>
            </w:tcBorders>
            <w:vAlign w:val="bottom"/>
            <w:hideMark/>
          </w:tcPr>
          <w:p w14:paraId="7F0ACB6F"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905.29</w:t>
            </w:r>
          </w:p>
        </w:tc>
      </w:tr>
      <w:tr w:rsidR="003B1783" w:rsidRPr="003B1783" w14:paraId="3C1C3C99" w14:textId="77777777" w:rsidTr="003B1783">
        <w:trPr>
          <w:trHeight w:val="325"/>
        </w:trPr>
        <w:tc>
          <w:tcPr>
            <w:tcW w:w="1549" w:type="dxa"/>
            <w:tcBorders>
              <w:top w:val="nil"/>
              <w:left w:val="single" w:sz="8" w:space="0" w:color="auto"/>
              <w:bottom w:val="nil"/>
              <w:right w:val="single" w:sz="8" w:space="0" w:color="auto"/>
            </w:tcBorders>
            <w:vAlign w:val="bottom"/>
            <w:hideMark/>
          </w:tcPr>
          <w:p w14:paraId="07B684E1"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Primer 2 - EUR 0/MWh cena u satu</w:t>
            </w:r>
          </w:p>
        </w:tc>
        <w:tc>
          <w:tcPr>
            <w:tcW w:w="1306" w:type="dxa"/>
            <w:vAlign w:val="bottom"/>
            <w:hideMark/>
          </w:tcPr>
          <w:p w14:paraId="00146297"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15</w:t>
            </w:r>
          </w:p>
        </w:tc>
        <w:tc>
          <w:tcPr>
            <w:tcW w:w="1029" w:type="dxa"/>
            <w:vAlign w:val="bottom"/>
            <w:hideMark/>
          </w:tcPr>
          <w:p w14:paraId="2916ECD6"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16</w:t>
            </w:r>
          </w:p>
        </w:tc>
        <w:tc>
          <w:tcPr>
            <w:tcW w:w="1204" w:type="dxa"/>
            <w:tcBorders>
              <w:top w:val="nil"/>
              <w:left w:val="nil"/>
              <w:bottom w:val="nil"/>
              <w:right w:val="single" w:sz="8" w:space="0" w:color="auto"/>
            </w:tcBorders>
            <w:vAlign w:val="bottom"/>
            <w:hideMark/>
          </w:tcPr>
          <w:p w14:paraId="6F888723"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w:t>
            </w:r>
          </w:p>
        </w:tc>
        <w:tc>
          <w:tcPr>
            <w:tcW w:w="997" w:type="dxa"/>
            <w:vAlign w:val="bottom"/>
            <w:hideMark/>
          </w:tcPr>
          <w:p w14:paraId="63B5366F"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54.71</w:t>
            </w:r>
          </w:p>
        </w:tc>
        <w:tc>
          <w:tcPr>
            <w:tcW w:w="708" w:type="dxa"/>
            <w:vAlign w:val="bottom"/>
            <w:hideMark/>
          </w:tcPr>
          <w:p w14:paraId="39F62FBE"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0</w:t>
            </w:r>
          </w:p>
        </w:tc>
        <w:tc>
          <w:tcPr>
            <w:tcW w:w="851" w:type="dxa"/>
            <w:tcBorders>
              <w:top w:val="nil"/>
              <w:left w:val="nil"/>
              <w:bottom w:val="nil"/>
              <w:right w:val="single" w:sz="8" w:space="0" w:color="auto"/>
            </w:tcBorders>
            <w:vAlign w:val="bottom"/>
            <w:hideMark/>
          </w:tcPr>
          <w:p w14:paraId="349269AF"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60</w:t>
            </w:r>
          </w:p>
        </w:tc>
        <w:tc>
          <w:tcPr>
            <w:tcW w:w="1276" w:type="dxa"/>
            <w:vAlign w:val="bottom"/>
            <w:hideMark/>
          </w:tcPr>
          <w:p w14:paraId="6FED3A5C"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-54.71</w:t>
            </w:r>
          </w:p>
        </w:tc>
        <w:tc>
          <w:tcPr>
            <w:tcW w:w="708" w:type="dxa"/>
            <w:vAlign w:val="bottom"/>
            <w:hideMark/>
          </w:tcPr>
          <w:p w14:paraId="7AE4C8D0"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0</w:t>
            </w:r>
          </w:p>
        </w:tc>
        <w:tc>
          <w:tcPr>
            <w:tcW w:w="1036" w:type="dxa"/>
            <w:vAlign w:val="bottom"/>
            <w:hideMark/>
          </w:tcPr>
          <w:p w14:paraId="35F8DB42"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0</w:t>
            </w:r>
          </w:p>
        </w:tc>
        <w:tc>
          <w:tcPr>
            <w:tcW w:w="665" w:type="dxa"/>
            <w:tcBorders>
              <w:top w:val="nil"/>
              <w:left w:val="nil"/>
              <w:bottom w:val="nil"/>
              <w:right w:val="single" w:sz="8" w:space="0" w:color="auto"/>
            </w:tcBorders>
            <w:vAlign w:val="bottom"/>
            <w:hideMark/>
          </w:tcPr>
          <w:p w14:paraId="27004B05"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960</w:t>
            </w:r>
          </w:p>
        </w:tc>
        <w:tc>
          <w:tcPr>
            <w:tcW w:w="1843" w:type="dxa"/>
            <w:tcBorders>
              <w:top w:val="nil"/>
              <w:left w:val="nil"/>
              <w:bottom w:val="nil"/>
              <w:right w:val="single" w:sz="8" w:space="0" w:color="auto"/>
            </w:tcBorders>
            <w:vAlign w:val="bottom"/>
            <w:hideMark/>
          </w:tcPr>
          <w:p w14:paraId="514AC2B3"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905.29</w:t>
            </w:r>
          </w:p>
        </w:tc>
      </w:tr>
      <w:tr w:rsidR="003B1783" w:rsidRPr="003B1783" w14:paraId="364D8CA9" w14:textId="77777777" w:rsidTr="003B1783">
        <w:trPr>
          <w:trHeight w:val="325"/>
        </w:trPr>
        <w:tc>
          <w:tcPr>
            <w:tcW w:w="1549" w:type="dxa"/>
            <w:tcBorders>
              <w:top w:val="nil"/>
              <w:left w:val="single" w:sz="8" w:space="0" w:color="auto"/>
              <w:bottom w:val="nil"/>
              <w:right w:val="single" w:sz="8" w:space="0" w:color="auto"/>
            </w:tcBorders>
            <w:vAlign w:val="bottom"/>
            <w:hideMark/>
          </w:tcPr>
          <w:p w14:paraId="224D7ED1" w14:textId="77777777" w:rsidR="003B1783" w:rsidRPr="003B1783" w:rsidRDefault="003B1783" w:rsidP="008F70FB">
            <w:pPr>
              <w:spacing w:after="0" w:line="240" w:lineRule="auto"/>
              <w:rPr>
                <w:rFonts w:ascii="Arial" w:eastAsia="Calibri" w:hAnsi="Arial" w:cs="Arial"/>
                <w:sz w:val="18"/>
                <w:szCs w:val="18"/>
              </w:rPr>
            </w:pPr>
            <w:r w:rsidRPr="003B1783">
              <w:rPr>
                <w:rFonts w:ascii="Arial" w:eastAsia="Calibri" w:hAnsi="Arial" w:cs="Arial"/>
                <w:color w:val="000000"/>
                <w:sz w:val="18"/>
                <w:szCs w:val="18"/>
              </w:rPr>
              <w:t>Primer 3 - EUR -10/MWh cena u satu</w:t>
            </w:r>
          </w:p>
        </w:tc>
        <w:tc>
          <w:tcPr>
            <w:tcW w:w="1306" w:type="dxa"/>
            <w:tcBorders>
              <w:top w:val="nil"/>
              <w:left w:val="nil"/>
              <w:bottom w:val="nil"/>
              <w:right w:val="nil"/>
            </w:tcBorders>
            <w:vAlign w:val="bottom"/>
            <w:hideMark/>
          </w:tcPr>
          <w:p w14:paraId="1206EB79"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15</w:t>
            </w:r>
          </w:p>
        </w:tc>
        <w:tc>
          <w:tcPr>
            <w:tcW w:w="1029" w:type="dxa"/>
            <w:tcBorders>
              <w:top w:val="nil"/>
              <w:left w:val="nil"/>
              <w:bottom w:val="nil"/>
              <w:right w:val="nil"/>
            </w:tcBorders>
            <w:vAlign w:val="bottom"/>
            <w:hideMark/>
          </w:tcPr>
          <w:p w14:paraId="2E8448BD"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16</w:t>
            </w:r>
          </w:p>
        </w:tc>
        <w:tc>
          <w:tcPr>
            <w:tcW w:w="1204" w:type="dxa"/>
            <w:tcBorders>
              <w:top w:val="nil"/>
              <w:left w:val="nil"/>
              <w:bottom w:val="nil"/>
              <w:right w:val="single" w:sz="8" w:space="0" w:color="auto"/>
            </w:tcBorders>
            <w:vAlign w:val="bottom"/>
            <w:hideMark/>
          </w:tcPr>
          <w:p w14:paraId="23E754F3"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w:t>
            </w:r>
          </w:p>
        </w:tc>
        <w:tc>
          <w:tcPr>
            <w:tcW w:w="997" w:type="dxa"/>
            <w:tcBorders>
              <w:top w:val="nil"/>
              <w:left w:val="nil"/>
              <w:bottom w:val="nil"/>
              <w:right w:val="nil"/>
            </w:tcBorders>
            <w:vAlign w:val="bottom"/>
            <w:hideMark/>
          </w:tcPr>
          <w:p w14:paraId="7CB2C364"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54.71</w:t>
            </w:r>
          </w:p>
        </w:tc>
        <w:tc>
          <w:tcPr>
            <w:tcW w:w="708" w:type="dxa"/>
            <w:tcBorders>
              <w:top w:val="nil"/>
              <w:left w:val="nil"/>
              <w:bottom w:val="nil"/>
              <w:right w:val="nil"/>
            </w:tcBorders>
            <w:vAlign w:val="bottom"/>
            <w:hideMark/>
          </w:tcPr>
          <w:p w14:paraId="70FEE0B7"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-10</w:t>
            </w:r>
          </w:p>
        </w:tc>
        <w:tc>
          <w:tcPr>
            <w:tcW w:w="851" w:type="dxa"/>
            <w:tcBorders>
              <w:top w:val="nil"/>
              <w:left w:val="nil"/>
              <w:bottom w:val="nil"/>
              <w:right w:val="single" w:sz="8" w:space="0" w:color="auto"/>
            </w:tcBorders>
            <w:vAlign w:val="bottom"/>
            <w:hideMark/>
          </w:tcPr>
          <w:p w14:paraId="7CFFC363"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60</w:t>
            </w:r>
          </w:p>
        </w:tc>
        <w:tc>
          <w:tcPr>
            <w:tcW w:w="1276" w:type="dxa"/>
            <w:tcBorders>
              <w:top w:val="nil"/>
              <w:left w:val="nil"/>
              <w:bottom w:val="nil"/>
              <w:right w:val="nil"/>
            </w:tcBorders>
            <w:vAlign w:val="bottom"/>
            <w:hideMark/>
          </w:tcPr>
          <w:p w14:paraId="7AF7B75B"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-54.71</w:t>
            </w:r>
          </w:p>
        </w:tc>
        <w:tc>
          <w:tcPr>
            <w:tcW w:w="708" w:type="dxa"/>
            <w:tcBorders>
              <w:top w:val="nil"/>
              <w:left w:val="nil"/>
              <w:bottom w:val="nil"/>
              <w:right w:val="nil"/>
            </w:tcBorders>
            <w:vAlign w:val="bottom"/>
            <w:hideMark/>
          </w:tcPr>
          <w:p w14:paraId="0C420AC8"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-10</w:t>
            </w:r>
          </w:p>
        </w:tc>
        <w:tc>
          <w:tcPr>
            <w:tcW w:w="1036" w:type="dxa"/>
            <w:tcBorders>
              <w:top w:val="nil"/>
              <w:left w:val="nil"/>
              <w:bottom w:val="nil"/>
              <w:right w:val="nil"/>
            </w:tcBorders>
            <w:vAlign w:val="bottom"/>
            <w:hideMark/>
          </w:tcPr>
          <w:p w14:paraId="5CA463B6"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-150</w:t>
            </w:r>
          </w:p>
        </w:tc>
        <w:tc>
          <w:tcPr>
            <w:tcW w:w="665" w:type="dxa"/>
            <w:tcBorders>
              <w:top w:val="nil"/>
              <w:left w:val="nil"/>
              <w:bottom w:val="nil"/>
              <w:right w:val="single" w:sz="8" w:space="0" w:color="auto"/>
            </w:tcBorders>
            <w:vAlign w:val="bottom"/>
            <w:hideMark/>
          </w:tcPr>
          <w:p w14:paraId="29921AC7"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0</w:t>
            </w:r>
          </w:p>
        </w:tc>
        <w:tc>
          <w:tcPr>
            <w:tcW w:w="1843" w:type="dxa"/>
            <w:tcBorders>
              <w:top w:val="nil"/>
              <w:left w:val="nil"/>
              <w:bottom w:val="nil"/>
              <w:right w:val="single" w:sz="8" w:space="0" w:color="auto"/>
            </w:tcBorders>
            <w:vAlign w:val="bottom"/>
            <w:hideMark/>
          </w:tcPr>
          <w:p w14:paraId="651A2014" w14:textId="77777777" w:rsidR="003B1783" w:rsidRPr="003B1783" w:rsidRDefault="003B1783" w:rsidP="008F70FB">
            <w:pPr>
              <w:spacing w:after="0" w:line="240" w:lineRule="auto"/>
              <w:jc w:val="right"/>
              <w:rPr>
                <w:rFonts w:ascii="Arial" w:eastAsia="Calibri" w:hAnsi="Arial" w:cs="Arial"/>
                <w:sz w:val="18"/>
                <w:szCs w:val="18"/>
              </w:rPr>
            </w:pPr>
            <w:r w:rsidRPr="003B1783">
              <w:rPr>
                <w:rFonts w:ascii="Arial" w:eastAsia="Calibri" w:hAnsi="Arial" w:cs="Arial"/>
                <w:color w:val="000000"/>
                <w:sz w:val="18"/>
                <w:szCs w:val="18"/>
              </w:rPr>
              <w:t>-214.71</w:t>
            </w:r>
          </w:p>
        </w:tc>
      </w:tr>
      <w:tr w:rsidR="003B1783" w:rsidRPr="003B1783" w14:paraId="62446F34" w14:textId="77777777" w:rsidTr="003B1783">
        <w:trPr>
          <w:trHeight w:val="325"/>
        </w:trPr>
        <w:tc>
          <w:tcPr>
            <w:tcW w:w="1549" w:type="dxa"/>
            <w:tcBorders>
              <w:top w:val="nil"/>
              <w:left w:val="single" w:sz="8" w:space="0" w:color="auto"/>
              <w:bottom w:val="single" w:sz="8" w:space="0" w:color="auto"/>
              <w:right w:val="single" w:sz="8" w:space="0" w:color="auto"/>
            </w:tcBorders>
            <w:vAlign w:val="bottom"/>
          </w:tcPr>
          <w:p w14:paraId="6487702B" w14:textId="77777777" w:rsidR="003B1783" w:rsidRPr="003B1783" w:rsidRDefault="003B1783" w:rsidP="008F70FB">
            <w:pPr>
              <w:spacing w:after="0" w:line="240" w:lineRule="auto"/>
              <w:rPr>
                <w:rFonts w:ascii="Arial" w:eastAsia="Calibri" w:hAnsi="Arial" w:cs="Arial"/>
                <w:color w:val="000000"/>
                <w:sz w:val="18"/>
                <w:szCs w:val="18"/>
              </w:rPr>
            </w:pPr>
          </w:p>
        </w:tc>
        <w:tc>
          <w:tcPr>
            <w:tcW w:w="1306" w:type="dxa"/>
            <w:tcBorders>
              <w:top w:val="nil"/>
              <w:left w:val="nil"/>
              <w:bottom w:val="single" w:sz="8" w:space="0" w:color="auto"/>
              <w:right w:val="nil"/>
            </w:tcBorders>
            <w:vAlign w:val="bottom"/>
          </w:tcPr>
          <w:p w14:paraId="3AE70BF2" w14:textId="77777777" w:rsidR="003B1783" w:rsidRPr="003B1783" w:rsidRDefault="003B1783" w:rsidP="008F70FB">
            <w:pPr>
              <w:spacing w:after="0" w:line="240" w:lineRule="auto"/>
              <w:jc w:val="right"/>
              <w:rPr>
                <w:rFonts w:ascii="Arial" w:eastAsia="Calibri" w:hAnsi="Arial" w:cs="Arial"/>
                <w:color w:val="000000"/>
                <w:sz w:val="18"/>
                <w:szCs w:val="18"/>
              </w:rPr>
            </w:pPr>
          </w:p>
        </w:tc>
        <w:tc>
          <w:tcPr>
            <w:tcW w:w="1029" w:type="dxa"/>
            <w:tcBorders>
              <w:top w:val="nil"/>
              <w:left w:val="nil"/>
              <w:bottom w:val="single" w:sz="8" w:space="0" w:color="auto"/>
              <w:right w:val="nil"/>
            </w:tcBorders>
            <w:vAlign w:val="bottom"/>
          </w:tcPr>
          <w:p w14:paraId="4CC21316" w14:textId="77777777" w:rsidR="003B1783" w:rsidRPr="003B1783" w:rsidRDefault="003B1783" w:rsidP="008F70FB">
            <w:pPr>
              <w:spacing w:after="0" w:line="240" w:lineRule="auto"/>
              <w:jc w:val="right"/>
              <w:rPr>
                <w:rFonts w:ascii="Arial" w:eastAsia="Calibri" w:hAnsi="Arial" w:cs="Arial"/>
                <w:color w:val="000000"/>
                <w:sz w:val="18"/>
                <w:szCs w:val="18"/>
              </w:rPr>
            </w:pPr>
          </w:p>
        </w:tc>
        <w:tc>
          <w:tcPr>
            <w:tcW w:w="1204" w:type="dxa"/>
            <w:tcBorders>
              <w:top w:val="nil"/>
              <w:left w:val="nil"/>
              <w:bottom w:val="single" w:sz="8" w:space="0" w:color="auto"/>
              <w:right w:val="single" w:sz="8" w:space="0" w:color="auto"/>
            </w:tcBorders>
            <w:vAlign w:val="bottom"/>
          </w:tcPr>
          <w:p w14:paraId="4C631A78" w14:textId="77777777" w:rsidR="003B1783" w:rsidRPr="003B1783" w:rsidRDefault="003B1783" w:rsidP="008F70FB">
            <w:pPr>
              <w:spacing w:after="0" w:line="240" w:lineRule="auto"/>
              <w:jc w:val="right"/>
              <w:rPr>
                <w:rFonts w:ascii="Arial" w:eastAsia="Calibri" w:hAnsi="Arial" w:cs="Arial"/>
                <w:color w:val="000000"/>
                <w:sz w:val="18"/>
                <w:szCs w:val="18"/>
              </w:rPr>
            </w:pPr>
          </w:p>
        </w:tc>
        <w:tc>
          <w:tcPr>
            <w:tcW w:w="997" w:type="dxa"/>
            <w:tcBorders>
              <w:top w:val="nil"/>
              <w:left w:val="nil"/>
              <w:bottom w:val="single" w:sz="8" w:space="0" w:color="auto"/>
              <w:right w:val="nil"/>
            </w:tcBorders>
            <w:vAlign w:val="bottom"/>
          </w:tcPr>
          <w:p w14:paraId="10FB4184" w14:textId="77777777" w:rsidR="003B1783" w:rsidRPr="003B1783" w:rsidRDefault="003B1783" w:rsidP="008F70FB">
            <w:pPr>
              <w:spacing w:after="0" w:line="240" w:lineRule="auto"/>
              <w:jc w:val="right"/>
              <w:rPr>
                <w:rFonts w:ascii="Arial" w:eastAsia="Calibri" w:hAnsi="Arial" w:cs="Arial"/>
                <w:color w:val="000000"/>
                <w:sz w:val="18"/>
                <w:szCs w:val="18"/>
              </w:rPr>
            </w:pPr>
          </w:p>
        </w:tc>
        <w:tc>
          <w:tcPr>
            <w:tcW w:w="708" w:type="dxa"/>
            <w:tcBorders>
              <w:top w:val="nil"/>
              <w:left w:val="nil"/>
              <w:bottom w:val="single" w:sz="8" w:space="0" w:color="auto"/>
              <w:right w:val="nil"/>
            </w:tcBorders>
            <w:vAlign w:val="bottom"/>
          </w:tcPr>
          <w:p w14:paraId="120D2937" w14:textId="77777777" w:rsidR="003B1783" w:rsidRPr="003B1783" w:rsidRDefault="003B1783" w:rsidP="008F70FB">
            <w:pPr>
              <w:spacing w:after="0" w:line="240" w:lineRule="auto"/>
              <w:jc w:val="right"/>
              <w:rPr>
                <w:rFonts w:ascii="Arial" w:eastAsia="Calibri" w:hAnsi="Arial" w:cs="Arial"/>
                <w:color w:val="000000"/>
                <w:sz w:val="18"/>
                <w:szCs w:val="18"/>
              </w:rPr>
            </w:pPr>
          </w:p>
        </w:tc>
        <w:tc>
          <w:tcPr>
            <w:tcW w:w="851" w:type="dxa"/>
            <w:tcBorders>
              <w:top w:val="nil"/>
              <w:left w:val="nil"/>
              <w:bottom w:val="single" w:sz="8" w:space="0" w:color="auto"/>
              <w:right w:val="single" w:sz="8" w:space="0" w:color="auto"/>
            </w:tcBorders>
            <w:vAlign w:val="bottom"/>
          </w:tcPr>
          <w:p w14:paraId="1DF2E8AB" w14:textId="77777777" w:rsidR="003B1783" w:rsidRPr="003B1783" w:rsidRDefault="003B1783" w:rsidP="008F70FB">
            <w:pPr>
              <w:spacing w:after="0" w:line="240" w:lineRule="auto"/>
              <w:jc w:val="right"/>
              <w:rPr>
                <w:rFonts w:ascii="Arial" w:eastAsia="Calibri" w:hAnsi="Arial" w:cs="Arial"/>
                <w:color w:val="000000"/>
                <w:sz w:val="18"/>
                <w:szCs w:val="18"/>
              </w:rPr>
            </w:pPr>
          </w:p>
        </w:tc>
        <w:tc>
          <w:tcPr>
            <w:tcW w:w="1276" w:type="dxa"/>
            <w:tcBorders>
              <w:top w:val="nil"/>
              <w:left w:val="nil"/>
              <w:bottom w:val="single" w:sz="8" w:space="0" w:color="auto"/>
              <w:right w:val="nil"/>
            </w:tcBorders>
            <w:vAlign w:val="bottom"/>
          </w:tcPr>
          <w:p w14:paraId="0AD498C1" w14:textId="77777777" w:rsidR="003B1783" w:rsidRPr="003B1783" w:rsidRDefault="003B1783" w:rsidP="008F70FB">
            <w:pPr>
              <w:spacing w:after="0" w:line="240" w:lineRule="auto"/>
              <w:jc w:val="right"/>
              <w:rPr>
                <w:rFonts w:ascii="Arial" w:eastAsia="Calibri" w:hAnsi="Arial" w:cs="Arial"/>
                <w:color w:val="000000"/>
                <w:sz w:val="18"/>
                <w:szCs w:val="18"/>
              </w:rPr>
            </w:pPr>
          </w:p>
        </w:tc>
        <w:tc>
          <w:tcPr>
            <w:tcW w:w="708" w:type="dxa"/>
            <w:tcBorders>
              <w:top w:val="nil"/>
              <w:left w:val="nil"/>
              <w:bottom w:val="single" w:sz="8" w:space="0" w:color="auto"/>
              <w:right w:val="nil"/>
            </w:tcBorders>
            <w:vAlign w:val="bottom"/>
          </w:tcPr>
          <w:p w14:paraId="18F4D32C" w14:textId="77777777" w:rsidR="003B1783" w:rsidRPr="003B1783" w:rsidRDefault="003B1783" w:rsidP="008F70FB">
            <w:pPr>
              <w:spacing w:after="0" w:line="240" w:lineRule="auto"/>
              <w:jc w:val="right"/>
              <w:rPr>
                <w:rFonts w:ascii="Arial" w:eastAsia="Calibri" w:hAnsi="Arial" w:cs="Arial"/>
                <w:color w:val="000000"/>
                <w:sz w:val="18"/>
                <w:szCs w:val="18"/>
              </w:rPr>
            </w:pPr>
          </w:p>
        </w:tc>
        <w:tc>
          <w:tcPr>
            <w:tcW w:w="1036" w:type="dxa"/>
            <w:tcBorders>
              <w:top w:val="nil"/>
              <w:left w:val="nil"/>
              <w:bottom w:val="single" w:sz="8" w:space="0" w:color="auto"/>
              <w:right w:val="nil"/>
            </w:tcBorders>
            <w:vAlign w:val="bottom"/>
          </w:tcPr>
          <w:p w14:paraId="0355F529" w14:textId="77777777" w:rsidR="003B1783" w:rsidRPr="003B1783" w:rsidRDefault="003B1783" w:rsidP="008F70FB">
            <w:pPr>
              <w:spacing w:after="0" w:line="240" w:lineRule="auto"/>
              <w:jc w:val="right"/>
              <w:rPr>
                <w:rFonts w:ascii="Arial" w:eastAsia="Calibri" w:hAnsi="Arial" w:cs="Arial"/>
                <w:color w:val="000000"/>
                <w:sz w:val="18"/>
                <w:szCs w:val="18"/>
              </w:rPr>
            </w:pPr>
          </w:p>
        </w:tc>
        <w:tc>
          <w:tcPr>
            <w:tcW w:w="665" w:type="dxa"/>
            <w:tcBorders>
              <w:top w:val="nil"/>
              <w:left w:val="nil"/>
              <w:bottom w:val="single" w:sz="8" w:space="0" w:color="auto"/>
              <w:right w:val="single" w:sz="8" w:space="0" w:color="auto"/>
            </w:tcBorders>
            <w:vAlign w:val="bottom"/>
          </w:tcPr>
          <w:p w14:paraId="13AAE5E3" w14:textId="77777777" w:rsidR="003B1783" w:rsidRPr="003B1783" w:rsidRDefault="003B1783" w:rsidP="008F70FB">
            <w:pPr>
              <w:spacing w:after="0" w:line="240" w:lineRule="auto"/>
              <w:jc w:val="right"/>
              <w:rPr>
                <w:rFonts w:ascii="Arial" w:eastAsia="Calibri" w:hAnsi="Arial" w:cs="Arial"/>
                <w:color w:val="000000"/>
                <w:sz w:val="18"/>
                <w:szCs w:val="18"/>
              </w:rPr>
            </w:pPr>
          </w:p>
        </w:tc>
        <w:tc>
          <w:tcPr>
            <w:tcW w:w="1843" w:type="dxa"/>
            <w:tcBorders>
              <w:top w:val="nil"/>
              <w:left w:val="nil"/>
              <w:bottom w:val="single" w:sz="8" w:space="0" w:color="auto"/>
              <w:right w:val="single" w:sz="8" w:space="0" w:color="auto"/>
            </w:tcBorders>
            <w:vAlign w:val="bottom"/>
          </w:tcPr>
          <w:p w14:paraId="1E41ED97" w14:textId="77777777" w:rsidR="003B1783" w:rsidRPr="003B1783" w:rsidRDefault="003B1783" w:rsidP="008F70FB">
            <w:pPr>
              <w:spacing w:after="0" w:line="240" w:lineRule="auto"/>
              <w:jc w:val="right"/>
              <w:rPr>
                <w:rFonts w:ascii="Arial" w:eastAsia="Calibri" w:hAnsi="Arial" w:cs="Arial"/>
                <w:color w:val="000000"/>
                <w:sz w:val="18"/>
                <w:szCs w:val="18"/>
              </w:rPr>
            </w:pPr>
          </w:p>
        </w:tc>
      </w:tr>
    </w:tbl>
    <w:p w14:paraId="41D0319A" w14:textId="6B0BB84F" w:rsidR="003B1783" w:rsidRDefault="003B1783"/>
    <w:p w14:paraId="3BAAA6F6" w14:textId="766B0451" w:rsidR="003B1783" w:rsidRDefault="003B1783"/>
    <w:tbl>
      <w:tblPr>
        <w:tblW w:w="12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7"/>
        <w:gridCol w:w="8042"/>
        <w:gridCol w:w="4346"/>
      </w:tblGrid>
      <w:tr w:rsidR="00340FAB" w:rsidRPr="00AC436A" w14:paraId="4A8F2A91" w14:textId="77777777" w:rsidTr="00340FAB">
        <w:trPr>
          <w:trHeight w:val="306"/>
        </w:trPr>
        <w:tc>
          <w:tcPr>
            <w:tcW w:w="567" w:type="dxa"/>
            <w:tcBorders>
              <w:top w:val="single" w:sz="4" w:space="0" w:color="auto"/>
              <w:left w:val="single" w:sz="4" w:space="0" w:color="auto"/>
              <w:bottom w:val="single" w:sz="4" w:space="0" w:color="auto"/>
              <w:right w:val="single" w:sz="4" w:space="0" w:color="auto"/>
            </w:tcBorders>
            <w:shd w:val="clear" w:color="auto" w:fill="E8E8E8"/>
          </w:tcPr>
          <w:p w14:paraId="553ABA22" w14:textId="77777777" w:rsidR="00340FAB" w:rsidRPr="00AC436A" w:rsidRDefault="00340FAB" w:rsidP="005C764D">
            <w:pPr>
              <w:rPr>
                <w:b/>
                <w:bCs/>
                <w:lang w:val="sr-Latn-ME"/>
              </w:rPr>
            </w:pPr>
          </w:p>
        </w:tc>
        <w:tc>
          <w:tcPr>
            <w:tcW w:w="8042" w:type="dxa"/>
            <w:tcBorders>
              <w:top w:val="single" w:sz="4" w:space="0" w:color="auto"/>
              <w:left w:val="single" w:sz="4" w:space="0" w:color="auto"/>
              <w:bottom w:val="single" w:sz="4" w:space="0" w:color="auto"/>
              <w:right w:val="single" w:sz="4" w:space="0" w:color="auto"/>
            </w:tcBorders>
            <w:shd w:val="clear" w:color="auto" w:fill="E8E8E8"/>
            <w:hideMark/>
          </w:tcPr>
          <w:p w14:paraId="373B8340" w14:textId="3C70FA2F" w:rsidR="00340FAB" w:rsidRPr="00243C6E" w:rsidRDefault="00340FAB" w:rsidP="00243C6E">
            <w:pPr>
              <w:jc w:val="both"/>
              <w:rPr>
                <w:rFonts w:ascii="Verdana" w:hAnsi="Verdana"/>
                <w:b/>
                <w:bCs/>
                <w:sz w:val="20"/>
                <w:szCs w:val="20"/>
                <w:lang w:val="sr-Latn-ME"/>
              </w:rPr>
            </w:pPr>
            <w:r w:rsidRPr="00243C6E">
              <w:rPr>
                <w:rFonts w:ascii="Verdana" w:hAnsi="Verdana"/>
                <w:b/>
                <w:bCs/>
                <w:sz w:val="20"/>
                <w:szCs w:val="20"/>
                <w:lang w:val="sr-Latn-ME"/>
              </w:rPr>
              <w:t>Pitanje</w:t>
            </w:r>
          </w:p>
          <w:p w14:paraId="00AA64CA" w14:textId="3F4AE4E2" w:rsidR="00340FAB" w:rsidRPr="00243C6E" w:rsidRDefault="00340FAB" w:rsidP="00243C6E">
            <w:pPr>
              <w:jc w:val="both"/>
              <w:rPr>
                <w:rFonts w:ascii="Verdana" w:hAnsi="Verdana"/>
                <w:b/>
                <w:bCs/>
                <w:sz w:val="20"/>
                <w:szCs w:val="20"/>
                <w:lang w:val="sr-Latn-ME"/>
              </w:rPr>
            </w:pPr>
          </w:p>
        </w:tc>
        <w:tc>
          <w:tcPr>
            <w:tcW w:w="4346" w:type="dxa"/>
            <w:tcBorders>
              <w:top w:val="single" w:sz="4" w:space="0" w:color="auto"/>
              <w:left w:val="single" w:sz="4" w:space="0" w:color="auto"/>
              <w:bottom w:val="single" w:sz="4" w:space="0" w:color="auto"/>
              <w:right w:val="single" w:sz="4" w:space="0" w:color="auto"/>
            </w:tcBorders>
            <w:shd w:val="clear" w:color="auto" w:fill="E8E8E8"/>
          </w:tcPr>
          <w:p w14:paraId="23E95C85" w14:textId="77777777" w:rsidR="00340FAB" w:rsidRPr="00243C6E" w:rsidRDefault="00340FAB" w:rsidP="00243C6E">
            <w:pPr>
              <w:jc w:val="both"/>
              <w:rPr>
                <w:rFonts w:ascii="Verdana" w:hAnsi="Verdana"/>
                <w:b/>
                <w:bCs/>
                <w:sz w:val="20"/>
                <w:szCs w:val="20"/>
                <w:lang w:val="sr-Latn-ME"/>
              </w:rPr>
            </w:pPr>
            <w:r w:rsidRPr="00243C6E">
              <w:rPr>
                <w:rFonts w:ascii="Verdana" w:hAnsi="Verdana"/>
                <w:b/>
                <w:bCs/>
                <w:sz w:val="20"/>
                <w:szCs w:val="20"/>
                <w:lang w:val="sr-Latn-ME"/>
              </w:rPr>
              <w:t>Predlog odgovora</w:t>
            </w:r>
          </w:p>
        </w:tc>
      </w:tr>
      <w:tr w:rsidR="00340FAB" w:rsidRPr="00AC436A" w14:paraId="2DD5949C" w14:textId="77777777" w:rsidTr="00340FAB">
        <w:trPr>
          <w:trHeight w:val="2723"/>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A62B5E7" w14:textId="24938523" w:rsidR="00340FAB" w:rsidRDefault="00340FAB" w:rsidP="005C764D">
            <w:pPr>
              <w:tabs>
                <w:tab w:val="center" w:pos="2251"/>
              </w:tabs>
              <w:jc w:val="both"/>
              <w:rPr>
                <w:lang w:val="sr-Latn-RS"/>
              </w:rPr>
            </w:pPr>
            <w:r>
              <w:rPr>
                <w:lang w:val="sr-Latn-RS"/>
              </w:rPr>
              <w:t>51</w:t>
            </w:r>
          </w:p>
        </w:tc>
        <w:tc>
          <w:tcPr>
            <w:tcW w:w="8042" w:type="dxa"/>
            <w:tcBorders>
              <w:top w:val="single" w:sz="4" w:space="0" w:color="auto"/>
              <w:left w:val="single" w:sz="4" w:space="0" w:color="auto"/>
              <w:bottom w:val="single" w:sz="4" w:space="0" w:color="auto"/>
              <w:right w:val="single" w:sz="4" w:space="0" w:color="auto"/>
            </w:tcBorders>
            <w:shd w:val="clear" w:color="auto" w:fill="FFFFFF"/>
          </w:tcPr>
          <w:p w14:paraId="7160D041" w14:textId="49039B1E" w:rsidR="00340FAB" w:rsidRPr="00243C6E" w:rsidRDefault="00340FAB" w:rsidP="00243C6E">
            <w:pPr>
              <w:tabs>
                <w:tab w:val="center" w:pos="2251"/>
              </w:tabs>
              <w:jc w:val="both"/>
              <w:rPr>
                <w:rFonts w:ascii="Verdana" w:hAnsi="Verdana"/>
                <w:sz w:val="20"/>
                <w:szCs w:val="20"/>
                <w:lang w:val="sr-Latn-RS"/>
              </w:rPr>
            </w:pPr>
            <w:r w:rsidRPr="00243C6E">
              <w:rPr>
                <w:rFonts w:ascii="Verdana" w:hAnsi="Verdana"/>
                <w:sz w:val="20"/>
                <w:szCs w:val="20"/>
                <w:lang w:val="sr-Latn-RS"/>
              </w:rPr>
              <w:t>Molimo Vas za potvrdu da je sledeći pristup u skladu sa važećim propisima u vezi sa metodom balansiranja tokom prelaznog perioda. Na primer, za jednu od imovine:</w:t>
            </w:r>
          </w:p>
          <w:p w14:paraId="2A225263" w14:textId="77777777" w:rsidR="00340FAB" w:rsidRPr="00243C6E" w:rsidRDefault="00340FAB" w:rsidP="00243C6E">
            <w:pPr>
              <w:tabs>
                <w:tab w:val="left" w:pos="1485"/>
                <w:tab w:val="center" w:pos="2251"/>
              </w:tabs>
              <w:jc w:val="both"/>
              <w:rPr>
                <w:rFonts w:ascii="Verdana" w:hAnsi="Verdana"/>
                <w:sz w:val="20"/>
                <w:szCs w:val="20"/>
                <w:lang w:val="sr-Latn-RS"/>
              </w:rPr>
            </w:pPr>
            <w:r w:rsidRPr="00243C6E">
              <w:rPr>
                <w:rFonts w:ascii="Verdana" w:hAnsi="Verdana"/>
                <w:sz w:val="20"/>
                <w:szCs w:val="20"/>
                <w:lang w:val="sr-Latn-RS"/>
              </w:rPr>
              <w:t>Ukupna proizvodnja tokom analiziranog perioda bila je 4.525 MWh. Prognozirana proizvodnja bila je 4.600 MWh. Neto razlike je -76 MWh, što je relativno malo. Međutim zbir apsolutnih satnih odstupanja ( Diff abs ) iznosio je 1.795MWh što odgovara 40% ukupne proizvodnje. Pretpostavljamo da:</w:t>
            </w:r>
          </w:p>
          <w:p w14:paraId="01BF74B6" w14:textId="77777777" w:rsidR="00340FAB" w:rsidRPr="00243C6E" w:rsidRDefault="00340FAB" w:rsidP="00243C6E">
            <w:pPr>
              <w:tabs>
                <w:tab w:val="left" w:pos="1485"/>
                <w:tab w:val="center" w:pos="2251"/>
              </w:tabs>
              <w:jc w:val="both"/>
              <w:rPr>
                <w:rFonts w:ascii="Verdana" w:hAnsi="Verdana"/>
                <w:sz w:val="20"/>
                <w:szCs w:val="20"/>
                <w:lang w:val="sr-Latn-RS"/>
              </w:rPr>
            </w:pPr>
            <w:r w:rsidRPr="00243C6E">
              <w:rPr>
                <w:rFonts w:ascii="Verdana" w:hAnsi="Verdana"/>
                <w:sz w:val="20"/>
                <w:szCs w:val="20"/>
                <w:lang w:val="sr-Latn-RS"/>
              </w:rPr>
              <w:t>Pitanje 1:</w:t>
            </w:r>
          </w:p>
          <w:p w14:paraId="28ED2E4E" w14:textId="77777777" w:rsidR="00340FAB" w:rsidRPr="00243C6E" w:rsidRDefault="00340FAB" w:rsidP="00243C6E">
            <w:pPr>
              <w:tabs>
                <w:tab w:val="left" w:pos="1485"/>
                <w:tab w:val="center" w:pos="2251"/>
              </w:tabs>
              <w:jc w:val="both"/>
              <w:rPr>
                <w:rFonts w:ascii="Verdana" w:hAnsi="Verdana"/>
                <w:sz w:val="20"/>
                <w:szCs w:val="20"/>
                <w:lang w:val="sr-Latn-RS"/>
              </w:rPr>
            </w:pPr>
            <w:r w:rsidRPr="00243C6E">
              <w:rPr>
                <w:rFonts w:ascii="Verdana" w:hAnsi="Verdana"/>
                <w:sz w:val="20"/>
                <w:szCs w:val="20"/>
                <w:lang w:val="sr-Latn-RS"/>
              </w:rPr>
              <w:t>Naknada od 0,05471EUR/kWh primenjuje se na svako satno odstupanje, bez obzira na to da li je stvarna proizvodnja bila veća ili manja od prognoze?</w:t>
            </w:r>
          </w:p>
          <w:p w14:paraId="2E16250E" w14:textId="77777777" w:rsidR="00340FAB" w:rsidRPr="00243C6E" w:rsidRDefault="00340FAB" w:rsidP="00243C6E">
            <w:pPr>
              <w:tabs>
                <w:tab w:val="left" w:pos="1485"/>
                <w:tab w:val="center" w:pos="2251"/>
              </w:tabs>
              <w:jc w:val="both"/>
              <w:rPr>
                <w:rFonts w:ascii="Verdana" w:hAnsi="Verdana"/>
                <w:sz w:val="20"/>
                <w:szCs w:val="20"/>
                <w:lang w:val="sr-Latn-RS"/>
              </w:rPr>
            </w:pPr>
            <w:r w:rsidRPr="00243C6E">
              <w:rPr>
                <w:rFonts w:ascii="Verdana" w:hAnsi="Verdana"/>
                <w:sz w:val="20"/>
                <w:szCs w:val="20"/>
                <w:lang w:val="sr-Latn-RS"/>
              </w:rPr>
              <w:t>Pitanje 2:</w:t>
            </w:r>
          </w:p>
          <w:p w14:paraId="229855D7" w14:textId="77777777" w:rsidR="00340FAB" w:rsidRPr="00243C6E" w:rsidRDefault="00340FAB" w:rsidP="00243C6E">
            <w:pPr>
              <w:tabs>
                <w:tab w:val="left" w:pos="1485"/>
                <w:tab w:val="center" w:pos="2251"/>
              </w:tabs>
              <w:jc w:val="both"/>
              <w:rPr>
                <w:rFonts w:ascii="Verdana" w:hAnsi="Verdana"/>
                <w:sz w:val="20"/>
                <w:szCs w:val="20"/>
                <w:lang w:val="sr-Latn-RS"/>
              </w:rPr>
            </w:pPr>
            <w:r w:rsidRPr="00243C6E">
              <w:rPr>
                <w:rFonts w:ascii="Verdana" w:hAnsi="Verdana"/>
                <w:sz w:val="20"/>
                <w:szCs w:val="20"/>
                <w:lang w:val="sr-Latn-RS"/>
              </w:rPr>
              <w:t>Obračun se vrši na satnoj osnovi, a ne na osnovu neto razlike tokom celog perioda?</w:t>
            </w:r>
          </w:p>
          <w:p w14:paraId="4921E515" w14:textId="77777777" w:rsidR="00340FAB" w:rsidRPr="00243C6E" w:rsidRDefault="00340FAB" w:rsidP="00243C6E">
            <w:pPr>
              <w:tabs>
                <w:tab w:val="left" w:pos="1485"/>
                <w:tab w:val="center" w:pos="2251"/>
              </w:tabs>
              <w:jc w:val="both"/>
              <w:rPr>
                <w:rFonts w:ascii="Verdana" w:hAnsi="Verdana"/>
                <w:sz w:val="20"/>
                <w:szCs w:val="20"/>
                <w:lang w:val="sr-Latn-RS"/>
              </w:rPr>
            </w:pPr>
            <w:r w:rsidRPr="00243C6E">
              <w:rPr>
                <w:rFonts w:ascii="Verdana" w:hAnsi="Verdana"/>
                <w:sz w:val="20"/>
                <w:szCs w:val="20"/>
                <w:lang w:val="sr-Latn-RS"/>
              </w:rPr>
              <w:t>Pitanje 3:</w:t>
            </w:r>
          </w:p>
          <w:p w14:paraId="345E3783" w14:textId="77777777" w:rsidR="00340FAB" w:rsidRPr="00243C6E" w:rsidRDefault="00340FAB" w:rsidP="00243C6E">
            <w:pPr>
              <w:tabs>
                <w:tab w:val="left" w:pos="1485"/>
                <w:tab w:val="center" w:pos="2251"/>
              </w:tabs>
              <w:jc w:val="both"/>
              <w:rPr>
                <w:rFonts w:ascii="Verdana" w:hAnsi="Verdana"/>
                <w:sz w:val="20"/>
                <w:szCs w:val="20"/>
                <w:lang w:val="sr-Latn-RS"/>
              </w:rPr>
            </w:pPr>
            <w:r w:rsidRPr="00243C6E">
              <w:rPr>
                <w:rFonts w:ascii="Verdana" w:hAnsi="Verdana"/>
                <w:sz w:val="20"/>
                <w:szCs w:val="20"/>
                <w:lang w:val="sr-Latn-RS"/>
              </w:rPr>
              <w:t>Stoga, uprkos malom neto odstupanju, naknada može biti značajna zbog velikog zbira satnih odstupanja?</w:t>
            </w:r>
          </w:p>
          <w:p w14:paraId="1D84711D" w14:textId="77777777" w:rsidR="00340FAB" w:rsidRPr="00243C6E" w:rsidRDefault="00340FAB" w:rsidP="00243C6E">
            <w:pPr>
              <w:tabs>
                <w:tab w:val="left" w:pos="1485"/>
                <w:tab w:val="center" w:pos="2251"/>
              </w:tabs>
              <w:jc w:val="both"/>
              <w:rPr>
                <w:rFonts w:ascii="Verdana" w:hAnsi="Verdana"/>
                <w:sz w:val="20"/>
                <w:szCs w:val="20"/>
                <w:lang w:val="sr-Latn-RS"/>
              </w:rPr>
            </w:pPr>
            <w:r w:rsidRPr="00243C6E">
              <w:rPr>
                <w:rFonts w:ascii="Verdana" w:hAnsi="Verdana"/>
                <w:sz w:val="20"/>
                <w:szCs w:val="20"/>
                <w:lang w:val="sr-Latn-RS"/>
              </w:rPr>
              <w:t>Možete li, molim Vas, potvrditi da li je ovaj pristup obračunu naknade ispravan i u skladu sa važećim pravilima?</w:t>
            </w:r>
          </w:p>
        </w:tc>
        <w:tc>
          <w:tcPr>
            <w:tcW w:w="4346" w:type="dxa"/>
            <w:tcBorders>
              <w:top w:val="single" w:sz="4" w:space="0" w:color="auto"/>
              <w:left w:val="single" w:sz="4" w:space="0" w:color="auto"/>
              <w:bottom w:val="single" w:sz="4" w:space="0" w:color="auto"/>
              <w:right w:val="single" w:sz="4" w:space="0" w:color="auto"/>
            </w:tcBorders>
            <w:shd w:val="clear" w:color="auto" w:fill="FFFFFF"/>
          </w:tcPr>
          <w:p w14:paraId="7CF414D0" w14:textId="77777777"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Odgovor na Pitanje 1:</w:t>
            </w:r>
          </w:p>
          <w:p w14:paraId="3ACF6101" w14:textId="77777777"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Da. Naknada od 0,05471EUR/kWh primenjuje se na svako satno odstupanje, bez obzira na to da li je stvarna proizvodnja bila veća ili manja od prognoze.</w:t>
            </w:r>
          </w:p>
          <w:p w14:paraId="40C93D81" w14:textId="77777777" w:rsidR="00340FAB" w:rsidRPr="00243C6E" w:rsidRDefault="00340FAB" w:rsidP="00243C6E">
            <w:pPr>
              <w:jc w:val="both"/>
              <w:rPr>
                <w:rFonts w:ascii="Verdana" w:hAnsi="Verdana"/>
                <w:sz w:val="20"/>
                <w:szCs w:val="20"/>
                <w:lang w:val="sr-Latn-RS"/>
              </w:rPr>
            </w:pPr>
          </w:p>
          <w:p w14:paraId="0349450D" w14:textId="77777777"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Odgovor na Pitanje 2:</w:t>
            </w:r>
          </w:p>
          <w:p w14:paraId="2CEAA644" w14:textId="77777777"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Da. Odstupanje ostvarene od prijavljene proizvodnje vrši se prema Obračunskom intervalu, koji je prema modelu Ugovora o preuzimanju balansne odgovornosti je period od jednog sata.</w:t>
            </w:r>
          </w:p>
          <w:p w14:paraId="40F94E6E" w14:textId="77777777" w:rsidR="00340FAB" w:rsidRPr="00243C6E" w:rsidRDefault="00340FAB" w:rsidP="00243C6E">
            <w:pPr>
              <w:jc w:val="both"/>
              <w:rPr>
                <w:rFonts w:ascii="Verdana" w:hAnsi="Verdana"/>
                <w:sz w:val="20"/>
                <w:szCs w:val="20"/>
                <w:lang w:val="sr-Latn-RS"/>
              </w:rPr>
            </w:pPr>
          </w:p>
          <w:p w14:paraId="3742A6A1" w14:textId="77777777"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Odgovor na Pitanje 3:</w:t>
            </w:r>
          </w:p>
          <w:p w14:paraId="12FF5212" w14:textId="77777777"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Da. Naknada se plaća za svako odstupanje u obračunskom intervalu (bilo pozitivno ili negativno.</w:t>
            </w:r>
          </w:p>
          <w:p w14:paraId="67FC3F5F" w14:textId="77777777" w:rsidR="00340FAB" w:rsidRPr="00243C6E" w:rsidRDefault="00340FAB" w:rsidP="00243C6E">
            <w:pPr>
              <w:jc w:val="both"/>
              <w:rPr>
                <w:rFonts w:ascii="Verdana" w:hAnsi="Verdana"/>
                <w:sz w:val="20"/>
                <w:szCs w:val="20"/>
              </w:rPr>
            </w:pPr>
            <w:r w:rsidRPr="00243C6E">
              <w:rPr>
                <w:rFonts w:ascii="Verdana" w:hAnsi="Verdana"/>
                <w:sz w:val="20"/>
                <w:szCs w:val="20"/>
              </w:rPr>
              <w:t xml:space="preserve">U članu 18 Javnog poziva je jasno propsiano da jedinična naknada koju su članovi balansne grupe ovlašćene ugovorne strane obavezni da plaćaju za svaki kWh pozitivnog ili negativnog balansnog odstupanja, ostvaren u odnosu na planiranu proizvodnju u obračunskom intervalu I ista je uređena Pravilnikom o jediničnoj naknadi za pozitivno ili negativno balansno odstupanje </w:t>
            </w:r>
            <w:r w:rsidRPr="00243C6E">
              <w:rPr>
                <w:rFonts w:ascii="Verdana" w:hAnsi="Verdana"/>
                <w:sz w:val="20"/>
                <w:szCs w:val="20"/>
              </w:rPr>
              <w:lastRenderedPageBreak/>
              <w:t xml:space="preserve">povlašćenih proizvođača u sistemu tržišne premije („Službeni list CG“ broj 66/25) </w:t>
            </w:r>
          </w:p>
          <w:p w14:paraId="5318209D" w14:textId="77777777" w:rsidR="00340FAB" w:rsidRPr="00243C6E" w:rsidRDefault="00340FAB" w:rsidP="00243C6E">
            <w:pPr>
              <w:jc w:val="both"/>
              <w:rPr>
                <w:rFonts w:ascii="Verdana" w:hAnsi="Verdana"/>
                <w:sz w:val="20"/>
                <w:szCs w:val="20"/>
              </w:rPr>
            </w:pPr>
            <w:r w:rsidRPr="00243C6E">
              <w:rPr>
                <w:rFonts w:ascii="Verdana" w:hAnsi="Verdana"/>
                <w:sz w:val="20"/>
                <w:szCs w:val="20"/>
              </w:rPr>
              <w:t>Jedinična naknada za balansno odstupanje povlašćenih proizvođača u sistemu tržišne premije koji su članovi balansne grupe ovlašćene ugovorne strane utvrđuje se u fiksnom iznosu u eurima po kWh i iznosi 0,05471 EUR/kWh pozitivnog ili negativnog balansnog odstupanja ostvarenog u odnosu na planiranu proizvodnju u obračunskom intervalu.</w:t>
            </w:r>
          </w:p>
          <w:p w14:paraId="5FA7FF99" w14:textId="77777777" w:rsidR="00340FAB" w:rsidRPr="00243C6E" w:rsidRDefault="00340FAB" w:rsidP="00243C6E">
            <w:pPr>
              <w:jc w:val="both"/>
              <w:rPr>
                <w:rFonts w:ascii="Verdana" w:hAnsi="Verdana"/>
                <w:sz w:val="20"/>
                <w:szCs w:val="20"/>
              </w:rPr>
            </w:pPr>
            <w:r w:rsidRPr="00243C6E">
              <w:rPr>
                <w:rFonts w:ascii="Verdana" w:hAnsi="Verdana"/>
                <w:sz w:val="20"/>
                <w:szCs w:val="20"/>
              </w:rPr>
              <w:t xml:space="preserve">Ugovorom o tržišnoj premiji je propsiano da je </w:t>
            </w:r>
          </w:p>
          <w:p w14:paraId="4B05853F" w14:textId="77777777" w:rsidR="00340FAB" w:rsidRPr="00243C6E" w:rsidRDefault="00340FAB" w:rsidP="00243C6E">
            <w:pPr>
              <w:jc w:val="both"/>
              <w:rPr>
                <w:rFonts w:ascii="Verdana" w:hAnsi="Verdana"/>
                <w:sz w:val="20"/>
                <w:szCs w:val="20"/>
                <w:lang w:val="sr-Latn-RS"/>
              </w:rPr>
            </w:pPr>
            <w:r w:rsidRPr="00243C6E">
              <w:rPr>
                <w:rFonts w:ascii="Verdana" w:hAnsi="Verdana"/>
                <w:sz w:val="20"/>
                <w:szCs w:val="20"/>
              </w:rPr>
              <w:t>"Obračunski interval" vremenski period od jednog sata ili kraći period utvrđen tržišnim pravilima za tržište električne energije u Crnoj Gori, za koji se utvrđuje razlika između ostvarene cijene i referentne tržišne cijene, za koji se utvrđuje razlika između Ostvarene cijene i Referentne tržišne cijene;</w:t>
            </w:r>
          </w:p>
        </w:tc>
      </w:tr>
      <w:tr w:rsidR="00340FAB" w:rsidRPr="00AC436A" w14:paraId="75FED31E" w14:textId="77777777" w:rsidTr="00340FAB">
        <w:trPr>
          <w:trHeight w:val="306"/>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41FF69B" w14:textId="7797B450" w:rsidR="00340FAB" w:rsidRPr="00B3230C" w:rsidRDefault="00340FAB" w:rsidP="005C764D">
            <w:pPr>
              <w:tabs>
                <w:tab w:val="left" w:pos="1005"/>
              </w:tabs>
              <w:jc w:val="both"/>
              <w:rPr>
                <w:lang w:val="sr-Latn-RS"/>
              </w:rPr>
            </w:pPr>
            <w:r>
              <w:rPr>
                <w:lang w:val="sr-Latn-RS"/>
              </w:rPr>
              <w:lastRenderedPageBreak/>
              <w:t>52</w:t>
            </w:r>
          </w:p>
        </w:tc>
        <w:tc>
          <w:tcPr>
            <w:tcW w:w="8042" w:type="dxa"/>
            <w:tcBorders>
              <w:top w:val="single" w:sz="4" w:space="0" w:color="auto"/>
              <w:left w:val="single" w:sz="4" w:space="0" w:color="auto"/>
              <w:bottom w:val="single" w:sz="4" w:space="0" w:color="auto"/>
              <w:right w:val="single" w:sz="4" w:space="0" w:color="auto"/>
            </w:tcBorders>
            <w:shd w:val="clear" w:color="auto" w:fill="FFFFFF"/>
          </w:tcPr>
          <w:p w14:paraId="75B2EC86" w14:textId="27E916E4" w:rsidR="00340FAB" w:rsidRPr="00243C6E" w:rsidRDefault="00340FAB" w:rsidP="00243C6E">
            <w:pPr>
              <w:tabs>
                <w:tab w:val="left" w:pos="1005"/>
              </w:tabs>
              <w:jc w:val="both"/>
              <w:rPr>
                <w:rFonts w:ascii="Verdana" w:hAnsi="Verdana"/>
                <w:sz w:val="20"/>
                <w:szCs w:val="20"/>
                <w:lang w:val="sr-Latn-RS"/>
              </w:rPr>
            </w:pPr>
            <w:r w:rsidRPr="00243C6E">
              <w:rPr>
                <w:rFonts w:ascii="Verdana" w:hAnsi="Verdana"/>
                <w:sz w:val="20"/>
                <w:szCs w:val="20"/>
                <w:lang w:val="sr-Latn-RS"/>
              </w:rPr>
              <w:t>Intradnevna prognoza - Možete li, molim Vas, potvrditi koje je najkasnije vrijeme prije isporuke ( konacnog zatvaranja kapije ) kada proizvođači mogu da dostave svoju konačnu intradnevnu prognozu ili plan proizvodnje?</w:t>
            </w:r>
          </w:p>
        </w:tc>
        <w:tc>
          <w:tcPr>
            <w:tcW w:w="4346" w:type="dxa"/>
            <w:tcBorders>
              <w:top w:val="single" w:sz="4" w:space="0" w:color="auto"/>
              <w:left w:val="single" w:sz="4" w:space="0" w:color="auto"/>
              <w:bottom w:val="single" w:sz="4" w:space="0" w:color="auto"/>
              <w:right w:val="single" w:sz="4" w:space="0" w:color="auto"/>
            </w:tcBorders>
            <w:shd w:val="clear" w:color="auto" w:fill="FFFFFF"/>
          </w:tcPr>
          <w:p w14:paraId="6C28D84C" w14:textId="2C181DE6"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U ovom momentu se ne mogu dati potvrde na navedeni upit, odnosno prejudicirati odredbe odgovarajućih ugovora, na relaciji CGES-Proizvođač, kojima se uređuju prava i obaveze između OPS i proizvođača sa potpisanim ugovorom o tržišnoj premiji.</w:t>
            </w:r>
            <w:r w:rsidR="005C6DF2">
              <w:rPr>
                <w:rFonts w:ascii="Verdana" w:hAnsi="Verdana"/>
                <w:sz w:val="20"/>
                <w:szCs w:val="20"/>
                <w:lang w:val="sr-Latn-RS"/>
              </w:rPr>
              <w:t xml:space="preserve"> </w:t>
            </w:r>
            <w:r w:rsidR="005C6DF2" w:rsidRPr="005C6DF2">
              <w:rPr>
                <w:rFonts w:ascii="Verdana" w:hAnsi="Verdana"/>
                <w:sz w:val="20"/>
                <w:szCs w:val="20"/>
                <w:lang w:val="sr-Latn-RS"/>
              </w:rPr>
              <w:t>Sat vremena prije pocetka sata isporuke  - ovo se isklju</w:t>
            </w:r>
            <w:r w:rsidR="005C6DF2">
              <w:rPr>
                <w:rFonts w:ascii="Verdana" w:hAnsi="Verdana"/>
                <w:sz w:val="20"/>
                <w:szCs w:val="20"/>
                <w:lang w:val="sr-Latn-RS"/>
              </w:rPr>
              <w:t>č</w:t>
            </w:r>
            <w:r w:rsidR="005C6DF2" w:rsidRPr="005C6DF2">
              <w:rPr>
                <w:rFonts w:ascii="Verdana" w:hAnsi="Verdana"/>
                <w:sz w:val="20"/>
                <w:szCs w:val="20"/>
                <w:lang w:val="sr-Latn-RS"/>
              </w:rPr>
              <w:t>ivo odnosi na izmjenu plana iz day ahead procesa</w:t>
            </w:r>
          </w:p>
        </w:tc>
      </w:tr>
      <w:tr w:rsidR="00340FAB" w:rsidRPr="00AC436A" w14:paraId="1C06F8E8" w14:textId="77777777" w:rsidTr="00340FAB">
        <w:trPr>
          <w:trHeight w:val="306"/>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F3B4BBD" w14:textId="5A1846B1" w:rsidR="00340FAB" w:rsidRPr="00B3230C" w:rsidRDefault="00340FAB" w:rsidP="005C764D">
            <w:pPr>
              <w:jc w:val="both"/>
              <w:rPr>
                <w:lang w:val="sr-Latn-RS"/>
              </w:rPr>
            </w:pPr>
            <w:r>
              <w:rPr>
                <w:lang w:val="sr-Latn-RS"/>
              </w:rPr>
              <w:lastRenderedPageBreak/>
              <w:t>53</w:t>
            </w:r>
          </w:p>
        </w:tc>
        <w:tc>
          <w:tcPr>
            <w:tcW w:w="8042" w:type="dxa"/>
            <w:tcBorders>
              <w:top w:val="single" w:sz="4" w:space="0" w:color="auto"/>
              <w:left w:val="single" w:sz="4" w:space="0" w:color="auto"/>
              <w:bottom w:val="single" w:sz="4" w:space="0" w:color="auto"/>
              <w:right w:val="single" w:sz="4" w:space="0" w:color="auto"/>
            </w:tcBorders>
            <w:shd w:val="clear" w:color="auto" w:fill="FFFFFF"/>
          </w:tcPr>
          <w:p w14:paraId="4BF61B50" w14:textId="4944609D"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Troškovi neravnoteže u dizajnu aukcije - Koji nivo ili vrsta troškova neravnoteže su uzeti u obzir prilikom određivanja gornje cijene tendera?</w:t>
            </w:r>
          </w:p>
        </w:tc>
        <w:tc>
          <w:tcPr>
            <w:tcW w:w="4346" w:type="dxa"/>
            <w:tcBorders>
              <w:top w:val="single" w:sz="4" w:space="0" w:color="auto"/>
              <w:left w:val="single" w:sz="4" w:space="0" w:color="auto"/>
              <w:bottom w:val="single" w:sz="4" w:space="0" w:color="auto"/>
              <w:right w:val="single" w:sz="4" w:space="0" w:color="auto"/>
            </w:tcBorders>
            <w:shd w:val="clear" w:color="auto" w:fill="FFFFFF"/>
          </w:tcPr>
          <w:p w14:paraId="3B8297D1" w14:textId="77777777"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Prilikom određivanja maksimalne cijene za ovu aukciju, troškovi balansiranja pretpostavljeni su u iznosu od 7% od ukupnog budućeg prihoda od prodaje energije na veleprodajnom tržištu, tokom podsticajnog perioda od 12 godina.</w:t>
            </w:r>
          </w:p>
        </w:tc>
      </w:tr>
      <w:tr w:rsidR="00340FAB" w:rsidRPr="00AC436A" w14:paraId="40FF87EB" w14:textId="77777777" w:rsidTr="00340FAB">
        <w:trPr>
          <w:trHeight w:val="306"/>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741D6E6" w14:textId="346E2077" w:rsidR="00340FAB" w:rsidRPr="00B3230C" w:rsidRDefault="00340FAB" w:rsidP="005C764D">
            <w:pPr>
              <w:jc w:val="both"/>
              <w:rPr>
                <w:lang w:val="sr-Latn-RS"/>
              </w:rPr>
            </w:pPr>
            <w:r>
              <w:rPr>
                <w:lang w:val="sr-Latn-RS"/>
              </w:rPr>
              <w:t>54</w:t>
            </w:r>
          </w:p>
        </w:tc>
        <w:tc>
          <w:tcPr>
            <w:tcW w:w="8042" w:type="dxa"/>
            <w:tcBorders>
              <w:top w:val="single" w:sz="4" w:space="0" w:color="auto"/>
              <w:left w:val="single" w:sz="4" w:space="0" w:color="auto"/>
              <w:bottom w:val="single" w:sz="4" w:space="0" w:color="auto"/>
              <w:right w:val="single" w:sz="4" w:space="0" w:color="auto"/>
            </w:tcBorders>
            <w:shd w:val="clear" w:color="auto" w:fill="FFFFFF"/>
          </w:tcPr>
          <w:p w14:paraId="528796CD" w14:textId="00D5704C"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Definicija prelazne faze - Da li je definicija prelazne faze za odgovornost za netavnotežu identična onoj koja se koristi za prelaznu fazu CfD ( tržišne premije ) ?</w:t>
            </w:r>
          </w:p>
        </w:tc>
        <w:tc>
          <w:tcPr>
            <w:tcW w:w="4346" w:type="dxa"/>
            <w:tcBorders>
              <w:top w:val="single" w:sz="4" w:space="0" w:color="auto"/>
              <w:left w:val="single" w:sz="4" w:space="0" w:color="auto"/>
              <w:bottom w:val="single" w:sz="4" w:space="0" w:color="auto"/>
              <w:right w:val="single" w:sz="4" w:space="0" w:color="auto"/>
            </w:tcBorders>
            <w:shd w:val="clear" w:color="auto" w:fill="FFFFFF"/>
          </w:tcPr>
          <w:p w14:paraId="36B10AFE" w14:textId="77777777"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„Prelazni period“ u modelu ugovora opreuzimanju balansne odgovornosti jeste prelazni period za tržišnu premiju, odnosno period do uspostavljanja likvidnog dan-unaprijed tržišta kako je definisan članom 13 ZKOIE. U modelu ugovora o preuzimanju balansne odgovornosti na prelazni period za balansiranje upućuje se pozivanjem na član 23. ZKOIE i opisno, kao što je predviđeno u članu 27. modela ugovora koji reguliše njegovo trajanje.</w:t>
            </w:r>
          </w:p>
        </w:tc>
      </w:tr>
      <w:tr w:rsidR="00340FAB" w:rsidRPr="00AC436A" w14:paraId="5FD714CF" w14:textId="77777777" w:rsidTr="00340FAB">
        <w:trPr>
          <w:trHeight w:val="306"/>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3E86D95" w14:textId="5A0A056F" w:rsidR="00340FAB" w:rsidRPr="00B3230C" w:rsidRDefault="00340FAB" w:rsidP="005C764D">
            <w:pPr>
              <w:jc w:val="both"/>
              <w:rPr>
                <w:lang w:val="sr-Latn-RS"/>
              </w:rPr>
            </w:pPr>
            <w:r>
              <w:rPr>
                <w:lang w:val="sr-Latn-RS"/>
              </w:rPr>
              <w:t>55</w:t>
            </w:r>
          </w:p>
        </w:tc>
        <w:tc>
          <w:tcPr>
            <w:tcW w:w="8042" w:type="dxa"/>
            <w:tcBorders>
              <w:top w:val="single" w:sz="4" w:space="0" w:color="auto"/>
              <w:left w:val="single" w:sz="4" w:space="0" w:color="auto"/>
              <w:bottom w:val="single" w:sz="4" w:space="0" w:color="auto"/>
              <w:right w:val="single" w:sz="4" w:space="0" w:color="auto"/>
            </w:tcBorders>
            <w:shd w:val="clear" w:color="auto" w:fill="FFFFFF"/>
          </w:tcPr>
          <w:p w14:paraId="260E0D73" w14:textId="53DDED60"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Kraj prelazne faze/ Vremenski okvir spajanja tržišta - Kada Ministarstvo očekuje da će se prelazna faza završiti, posebno u vezi sa konačnim planiranim spajanjem tržišta sa evropskim tržištem za dan unapred?</w:t>
            </w:r>
          </w:p>
        </w:tc>
        <w:tc>
          <w:tcPr>
            <w:tcW w:w="4346" w:type="dxa"/>
            <w:tcBorders>
              <w:top w:val="single" w:sz="4" w:space="0" w:color="auto"/>
              <w:left w:val="single" w:sz="4" w:space="0" w:color="auto"/>
              <w:bottom w:val="single" w:sz="4" w:space="0" w:color="auto"/>
              <w:right w:val="single" w:sz="4" w:space="0" w:color="auto"/>
            </w:tcBorders>
            <w:shd w:val="clear" w:color="auto" w:fill="FFFFFF"/>
          </w:tcPr>
          <w:p w14:paraId="0426CEC5" w14:textId="77777777"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 xml:space="preserve">Spajanje crnogorskog unutar-dnevnog tržišta sa jedinstvenim evropskim dan-unaprijed tržištem ne očekuje se prije 2028. godine. </w:t>
            </w:r>
          </w:p>
        </w:tc>
      </w:tr>
      <w:tr w:rsidR="00340FAB" w14:paraId="5B1E997F" w14:textId="77777777" w:rsidTr="0034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7AA42CD" w14:textId="2C6060A6" w:rsidR="00340FAB" w:rsidRPr="00EF1350" w:rsidRDefault="00340FAB" w:rsidP="00EF1350">
            <w:pPr>
              <w:jc w:val="both"/>
              <w:rPr>
                <w:lang w:val="sr-Latn-RS"/>
              </w:rPr>
            </w:pPr>
            <w:r>
              <w:rPr>
                <w:lang w:val="sr-Latn-RS"/>
              </w:rPr>
              <w:t>56</w:t>
            </w:r>
          </w:p>
        </w:tc>
        <w:tc>
          <w:tcPr>
            <w:tcW w:w="8042" w:type="dxa"/>
            <w:tcBorders>
              <w:top w:val="single" w:sz="4" w:space="0" w:color="auto"/>
              <w:left w:val="single" w:sz="4" w:space="0" w:color="auto"/>
              <w:bottom w:val="single" w:sz="4" w:space="0" w:color="auto"/>
              <w:right w:val="single" w:sz="4" w:space="0" w:color="auto"/>
            </w:tcBorders>
            <w:shd w:val="clear" w:color="auto" w:fill="FFFFFF"/>
          </w:tcPr>
          <w:p w14:paraId="192BE1DF" w14:textId="06C0A5EE"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Potvrda o nekažnjavanju – Ako je ovlašćeni zastupnik (nije izvršni direktor, već samo kolektivno odgovoran ovlašćeni zastupnik) strani državljanin (sa prebivalištem u inostranstvu) i nema privremeni boravak u Crnoj Gori, da li je potrebno pribaviti potvrdu o neosuđivanosti od Ministarstva pravde Crne Gore, ili je dovoljna/obavezna potvrda iz države prebivališta/državljanstva (ili oba)?</w:t>
            </w:r>
          </w:p>
        </w:tc>
        <w:tc>
          <w:tcPr>
            <w:tcW w:w="4346" w:type="dxa"/>
            <w:tcBorders>
              <w:top w:val="single" w:sz="4" w:space="0" w:color="auto"/>
              <w:left w:val="single" w:sz="4" w:space="0" w:color="auto"/>
              <w:bottom w:val="single" w:sz="4" w:space="0" w:color="auto"/>
              <w:right w:val="single" w:sz="4" w:space="0" w:color="auto"/>
            </w:tcBorders>
            <w:shd w:val="clear" w:color="auto" w:fill="FFFFFF"/>
          </w:tcPr>
          <w:p w14:paraId="4384DCFC" w14:textId="764C7831"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U skladu sa članom 2.1.2, dokazi se dosatvljaju samo za zakonskog zastupnika. U skladu sa članom 24 Zakona o privrednim društvima zakonski zastupnici društva, u skladu sa ovim zakonom, su izvršni direktor ili predsjednik upravnog odbora kod akcionarskog društva i društva sa ograničenom odgovornošću.</w:t>
            </w:r>
          </w:p>
        </w:tc>
      </w:tr>
      <w:tr w:rsidR="00340FAB" w14:paraId="1ECB9E22" w14:textId="77777777" w:rsidTr="0034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354B507" w14:textId="2E61A0F6" w:rsidR="00340FAB" w:rsidRPr="00EF1350" w:rsidRDefault="00340FAB" w:rsidP="00EF1350">
            <w:pPr>
              <w:jc w:val="both"/>
              <w:rPr>
                <w:lang w:val="sr-Latn-RS"/>
              </w:rPr>
            </w:pPr>
            <w:r>
              <w:rPr>
                <w:lang w:val="sr-Latn-RS"/>
              </w:rPr>
              <w:lastRenderedPageBreak/>
              <w:t>57</w:t>
            </w:r>
          </w:p>
        </w:tc>
        <w:tc>
          <w:tcPr>
            <w:tcW w:w="8042" w:type="dxa"/>
            <w:tcBorders>
              <w:top w:val="single" w:sz="4" w:space="0" w:color="auto"/>
              <w:left w:val="single" w:sz="4" w:space="0" w:color="auto"/>
              <w:bottom w:val="single" w:sz="4" w:space="0" w:color="auto"/>
              <w:right w:val="single" w:sz="4" w:space="0" w:color="auto"/>
            </w:tcBorders>
            <w:shd w:val="clear" w:color="auto" w:fill="FFFFFF"/>
          </w:tcPr>
          <w:p w14:paraId="3FF370D5" w14:textId="49D173CF"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Da li sve 4 koverte (uključujući i petu, u kojoj će biti stavljene pomenute 4), mogu biti zalijepljene selotejp trakom i pečatirane pečatom učesnika aukcije?</w:t>
            </w:r>
          </w:p>
        </w:tc>
        <w:tc>
          <w:tcPr>
            <w:tcW w:w="4346" w:type="dxa"/>
            <w:tcBorders>
              <w:top w:val="single" w:sz="4" w:space="0" w:color="auto"/>
              <w:left w:val="single" w:sz="4" w:space="0" w:color="auto"/>
              <w:bottom w:val="single" w:sz="4" w:space="0" w:color="auto"/>
              <w:right w:val="single" w:sz="4" w:space="0" w:color="auto"/>
            </w:tcBorders>
            <w:shd w:val="clear" w:color="auto" w:fill="FFFFFF"/>
          </w:tcPr>
          <w:p w14:paraId="0508961A" w14:textId="77777777"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 xml:space="preserve">Da. Napominjemo da se Ponuda dostavlja u zatvorenom omotu. Na omotu velikim štampanim slovima piše: </w:t>
            </w:r>
          </w:p>
          <w:p w14:paraId="35731858" w14:textId="77777777"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 xml:space="preserve">• ’’PONUDA ZA UČESTVOVANJE U POSTUPKU AUKCIJE ZA DODJELU PRAVA NA TRŽIŠNU PREMIJU ZA SOLARNE ELEKTRANE ZA NEODREĐENE LOKACIJE; </w:t>
            </w:r>
          </w:p>
          <w:p w14:paraId="1B79CAF4" w14:textId="32C7C4CA"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 xml:space="preserve">• Naziv, email adresa i adresa sedišta ponuđača;  Adresa Ministarstva kako je navedeno u poglavlju 2.1. ovoga Uputstva </w:t>
            </w:r>
          </w:p>
          <w:p w14:paraId="793C7118" w14:textId="2A6BA418"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Upozorenje "NE OTVARATI OSIM U PRISUSTVU KOMISIJE ZA SPROVOĐENJE POSTUPKA AUKCIJE"</w:t>
            </w:r>
          </w:p>
        </w:tc>
      </w:tr>
      <w:tr w:rsidR="00340FAB" w14:paraId="7291AE02" w14:textId="77777777" w:rsidTr="0034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C5906DD" w14:textId="3A00EA57" w:rsidR="00340FAB" w:rsidRPr="00EF1350" w:rsidRDefault="00340FAB" w:rsidP="00EF1350">
            <w:pPr>
              <w:jc w:val="both"/>
              <w:rPr>
                <w:lang w:val="sr-Latn-RS"/>
              </w:rPr>
            </w:pPr>
            <w:r>
              <w:rPr>
                <w:lang w:val="sr-Latn-RS"/>
              </w:rPr>
              <w:t>58</w:t>
            </w:r>
          </w:p>
        </w:tc>
        <w:tc>
          <w:tcPr>
            <w:tcW w:w="8042" w:type="dxa"/>
            <w:tcBorders>
              <w:top w:val="single" w:sz="4" w:space="0" w:color="auto"/>
              <w:left w:val="single" w:sz="4" w:space="0" w:color="auto"/>
              <w:bottom w:val="single" w:sz="4" w:space="0" w:color="auto"/>
              <w:right w:val="single" w:sz="4" w:space="0" w:color="auto"/>
            </w:tcBorders>
            <w:shd w:val="clear" w:color="auto" w:fill="FFFFFF"/>
          </w:tcPr>
          <w:p w14:paraId="047E2DEF" w14:textId="63B18570"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Ukoliko društvo sa ograničenom odgovornošću, koje je učesnik aukcije, ima formiran Odbor direktora kao organ upravljanja, da li se za članove istog (koji su strani državljani i nemaju prijavljen boravak u Crnoj Gori), mora dostaviti uvjerenje o neosudjivanosti?</w:t>
            </w:r>
          </w:p>
        </w:tc>
        <w:tc>
          <w:tcPr>
            <w:tcW w:w="4346" w:type="dxa"/>
            <w:tcBorders>
              <w:top w:val="single" w:sz="4" w:space="0" w:color="auto"/>
              <w:left w:val="single" w:sz="4" w:space="0" w:color="auto"/>
              <w:bottom w:val="single" w:sz="4" w:space="0" w:color="auto"/>
              <w:right w:val="single" w:sz="4" w:space="0" w:color="auto"/>
            </w:tcBorders>
            <w:shd w:val="clear" w:color="auto" w:fill="FFFFFF"/>
          </w:tcPr>
          <w:p w14:paraId="41178C18" w14:textId="77777777"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U skladu sa članom 24 Zakona o privrednim društvima zakonski zastupnici društva, u skladu sa ovim zakonom, su izvršni direktor ili predsjednik upravnog odbora kod akcionarskog društva i društva sa ograničenom odgovornošću.</w:t>
            </w:r>
          </w:p>
          <w:p w14:paraId="3F664963" w14:textId="77777777"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U vezi sa tim, au skladu sa članom 2.1.2, stav 2 Uputstva za ponuđače, Komisija će ukoliko je izvršni direktor ili predsjednik upravnog odbora strani državljanin prihvatiti uvjerenja izdata od strane nadležnog organa u državi čije je to lice, ovde predsjednik odbora direktora, državljanin ili rezident. Za to ovlašćeno lice neophodno je takođe dostaviti i kopiju važećeg pasoša.</w:t>
            </w:r>
          </w:p>
          <w:p w14:paraId="77B4EA69" w14:textId="521A3E8B"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 xml:space="preserve">Komisija će uvidom u dostavljeni lični dokument tog zastupnika dostavljen u </w:t>
            </w:r>
            <w:r w:rsidRPr="00243C6E">
              <w:rPr>
                <w:rFonts w:ascii="Verdana" w:hAnsi="Verdana"/>
                <w:sz w:val="20"/>
                <w:szCs w:val="20"/>
                <w:lang w:val="sr-Latn-RS"/>
              </w:rPr>
              <w:lastRenderedPageBreak/>
              <w:t>okviru ponude utvrditi državljanstvo člana odbora direktora. Ukoliko je potvrda izdata u drugoj državi po osnovu rezidentnosti, učesnik aukcije je dužan da dostavi i dokaz o rezidentnosti člana odbora direktora u toj državi.</w:t>
            </w:r>
          </w:p>
        </w:tc>
      </w:tr>
      <w:tr w:rsidR="00340FAB" w14:paraId="1E6378E6" w14:textId="77777777" w:rsidTr="0034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E989CF5" w14:textId="1A7183EA" w:rsidR="00340FAB" w:rsidRPr="00EF1350" w:rsidRDefault="00340FAB" w:rsidP="00EF1350">
            <w:pPr>
              <w:jc w:val="both"/>
              <w:rPr>
                <w:lang w:val="sr-Latn-RS"/>
              </w:rPr>
            </w:pPr>
            <w:r>
              <w:rPr>
                <w:lang w:val="sr-Latn-RS"/>
              </w:rPr>
              <w:lastRenderedPageBreak/>
              <w:t>59</w:t>
            </w:r>
          </w:p>
        </w:tc>
        <w:tc>
          <w:tcPr>
            <w:tcW w:w="8042" w:type="dxa"/>
            <w:tcBorders>
              <w:top w:val="single" w:sz="4" w:space="0" w:color="auto"/>
              <w:left w:val="single" w:sz="4" w:space="0" w:color="auto"/>
              <w:bottom w:val="single" w:sz="4" w:space="0" w:color="auto"/>
              <w:right w:val="single" w:sz="4" w:space="0" w:color="auto"/>
            </w:tcBorders>
            <w:shd w:val="clear" w:color="auto" w:fill="FFFFFF"/>
          </w:tcPr>
          <w:p w14:paraId="59CD8A45" w14:textId="6E690959"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Da li se dokazi u vezi sa prostorno-planskom osnovom za izgradnju elektrane i infrastrukture za prikljucenje na elektroenergetski sistem, te u vezi sa mogucnostima prikljucenja elektrane na pomenuti sistem, trebaju dostaviti u obicnoj ili ovjerenoj kopiji?</w:t>
            </w:r>
          </w:p>
        </w:tc>
        <w:tc>
          <w:tcPr>
            <w:tcW w:w="4346" w:type="dxa"/>
            <w:tcBorders>
              <w:top w:val="single" w:sz="4" w:space="0" w:color="auto"/>
              <w:left w:val="single" w:sz="4" w:space="0" w:color="auto"/>
              <w:bottom w:val="single" w:sz="4" w:space="0" w:color="auto"/>
              <w:right w:val="single" w:sz="4" w:space="0" w:color="auto"/>
            </w:tcBorders>
            <w:shd w:val="clear" w:color="auto" w:fill="FFFFFF"/>
          </w:tcPr>
          <w:p w14:paraId="3D3E6989" w14:textId="57FF37C4" w:rsidR="00340FAB" w:rsidRPr="00243C6E" w:rsidRDefault="00340FAB" w:rsidP="00243C6E">
            <w:pPr>
              <w:jc w:val="both"/>
              <w:rPr>
                <w:rFonts w:ascii="Verdana" w:hAnsi="Verdana"/>
                <w:sz w:val="20"/>
                <w:szCs w:val="20"/>
                <w:lang w:val="sr-Latn-RS"/>
              </w:rPr>
            </w:pPr>
            <w:r w:rsidRPr="00243C6E">
              <w:rPr>
                <w:rFonts w:ascii="Verdana" w:hAnsi="Verdana"/>
                <w:sz w:val="20"/>
                <w:szCs w:val="20"/>
              </w:rPr>
              <w:t xml:space="preserve">Neophodna je ovjerena kopija ili original. </w:t>
            </w:r>
          </w:p>
        </w:tc>
      </w:tr>
      <w:tr w:rsidR="00340FAB" w14:paraId="7F440387" w14:textId="77777777" w:rsidTr="0034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DF16C1B" w14:textId="61BBA675" w:rsidR="00340FAB" w:rsidRPr="00EF1350" w:rsidRDefault="00340FAB" w:rsidP="00723852">
            <w:pPr>
              <w:jc w:val="both"/>
              <w:rPr>
                <w:lang w:val="sr-Latn-RS"/>
              </w:rPr>
            </w:pPr>
            <w:r>
              <w:rPr>
                <w:lang w:val="sr-Latn-RS"/>
              </w:rPr>
              <w:t>60</w:t>
            </w:r>
          </w:p>
        </w:tc>
        <w:tc>
          <w:tcPr>
            <w:tcW w:w="8042" w:type="dxa"/>
            <w:tcBorders>
              <w:top w:val="single" w:sz="4" w:space="0" w:color="auto"/>
              <w:left w:val="single" w:sz="4" w:space="0" w:color="auto"/>
              <w:bottom w:val="single" w:sz="4" w:space="0" w:color="auto"/>
              <w:right w:val="single" w:sz="4" w:space="0" w:color="auto"/>
            </w:tcBorders>
            <w:shd w:val="clear" w:color="auto" w:fill="FFFFFF"/>
          </w:tcPr>
          <w:p w14:paraId="5268B75E" w14:textId="4FCA4622"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Ukoliko ponudjaci na aukciji, koji prodju i dobiju status privremenog povlascenog proizvodjaca, ponude razlicite cijene, da li se ugovor sa njima potpisuje na neku jedinstvenu cijenu, ili se potpisuje sa svakim na onu cijenu sa kojom su aplicirali i naveli u dokumentaciji prilikom prijave?</w:t>
            </w:r>
          </w:p>
        </w:tc>
        <w:tc>
          <w:tcPr>
            <w:tcW w:w="4346" w:type="dxa"/>
            <w:tcBorders>
              <w:top w:val="single" w:sz="4" w:space="0" w:color="auto"/>
              <w:left w:val="single" w:sz="4" w:space="0" w:color="auto"/>
              <w:bottom w:val="single" w:sz="4" w:space="0" w:color="auto"/>
              <w:right w:val="single" w:sz="4" w:space="0" w:color="auto"/>
            </w:tcBorders>
            <w:shd w:val="clear" w:color="auto" w:fill="FFFFFF"/>
          </w:tcPr>
          <w:p w14:paraId="164F678B" w14:textId="49DFAF21" w:rsidR="00340FAB" w:rsidRPr="00243C6E" w:rsidRDefault="00340FAB" w:rsidP="00243C6E">
            <w:pPr>
              <w:jc w:val="both"/>
              <w:rPr>
                <w:rFonts w:ascii="Verdana" w:hAnsi="Verdana"/>
                <w:sz w:val="20"/>
                <w:szCs w:val="20"/>
                <w:lang w:val="sr-Latn-RS"/>
              </w:rPr>
            </w:pPr>
            <w:r w:rsidRPr="00243C6E">
              <w:rPr>
                <w:rFonts w:ascii="Verdana" w:hAnsi="Verdana"/>
                <w:sz w:val="20"/>
                <w:szCs w:val="20"/>
                <w:lang w:val="sr-Latn-RS"/>
              </w:rPr>
              <w:t>Ugovor o tržišnoj premiji zaključuje sa svakim privremenim povlašćenim proizvođačem za cenu koju je taj proizvođač ponudio u okviru svoje finansijske ponude na aukciji, a koja je kao takva deo rešenja o sticanju privremenog povlašćenog statusa.</w:t>
            </w:r>
          </w:p>
        </w:tc>
      </w:tr>
      <w:tr w:rsidR="00340FAB" w14:paraId="78BA5F80" w14:textId="77777777" w:rsidTr="0034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3A804F6" w14:textId="195EDCF3" w:rsidR="00340FAB" w:rsidRPr="00853136" w:rsidRDefault="00340FAB" w:rsidP="008C77B6">
            <w:pPr>
              <w:jc w:val="both"/>
            </w:pPr>
            <w:r>
              <w:t>61</w:t>
            </w:r>
          </w:p>
        </w:tc>
        <w:tc>
          <w:tcPr>
            <w:tcW w:w="8042" w:type="dxa"/>
            <w:tcBorders>
              <w:top w:val="single" w:sz="4" w:space="0" w:color="auto"/>
              <w:left w:val="single" w:sz="4" w:space="0" w:color="auto"/>
              <w:bottom w:val="single" w:sz="4" w:space="0" w:color="auto"/>
              <w:right w:val="single" w:sz="4" w:space="0" w:color="auto"/>
            </w:tcBorders>
            <w:shd w:val="clear" w:color="auto" w:fill="FFFFFF"/>
          </w:tcPr>
          <w:p w14:paraId="5B6015EB" w14:textId="51CD14E9" w:rsidR="00340FAB" w:rsidRPr="00243C6E" w:rsidRDefault="00340FAB" w:rsidP="00243C6E">
            <w:pPr>
              <w:jc w:val="both"/>
              <w:rPr>
                <w:rFonts w:ascii="Verdana" w:hAnsi="Verdana"/>
                <w:sz w:val="20"/>
                <w:szCs w:val="20"/>
                <w:lang w:val="sr-Latn-RS"/>
              </w:rPr>
            </w:pPr>
            <w:r w:rsidRPr="00243C6E">
              <w:rPr>
                <w:rFonts w:ascii="Verdana" w:hAnsi="Verdana"/>
                <w:sz w:val="20"/>
                <w:szCs w:val="20"/>
              </w:rPr>
              <w:t>Dobili smo informaciju iz Privrednog suda da više ne izdaju potvrde da protiv ponuđača nije pokrenut postupak likvidacije. S druge strane, u CRPS-u nisu u mogućnosti da izdaju potvrdu u kojoj bi se eksplicitno navelo da društvo nije u likvidaciji. Molimo da pojasnite na koji način da pribavimo odgovarajući dokaz.</w:t>
            </w:r>
          </w:p>
        </w:tc>
        <w:tc>
          <w:tcPr>
            <w:tcW w:w="4346" w:type="dxa"/>
            <w:tcBorders>
              <w:top w:val="single" w:sz="4" w:space="0" w:color="auto"/>
              <w:left w:val="single" w:sz="4" w:space="0" w:color="auto"/>
              <w:bottom w:val="single" w:sz="4" w:space="0" w:color="auto"/>
              <w:right w:val="single" w:sz="4" w:space="0" w:color="auto"/>
            </w:tcBorders>
            <w:shd w:val="clear" w:color="auto" w:fill="FFFFFF"/>
          </w:tcPr>
          <w:p w14:paraId="1035BDAD" w14:textId="6D8E902E" w:rsidR="00340FAB" w:rsidRPr="00243C6E" w:rsidRDefault="00340FAB" w:rsidP="00243C6E">
            <w:pPr>
              <w:jc w:val="both"/>
              <w:rPr>
                <w:rFonts w:ascii="Verdana" w:hAnsi="Verdana"/>
                <w:sz w:val="20"/>
                <w:szCs w:val="20"/>
                <w:lang w:val="sr-Latn-RS"/>
              </w:rPr>
            </w:pPr>
            <w:r w:rsidRPr="00243C6E">
              <w:rPr>
                <w:rFonts w:ascii="Verdana" w:hAnsi="Verdana"/>
                <w:sz w:val="20"/>
                <w:szCs w:val="20"/>
              </w:rPr>
              <w:t>U tom slučaju, dostavlja se samo izvod iz CRPS-a</w:t>
            </w:r>
            <w:r w:rsidR="00DD02BE">
              <w:rPr>
                <w:rFonts w:ascii="Verdana" w:hAnsi="Verdana"/>
                <w:sz w:val="20"/>
                <w:szCs w:val="20"/>
              </w:rPr>
              <w:t xml:space="preserve"> da je pravno lice aktivno. </w:t>
            </w:r>
          </w:p>
        </w:tc>
      </w:tr>
      <w:tr w:rsidR="00340FAB" w14:paraId="15F0874D" w14:textId="77777777" w:rsidTr="0034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49D5160" w14:textId="62D64D80" w:rsidR="00340FAB" w:rsidRPr="0040009B" w:rsidRDefault="00340FAB" w:rsidP="008C77B6">
            <w:pPr>
              <w:jc w:val="both"/>
            </w:pPr>
            <w:r>
              <w:t>62</w:t>
            </w:r>
          </w:p>
        </w:tc>
        <w:tc>
          <w:tcPr>
            <w:tcW w:w="8042" w:type="dxa"/>
            <w:tcBorders>
              <w:top w:val="single" w:sz="4" w:space="0" w:color="auto"/>
              <w:left w:val="single" w:sz="4" w:space="0" w:color="auto"/>
              <w:bottom w:val="single" w:sz="4" w:space="0" w:color="auto"/>
              <w:right w:val="single" w:sz="4" w:space="0" w:color="auto"/>
            </w:tcBorders>
            <w:shd w:val="clear" w:color="auto" w:fill="FFFFFF"/>
          </w:tcPr>
          <w:p w14:paraId="5EC4FDFB" w14:textId="1FD334CD" w:rsidR="00340FAB" w:rsidRPr="00243C6E" w:rsidRDefault="00340FAB" w:rsidP="00243C6E">
            <w:pPr>
              <w:jc w:val="both"/>
              <w:rPr>
                <w:rFonts w:ascii="Verdana" w:hAnsi="Verdana"/>
                <w:sz w:val="20"/>
                <w:szCs w:val="20"/>
                <w:lang w:val="sr-Latn-RS"/>
              </w:rPr>
            </w:pPr>
            <w:r w:rsidRPr="00243C6E">
              <w:rPr>
                <w:rFonts w:ascii="Verdana" w:hAnsi="Verdana"/>
                <w:sz w:val="20"/>
                <w:szCs w:val="20"/>
              </w:rPr>
              <w:t>Razumemo da USB mora da bude dostavljen u tehnički zaštićenom obliku koji onemogućava dalje izmene sadržaja i podataka koji se nalaze na njemu. Međutim, na tržištu su dostupni uglavnom uređaji koji funkcionišu na principu enkripcije i za koje je potreban deo koda od dve različite strane kako bi im se pristupilo. Molimo vas da, ukoliko ste upoznati sa nekim konkretnim modelom koji bi bio prikladan za svrhe aukcije, date svoju preporuku.</w:t>
            </w:r>
          </w:p>
        </w:tc>
        <w:tc>
          <w:tcPr>
            <w:tcW w:w="4346" w:type="dxa"/>
            <w:tcBorders>
              <w:top w:val="single" w:sz="4" w:space="0" w:color="auto"/>
              <w:left w:val="single" w:sz="4" w:space="0" w:color="auto"/>
              <w:bottom w:val="single" w:sz="4" w:space="0" w:color="auto"/>
              <w:right w:val="single" w:sz="4" w:space="0" w:color="auto"/>
            </w:tcBorders>
            <w:shd w:val="clear" w:color="auto" w:fill="FFFFFF"/>
          </w:tcPr>
          <w:p w14:paraId="4650699D" w14:textId="0802C5C1" w:rsidR="00340FAB" w:rsidRPr="00243C6E" w:rsidRDefault="00340FAB" w:rsidP="00243C6E">
            <w:pPr>
              <w:jc w:val="both"/>
              <w:rPr>
                <w:rFonts w:ascii="Verdana" w:hAnsi="Verdana"/>
                <w:sz w:val="20"/>
                <w:szCs w:val="20"/>
                <w:lang w:val="sr-Latn-RS"/>
              </w:rPr>
            </w:pPr>
            <w:r w:rsidRPr="00243C6E">
              <w:rPr>
                <w:rFonts w:ascii="Verdana" w:hAnsi="Verdana"/>
                <w:sz w:val="20"/>
                <w:szCs w:val="20"/>
              </w:rPr>
              <w:t xml:space="preserve">U tom slučaju, može se dostaviti i USB koji nije u tehnički zaštićenom obliku. Prilikom otvaranja ponuda konstatovaće se i sadržaj USB-a u prisustvu učesnika aukcije i kao deo zapisnika o otvaranju ponuda konstatovaće se da li je sva dokumentacija koja je dostavljena u papirnom obliku takođe skenirana i na USB-u i potpisana elektronskim potpisom. </w:t>
            </w:r>
          </w:p>
        </w:tc>
      </w:tr>
      <w:tr w:rsidR="00340FAB" w:rsidRPr="005301B8" w14:paraId="46EF11B1" w14:textId="77777777" w:rsidTr="0034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DE59597" w14:textId="7F3B47E8" w:rsidR="00340FAB" w:rsidRDefault="00340FAB" w:rsidP="008C77B6">
            <w:pPr>
              <w:jc w:val="both"/>
            </w:pPr>
            <w:r>
              <w:lastRenderedPageBreak/>
              <w:t>63</w:t>
            </w:r>
          </w:p>
        </w:tc>
        <w:tc>
          <w:tcPr>
            <w:tcW w:w="8042" w:type="dxa"/>
            <w:tcBorders>
              <w:top w:val="single" w:sz="4" w:space="0" w:color="auto"/>
              <w:left w:val="single" w:sz="4" w:space="0" w:color="auto"/>
              <w:bottom w:val="single" w:sz="4" w:space="0" w:color="auto"/>
              <w:right w:val="single" w:sz="4" w:space="0" w:color="auto"/>
            </w:tcBorders>
            <w:shd w:val="clear" w:color="auto" w:fill="FFFFFF"/>
          </w:tcPr>
          <w:p w14:paraId="5AEFCB39" w14:textId="22478C7E" w:rsidR="00340FAB" w:rsidRPr="00243C6E" w:rsidRDefault="00340FAB" w:rsidP="00243C6E">
            <w:pPr>
              <w:jc w:val="both"/>
              <w:rPr>
                <w:rFonts w:ascii="Verdana" w:hAnsi="Verdana"/>
                <w:sz w:val="20"/>
                <w:szCs w:val="20"/>
              </w:rPr>
            </w:pPr>
            <w:r w:rsidRPr="00243C6E">
              <w:rPr>
                <w:rFonts w:ascii="Verdana" w:hAnsi="Verdana"/>
                <w:sz w:val="20"/>
                <w:szCs w:val="20"/>
              </w:rPr>
              <w:t>U tenderskoj dokumentaciji u tački 4.3 Obaveze Privremenog Povlašćenog proizvođača u podtački 6) navedeno je da je privremeno povlašćeni proizvođač dužan da: “obavjesti Ministarstvo o nastalim promjenama u roku od 15 dana od dana nastanka promjene, ako se promjene podaci o činjenicama ili aktima na osnovu kojih je stečen status privremenog povlašćenog proizvođača i koji su dostavljeni uz ponudu u postupku Aukcije, pri čemu takve promjene ne smeju da utiču na ispunjenost uslova na osnovu kojih je stečen status privremenog povlašćenog proizvođača”.</w:t>
            </w:r>
          </w:p>
          <w:p w14:paraId="3C5436CE" w14:textId="77777777" w:rsidR="00340FAB" w:rsidRPr="00243C6E" w:rsidRDefault="00340FAB" w:rsidP="00243C6E">
            <w:pPr>
              <w:jc w:val="both"/>
              <w:rPr>
                <w:rFonts w:ascii="Verdana" w:hAnsi="Verdana"/>
                <w:sz w:val="20"/>
                <w:szCs w:val="20"/>
              </w:rPr>
            </w:pPr>
            <w:r w:rsidRPr="00243C6E">
              <w:rPr>
                <w:rFonts w:ascii="Verdana" w:hAnsi="Verdana"/>
                <w:sz w:val="20"/>
                <w:szCs w:val="20"/>
              </w:rPr>
              <w:t xml:space="preserve"> S obzirom na činjenicu da su aukcije organizovane za projekte u ranoj fazi razvoja, potpuno je očekivano da nakon sticanja statusa Privremenog povlašćenog proizvodjača, investitori, nakon izrade tehničke dokumentacije izvrše optimizaciju projekta, usled čega može doći do dodavanja određenog broja novih parcela, odnosno odustanka od nekih koje su prethodno izabrane. Pritom, pravo na dodavanje, odnosno oduzimanje katastarskih parcela, a posledično i izmenu urbanističko-tehničkih uslova, je svakako omogućeno Privremenom povlašćenom proizvođaču u skladu sa Tenderskom dokumentacijom kada se investitor odluči da izvrši promene Obavezne snage elektrane u dozvoljenom iznosu od +/-20% kapaciteta.</w:t>
            </w:r>
          </w:p>
          <w:p w14:paraId="1996D730" w14:textId="05C7424C" w:rsidR="00340FAB" w:rsidRPr="00243C6E" w:rsidRDefault="00340FAB" w:rsidP="00243C6E">
            <w:pPr>
              <w:jc w:val="both"/>
              <w:rPr>
                <w:rFonts w:ascii="Verdana" w:hAnsi="Verdana"/>
                <w:sz w:val="20"/>
                <w:szCs w:val="20"/>
              </w:rPr>
            </w:pPr>
            <w:r w:rsidRPr="00243C6E">
              <w:rPr>
                <w:rFonts w:ascii="Verdana" w:hAnsi="Verdana"/>
                <w:sz w:val="20"/>
                <w:szCs w:val="20"/>
              </w:rPr>
              <w:t xml:space="preserve"> Imajući u vidu navedeno, pitanje za komisiju jeste na koji će se način tretirati, nakon statusa Privremenog povlašćenog proizvođača, dodavanje ili oduzimanje katastarskih parcela, a time i izmena urbanističko-tehničkih uslova u procesu optimizacije projekta, ukoliko navedene aktivnosti ne utiču na Obaveznu snagu elektrane, niti na kapacitet za koji je obezbeđena premija?</w:t>
            </w:r>
          </w:p>
        </w:tc>
        <w:tc>
          <w:tcPr>
            <w:tcW w:w="4346" w:type="dxa"/>
            <w:tcBorders>
              <w:top w:val="single" w:sz="4" w:space="0" w:color="auto"/>
              <w:left w:val="single" w:sz="4" w:space="0" w:color="auto"/>
              <w:bottom w:val="single" w:sz="4" w:space="0" w:color="auto"/>
              <w:right w:val="single" w:sz="4" w:space="0" w:color="auto"/>
            </w:tcBorders>
            <w:shd w:val="clear" w:color="auto" w:fill="FFFFFF"/>
          </w:tcPr>
          <w:p w14:paraId="07DC1355" w14:textId="77777777" w:rsidR="00340FAB" w:rsidRPr="00243C6E" w:rsidRDefault="00340FAB" w:rsidP="00243C6E">
            <w:pPr>
              <w:jc w:val="both"/>
              <w:rPr>
                <w:rFonts w:ascii="Verdana" w:hAnsi="Verdana"/>
                <w:sz w:val="20"/>
                <w:szCs w:val="20"/>
              </w:rPr>
            </w:pPr>
            <w:r w:rsidRPr="00243C6E">
              <w:rPr>
                <w:rFonts w:ascii="Verdana" w:hAnsi="Verdana"/>
                <w:sz w:val="20"/>
                <w:szCs w:val="20"/>
              </w:rPr>
              <w:t>Shodno članu 4.3 Uputstva za ponuđače, privremeni povlašćeni proizvođač ima dužnost da obavijesti Ministarstvo o nastalim promjenama u roku od 15 dana od dana nastanka promjene, ako se promjene podaci o činjenicama ili aktima na osnovu kojih je stečen status privremenog povlašćenog proizvođača i koji su dostavljeni uz ponudu u postupku Aukcije, pri čemu takve promjene ne smeju da utiču na ispunjenost uslova na osnovu kojih je stečen status privremenog povlašćenog proizvođača. Na dalje je predviđeno da ako nastale promjene ne utiču na ispunjenost uslova na osnovu kojih je rješenje izdato, Ministarstvo vrši izmjenu rješenja u skladu sa novim podacima.</w:t>
            </w:r>
          </w:p>
          <w:p w14:paraId="20DE5B54" w14:textId="77777777" w:rsidR="00340FAB" w:rsidRPr="00243C6E" w:rsidRDefault="00340FAB" w:rsidP="00243C6E">
            <w:pPr>
              <w:jc w:val="both"/>
              <w:rPr>
                <w:rFonts w:ascii="Verdana" w:hAnsi="Verdana"/>
                <w:sz w:val="20"/>
                <w:szCs w:val="20"/>
              </w:rPr>
            </w:pPr>
            <w:r w:rsidRPr="00243C6E">
              <w:rPr>
                <w:rFonts w:ascii="Verdana" w:hAnsi="Verdana"/>
                <w:sz w:val="20"/>
                <w:szCs w:val="20"/>
              </w:rPr>
              <w:t>Iz citirane obaveze privremenog povlašćenog proizvođača da o nastalim promjenama obavijesti Ministarstvo u roku od 15 dana od nastanka, slijedi i pravo privremenog povlašćenog proizvođača da izvrši izmenu podataka ili akata koje je dostavio uz ponudu u postupku aukcije, ukoliko takve izmene ne utiču na ispunjenost uslova na osnovu kojih je stečen status privremenog povlašćenog proizvođača.</w:t>
            </w:r>
          </w:p>
          <w:p w14:paraId="4ACA1E09" w14:textId="0D6268E1" w:rsidR="00340FAB" w:rsidRPr="00243C6E" w:rsidRDefault="00340FAB" w:rsidP="00243C6E">
            <w:pPr>
              <w:jc w:val="both"/>
              <w:rPr>
                <w:rFonts w:ascii="Verdana" w:hAnsi="Verdana"/>
                <w:sz w:val="20"/>
                <w:szCs w:val="20"/>
              </w:rPr>
            </w:pPr>
            <w:r w:rsidRPr="00243C6E">
              <w:rPr>
                <w:rFonts w:ascii="Verdana" w:hAnsi="Verdana"/>
                <w:sz w:val="20"/>
                <w:szCs w:val="20"/>
              </w:rPr>
              <w:t xml:space="preserve">Izmjene katastarskih parcela na kojima će se graditi projekat privremenog povlašćenog proizvođača za koji je stekao taj status, smatraće se dozvoljenom </w:t>
            </w:r>
            <w:r w:rsidRPr="00243C6E">
              <w:rPr>
                <w:rFonts w:ascii="Verdana" w:hAnsi="Verdana"/>
                <w:sz w:val="20"/>
                <w:szCs w:val="20"/>
              </w:rPr>
              <w:lastRenderedPageBreak/>
              <w:t xml:space="preserve">izmjenom u skladu sa članom 4.3 Uputstva za ponuđače, ukoliko privremeni povlašćeni proizvođač Ministarstvu dostavi dokaz o postojanju planskog osnova za sve parcele (ukljkučujući i nove ukoliko ih ima) na kojima će se graditi elektrana i infrastruktura za priključenje, te je dodavanje novih parcela moguće isključivo i samo onih koje se odnose na parcele potrebne za  priključenje objekta. Na kraju, kako ste i naveli, navedene izmjene podataka i akata na osnovu kojih je stečen status privremenog povlašćenog proizvođača ne smije uticati na Obaveznu snagu elektrane i dozvoljeno odstupanje od +/- 20% kao ni na kapacitet elektrane za koji je dodijeljena tržišna premija. Tj., moguće je odstupanje u smislu umanjenja za 20% u okviru dobijenih UT uslova, dok je povećanje od 20% moguće samo ukoliko je isto prepoznato planskim dokumentom.  </w:t>
            </w:r>
          </w:p>
        </w:tc>
      </w:tr>
      <w:tr w:rsidR="00E3051B" w:rsidRPr="005301B8" w14:paraId="5E4F563B" w14:textId="77777777" w:rsidTr="0034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F6E6AC8" w14:textId="72634978" w:rsidR="00E3051B" w:rsidRDefault="00E3051B" w:rsidP="008C77B6">
            <w:pPr>
              <w:jc w:val="both"/>
            </w:pPr>
            <w:r>
              <w:lastRenderedPageBreak/>
              <w:t>64</w:t>
            </w:r>
          </w:p>
        </w:tc>
        <w:tc>
          <w:tcPr>
            <w:tcW w:w="8042" w:type="dxa"/>
            <w:tcBorders>
              <w:top w:val="single" w:sz="4" w:space="0" w:color="auto"/>
              <w:left w:val="single" w:sz="4" w:space="0" w:color="auto"/>
              <w:bottom w:val="single" w:sz="4" w:space="0" w:color="auto"/>
              <w:right w:val="single" w:sz="4" w:space="0" w:color="auto"/>
            </w:tcBorders>
            <w:shd w:val="clear" w:color="auto" w:fill="FFFFFF"/>
          </w:tcPr>
          <w:p w14:paraId="3A033746" w14:textId="588DA837" w:rsidR="00E3051B" w:rsidRPr="00243C6E" w:rsidRDefault="00E3051B" w:rsidP="00243C6E">
            <w:pPr>
              <w:jc w:val="both"/>
              <w:rPr>
                <w:rFonts w:ascii="Verdana" w:hAnsi="Verdana"/>
                <w:sz w:val="20"/>
                <w:szCs w:val="20"/>
              </w:rPr>
            </w:pPr>
            <w:r w:rsidRPr="00E3051B">
              <w:rPr>
                <w:rFonts w:ascii="Verdana" w:hAnsi="Verdana"/>
                <w:sz w:val="20"/>
                <w:szCs w:val="20"/>
              </w:rPr>
              <w:t xml:space="preserve">Ukoliko ponuđač posjeduje svu potrebnu dokumentaciju za prijavu dvije solarne elektrane, </w:t>
            </w:r>
            <w:proofErr w:type="gramStart"/>
            <w:r w:rsidRPr="00E3051B">
              <w:rPr>
                <w:rFonts w:ascii="Verdana" w:hAnsi="Verdana"/>
                <w:sz w:val="20"/>
                <w:szCs w:val="20"/>
              </w:rPr>
              <w:t>a</w:t>
            </w:r>
            <w:proofErr w:type="gramEnd"/>
            <w:r w:rsidRPr="00E3051B">
              <w:rPr>
                <w:rFonts w:ascii="Verdana" w:hAnsi="Verdana"/>
                <w:sz w:val="20"/>
                <w:szCs w:val="20"/>
              </w:rPr>
              <w:t xml:space="preserve"> ista dokumentacija je izdata na ime istog ponuđača, da li je u tom slučaju potrebno izvršiti otkup tenderske dokumentacije za svaku elektranu posebno, ili je dovoljan jedan otkup tenderske dokumentacije koji važi za obje prijave?</w:t>
            </w:r>
          </w:p>
        </w:tc>
        <w:tc>
          <w:tcPr>
            <w:tcW w:w="4346" w:type="dxa"/>
            <w:tcBorders>
              <w:top w:val="single" w:sz="4" w:space="0" w:color="auto"/>
              <w:left w:val="single" w:sz="4" w:space="0" w:color="auto"/>
              <w:bottom w:val="single" w:sz="4" w:space="0" w:color="auto"/>
              <w:right w:val="single" w:sz="4" w:space="0" w:color="auto"/>
            </w:tcBorders>
            <w:shd w:val="clear" w:color="auto" w:fill="FFFFFF"/>
          </w:tcPr>
          <w:p w14:paraId="286C503F" w14:textId="5658F1AB" w:rsidR="00E3051B" w:rsidRPr="00243C6E" w:rsidRDefault="00E3051B" w:rsidP="00243C6E">
            <w:pPr>
              <w:jc w:val="both"/>
              <w:rPr>
                <w:rFonts w:ascii="Verdana" w:hAnsi="Verdana"/>
                <w:sz w:val="20"/>
                <w:szCs w:val="20"/>
              </w:rPr>
            </w:pPr>
            <w:r w:rsidRPr="00E3051B">
              <w:rPr>
                <w:rFonts w:ascii="Verdana" w:hAnsi="Verdana"/>
                <w:sz w:val="20"/>
                <w:szCs w:val="20"/>
              </w:rPr>
              <w:t>Prijave se odnose na elektrane tj. projekte sa kojima se učsetvuje u aukciji, a ne na učesnika aukcije. Iz tog razloga, ukoliko jedan učesnik aukcije podnosi dve prijave za dve elektrane, dužan je otkupiti Tendersku dokumentaciju dva puta, imajući u vidu da će se obe takve prijave ceniti zasebno, a da je dokaz o otkupu tenderske dokumentacije uslov za podnošenje prijave.</w:t>
            </w:r>
          </w:p>
        </w:tc>
      </w:tr>
      <w:tr w:rsidR="00E3051B" w:rsidRPr="005301B8" w14:paraId="5286F45B" w14:textId="77777777" w:rsidTr="0034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112DB84" w14:textId="5F8BC3FB" w:rsidR="00E3051B" w:rsidRDefault="00E3051B" w:rsidP="008C77B6">
            <w:pPr>
              <w:jc w:val="both"/>
            </w:pPr>
            <w:r>
              <w:lastRenderedPageBreak/>
              <w:t>65</w:t>
            </w:r>
          </w:p>
        </w:tc>
        <w:tc>
          <w:tcPr>
            <w:tcW w:w="8042" w:type="dxa"/>
            <w:tcBorders>
              <w:top w:val="single" w:sz="4" w:space="0" w:color="auto"/>
              <w:left w:val="single" w:sz="4" w:space="0" w:color="auto"/>
              <w:bottom w:val="single" w:sz="4" w:space="0" w:color="auto"/>
              <w:right w:val="single" w:sz="4" w:space="0" w:color="auto"/>
            </w:tcBorders>
            <w:shd w:val="clear" w:color="auto" w:fill="FFFFFF"/>
          </w:tcPr>
          <w:p w14:paraId="3B7C18BE" w14:textId="212C4432" w:rsidR="00E3051B" w:rsidRPr="00E3051B" w:rsidRDefault="00E3051B" w:rsidP="00243C6E">
            <w:pPr>
              <w:jc w:val="both"/>
              <w:rPr>
                <w:rFonts w:ascii="Verdana" w:hAnsi="Verdana"/>
                <w:sz w:val="20"/>
                <w:szCs w:val="20"/>
              </w:rPr>
            </w:pPr>
            <w:r w:rsidRPr="00E3051B">
              <w:rPr>
                <w:rFonts w:ascii="Verdana" w:hAnsi="Verdana"/>
                <w:sz w:val="20"/>
                <w:szCs w:val="20"/>
              </w:rPr>
              <w:t>Da li je ponuđaču dozvoljeno da, prilikom pakovanja tenderske dokumentacije, istu fizički uveže jemstvenikom i zapečati voskom, u cilju zaštite od eventualnog gubitka, oštećenja ili nedostatka dijelova dokumentacije tokom postupka evaluacije ponuda?</w:t>
            </w:r>
          </w:p>
        </w:tc>
        <w:tc>
          <w:tcPr>
            <w:tcW w:w="4346" w:type="dxa"/>
            <w:tcBorders>
              <w:top w:val="single" w:sz="4" w:space="0" w:color="auto"/>
              <w:left w:val="single" w:sz="4" w:space="0" w:color="auto"/>
              <w:bottom w:val="single" w:sz="4" w:space="0" w:color="auto"/>
              <w:right w:val="single" w:sz="4" w:space="0" w:color="auto"/>
            </w:tcBorders>
            <w:shd w:val="clear" w:color="auto" w:fill="FFFFFF"/>
          </w:tcPr>
          <w:p w14:paraId="22CDF6EF" w14:textId="0C4CE313" w:rsidR="00E3051B" w:rsidRPr="00E3051B" w:rsidRDefault="00E3051B" w:rsidP="00243C6E">
            <w:pPr>
              <w:jc w:val="both"/>
              <w:rPr>
                <w:rFonts w:ascii="Verdana" w:hAnsi="Verdana"/>
                <w:sz w:val="20"/>
                <w:szCs w:val="20"/>
              </w:rPr>
            </w:pPr>
            <w:r w:rsidRPr="00E3051B">
              <w:rPr>
                <w:rFonts w:ascii="Verdana" w:hAnsi="Verdana"/>
                <w:sz w:val="20"/>
                <w:szCs w:val="20"/>
              </w:rPr>
              <w:t>Dokumentacija uz prijavu dostavlja se u zasebnim kovertama kako je predviđeno članom 2.1 Uputstva za ponuđače, i svaka koverta se otvara u prisustvu učesnika aukcije i svaki dokument iz te koverte se beleži u zapisnik koji potpisuju i članovi komisije i predstavnici učesnika aukcije. Ukoliko i pored toga smatrate da postoji rizik od gubitka ili oštećenja, možete uvezati delove ponude jemstvenikom, pri tome vodeći računa koja dokumentacija ide u koju kovertu u skladu sa Uputstvom za ponuđače.</w:t>
            </w:r>
          </w:p>
        </w:tc>
      </w:tr>
      <w:tr w:rsidR="00E3051B" w:rsidRPr="005301B8" w14:paraId="6A530AD8" w14:textId="77777777" w:rsidTr="0034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F6796FE" w14:textId="75C03CF0" w:rsidR="00E3051B" w:rsidRDefault="00E3051B" w:rsidP="008C77B6">
            <w:pPr>
              <w:jc w:val="both"/>
            </w:pPr>
            <w:r>
              <w:t>66</w:t>
            </w:r>
          </w:p>
        </w:tc>
        <w:tc>
          <w:tcPr>
            <w:tcW w:w="8042" w:type="dxa"/>
            <w:tcBorders>
              <w:top w:val="single" w:sz="4" w:space="0" w:color="auto"/>
              <w:left w:val="single" w:sz="4" w:space="0" w:color="auto"/>
              <w:bottom w:val="single" w:sz="4" w:space="0" w:color="auto"/>
              <w:right w:val="single" w:sz="4" w:space="0" w:color="auto"/>
            </w:tcBorders>
            <w:shd w:val="clear" w:color="auto" w:fill="FFFFFF"/>
          </w:tcPr>
          <w:p w14:paraId="64184B30" w14:textId="416596B2" w:rsidR="00E3051B" w:rsidRPr="00E3051B" w:rsidRDefault="00E3051B" w:rsidP="00243C6E">
            <w:pPr>
              <w:jc w:val="both"/>
              <w:rPr>
                <w:rFonts w:ascii="Verdana" w:hAnsi="Verdana"/>
                <w:sz w:val="20"/>
                <w:szCs w:val="20"/>
              </w:rPr>
            </w:pPr>
            <w:r w:rsidRPr="00E3051B">
              <w:rPr>
                <w:rFonts w:ascii="Verdana" w:hAnsi="Verdana"/>
                <w:sz w:val="20"/>
                <w:szCs w:val="20"/>
              </w:rPr>
              <w:t>S obzirom na to da je predmet nabavke sprovođenje aukcije, molimo za pojašnjenje da li se finansijska ponuda dostavljena uz tendersku dokumentaciju smatra konačnom, ili će se nakon kvalifikacije ponuđača (tj. nakon prve i druge faze evaluacije) sprovesti elektronska aukcija u okviru koje ponuđači mogu korigovati svoje cijene u odnosu na prvobitno dostavljenu ponudu?</w:t>
            </w:r>
          </w:p>
        </w:tc>
        <w:tc>
          <w:tcPr>
            <w:tcW w:w="4346" w:type="dxa"/>
            <w:tcBorders>
              <w:top w:val="single" w:sz="4" w:space="0" w:color="auto"/>
              <w:left w:val="single" w:sz="4" w:space="0" w:color="auto"/>
              <w:bottom w:val="single" w:sz="4" w:space="0" w:color="auto"/>
              <w:right w:val="single" w:sz="4" w:space="0" w:color="auto"/>
            </w:tcBorders>
            <w:shd w:val="clear" w:color="auto" w:fill="FFFFFF"/>
          </w:tcPr>
          <w:p w14:paraId="13096421" w14:textId="314472BF" w:rsidR="00E3051B" w:rsidRDefault="00E3051B" w:rsidP="00243C6E">
            <w:pPr>
              <w:jc w:val="both"/>
              <w:rPr>
                <w:rFonts w:ascii="Verdana" w:hAnsi="Verdana"/>
                <w:sz w:val="20"/>
                <w:szCs w:val="20"/>
              </w:rPr>
            </w:pPr>
            <w:r w:rsidRPr="00E3051B">
              <w:rPr>
                <w:rFonts w:ascii="Verdana" w:hAnsi="Verdana"/>
                <w:sz w:val="20"/>
                <w:szCs w:val="20"/>
              </w:rPr>
              <w:t>Finansijska ponuda dostavljena uz ponudu je konačna i nije podložna daljim izmenama</w:t>
            </w:r>
          </w:p>
          <w:p w14:paraId="3CF48673" w14:textId="77777777" w:rsidR="00E3051B" w:rsidRPr="00E3051B" w:rsidRDefault="00E3051B" w:rsidP="00E3051B">
            <w:pPr>
              <w:rPr>
                <w:rFonts w:ascii="Verdana" w:hAnsi="Verdana"/>
                <w:sz w:val="20"/>
                <w:szCs w:val="20"/>
              </w:rPr>
            </w:pPr>
          </w:p>
        </w:tc>
      </w:tr>
    </w:tbl>
    <w:p w14:paraId="02917CE2" w14:textId="22709B7B" w:rsidR="003B1783" w:rsidRDefault="003B1783"/>
    <w:p w14:paraId="55098C0F" w14:textId="77777777" w:rsidR="003B1783" w:rsidRDefault="003B1783"/>
    <w:p w14:paraId="0A2C72B5" w14:textId="66395282" w:rsidR="003B1783" w:rsidRDefault="003B1783"/>
    <w:p w14:paraId="2AB1A873" w14:textId="7C980D0E" w:rsidR="003B1783" w:rsidRDefault="003B1783"/>
    <w:p w14:paraId="7039C4A6" w14:textId="77777777" w:rsidR="003B1783" w:rsidRDefault="003B1783"/>
    <w:sectPr w:rsidR="003B1783" w:rsidSect="003B1783">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359B0" w14:textId="77777777" w:rsidR="0025774F" w:rsidRDefault="0025774F" w:rsidP="00502850">
      <w:pPr>
        <w:spacing w:after="0" w:line="240" w:lineRule="auto"/>
      </w:pPr>
      <w:r>
        <w:separator/>
      </w:r>
    </w:p>
  </w:endnote>
  <w:endnote w:type="continuationSeparator" w:id="0">
    <w:p w14:paraId="4562E1F7" w14:textId="77777777" w:rsidR="0025774F" w:rsidRDefault="0025774F" w:rsidP="0050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1972364"/>
      <w:docPartObj>
        <w:docPartGallery w:val="Page Numbers (Bottom of Page)"/>
        <w:docPartUnique/>
      </w:docPartObj>
    </w:sdtPr>
    <w:sdtEndPr>
      <w:rPr>
        <w:noProof/>
      </w:rPr>
    </w:sdtEndPr>
    <w:sdtContent>
      <w:p w14:paraId="65CDF078" w14:textId="14B5E3A2" w:rsidR="00502850" w:rsidRDefault="00502850">
        <w:pPr>
          <w:pStyle w:val="Footer"/>
        </w:pPr>
        <w:r>
          <w:fldChar w:fldCharType="begin"/>
        </w:r>
        <w:r>
          <w:instrText xml:space="preserve"> PAGE   \* MERGEFORMAT </w:instrText>
        </w:r>
        <w:r>
          <w:fldChar w:fldCharType="separate"/>
        </w:r>
        <w:r>
          <w:rPr>
            <w:noProof/>
          </w:rPr>
          <w:t>2</w:t>
        </w:r>
        <w:r>
          <w:rPr>
            <w:noProof/>
          </w:rPr>
          <w:fldChar w:fldCharType="end"/>
        </w:r>
      </w:p>
    </w:sdtContent>
  </w:sdt>
  <w:p w14:paraId="6DD23ACD" w14:textId="77777777" w:rsidR="00502850" w:rsidRDefault="00502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1377D" w14:textId="77777777" w:rsidR="0025774F" w:rsidRDefault="0025774F" w:rsidP="00502850">
      <w:pPr>
        <w:spacing w:after="0" w:line="240" w:lineRule="auto"/>
      </w:pPr>
      <w:r>
        <w:separator/>
      </w:r>
    </w:p>
  </w:footnote>
  <w:footnote w:type="continuationSeparator" w:id="0">
    <w:p w14:paraId="190779E3" w14:textId="77777777" w:rsidR="0025774F" w:rsidRDefault="0025774F" w:rsidP="00502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D1753"/>
    <w:multiLevelType w:val="hybridMultilevel"/>
    <w:tmpl w:val="249E42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BD"/>
    <w:rsid w:val="000103FD"/>
    <w:rsid w:val="000761A5"/>
    <w:rsid w:val="001D5D62"/>
    <w:rsid w:val="00203113"/>
    <w:rsid w:val="00243C6E"/>
    <w:rsid w:val="0025774F"/>
    <w:rsid w:val="00287125"/>
    <w:rsid w:val="002B06A6"/>
    <w:rsid w:val="003126A7"/>
    <w:rsid w:val="003278A7"/>
    <w:rsid w:val="00337714"/>
    <w:rsid w:val="00340FAB"/>
    <w:rsid w:val="00341E5C"/>
    <w:rsid w:val="003B1783"/>
    <w:rsid w:val="00436725"/>
    <w:rsid w:val="004644DD"/>
    <w:rsid w:val="00500775"/>
    <w:rsid w:val="00502850"/>
    <w:rsid w:val="005301B8"/>
    <w:rsid w:val="005C6DF2"/>
    <w:rsid w:val="00716A09"/>
    <w:rsid w:val="00723852"/>
    <w:rsid w:val="008C77B6"/>
    <w:rsid w:val="008E7EFD"/>
    <w:rsid w:val="00990592"/>
    <w:rsid w:val="009F06C4"/>
    <w:rsid w:val="00A55C7F"/>
    <w:rsid w:val="00BA019E"/>
    <w:rsid w:val="00C30338"/>
    <w:rsid w:val="00C55B70"/>
    <w:rsid w:val="00CD5C1F"/>
    <w:rsid w:val="00D57B1F"/>
    <w:rsid w:val="00D62727"/>
    <w:rsid w:val="00D73176"/>
    <w:rsid w:val="00DD02BE"/>
    <w:rsid w:val="00DE6CBD"/>
    <w:rsid w:val="00E02AD2"/>
    <w:rsid w:val="00E1369D"/>
    <w:rsid w:val="00E3051B"/>
    <w:rsid w:val="00E44C42"/>
    <w:rsid w:val="00EA592A"/>
    <w:rsid w:val="00EF1350"/>
    <w:rsid w:val="00F8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DF89"/>
  <w15:chartTrackingRefBased/>
  <w15:docId w15:val="{79E1C3DA-C94A-4219-A0A1-9ABC0495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0592"/>
    <w:pPr>
      <w:ind w:left="720"/>
      <w:contextualSpacing/>
    </w:pPr>
    <w:rPr>
      <w:lang w:val="en-GB"/>
    </w:rPr>
  </w:style>
  <w:style w:type="paragraph" w:styleId="Header">
    <w:name w:val="header"/>
    <w:basedOn w:val="Normal"/>
    <w:link w:val="HeaderChar"/>
    <w:uiPriority w:val="99"/>
    <w:unhideWhenUsed/>
    <w:rsid w:val="00502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850"/>
  </w:style>
  <w:style w:type="paragraph" w:styleId="Footer">
    <w:name w:val="footer"/>
    <w:basedOn w:val="Normal"/>
    <w:link w:val="FooterChar"/>
    <w:uiPriority w:val="99"/>
    <w:unhideWhenUsed/>
    <w:rsid w:val="00502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DAA5B-0579-43EE-9A3C-FF004374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38</Pages>
  <Words>9981</Words>
  <Characters>56898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vujovic</dc:creator>
  <cp:keywords/>
  <dc:description/>
  <cp:lastModifiedBy>Mia vujovic</cp:lastModifiedBy>
  <cp:revision>25</cp:revision>
  <dcterms:created xsi:type="dcterms:W3CDTF">2025-11-03T08:22:00Z</dcterms:created>
  <dcterms:modified xsi:type="dcterms:W3CDTF">2025-11-05T13:03:00Z</dcterms:modified>
</cp:coreProperties>
</file>