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1B499" w14:textId="77777777" w:rsidR="00DC10AD" w:rsidRPr="003E6974" w:rsidRDefault="00DC10AD" w:rsidP="00DC10AD">
      <w:pPr>
        <w:pStyle w:val="Header"/>
        <w:jc w:val="center"/>
        <w:rPr>
          <w:sz w:val="24"/>
          <w:szCs w:val="24"/>
        </w:rPr>
      </w:pPr>
      <w:r w:rsidRPr="003E6974">
        <w:rPr>
          <w:rFonts w:eastAsia="Times New Roman" w:cstheme="minorHAnsi"/>
          <w:noProof/>
          <w:sz w:val="24"/>
          <w:szCs w:val="24"/>
          <w:lang w:val="en-GB" w:eastAsia="en-GB"/>
        </w:rPr>
        <w:drawing>
          <wp:inline distT="0" distB="0" distL="0" distR="0" wp14:anchorId="0D11D489" wp14:editId="00133A3B">
            <wp:extent cx="819150" cy="866775"/>
            <wp:effectExtent l="0" t="0" r="0" b="9525"/>
            <wp:docPr id="8" name="Picture 8" descr="109533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953393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66775"/>
                    </a:xfrm>
                    <a:prstGeom prst="rect">
                      <a:avLst/>
                    </a:prstGeom>
                    <a:noFill/>
                    <a:ln>
                      <a:noFill/>
                    </a:ln>
                  </pic:spPr>
                </pic:pic>
              </a:graphicData>
            </a:graphic>
          </wp:inline>
        </w:drawing>
      </w:r>
    </w:p>
    <w:p w14:paraId="7A4A1191" w14:textId="77777777" w:rsidR="00DC10AD" w:rsidRPr="00555C8E" w:rsidRDefault="00DC10AD" w:rsidP="00DC10AD">
      <w:pPr>
        <w:pStyle w:val="Header"/>
        <w:jc w:val="center"/>
        <w:rPr>
          <w:rFonts w:ascii="Garamond" w:hAnsi="Garamond"/>
          <w:b/>
          <w:sz w:val="26"/>
          <w:szCs w:val="26"/>
        </w:rPr>
      </w:pPr>
      <w:r w:rsidRPr="00555C8E">
        <w:rPr>
          <w:rFonts w:ascii="Garamond" w:hAnsi="Garamond"/>
          <w:b/>
          <w:sz w:val="26"/>
          <w:szCs w:val="26"/>
        </w:rPr>
        <w:t>Crna Gora</w:t>
      </w:r>
    </w:p>
    <w:p w14:paraId="0690EC87" w14:textId="05F86724" w:rsidR="00DC10AD" w:rsidRPr="00555C8E" w:rsidRDefault="00DC10AD" w:rsidP="00DC10AD">
      <w:pPr>
        <w:pStyle w:val="Header"/>
        <w:jc w:val="center"/>
        <w:rPr>
          <w:rFonts w:ascii="Garamond" w:hAnsi="Garamond"/>
          <w:b/>
          <w:sz w:val="26"/>
          <w:szCs w:val="26"/>
        </w:rPr>
      </w:pPr>
      <w:r w:rsidRPr="00555C8E">
        <w:rPr>
          <w:rFonts w:ascii="Garamond" w:hAnsi="Garamond"/>
          <w:b/>
          <w:sz w:val="26"/>
          <w:szCs w:val="26"/>
        </w:rPr>
        <w:t>Ministarstvo finansija</w:t>
      </w:r>
      <w:r w:rsidR="00800F54" w:rsidRPr="00555C8E">
        <w:rPr>
          <w:rFonts w:ascii="Garamond" w:hAnsi="Garamond"/>
          <w:b/>
          <w:sz w:val="26"/>
          <w:szCs w:val="26"/>
        </w:rPr>
        <w:t xml:space="preserve"> </w:t>
      </w:r>
    </w:p>
    <w:p w14:paraId="00CEAC79" w14:textId="77777777" w:rsidR="00DC10AD" w:rsidRPr="003E6974" w:rsidRDefault="00DC10AD" w:rsidP="00DC10AD">
      <w:pPr>
        <w:jc w:val="center"/>
        <w:rPr>
          <w:rFonts w:ascii="Garamond" w:hAnsi="Garamond"/>
          <w:sz w:val="24"/>
          <w:szCs w:val="24"/>
          <w14:textOutline w14:w="9525" w14:cap="rnd" w14:cmpd="sng" w14:algn="ctr">
            <w14:solidFill>
              <w14:schemeClr w14:val="accent1">
                <w14:lumMod w14:val="75000"/>
              </w14:schemeClr>
            </w14:solidFill>
            <w14:prstDash w14:val="solid"/>
            <w14:bevel/>
          </w14:textOutline>
        </w:rPr>
      </w:pPr>
    </w:p>
    <w:p w14:paraId="13BB3EA1" w14:textId="77777777" w:rsidR="00DC10AD" w:rsidRPr="003E6974" w:rsidRDefault="00DC10AD" w:rsidP="00DC10AD">
      <w:pPr>
        <w:jc w:val="center"/>
        <w:rPr>
          <w:rFonts w:ascii="Garamond" w:hAnsi="Garamond"/>
          <w:sz w:val="24"/>
          <w:szCs w:val="24"/>
          <w14:textOutline w14:w="9525" w14:cap="rnd" w14:cmpd="sng" w14:algn="ctr">
            <w14:solidFill>
              <w14:schemeClr w14:val="accent1">
                <w14:lumMod w14:val="75000"/>
              </w14:schemeClr>
            </w14:solidFill>
            <w14:prstDash w14:val="solid"/>
            <w14:bevel/>
          </w14:textOutline>
        </w:rPr>
      </w:pPr>
    </w:p>
    <w:p w14:paraId="115E6176" w14:textId="77777777" w:rsidR="00DC10AD" w:rsidRPr="003E6974" w:rsidRDefault="00DC10AD" w:rsidP="00DC10AD">
      <w:pPr>
        <w:jc w:val="center"/>
        <w:rPr>
          <w:rFonts w:ascii="Garamond" w:hAnsi="Garamond"/>
          <w:sz w:val="24"/>
          <w:szCs w:val="24"/>
          <w14:textOutline w14:w="9525" w14:cap="rnd" w14:cmpd="sng" w14:algn="ctr">
            <w14:solidFill>
              <w14:schemeClr w14:val="accent1">
                <w14:lumMod w14:val="75000"/>
              </w14:schemeClr>
            </w14:solidFill>
            <w14:prstDash w14:val="solid"/>
            <w14:bevel/>
          </w14:textOutline>
        </w:rPr>
      </w:pPr>
    </w:p>
    <w:p w14:paraId="6CCDA8F8" w14:textId="77777777" w:rsidR="00DC10AD" w:rsidRPr="003E6974" w:rsidRDefault="00DC10AD" w:rsidP="00DC10AD">
      <w:pPr>
        <w:jc w:val="center"/>
        <w:rPr>
          <w:rFonts w:ascii="Garamond" w:hAnsi="Garamond"/>
          <w:sz w:val="24"/>
          <w:szCs w:val="24"/>
          <w14:textOutline w14:w="9525" w14:cap="rnd" w14:cmpd="sng" w14:algn="ctr">
            <w14:solidFill>
              <w14:schemeClr w14:val="accent1">
                <w14:lumMod w14:val="75000"/>
              </w14:schemeClr>
            </w14:solidFill>
            <w14:prstDash w14:val="solid"/>
            <w14:bevel/>
          </w14:textOutline>
        </w:rPr>
      </w:pPr>
    </w:p>
    <w:p w14:paraId="28D82406" w14:textId="77777777" w:rsidR="00DC10AD" w:rsidRPr="003E6974" w:rsidRDefault="00DC10AD" w:rsidP="00DC10AD">
      <w:pPr>
        <w:jc w:val="center"/>
        <w:rPr>
          <w:rFonts w:ascii="Garamond" w:hAnsi="Garamond"/>
          <w:sz w:val="24"/>
          <w:szCs w:val="24"/>
          <w14:textOutline w14:w="9525" w14:cap="rnd" w14:cmpd="sng" w14:algn="ctr">
            <w14:solidFill>
              <w14:schemeClr w14:val="accent1">
                <w14:lumMod w14:val="75000"/>
              </w14:schemeClr>
            </w14:solidFill>
            <w14:prstDash w14:val="solid"/>
            <w14:bevel/>
          </w14:textOutline>
        </w:rPr>
      </w:pPr>
    </w:p>
    <w:p w14:paraId="06EAC809" w14:textId="77777777" w:rsidR="00DC10AD" w:rsidRPr="003E6974" w:rsidRDefault="00DC10AD" w:rsidP="00DC10AD">
      <w:pPr>
        <w:rPr>
          <w:rFonts w:ascii="Garamond" w:hAnsi="Garamond"/>
          <w:sz w:val="24"/>
          <w:szCs w:val="24"/>
          <w14:textOutline w14:w="9525" w14:cap="rnd" w14:cmpd="sng" w14:algn="ctr">
            <w14:solidFill>
              <w14:schemeClr w14:val="accent1">
                <w14:lumMod w14:val="75000"/>
              </w14:schemeClr>
            </w14:solidFill>
            <w14:prstDash w14:val="solid"/>
            <w14:bevel/>
          </w14:textOutline>
        </w:rPr>
      </w:pPr>
    </w:p>
    <w:p w14:paraId="7808AA2D" w14:textId="77777777" w:rsidR="00835BB0" w:rsidRPr="003E6974" w:rsidRDefault="00835BB0" w:rsidP="00A528AA">
      <w:pPr>
        <w:pStyle w:val="Footer"/>
        <w:jc w:val="center"/>
        <w:rPr>
          <w:rFonts w:ascii="Garamond" w:hAnsi="Garamond"/>
          <w:sz w:val="24"/>
          <w:szCs w:val="24"/>
          <w14:textOutline w14:w="9525" w14:cap="rnd" w14:cmpd="sng" w14:algn="ctr">
            <w14:solidFill>
              <w14:schemeClr w14:val="accent1">
                <w14:lumMod w14:val="75000"/>
              </w14:schemeClr>
            </w14:solidFill>
            <w14:prstDash w14:val="solid"/>
            <w14:bevel/>
          </w14:textOutline>
        </w:rPr>
      </w:pPr>
    </w:p>
    <w:p w14:paraId="7F75874A" w14:textId="77777777" w:rsidR="003E6974" w:rsidRDefault="003E6974" w:rsidP="00A528AA">
      <w:pPr>
        <w:pStyle w:val="Footer"/>
        <w:jc w:val="center"/>
        <w:rPr>
          <w:rFonts w:ascii="Garamond" w:hAnsi="Garamond"/>
          <w:sz w:val="28"/>
          <w:szCs w:val="28"/>
          <w14:textOutline w14:w="9525" w14:cap="rnd" w14:cmpd="sng" w14:algn="ctr">
            <w14:solidFill>
              <w14:schemeClr w14:val="accent1">
                <w14:lumMod w14:val="75000"/>
              </w14:schemeClr>
            </w14:solidFill>
            <w14:prstDash w14:val="solid"/>
            <w14:bevel/>
          </w14:textOutline>
        </w:rPr>
      </w:pPr>
    </w:p>
    <w:p w14:paraId="5AD42754" w14:textId="77777777" w:rsidR="003E6974" w:rsidRDefault="003E6974" w:rsidP="00A528AA">
      <w:pPr>
        <w:pStyle w:val="Footer"/>
        <w:jc w:val="center"/>
        <w:rPr>
          <w:rFonts w:ascii="Garamond" w:hAnsi="Garamond"/>
          <w:sz w:val="28"/>
          <w:szCs w:val="28"/>
          <w14:textOutline w14:w="9525" w14:cap="rnd" w14:cmpd="sng" w14:algn="ctr">
            <w14:solidFill>
              <w14:schemeClr w14:val="accent1">
                <w14:lumMod w14:val="75000"/>
              </w14:schemeClr>
            </w14:solidFill>
            <w14:prstDash w14:val="solid"/>
            <w14:bevel/>
          </w14:textOutline>
        </w:rPr>
      </w:pPr>
    </w:p>
    <w:p w14:paraId="17F5AEB0" w14:textId="0FD9B36C" w:rsidR="00DC10AD" w:rsidRPr="003E6974" w:rsidRDefault="00A528AA" w:rsidP="00A528AA">
      <w:pPr>
        <w:pStyle w:val="Footer"/>
        <w:jc w:val="center"/>
        <w:rPr>
          <w:rFonts w:ascii="Garamond" w:hAnsi="Garamond"/>
          <w:sz w:val="28"/>
          <w:szCs w:val="28"/>
          <w14:textOutline w14:w="9525" w14:cap="rnd" w14:cmpd="sng" w14:algn="ctr">
            <w14:solidFill>
              <w14:schemeClr w14:val="accent1">
                <w14:lumMod w14:val="75000"/>
              </w14:schemeClr>
            </w14:solidFill>
            <w14:prstDash w14:val="solid"/>
            <w14:bevel/>
          </w14:textOutline>
        </w:rPr>
      </w:pPr>
      <w:r w:rsidRPr="003E6974">
        <w:rPr>
          <w:rFonts w:ascii="Garamond" w:hAnsi="Garamond"/>
          <w:sz w:val="28"/>
          <w:szCs w:val="28"/>
          <w14:textOutline w14:w="9525" w14:cap="rnd" w14:cmpd="sng" w14:algn="ctr">
            <w14:solidFill>
              <w14:schemeClr w14:val="accent1">
                <w14:lumMod w14:val="75000"/>
              </w14:schemeClr>
            </w14:solidFill>
            <w14:prstDash w14:val="solid"/>
            <w14:bevel/>
          </w14:textOutline>
        </w:rPr>
        <w:t>IZVJEŠTAJ O PRELIMINARNIM NIVOIMA BUDŽETSKOG GOTOVINSKOG DEFICITA, JAVN</w:t>
      </w:r>
      <w:r w:rsidR="00AB0E43" w:rsidRPr="003E6974">
        <w:rPr>
          <w:rFonts w:ascii="Garamond" w:hAnsi="Garamond"/>
          <w:sz w:val="28"/>
          <w:szCs w:val="28"/>
          <w14:textOutline w14:w="9525" w14:cap="rnd" w14:cmpd="sng" w14:algn="ctr">
            <w14:solidFill>
              <w14:schemeClr w14:val="accent1">
                <w14:lumMod w14:val="75000"/>
              </w14:schemeClr>
            </w14:solidFill>
            <w14:prstDash w14:val="solid"/>
            <w14:bevel/>
          </w14:textOutline>
        </w:rPr>
        <w:t>OG DUGA I NETO ZADUŽENJA ZA 202</w:t>
      </w:r>
      <w:r w:rsidR="00555C8E">
        <w:rPr>
          <w:rFonts w:ascii="Garamond" w:hAnsi="Garamond"/>
          <w:sz w:val="28"/>
          <w:szCs w:val="28"/>
          <w14:textOutline w14:w="9525" w14:cap="rnd" w14:cmpd="sng" w14:algn="ctr">
            <w14:solidFill>
              <w14:schemeClr w14:val="accent1">
                <w14:lumMod w14:val="75000"/>
              </w14:schemeClr>
            </w14:solidFill>
            <w14:prstDash w14:val="solid"/>
            <w14:bevel/>
          </w14:textOutline>
        </w:rPr>
        <w:t>2</w:t>
      </w:r>
      <w:r w:rsidRPr="003E6974">
        <w:rPr>
          <w:rFonts w:ascii="Garamond" w:hAnsi="Garamond"/>
          <w:sz w:val="28"/>
          <w:szCs w:val="28"/>
          <w14:textOutline w14:w="9525" w14:cap="rnd" w14:cmpd="sng" w14:algn="ctr">
            <w14:solidFill>
              <w14:schemeClr w14:val="accent1">
                <w14:lumMod w14:val="75000"/>
              </w14:schemeClr>
            </w14:solidFill>
            <w14:prstDash w14:val="solid"/>
            <w14:bevel/>
          </w14:textOutline>
        </w:rPr>
        <w:t>. GODINU</w:t>
      </w:r>
    </w:p>
    <w:p w14:paraId="473B625D" w14:textId="77777777" w:rsidR="00DC10AD" w:rsidRPr="003E6974" w:rsidRDefault="00DC10AD" w:rsidP="00DC10AD">
      <w:pPr>
        <w:pStyle w:val="Footer"/>
        <w:rPr>
          <w:rFonts w:ascii="Garamond" w:hAnsi="Garamond"/>
          <w:sz w:val="28"/>
          <w:szCs w:val="28"/>
          <w14:textOutline w14:w="9525" w14:cap="rnd" w14:cmpd="sng" w14:algn="ctr">
            <w14:solidFill>
              <w14:schemeClr w14:val="accent1">
                <w14:lumMod w14:val="75000"/>
              </w14:schemeClr>
            </w14:solidFill>
            <w14:prstDash w14:val="solid"/>
            <w14:bevel/>
          </w14:textOutline>
        </w:rPr>
      </w:pPr>
    </w:p>
    <w:p w14:paraId="4C396E1D" w14:textId="77777777" w:rsidR="00DC10AD" w:rsidRPr="003E6974" w:rsidRDefault="00DC10AD" w:rsidP="00DC10AD">
      <w:pPr>
        <w:pStyle w:val="Footer"/>
        <w:rPr>
          <w:rFonts w:ascii="Garamond" w:hAnsi="Garamond"/>
          <w:sz w:val="24"/>
          <w:szCs w:val="24"/>
          <w14:textOutline w14:w="9525" w14:cap="rnd" w14:cmpd="sng" w14:algn="ctr">
            <w14:solidFill>
              <w14:schemeClr w14:val="accent1">
                <w14:lumMod w14:val="75000"/>
              </w14:schemeClr>
            </w14:solidFill>
            <w14:prstDash w14:val="solid"/>
            <w14:bevel/>
          </w14:textOutline>
        </w:rPr>
      </w:pPr>
    </w:p>
    <w:p w14:paraId="524230B1" w14:textId="77777777" w:rsidR="00DC10AD" w:rsidRPr="003E6974" w:rsidRDefault="00DC10AD" w:rsidP="00DC10AD">
      <w:pPr>
        <w:pStyle w:val="Footer"/>
        <w:rPr>
          <w:rFonts w:ascii="Garamond" w:hAnsi="Garamond"/>
          <w:sz w:val="24"/>
          <w:szCs w:val="24"/>
          <w14:textOutline w14:w="9525" w14:cap="rnd" w14:cmpd="sng" w14:algn="ctr">
            <w14:solidFill>
              <w14:schemeClr w14:val="accent1">
                <w14:lumMod w14:val="75000"/>
              </w14:schemeClr>
            </w14:solidFill>
            <w14:prstDash w14:val="solid"/>
            <w14:bevel/>
          </w14:textOutline>
        </w:rPr>
      </w:pPr>
    </w:p>
    <w:p w14:paraId="5052CE31" w14:textId="77777777" w:rsidR="00DC10AD" w:rsidRPr="003E6974" w:rsidRDefault="00DC10AD" w:rsidP="00DC10AD">
      <w:pPr>
        <w:pStyle w:val="Footer"/>
        <w:rPr>
          <w:rFonts w:ascii="Garamond" w:hAnsi="Garamond"/>
          <w:sz w:val="24"/>
          <w:szCs w:val="24"/>
          <w14:textOutline w14:w="9525" w14:cap="rnd" w14:cmpd="sng" w14:algn="ctr">
            <w14:solidFill>
              <w14:schemeClr w14:val="accent1">
                <w14:lumMod w14:val="75000"/>
              </w14:schemeClr>
            </w14:solidFill>
            <w14:prstDash w14:val="solid"/>
            <w14:bevel/>
          </w14:textOutline>
        </w:rPr>
      </w:pPr>
    </w:p>
    <w:p w14:paraId="13BD0A1E" w14:textId="77777777" w:rsidR="00DC10AD" w:rsidRPr="003E6974" w:rsidRDefault="00DC10AD" w:rsidP="00DC10AD">
      <w:pPr>
        <w:pStyle w:val="Footer"/>
        <w:rPr>
          <w:rFonts w:ascii="Garamond" w:hAnsi="Garamond"/>
          <w:sz w:val="24"/>
          <w:szCs w:val="24"/>
          <w14:textOutline w14:w="9525" w14:cap="rnd" w14:cmpd="sng" w14:algn="ctr">
            <w14:solidFill>
              <w14:schemeClr w14:val="accent1">
                <w14:lumMod w14:val="75000"/>
              </w14:schemeClr>
            </w14:solidFill>
            <w14:prstDash w14:val="solid"/>
            <w14:bevel/>
          </w14:textOutline>
        </w:rPr>
      </w:pPr>
    </w:p>
    <w:p w14:paraId="5639CBFB" w14:textId="77777777" w:rsidR="00DC10AD" w:rsidRPr="003E6974" w:rsidRDefault="00DC10AD" w:rsidP="00DC10AD">
      <w:pPr>
        <w:pStyle w:val="Footer"/>
        <w:rPr>
          <w:rFonts w:ascii="Garamond" w:hAnsi="Garamond"/>
          <w:sz w:val="24"/>
          <w:szCs w:val="24"/>
          <w14:textOutline w14:w="9525" w14:cap="rnd" w14:cmpd="sng" w14:algn="ctr">
            <w14:solidFill>
              <w14:schemeClr w14:val="accent1">
                <w14:lumMod w14:val="75000"/>
              </w14:schemeClr>
            </w14:solidFill>
            <w14:prstDash w14:val="solid"/>
            <w14:bevel/>
          </w14:textOutline>
        </w:rPr>
      </w:pPr>
    </w:p>
    <w:p w14:paraId="02534709" w14:textId="77777777" w:rsidR="00DC10AD" w:rsidRPr="003E6974" w:rsidRDefault="00DC10AD" w:rsidP="00DC10AD">
      <w:pPr>
        <w:pStyle w:val="Footer"/>
        <w:rPr>
          <w:rFonts w:ascii="Garamond" w:hAnsi="Garamond"/>
          <w:sz w:val="24"/>
          <w:szCs w:val="24"/>
          <w14:textOutline w14:w="9525" w14:cap="rnd" w14:cmpd="sng" w14:algn="ctr">
            <w14:solidFill>
              <w14:schemeClr w14:val="accent1">
                <w14:lumMod w14:val="75000"/>
              </w14:schemeClr>
            </w14:solidFill>
            <w14:prstDash w14:val="solid"/>
            <w14:bevel/>
          </w14:textOutline>
        </w:rPr>
      </w:pPr>
    </w:p>
    <w:p w14:paraId="4FD8D87E" w14:textId="77777777" w:rsidR="00DC10AD" w:rsidRPr="003E6974" w:rsidRDefault="00DC10AD" w:rsidP="00DC10AD">
      <w:pPr>
        <w:pStyle w:val="Footer"/>
        <w:rPr>
          <w:rFonts w:ascii="Garamond" w:hAnsi="Garamond"/>
          <w:sz w:val="24"/>
          <w:szCs w:val="24"/>
          <w14:textOutline w14:w="9525" w14:cap="rnd" w14:cmpd="sng" w14:algn="ctr">
            <w14:solidFill>
              <w14:schemeClr w14:val="accent1">
                <w14:lumMod w14:val="75000"/>
              </w14:schemeClr>
            </w14:solidFill>
            <w14:prstDash w14:val="solid"/>
            <w14:bevel/>
          </w14:textOutline>
        </w:rPr>
      </w:pPr>
    </w:p>
    <w:p w14:paraId="4CF64AC4" w14:textId="77777777" w:rsidR="00DC10AD" w:rsidRPr="003E6974" w:rsidRDefault="00DC10AD" w:rsidP="00DC10AD">
      <w:pPr>
        <w:pStyle w:val="Footer"/>
        <w:rPr>
          <w:rFonts w:ascii="Garamond" w:hAnsi="Garamond"/>
          <w:b/>
          <w:sz w:val="24"/>
          <w:szCs w:val="24"/>
        </w:rPr>
      </w:pPr>
    </w:p>
    <w:p w14:paraId="1F9F2EC0" w14:textId="77777777" w:rsidR="00DC10AD" w:rsidRPr="003E6974" w:rsidRDefault="00DC10AD" w:rsidP="00DC10AD">
      <w:pPr>
        <w:pStyle w:val="Footer"/>
        <w:rPr>
          <w:rFonts w:ascii="Garamond" w:hAnsi="Garamond"/>
          <w:b/>
          <w:sz w:val="24"/>
          <w:szCs w:val="24"/>
        </w:rPr>
      </w:pPr>
    </w:p>
    <w:p w14:paraId="38D144A8" w14:textId="77777777" w:rsidR="00DC10AD" w:rsidRPr="003E6974" w:rsidRDefault="00DC10AD" w:rsidP="00DC10AD">
      <w:pPr>
        <w:pStyle w:val="Footer"/>
        <w:rPr>
          <w:rFonts w:ascii="Garamond" w:hAnsi="Garamond"/>
          <w:b/>
          <w:sz w:val="24"/>
          <w:szCs w:val="24"/>
        </w:rPr>
      </w:pPr>
    </w:p>
    <w:p w14:paraId="4F43B0C1" w14:textId="77777777" w:rsidR="00DC10AD" w:rsidRPr="003E6974" w:rsidRDefault="00DC10AD" w:rsidP="00DC10AD">
      <w:pPr>
        <w:pStyle w:val="Footer"/>
        <w:rPr>
          <w:rFonts w:ascii="Garamond" w:hAnsi="Garamond"/>
          <w:b/>
          <w:sz w:val="24"/>
          <w:szCs w:val="24"/>
        </w:rPr>
      </w:pPr>
    </w:p>
    <w:p w14:paraId="72E0C024" w14:textId="77777777" w:rsidR="00DC10AD" w:rsidRPr="003E6974" w:rsidRDefault="00DC10AD" w:rsidP="00DC10AD">
      <w:pPr>
        <w:pStyle w:val="Footer"/>
        <w:rPr>
          <w:rFonts w:ascii="Garamond" w:hAnsi="Garamond"/>
          <w:b/>
          <w:sz w:val="24"/>
          <w:szCs w:val="24"/>
        </w:rPr>
      </w:pPr>
    </w:p>
    <w:p w14:paraId="333811BA" w14:textId="77777777" w:rsidR="00DC10AD" w:rsidRPr="003E6974" w:rsidRDefault="00DC10AD" w:rsidP="00DC10AD">
      <w:pPr>
        <w:pStyle w:val="Footer"/>
        <w:rPr>
          <w:rFonts w:ascii="Garamond" w:hAnsi="Garamond"/>
          <w:b/>
          <w:sz w:val="24"/>
          <w:szCs w:val="24"/>
        </w:rPr>
      </w:pPr>
    </w:p>
    <w:p w14:paraId="090CCEBC" w14:textId="77777777" w:rsidR="00DC10AD" w:rsidRPr="003E6974" w:rsidRDefault="00DC10AD" w:rsidP="00DC10AD">
      <w:pPr>
        <w:pStyle w:val="Footer"/>
        <w:rPr>
          <w:rFonts w:ascii="Garamond" w:hAnsi="Garamond"/>
          <w:b/>
          <w:sz w:val="24"/>
          <w:szCs w:val="24"/>
        </w:rPr>
      </w:pPr>
    </w:p>
    <w:p w14:paraId="4B63C4AF" w14:textId="77777777" w:rsidR="00DC10AD" w:rsidRPr="003E6974" w:rsidRDefault="00DC10AD" w:rsidP="00DC10AD">
      <w:pPr>
        <w:pStyle w:val="Footer"/>
        <w:rPr>
          <w:rFonts w:ascii="Garamond" w:hAnsi="Garamond"/>
          <w:b/>
          <w:sz w:val="24"/>
          <w:szCs w:val="24"/>
        </w:rPr>
      </w:pPr>
    </w:p>
    <w:p w14:paraId="4D7D44DD" w14:textId="77777777" w:rsidR="00DC10AD" w:rsidRPr="003E6974" w:rsidRDefault="00DC10AD" w:rsidP="00DC10AD">
      <w:pPr>
        <w:pStyle w:val="Footer"/>
        <w:rPr>
          <w:rFonts w:ascii="Garamond" w:hAnsi="Garamond"/>
          <w:b/>
          <w:sz w:val="24"/>
          <w:szCs w:val="24"/>
        </w:rPr>
      </w:pPr>
    </w:p>
    <w:p w14:paraId="59C7C393" w14:textId="77777777" w:rsidR="00DC10AD" w:rsidRPr="003E6974" w:rsidRDefault="00DC10AD" w:rsidP="00DC10AD">
      <w:pPr>
        <w:pStyle w:val="Footer"/>
        <w:suppressAutoHyphens/>
        <w:jc w:val="center"/>
        <w:rPr>
          <w:rFonts w:ascii="Garamond" w:hAnsi="Garamond"/>
          <w:b/>
          <w:sz w:val="24"/>
          <w:szCs w:val="24"/>
        </w:rPr>
      </w:pPr>
    </w:p>
    <w:p w14:paraId="5FA6D0D1" w14:textId="77777777" w:rsidR="00DC10AD" w:rsidRPr="003E6974" w:rsidRDefault="00DC10AD" w:rsidP="00DC10AD">
      <w:pPr>
        <w:pStyle w:val="Footer"/>
        <w:suppressAutoHyphens/>
        <w:jc w:val="center"/>
        <w:rPr>
          <w:rFonts w:ascii="Garamond" w:hAnsi="Garamond"/>
          <w:b/>
          <w:sz w:val="24"/>
          <w:szCs w:val="24"/>
        </w:rPr>
      </w:pPr>
    </w:p>
    <w:p w14:paraId="1DA5C9C7" w14:textId="77777777" w:rsidR="00DC10AD" w:rsidRPr="003E6974" w:rsidRDefault="00DC10AD" w:rsidP="00DC10AD">
      <w:pPr>
        <w:pStyle w:val="Footer"/>
        <w:suppressAutoHyphens/>
        <w:jc w:val="center"/>
        <w:rPr>
          <w:rFonts w:ascii="Garamond" w:hAnsi="Garamond"/>
          <w:b/>
          <w:sz w:val="24"/>
          <w:szCs w:val="24"/>
        </w:rPr>
      </w:pPr>
    </w:p>
    <w:p w14:paraId="7C3AA7B0" w14:textId="77777777" w:rsidR="00DC10AD" w:rsidRPr="003E6974" w:rsidRDefault="00DC10AD" w:rsidP="00DC10AD">
      <w:pPr>
        <w:pStyle w:val="Footer"/>
        <w:suppressAutoHyphens/>
        <w:jc w:val="center"/>
        <w:rPr>
          <w:rFonts w:ascii="Garamond" w:hAnsi="Garamond"/>
          <w:b/>
          <w:sz w:val="24"/>
          <w:szCs w:val="24"/>
        </w:rPr>
      </w:pPr>
    </w:p>
    <w:p w14:paraId="71400751" w14:textId="77777777" w:rsidR="00DC10AD" w:rsidRPr="003E6974" w:rsidRDefault="00DC10AD" w:rsidP="00DC10AD">
      <w:pPr>
        <w:pStyle w:val="Footer"/>
        <w:suppressAutoHyphens/>
        <w:jc w:val="center"/>
        <w:rPr>
          <w:rFonts w:ascii="Garamond" w:hAnsi="Garamond"/>
          <w:b/>
          <w:sz w:val="24"/>
          <w:szCs w:val="24"/>
        </w:rPr>
      </w:pPr>
    </w:p>
    <w:p w14:paraId="40659C59" w14:textId="77777777" w:rsidR="00DC10AD" w:rsidRPr="003E6974" w:rsidRDefault="00DC10AD" w:rsidP="00DC10AD">
      <w:pPr>
        <w:pStyle w:val="Footer"/>
        <w:suppressAutoHyphens/>
        <w:jc w:val="center"/>
        <w:rPr>
          <w:rFonts w:ascii="Garamond" w:hAnsi="Garamond"/>
          <w:b/>
          <w:sz w:val="24"/>
          <w:szCs w:val="24"/>
        </w:rPr>
      </w:pPr>
    </w:p>
    <w:p w14:paraId="152BC7CB" w14:textId="77777777" w:rsidR="003E6974" w:rsidRDefault="003E6974" w:rsidP="00DC10AD">
      <w:pPr>
        <w:pStyle w:val="Footer"/>
        <w:suppressAutoHyphens/>
        <w:jc w:val="center"/>
        <w:rPr>
          <w:rFonts w:ascii="Garamond" w:hAnsi="Garamond"/>
          <w:b/>
          <w:sz w:val="24"/>
          <w:szCs w:val="24"/>
        </w:rPr>
      </w:pPr>
    </w:p>
    <w:p w14:paraId="4B9C78D5" w14:textId="77777777" w:rsidR="003E6974" w:rsidRDefault="003E6974" w:rsidP="00DC10AD">
      <w:pPr>
        <w:pStyle w:val="Footer"/>
        <w:suppressAutoHyphens/>
        <w:jc w:val="center"/>
        <w:rPr>
          <w:rFonts w:ascii="Garamond" w:hAnsi="Garamond"/>
          <w:b/>
          <w:sz w:val="24"/>
          <w:szCs w:val="24"/>
        </w:rPr>
      </w:pPr>
    </w:p>
    <w:p w14:paraId="4CD46529" w14:textId="77777777" w:rsidR="003E6974" w:rsidRDefault="003E6974" w:rsidP="00DC10AD">
      <w:pPr>
        <w:pStyle w:val="Footer"/>
        <w:suppressAutoHyphens/>
        <w:jc w:val="center"/>
        <w:rPr>
          <w:rFonts w:ascii="Garamond" w:hAnsi="Garamond"/>
          <w:b/>
          <w:sz w:val="24"/>
          <w:szCs w:val="24"/>
        </w:rPr>
      </w:pPr>
    </w:p>
    <w:p w14:paraId="0B39B150" w14:textId="72AF4FC0" w:rsidR="00DC10AD" w:rsidRPr="003E6974" w:rsidRDefault="00ED2433" w:rsidP="00DC10AD">
      <w:pPr>
        <w:pStyle w:val="Footer"/>
        <w:suppressAutoHyphens/>
        <w:jc w:val="center"/>
        <w:rPr>
          <w:rFonts w:ascii="Garamond" w:hAnsi="Garamond"/>
          <w:b/>
          <w:sz w:val="24"/>
          <w:szCs w:val="24"/>
        </w:rPr>
      </w:pPr>
      <w:r w:rsidRPr="003E6974">
        <w:rPr>
          <w:rFonts w:ascii="Garamond" w:hAnsi="Garamond"/>
          <w:b/>
          <w:sz w:val="24"/>
          <w:szCs w:val="24"/>
        </w:rPr>
        <w:t>Mart</w:t>
      </w:r>
      <w:r w:rsidR="00AC21CD" w:rsidRPr="003E6974">
        <w:rPr>
          <w:rFonts w:ascii="Garamond" w:hAnsi="Garamond"/>
          <w:b/>
          <w:sz w:val="24"/>
          <w:szCs w:val="24"/>
        </w:rPr>
        <w:t>, 202</w:t>
      </w:r>
      <w:r w:rsidR="00555C8E">
        <w:rPr>
          <w:rFonts w:ascii="Garamond" w:hAnsi="Garamond"/>
          <w:b/>
          <w:sz w:val="24"/>
          <w:szCs w:val="24"/>
        </w:rPr>
        <w:t>3</w:t>
      </w:r>
      <w:r w:rsidR="00DC10AD" w:rsidRPr="003E6974">
        <w:rPr>
          <w:rFonts w:ascii="Garamond" w:hAnsi="Garamond"/>
          <w:b/>
          <w:sz w:val="24"/>
          <w:szCs w:val="24"/>
        </w:rPr>
        <w:t>. godine</w:t>
      </w:r>
    </w:p>
    <w:p w14:paraId="3F53EE41" w14:textId="13553FD7" w:rsidR="00ED2433" w:rsidRPr="003E6974" w:rsidRDefault="00D104B7" w:rsidP="00D104B7">
      <w:pPr>
        <w:pStyle w:val="Footer"/>
        <w:suppressAutoHyphens/>
        <w:jc w:val="both"/>
        <w:rPr>
          <w:rFonts w:ascii="Garamond" w:hAnsi="Garamond"/>
          <w:b/>
          <w:sz w:val="24"/>
          <w:szCs w:val="24"/>
        </w:rPr>
      </w:pPr>
      <w:r w:rsidRPr="003E6974">
        <w:rPr>
          <w:rFonts w:ascii="Garamond" w:hAnsi="Garamond"/>
          <w:b/>
          <w:sz w:val="24"/>
          <w:szCs w:val="24"/>
        </w:rPr>
        <w:lastRenderedPageBreak/>
        <w:t>Shodno članu 25 Zakona o budžetu i fiskalnoj odgovornosti, Ministarstvo finansija</w:t>
      </w:r>
      <w:r w:rsidR="00CC434E" w:rsidRPr="003E6974">
        <w:rPr>
          <w:rFonts w:ascii="Garamond" w:hAnsi="Garamond"/>
          <w:b/>
          <w:sz w:val="24"/>
          <w:szCs w:val="24"/>
        </w:rPr>
        <w:t xml:space="preserve"> </w:t>
      </w:r>
      <w:r w:rsidR="0019796A">
        <w:rPr>
          <w:rFonts w:ascii="Garamond" w:hAnsi="Garamond"/>
          <w:b/>
          <w:sz w:val="24"/>
          <w:szCs w:val="24"/>
        </w:rPr>
        <w:t>priprema i objavljuje I</w:t>
      </w:r>
      <w:r w:rsidRPr="003E6974">
        <w:rPr>
          <w:rFonts w:ascii="Garamond" w:hAnsi="Garamond"/>
          <w:b/>
          <w:sz w:val="24"/>
          <w:szCs w:val="24"/>
        </w:rPr>
        <w:t>zvještaj o preliminarnim nivoima budžetskog gotovinskog suficita, odnosno deficita, javnog duga i neto zaduženja iz člana 20 stav 2 ovog zakona u roku od 90 dana, od isteka fiskalne godine na svojoj internet stranici.</w:t>
      </w:r>
    </w:p>
    <w:p w14:paraId="589DB4D9" w14:textId="77777777" w:rsidR="00D104B7" w:rsidRPr="003E6974" w:rsidRDefault="00D104B7" w:rsidP="00D104B7">
      <w:pPr>
        <w:pStyle w:val="Footer"/>
        <w:suppressAutoHyphens/>
        <w:jc w:val="both"/>
        <w:rPr>
          <w:rFonts w:ascii="Garamond" w:hAnsi="Garamond"/>
          <w:b/>
          <w:sz w:val="24"/>
          <w:szCs w:val="24"/>
        </w:rPr>
      </w:pPr>
    </w:p>
    <w:p w14:paraId="0185610E" w14:textId="7280B2D8" w:rsidR="009402F8" w:rsidRPr="009402F8" w:rsidRDefault="009402F8" w:rsidP="009402F8">
      <w:pPr>
        <w:spacing w:after="240" w:line="276" w:lineRule="auto"/>
        <w:jc w:val="both"/>
        <w:rPr>
          <w:rFonts w:ascii="Garamond" w:hAnsi="Garamond"/>
          <w:sz w:val="24"/>
          <w:szCs w:val="24"/>
        </w:rPr>
      </w:pPr>
      <w:r w:rsidRPr="009402F8">
        <w:rPr>
          <w:rFonts w:ascii="Garamond" w:hAnsi="Garamond"/>
          <w:sz w:val="24"/>
          <w:szCs w:val="24"/>
        </w:rPr>
        <w:t>Nakon zabilježenog snažnog rasta ekonomske aktivnosti od 13% u 2021. godin</w:t>
      </w:r>
      <w:r w:rsidR="00EF7CE7">
        <w:rPr>
          <w:rFonts w:ascii="Garamond" w:hAnsi="Garamond"/>
          <w:sz w:val="24"/>
          <w:szCs w:val="24"/>
        </w:rPr>
        <w:t>i,</w:t>
      </w:r>
      <w:r w:rsidRPr="009402F8">
        <w:rPr>
          <w:rFonts w:ascii="Garamond" w:hAnsi="Garamond"/>
          <w:sz w:val="24"/>
          <w:szCs w:val="24"/>
        </w:rPr>
        <w:t xml:space="preserve"> dinamični ekonomski trendovi u Crnoj Gori su nastavljeni i tokom 2022. godine, uprkos negativnim efektima krize rata u Ukrajini. Ubrzana i jaka tražnja, veća poreska disciplina i primjena elektronske fiskalizacije, podržali su </w:t>
      </w:r>
      <w:r w:rsidR="001D258B">
        <w:rPr>
          <w:rFonts w:ascii="Garamond" w:hAnsi="Garamond"/>
          <w:sz w:val="24"/>
          <w:szCs w:val="24"/>
        </w:rPr>
        <w:t>snažan</w:t>
      </w:r>
      <w:r w:rsidRPr="009402F8">
        <w:rPr>
          <w:rFonts w:ascii="Garamond" w:hAnsi="Garamond"/>
          <w:sz w:val="24"/>
          <w:szCs w:val="24"/>
        </w:rPr>
        <w:t xml:space="preserve"> </w:t>
      </w:r>
      <w:r>
        <w:rPr>
          <w:rFonts w:ascii="Garamond" w:hAnsi="Garamond"/>
          <w:sz w:val="24"/>
          <w:szCs w:val="24"/>
        </w:rPr>
        <w:t xml:space="preserve">ekonomski </w:t>
      </w:r>
      <w:r w:rsidR="00EF7CE7">
        <w:rPr>
          <w:rFonts w:ascii="Garamond" w:hAnsi="Garamond"/>
          <w:sz w:val="24"/>
          <w:szCs w:val="24"/>
        </w:rPr>
        <w:t xml:space="preserve">rast </w:t>
      </w:r>
      <w:r w:rsidRPr="009402F8">
        <w:rPr>
          <w:rFonts w:ascii="Garamond" w:hAnsi="Garamond"/>
          <w:sz w:val="24"/>
          <w:szCs w:val="24"/>
        </w:rPr>
        <w:t>i povoljne makroekonomske trendove</w:t>
      </w:r>
      <w:r>
        <w:rPr>
          <w:rFonts w:ascii="Garamond" w:hAnsi="Garamond"/>
          <w:sz w:val="24"/>
          <w:szCs w:val="24"/>
        </w:rPr>
        <w:t>, te je prema preliminarnim podacima Uprave za statistiku, u 2022. godini zabilježen realni rast BDP-</w:t>
      </w:r>
      <w:r w:rsidRPr="00B83178">
        <w:rPr>
          <w:rFonts w:ascii="Garamond" w:hAnsi="Garamond"/>
          <w:sz w:val="24"/>
          <w:szCs w:val="24"/>
        </w:rPr>
        <w:t xml:space="preserve">a od </w:t>
      </w:r>
      <w:r w:rsidR="00B83178" w:rsidRPr="00B83178">
        <w:rPr>
          <w:rFonts w:ascii="Garamond" w:hAnsi="Garamond"/>
          <w:sz w:val="24"/>
          <w:szCs w:val="24"/>
        </w:rPr>
        <w:t>6,1</w:t>
      </w:r>
      <w:r w:rsidRPr="00B83178">
        <w:rPr>
          <w:rFonts w:ascii="Garamond" w:hAnsi="Garamond"/>
          <w:sz w:val="24"/>
          <w:szCs w:val="24"/>
        </w:rPr>
        <w:t>%.</w:t>
      </w:r>
    </w:p>
    <w:p w14:paraId="352FD6AE" w14:textId="4A83D2A3" w:rsidR="009B6D37" w:rsidRPr="003E6974" w:rsidRDefault="00D05605" w:rsidP="009402F8">
      <w:pPr>
        <w:spacing w:after="240" w:line="276" w:lineRule="auto"/>
        <w:jc w:val="both"/>
        <w:rPr>
          <w:rFonts w:ascii="Garamond" w:hAnsi="Garamond"/>
          <w:sz w:val="24"/>
          <w:szCs w:val="24"/>
        </w:rPr>
      </w:pPr>
      <w:r w:rsidRPr="009402F8">
        <w:rPr>
          <w:rFonts w:ascii="Garamond" w:hAnsi="Garamond"/>
          <w:b/>
          <w:sz w:val="24"/>
          <w:szCs w:val="24"/>
        </w:rPr>
        <w:t>Izvorni p</w:t>
      </w:r>
      <w:r w:rsidR="00571345" w:rsidRPr="009402F8">
        <w:rPr>
          <w:rFonts w:ascii="Garamond" w:hAnsi="Garamond"/>
          <w:b/>
          <w:sz w:val="24"/>
          <w:szCs w:val="24"/>
        </w:rPr>
        <w:t>rihodi budžeta u 202</w:t>
      </w:r>
      <w:r w:rsidR="00DB113B" w:rsidRPr="009402F8">
        <w:rPr>
          <w:rFonts w:ascii="Garamond" w:hAnsi="Garamond"/>
          <w:b/>
          <w:sz w:val="24"/>
          <w:szCs w:val="24"/>
        </w:rPr>
        <w:t>2</w:t>
      </w:r>
      <w:r w:rsidR="00571345" w:rsidRPr="009402F8">
        <w:rPr>
          <w:rFonts w:ascii="Garamond" w:hAnsi="Garamond"/>
          <w:b/>
          <w:sz w:val="24"/>
          <w:szCs w:val="24"/>
        </w:rPr>
        <w:t>. godini</w:t>
      </w:r>
      <w:r w:rsidR="00571345" w:rsidRPr="003E6974">
        <w:rPr>
          <w:rFonts w:ascii="Garamond" w:hAnsi="Garamond"/>
          <w:sz w:val="24"/>
          <w:szCs w:val="24"/>
        </w:rPr>
        <w:t xml:space="preserve"> iznosili su </w:t>
      </w:r>
      <w:r w:rsidR="00DB113B">
        <w:rPr>
          <w:rFonts w:ascii="Garamond" w:hAnsi="Garamond"/>
          <w:sz w:val="24"/>
          <w:szCs w:val="24"/>
        </w:rPr>
        <w:t>2.010,5</w:t>
      </w:r>
      <w:r w:rsidR="00490E91" w:rsidRPr="003E6974">
        <w:rPr>
          <w:rFonts w:ascii="Garamond" w:hAnsi="Garamond"/>
          <w:sz w:val="24"/>
          <w:szCs w:val="24"/>
        </w:rPr>
        <w:t xml:space="preserve"> mil. € ili </w:t>
      </w:r>
      <w:r w:rsidR="00DB113B">
        <w:rPr>
          <w:rFonts w:ascii="Garamond" w:hAnsi="Garamond"/>
          <w:sz w:val="24"/>
          <w:szCs w:val="24"/>
        </w:rPr>
        <w:t>34,7</w:t>
      </w:r>
      <w:r w:rsidR="00490E91" w:rsidRPr="003E6974">
        <w:rPr>
          <w:rFonts w:ascii="Garamond" w:hAnsi="Garamond"/>
          <w:sz w:val="24"/>
          <w:szCs w:val="24"/>
        </w:rPr>
        <w:t>% procijenjenog BDP-a</w:t>
      </w:r>
      <w:r w:rsidR="00D45CDB">
        <w:rPr>
          <w:rFonts w:ascii="Garamond" w:hAnsi="Garamond"/>
          <w:sz w:val="24"/>
          <w:szCs w:val="24"/>
        </w:rPr>
        <w:t xml:space="preserve"> (</w:t>
      </w:r>
      <w:r w:rsidR="00916C57">
        <w:rPr>
          <w:rFonts w:ascii="Garamond" w:hAnsi="Garamond"/>
          <w:sz w:val="24"/>
          <w:szCs w:val="24"/>
        </w:rPr>
        <w:t>5</w:t>
      </w:r>
      <w:r w:rsidR="00D45CDB">
        <w:rPr>
          <w:rFonts w:ascii="Garamond" w:hAnsi="Garamond"/>
          <w:sz w:val="24"/>
          <w:szCs w:val="24"/>
        </w:rPr>
        <w:t>.</w:t>
      </w:r>
      <w:r w:rsidR="00916C57">
        <w:rPr>
          <w:rFonts w:ascii="Garamond" w:hAnsi="Garamond"/>
          <w:sz w:val="24"/>
          <w:szCs w:val="24"/>
        </w:rPr>
        <w:t>796</w:t>
      </w:r>
      <w:r w:rsidR="00D45CDB">
        <w:rPr>
          <w:rFonts w:ascii="Garamond" w:hAnsi="Garamond"/>
          <w:sz w:val="24"/>
          <w:szCs w:val="24"/>
        </w:rPr>
        <w:t>,</w:t>
      </w:r>
      <w:r w:rsidR="00916C57">
        <w:rPr>
          <w:rFonts w:ascii="Garamond" w:hAnsi="Garamond"/>
          <w:sz w:val="24"/>
          <w:szCs w:val="24"/>
        </w:rPr>
        <w:t>8</w:t>
      </w:r>
      <w:r w:rsidR="009B6D37" w:rsidRPr="003E6974">
        <w:rPr>
          <w:rFonts w:ascii="Garamond" w:hAnsi="Garamond"/>
          <w:sz w:val="24"/>
          <w:szCs w:val="24"/>
        </w:rPr>
        <w:t xml:space="preserve"> mil. €)</w:t>
      </w:r>
      <w:r w:rsidR="00AE6B73" w:rsidRPr="009402F8">
        <w:footnoteReference w:id="1"/>
      </w:r>
      <w:r w:rsidR="009B6D37" w:rsidRPr="003E6974">
        <w:rPr>
          <w:rFonts w:ascii="Garamond" w:hAnsi="Garamond"/>
          <w:sz w:val="24"/>
          <w:szCs w:val="24"/>
        </w:rPr>
        <w:t xml:space="preserve">, </w:t>
      </w:r>
      <w:r w:rsidR="00162121" w:rsidRPr="003E6974">
        <w:rPr>
          <w:rFonts w:ascii="Garamond" w:hAnsi="Garamond"/>
          <w:sz w:val="24"/>
          <w:szCs w:val="24"/>
        </w:rPr>
        <w:t>što je u odnosu na planirane Zakonom o izmjenama i dopunama zakona o budžetu za 202</w:t>
      </w:r>
      <w:r w:rsidR="00916C57">
        <w:rPr>
          <w:rFonts w:ascii="Garamond" w:hAnsi="Garamond"/>
          <w:sz w:val="24"/>
          <w:szCs w:val="24"/>
        </w:rPr>
        <w:t>2.</w:t>
      </w:r>
      <w:r w:rsidR="00162121" w:rsidRPr="003E6974">
        <w:rPr>
          <w:rFonts w:ascii="Garamond" w:hAnsi="Garamond"/>
          <w:sz w:val="24"/>
          <w:szCs w:val="24"/>
        </w:rPr>
        <w:t xml:space="preserve"> godinu </w:t>
      </w:r>
      <w:r w:rsidR="00916C57">
        <w:rPr>
          <w:rFonts w:ascii="Garamond" w:hAnsi="Garamond"/>
          <w:sz w:val="24"/>
          <w:szCs w:val="24"/>
        </w:rPr>
        <w:t>više</w:t>
      </w:r>
      <w:r w:rsidR="00162121" w:rsidRPr="003E6974">
        <w:rPr>
          <w:rFonts w:ascii="Garamond" w:hAnsi="Garamond"/>
          <w:sz w:val="24"/>
          <w:szCs w:val="24"/>
        </w:rPr>
        <w:t xml:space="preserve"> za </w:t>
      </w:r>
      <w:r w:rsidR="00916C57">
        <w:rPr>
          <w:rFonts w:ascii="Garamond" w:hAnsi="Garamond"/>
          <w:sz w:val="24"/>
          <w:szCs w:val="24"/>
        </w:rPr>
        <w:t>79,5</w:t>
      </w:r>
      <w:r w:rsidR="00162121" w:rsidRPr="003E6974">
        <w:rPr>
          <w:rFonts w:ascii="Garamond" w:hAnsi="Garamond"/>
          <w:sz w:val="24"/>
          <w:szCs w:val="24"/>
        </w:rPr>
        <w:t xml:space="preserve"> mil. </w:t>
      </w:r>
      <w:r w:rsidR="00B1671F">
        <w:rPr>
          <w:rFonts w:ascii="Garamond" w:hAnsi="Garamond"/>
          <w:sz w:val="24"/>
          <w:szCs w:val="24"/>
        </w:rPr>
        <w:t xml:space="preserve">€ </w:t>
      </w:r>
      <w:r w:rsidR="00162121" w:rsidRPr="003E6974">
        <w:rPr>
          <w:rFonts w:ascii="Garamond" w:hAnsi="Garamond"/>
          <w:sz w:val="24"/>
          <w:szCs w:val="24"/>
        </w:rPr>
        <w:t xml:space="preserve">ili </w:t>
      </w:r>
      <w:r w:rsidR="00916C57">
        <w:rPr>
          <w:rFonts w:ascii="Garamond" w:hAnsi="Garamond"/>
          <w:sz w:val="24"/>
          <w:szCs w:val="24"/>
        </w:rPr>
        <w:t>4,1</w:t>
      </w:r>
      <w:r w:rsidR="00162121" w:rsidRPr="003E6974">
        <w:rPr>
          <w:rFonts w:ascii="Garamond" w:hAnsi="Garamond"/>
          <w:sz w:val="24"/>
          <w:szCs w:val="24"/>
        </w:rPr>
        <w:t>%, dok su u odnosu na naplaćene u 20</w:t>
      </w:r>
      <w:r w:rsidR="00916C57">
        <w:rPr>
          <w:rFonts w:ascii="Garamond" w:hAnsi="Garamond"/>
          <w:sz w:val="24"/>
          <w:szCs w:val="24"/>
        </w:rPr>
        <w:t>21</w:t>
      </w:r>
      <w:r w:rsidR="00162121" w:rsidRPr="003E6974">
        <w:rPr>
          <w:rFonts w:ascii="Garamond" w:hAnsi="Garamond"/>
          <w:sz w:val="24"/>
          <w:szCs w:val="24"/>
        </w:rPr>
        <w:t xml:space="preserve">. godini </w:t>
      </w:r>
      <w:r w:rsidR="00916C57">
        <w:rPr>
          <w:rFonts w:ascii="Garamond" w:hAnsi="Garamond"/>
          <w:sz w:val="24"/>
          <w:szCs w:val="24"/>
        </w:rPr>
        <w:t>veći</w:t>
      </w:r>
      <w:r w:rsidR="00162121" w:rsidRPr="003E6974">
        <w:rPr>
          <w:rFonts w:ascii="Garamond" w:hAnsi="Garamond"/>
          <w:sz w:val="24"/>
          <w:szCs w:val="24"/>
        </w:rPr>
        <w:t xml:space="preserve"> za </w:t>
      </w:r>
      <w:r w:rsidR="00916C57">
        <w:rPr>
          <w:rFonts w:ascii="Garamond" w:hAnsi="Garamond"/>
          <w:sz w:val="24"/>
          <w:szCs w:val="24"/>
        </w:rPr>
        <w:t>99,1</w:t>
      </w:r>
      <w:r w:rsidR="00162121" w:rsidRPr="003E6974">
        <w:rPr>
          <w:rFonts w:ascii="Garamond" w:hAnsi="Garamond"/>
          <w:sz w:val="24"/>
          <w:szCs w:val="24"/>
        </w:rPr>
        <w:t xml:space="preserve"> mil. € ili </w:t>
      </w:r>
      <w:r w:rsidR="0094446C">
        <w:rPr>
          <w:rFonts w:ascii="Garamond" w:hAnsi="Garamond"/>
          <w:sz w:val="24"/>
          <w:szCs w:val="24"/>
        </w:rPr>
        <w:t>5,</w:t>
      </w:r>
      <w:r w:rsidR="00916C57">
        <w:rPr>
          <w:rFonts w:ascii="Garamond" w:hAnsi="Garamond"/>
          <w:sz w:val="24"/>
          <w:szCs w:val="24"/>
        </w:rPr>
        <w:t>2</w:t>
      </w:r>
      <w:r w:rsidR="00162121" w:rsidRPr="003E6974">
        <w:rPr>
          <w:rFonts w:ascii="Garamond" w:hAnsi="Garamond"/>
          <w:sz w:val="24"/>
          <w:szCs w:val="24"/>
        </w:rPr>
        <w:t>%.</w:t>
      </w:r>
    </w:p>
    <w:p w14:paraId="7BE58C49" w14:textId="20266E14" w:rsidR="00DB1A4F" w:rsidRDefault="004C0EE9" w:rsidP="009402F8">
      <w:pPr>
        <w:spacing w:after="240" w:line="276" w:lineRule="auto"/>
        <w:jc w:val="both"/>
        <w:rPr>
          <w:rFonts w:ascii="Garamond" w:hAnsi="Garamond"/>
          <w:sz w:val="24"/>
          <w:szCs w:val="24"/>
        </w:rPr>
      </w:pPr>
      <w:r>
        <w:rPr>
          <w:rFonts w:ascii="Garamond" w:hAnsi="Garamond"/>
          <w:sz w:val="24"/>
          <w:szCs w:val="24"/>
        </w:rPr>
        <w:t xml:space="preserve">Rast prihoda u odnosu na 2021. godinu zabilježen je i pored značajnog smanjenja poreskog opterećenja na zarade </w:t>
      </w:r>
      <w:r w:rsidR="00056671">
        <w:rPr>
          <w:rFonts w:ascii="Garamond" w:hAnsi="Garamond"/>
          <w:sz w:val="24"/>
          <w:szCs w:val="24"/>
        </w:rPr>
        <w:t>sprovedenog</w:t>
      </w:r>
      <w:r>
        <w:rPr>
          <w:rFonts w:ascii="Garamond" w:hAnsi="Garamond"/>
          <w:sz w:val="24"/>
          <w:szCs w:val="24"/>
        </w:rPr>
        <w:t xml:space="preserve"> u sklopu „nove poreske politike“ koja je počela sa primjenom od 01. januara 2022. godine a odnosila se na: ukidanje doprinosa </w:t>
      </w:r>
      <w:r w:rsidR="003D3937">
        <w:rPr>
          <w:rFonts w:ascii="Garamond" w:hAnsi="Garamond"/>
          <w:sz w:val="24"/>
          <w:szCs w:val="24"/>
        </w:rPr>
        <w:t>z</w:t>
      </w:r>
      <w:r>
        <w:rPr>
          <w:rFonts w:ascii="Garamond" w:hAnsi="Garamond"/>
          <w:sz w:val="24"/>
          <w:szCs w:val="24"/>
        </w:rPr>
        <w:t>a zdravstveno osiguranje i uvođenje „neoporezivog dijela zarade“</w:t>
      </w:r>
      <w:r w:rsidR="00DB1A4F">
        <w:rPr>
          <w:rFonts w:ascii="Garamond" w:hAnsi="Garamond"/>
          <w:sz w:val="24"/>
          <w:szCs w:val="24"/>
        </w:rPr>
        <w:t xml:space="preserve"> kao i sprovedenih mjera podrške građanima i privredi</w:t>
      </w:r>
      <w:r>
        <w:rPr>
          <w:rFonts w:ascii="Garamond" w:hAnsi="Garamond"/>
          <w:sz w:val="24"/>
          <w:szCs w:val="24"/>
        </w:rPr>
        <w:t xml:space="preserve"> </w:t>
      </w:r>
      <w:r w:rsidR="00DB1A4F">
        <w:rPr>
          <w:rFonts w:ascii="Garamond" w:hAnsi="Garamond"/>
          <w:sz w:val="24"/>
          <w:szCs w:val="24"/>
        </w:rPr>
        <w:t>kroz smanjenje PDV-a na određene proizvode i smanjenje akcize na gorivo</w:t>
      </w:r>
      <w:r w:rsidR="004A3B0C">
        <w:rPr>
          <w:rFonts w:ascii="Garamond" w:hAnsi="Garamond"/>
          <w:sz w:val="24"/>
          <w:szCs w:val="24"/>
        </w:rPr>
        <w:t xml:space="preserve"> kao odgovor na </w:t>
      </w:r>
      <w:r w:rsidR="002F31DF">
        <w:rPr>
          <w:rFonts w:ascii="Garamond" w:hAnsi="Garamond"/>
          <w:sz w:val="24"/>
          <w:szCs w:val="24"/>
        </w:rPr>
        <w:t xml:space="preserve">visoku inflaciju uzrokovanu rastom </w:t>
      </w:r>
      <w:r w:rsidR="00B1671F">
        <w:rPr>
          <w:rFonts w:ascii="Garamond" w:hAnsi="Garamond"/>
          <w:sz w:val="24"/>
          <w:szCs w:val="24"/>
        </w:rPr>
        <w:t xml:space="preserve">cijena </w:t>
      </w:r>
      <w:r w:rsidR="002F31DF">
        <w:rPr>
          <w:rFonts w:ascii="Garamond" w:hAnsi="Garamond"/>
          <w:sz w:val="24"/>
          <w:szCs w:val="24"/>
        </w:rPr>
        <w:t>hrane i energen</w:t>
      </w:r>
      <w:r w:rsidR="00227434">
        <w:rPr>
          <w:rFonts w:ascii="Garamond" w:hAnsi="Garamond"/>
          <w:sz w:val="24"/>
          <w:szCs w:val="24"/>
        </w:rPr>
        <w:t>a</w:t>
      </w:r>
      <w:r w:rsidR="002F31DF">
        <w:rPr>
          <w:rFonts w:ascii="Garamond" w:hAnsi="Garamond"/>
          <w:sz w:val="24"/>
          <w:szCs w:val="24"/>
        </w:rPr>
        <w:t>ta.</w:t>
      </w:r>
    </w:p>
    <w:p w14:paraId="20E61F22" w14:textId="2F4A4A18" w:rsidR="004C0EE9" w:rsidRDefault="00E36BC9" w:rsidP="009402F8">
      <w:pPr>
        <w:spacing w:after="240" w:line="276" w:lineRule="auto"/>
        <w:jc w:val="both"/>
        <w:rPr>
          <w:rFonts w:ascii="Garamond" w:hAnsi="Garamond"/>
          <w:sz w:val="24"/>
          <w:szCs w:val="24"/>
        </w:rPr>
      </w:pPr>
      <w:r w:rsidRPr="006C0718">
        <w:rPr>
          <w:rFonts w:ascii="Garamond" w:hAnsi="Garamond"/>
          <w:noProof/>
          <w:sz w:val="24"/>
          <w:szCs w:val="24"/>
        </w:rPr>
        <w:drawing>
          <wp:anchor distT="0" distB="0" distL="114300" distR="114300" simplePos="0" relativeHeight="251664384" behindDoc="1" locked="0" layoutInCell="1" allowOverlap="1" wp14:anchorId="45831C4F" wp14:editId="76EB31EC">
            <wp:simplePos x="0" y="0"/>
            <wp:positionH relativeFrom="margin">
              <wp:posOffset>3154045</wp:posOffset>
            </wp:positionH>
            <wp:positionV relativeFrom="paragraph">
              <wp:posOffset>1684655</wp:posOffset>
            </wp:positionV>
            <wp:extent cx="2586355" cy="1534795"/>
            <wp:effectExtent l="0" t="0" r="4445" b="8255"/>
            <wp:wrapTight wrapText="bothSides">
              <wp:wrapPolygon edited="0">
                <wp:start x="0" y="0"/>
                <wp:lineTo x="0" y="21448"/>
                <wp:lineTo x="21478" y="21448"/>
                <wp:lineTo x="21478" y="0"/>
                <wp:lineTo x="0" y="0"/>
              </wp:wrapPolygon>
            </wp:wrapTight>
            <wp:docPr id="1" name="Chart 1">
              <a:extLst xmlns:a="http://schemas.openxmlformats.org/drawingml/2006/main">
                <a:ext uri="{FF2B5EF4-FFF2-40B4-BE49-F238E27FC236}">
                  <a16:creationId xmlns:a16="http://schemas.microsoft.com/office/drawing/2014/main" id="{B150052A-8BF5-45E7-A0DE-F7016BD79D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6C0718" w:rsidRPr="006C0718">
        <w:rPr>
          <w:rFonts w:ascii="Garamond" w:hAnsi="Garamond"/>
          <w:sz w:val="24"/>
          <w:szCs w:val="24"/>
        </w:rPr>
        <w:t>Smanjenje prihoda</w:t>
      </w:r>
      <w:r w:rsidR="004C0EE9">
        <w:rPr>
          <w:rFonts w:ascii="Garamond" w:hAnsi="Garamond"/>
          <w:sz w:val="24"/>
          <w:szCs w:val="24"/>
        </w:rPr>
        <w:t xml:space="preserve"> </w:t>
      </w:r>
      <w:r w:rsidR="00DF7CE1">
        <w:rPr>
          <w:rFonts w:ascii="Garamond" w:hAnsi="Garamond"/>
          <w:sz w:val="24"/>
          <w:szCs w:val="24"/>
        </w:rPr>
        <w:t>po osnovu navedenog</w:t>
      </w:r>
      <w:r w:rsidR="00B83178">
        <w:rPr>
          <w:rFonts w:ascii="Garamond" w:hAnsi="Garamond"/>
          <w:sz w:val="24"/>
          <w:szCs w:val="24"/>
        </w:rPr>
        <w:t>,</w:t>
      </w:r>
      <w:r w:rsidR="004C0EE9">
        <w:rPr>
          <w:rFonts w:ascii="Garamond" w:hAnsi="Garamond"/>
          <w:sz w:val="24"/>
          <w:szCs w:val="24"/>
        </w:rPr>
        <w:t xml:space="preserve"> kompenzovan</w:t>
      </w:r>
      <w:r w:rsidR="006C0718">
        <w:rPr>
          <w:rFonts w:ascii="Garamond" w:hAnsi="Garamond"/>
          <w:sz w:val="24"/>
          <w:szCs w:val="24"/>
        </w:rPr>
        <w:t>o</w:t>
      </w:r>
      <w:r w:rsidR="004C0EE9">
        <w:rPr>
          <w:rFonts w:ascii="Garamond" w:hAnsi="Garamond"/>
          <w:sz w:val="24"/>
          <w:szCs w:val="24"/>
        </w:rPr>
        <w:t xml:space="preserve"> je rastom prihoda koji su direktno vezani za potrošnju i ostvareni rast ekonomske aktivnosti</w:t>
      </w:r>
      <w:r w:rsidR="00410065">
        <w:rPr>
          <w:rFonts w:ascii="Garamond" w:hAnsi="Garamond"/>
          <w:sz w:val="24"/>
          <w:szCs w:val="24"/>
        </w:rPr>
        <w:t xml:space="preserve">. </w:t>
      </w:r>
      <w:r w:rsidR="00047BF5">
        <w:rPr>
          <w:rFonts w:ascii="Garamond" w:hAnsi="Garamond"/>
          <w:sz w:val="24"/>
          <w:szCs w:val="24"/>
        </w:rPr>
        <w:t xml:space="preserve">Globalni ekonomski trendovi </w:t>
      </w:r>
      <w:r w:rsidR="00056671">
        <w:rPr>
          <w:rFonts w:ascii="Garamond" w:hAnsi="Garamond"/>
          <w:sz w:val="24"/>
          <w:szCs w:val="24"/>
        </w:rPr>
        <w:t xml:space="preserve">uzrokovani ratnim dejstvima u Ukrajini rezultirali su snažnom inflacijom koja je pogodila i Crnu Goru, što je zajedno sa ostvarenim rastom zarada i drugih primanja, unaprijeđenom poreskom disciplinom i dobrim rezultatima ljetnje turističke sezone </w:t>
      </w:r>
      <w:r w:rsidR="007D56F8">
        <w:rPr>
          <w:rFonts w:ascii="Garamond" w:hAnsi="Garamond"/>
          <w:sz w:val="24"/>
          <w:szCs w:val="24"/>
        </w:rPr>
        <w:t>dovelo do</w:t>
      </w:r>
      <w:r w:rsidR="00056671">
        <w:rPr>
          <w:rFonts w:ascii="Garamond" w:hAnsi="Garamond"/>
          <w:sz w:val="24"/>
          <w:szCs w:val="24"/>
        </w:rPr>
        <w:t xml:space="preserve"> rekordn</w:t>
      </w:r>
      <w:r w:rsidR="007D56F8">
        <w:rPr>
          <w:rFonts w:ascii="Garamond" w:hAnsi="Garamond"/>
          <w:sz w:val="24"/>
          <w:szCs w:val="24"/>
        </w:rPr>
        <w:t>e</w:t>
      </w:r>
      <w:r w:rsidR="00056671">
        <w:rPr>
          <w:rFonts w:ascii="Garamond" w:hAnsi="Garamond"/>
          <w:sz w:val="24"/>
          <w:szCs w:val="24"/>
        </w:rPr>
        <w:t xml:space="preserve"> naplat</w:t>
      </w:r>
      <w:r w:rsidR="007D56F8">
        <w:rPr>
          <w:rFonts w:ascii="Garamond" w:hAnsi="Garamond"/>
          <w:sz w:val="24"/>
          <w:szCs w:val="24"/>
        </w:rPr>
        <w:t>e</w:t>
      </w:r>
      <w:r w:rsidR="00056671">
        <w:rPr>
          <w:rFonts w:ascii="Garamond" w:hAnsi="Garamond"/>
          <w:sz w:val="24"/>
          <w:szCs w:val="24"/>
        </w:rPr>
        <w:t xml:space="preserve"> Poreza na dodatu vrijednost koji je bio glavni generator rasta prihoda kako u odnosu na prethodnu godinu tako i u odnosu na plan.</w:t>
      </w:r>
      <w:r w:rsidR="003878DD">
        <w:rPr>
          <w:rFonts w:ascii="Garamond" w:hAnsi="Garamond"/>
          <w:sz w:val="24"/>
          <w:szCs w:val="24"/>
        </w:rPr>
        <w:t xml:space="preserve"> Pored navedene prihodne kategorije</w:t>
      </w:r>
      <w:r w:rsidR="004952BF">
        <w:rPr>
          <w:rFonts w:ascii="Garamond" w:hAnsi="Garamond"/>
          <w:sz w:val="24"/>
          <w:szCs w:val="24"/>
        </w:rPr>
        <w:t>,</w:t>
      </w:r>
      <w:r w:rsidR="003878DD">
        <w:rPr>
          <w:rFonts w:ascii="Garamond" w:hAnsi="Garamond"/>
          <w:sz w:val="24"/>
          <w:szCs w:val="24"/>
        </w:rPr>
        <w:t xml:space="preserve"> najveći doprinos rastu prihoda dali su: Porez na dobit pravnih lica i Porez na međunarodnu trgovinu i transakcije.</w:t>
      </w:r>
    </w:p>
    <w:p w14:paraId="644C3FAA" w14:textId="23085750" w:rsidR="00CC702E" w:rsidRDefault="00841DC0" w:rsidP="00841DC0">
      <w:pPr>
        <w:jc w:val="both"/>
        <w:rPr>
          <w:rFonts w:ascii="Garamond" w:hAnsi="Garamond"/>
          <w:sz w:val="24"/>
          <w:szCs w:val="24"/>
        </w:rPr>
      </w:pPr>
      <w:r w:rsidRPr="00B0202D">
        <w:rPr>
          <w:rFonts w:ascii="Garamond" w:hAnsi="Garamond"/>
          <w:sz w:val="24"/>
          <w:szCs w:val="24"/>
        </w:rPr>
        <w:t xml:space="preserve">U 2022. godini prihodi od poreza na dodatu vrijednost </w:t>
      </w:r>
      <w:r w:rsidR="00CC702E">
        <w:rPr>
          <w:rFonts w:ascii="Garamond" w:hAnsi="Garamond"/>
          <w:sz w:val="24"/>
          <w:szCs w:val="24"/>
        </w:rPr>
        <w:t xml:space="preserve">naplaćeni su u iznosu od 908,0 mil. € ili 15,7% BDP-a, što je za 93,2 mil. € </w:t>
      </w:r>
      <w:r w:rsidR="00683BA6">
        <w:rPr>
          <w:rFonts w:ascii="Garamond" w:hAnsi="Garamond"/>
          <w:sz w:val="24"/>
          <w:szCs w:val="24"/>
        </w:rPr>
        <w:t xml:space="preserve">ili 11,4% </w:t>
      </w:r>
      <w:r w:rsidR="00CC702E">
        <w:rPr>
          <w:rFonts w:ascii="Garamond" w:hAnsi="Garamond"/>
          <w:sz w:val="24"/>
          <w:szCs w:val="24"/>
        </w:rPr>
        <w:t>v</w:t>
      </w:r>
      <w:r w:rsidR="00B83178">
        <w:rPr>
          <w:rFonts w:ascii="Garamond" w:hAnsi="Garamond"/>
          <w:sz w:val="24"/>
          <w:szCs w:val="24"/>
        </w:rPr>
        <w:t>iše</w:t>
      </w:r>
      <w:r w:rsidR="00CC702E">
        <w:rPr>
          <w:rFonts w:ascii="Garamond" w:hAnsi="Garamond"/>
          <w:sz w:val="24"/>
          <w:szCs w:val="24"/>
        </w:rPr>
        <w:t xml:space="preserve"> od plana a 216,1 mil. € </w:t>
      </w:r>
      <w:r w:rsidR="00EF67FB">
        <w:rPr>
          <w:rFonts w:ascii="Garamond" w:hAnsi="Garamond"/>
          <w:sz w:val="24"/>
          <w:szCs w:val="24"/>
        </w:rPr>
        <w:t xml:space="preserve">odnosno 31,2% </w:t>
      </w:r>
      <w:r w:rsidR="00CC702E">
        <w:rPr>
          <w:rFonts w:ascii="Garamond" w:hAnsi="Garamond"/>
          <w:sz w:val="24"/>
          <w:szCs w:val="24"/>
        </w:rPr>
        <w:t>v</w:t>
      </w:r>
      <w:r w:rsidR="00B83178">
        <w:rPr>
          <w:rFonts w:ascii="Garamond" w:hAnsi="Garamond"/>
          <w:sz w:val="24"/>
          <w:szCs w:val="24"/>
        </w:rPr>
        <w:t>iše</w:t>
      </w:r>
      <w:r w:rsidR="00CC702E">
        <w:rPr>
          <w:rFonts w:ascii="Garamond" w:hAnsi="Garamond"/>
          <w:sz w:val="24"/>
          <w:szCs w:val="24"/>
        </w:rPr>
        <w:t xml:space="preserve"> od naplate </w:t>
      </w:r>
      <w:r w:rsidR="000A0E81">
        <w:rPr>
          <w:rFonts w:ascii="Garamond" w:hAnsi="Garamond"/>
          <w:sz w:val="24"/>
          <w:szCs w:val="24"/>
        </w:rPr>
        <w:t xml:space="preserve">ostvarene </w:t>
      </w:r>
      <w:r w:rsidR="00CC702E">
        <w:rPr>
          <w:rFonts w:ascii="Garamond" w:hAnsi="Garamond"/>
          <w:sz w:val="24"/>
          <w:szCs w:val="24"/>
        </w:rPr>
        <w:t xml:space="preserve">po ovom osnovu u 2021. godini. </w:t>
      </w:r>
      <w:r w:rsidR="003C7D73">
        <w:rPr>
          <w:rFonts w:ascii="Garamond" w:hAnsi="Garamond"/>
          <w:sz w:val="24"/>
          <w:szCs w:val="24"/>
        </w:rPr>
        <w:t>U ukupnim prihodima Budžeta prihodi od poreza na dodatu vrijednost na kr</w:t>
      </w:r>
      <w:r w:rsidR="000A0E81">
        <w:rPr>
          <w:rFonts w:ascii="Garamond" w:hAnsi="Garamond"/>
          <w:sz w:val="24"/>
          <w:szCs w:val="24"/>
        </w:rPr>
        <w:t>aju</w:t>
      </w:r>
      <w:r w:rsidR="003C7D73">
        <w:rPr>
          <w:rFonts w:ascii="Garamond" w:hAnsi="Garamond"/>
          <w:sz w:val="24"/>
          <w:szCs w:val="24"/>
        </w:rPr>
        <w:t xml:space="preserve"> 2022. godine učestvovali su sa čak 45%.</w:t>
      </w:r>
    </w:p>
    <w:p w14:paraId="162FCDC3" w14:textId="1CDA607B" w:rsidR="009A172B" w:rsidRDefault="009A172B" w:rsidP="00841DC0">
      <w:pPr>
        <w:jc w:val="both"/>
        <w:rPr>
          <w:rFonts w:ascii="Garamond" w:hAnsi="Garamond"/>
          <w:sz w:val="24"/>
          <w:szCs w:val="24"/>
        </w:rPr>
      </w:pPr>
      <w:r>
        <w:rPr>
          <w:rFonts w:ascii="Garamond" w:hAnsi="Garamond"/>
          <w:sz w:val="24"/>
          <w:szCs w:val="24"/>
        </w:rPr>
        <w:t xml:space="preserve">Porez na dobit pravnih lica </w:t>
      </w:r>
      <w:r w:rsidR="000A0E81">
        <w:rPr>
          <w:rFonts w:ascii="Garamond" w:hAnsi="Garamond"/>
          <w:sz w:val="24"/>
          <w:szCs w:val="24"/>
        </w:rPr>
        <w:t>naplaćen</w:t>
      </w:r>
      <w:r>
        <w:rPr>
          <w:rFonts w:ascii="Garamond" w:hAnsi="Garamond"/>
          <w:sz w:val="24"/>
          <w:szCs w:val="24"/>
        </w:rPr>
        <w:t xml:space="preserve"> je na nivou od 90,2 mil. € ili 1,6% BDP-a, što je za 5,9 mil. € ili 7% više od planiranog. U odnosu na 2021. godinu, ova kategorija poreza zabilježila je rast od 15,5 mil. € ili 20,7%</w:t>
      </w:r>
      <w:r w:rsidR="00836FAD">
        <w:rPr>
          <w:rFonts w:ascii="Garamond" w:hAnsi="Garamond"/>
          <w:sz w:val="24"/>
          <w:szCs w:val="24"/>
        </w:rPr>
        <w:t xml:space="preserve"> i to kao rezultat ostvarenog rasta ekonomske aktivnosti u 2021. godini ali i unaprijeđene poreske discipline.</w:t>
      </w:r>
    </w:p>
    <w:p w14:paraId="38A7A4DE" w14:textId="7997ADDF" w:rsidR="00CC702E" w:rsidRDefault="00607253" w:rsidP="00841DC0">
      <w:pPr>
        <w:jc w:val="both"/>
        <w:rPr>
          <w:rFonts w:ascii="Garamond" w:hAnsi="Garamond"/>
          <w:sz w:val="24"/>
          <w:szCs w:val="24"/>
        </w:rPr>
      </w:pPr>
      <w:r>
        <w:rPr>
          <w:rFonts w:ascii="Garamond" w:hAnsi="Garamond"/>
          <w:sz w:val="24"/>
          <w:szCs w:val="24"/>
        </w:rPr>
        <w:lastRenderedPageBreak/>
        <w:t xml:space="preserve">Porez na međunarodnu trgovinu i transakcije </w:t>
      </w:r>
      <w:r w:rsidR="0055248F">
        <w:rPr>
          <w:rFonts w:ascii="Garamond" w:hAnsi="Garamond"/>
          <w:sz w:val="24"/>
          <w:szCs w:val="24"/>
        </w:rPr>
        <w:t>u 2022. godin</w:t>
      </w:r>
      <w:r w:rsidR="00A5347C">
        <w:rPr>
          <w:rFonts w:ascii="Garamond" w:hAnsi="Garamond"/>
          <w:sz w:val="24"/>
          <w:szCs w:val="24"/>
        </w:rPr>
        <w:t>i</w:t>
      </w:r>
      <w:r w:rsidR="0055248F">
        <w:rPr>
          <w:rFonts w:ascii="Garamond" w:hAnsi="Garamond"/>
          <w:sz w:val="24"/>
          <w:szCs w:val="24"/>
        </w:rPr>
        <w:t xml:space="preserve"> naplaćen je u iznosu od 40,2 mil. € ili 0,7% BDP-a. U odnosu na prethodnu godinu, ova kategorija prihoda zabilježila je rast od 11,9 mil. € odnosno 42,2% što je rezultat rasta ostvar</w:t>
      </w:r>
      <w:r w:rsidR="00B83178">
        <w:rPr>
          <w:rFonts w:ascii="Garamond" w:hAnsi="Garamond"/>
          <w:sz w:val="24"/>
          <w:szCs w:val="24"/>
        </w:rPr>
        <w:t>e</w:t>
      </w:r>
      <w:r w:rsidR="0055248F">
        <w:rPr>
          <w:rFonts w:ascii="Garamond" w:hAnsi="Garamond"/>
          <w:sz w:val="24"/>
          <w:szCs w:val="24"/>
        </w:rPr>
        <w:t>nog uvoza roba i usluga. U odnosu na plan, prihodi po ovom osnovu veći su za 10,6 mil. € ili 35,6%.</w:t>
      </w:r>
    </w:p>
    <w:p w14:paraId="18330D3B" w14:textId="3185EB63" w:rsidR="0063617B" w:rsidRDefault="00B83178" w:rsidP="0063617B">
      <w:pPr>
        <w:jc w:val="both"/>
        <w:rPr>
          <w:rFonts w:ascii="Garamond" w:hAnsi="Garamond"/>
          <w:sz w:val="24"/>
          <w:szCs w:val="24"/>
        </w:rPr>
      </w:pPr>
      <w:r>
        <w:rPr>
          <w:rFonts w:ascii="Garamond" w:hAnsi="Garamond"/>
          <w:sz w:val="24"/>
          <w:szCs w:val="24"/>
        </w:rPr>
        <w:t>Kada su u pitanju neporeski prihodi, p</w:t>
      </w:r>
      <w:r w:rsidR="0063617B">
        <w:rPr>
          <w:rFonts w:ascii="Garamond" w:hAnsi="Garamond"/>
          <w:sz w:val="24"/>
          <w:szCs w:val="24"/>
        </w:rPr>
        <w:t xml:space="preserve">rihodi od naknada u 2022. godini ostvareni su u iznosu od 72,7 mil. € ili 1,3% </w:t>
      </w:r>
      <w:r w:rsidR="00804915">
        <w:rPr>
          <w:rFonts w:ascii="Garamond" w:hAnsi="Garamond"/>
          <w:sz w:val="24"/>
          <w:szCs w:val="24"/>
        </w:rPr>
        <w:t xml:space="preserve">BDP-a </w:t>
      </w:r>
      <w:r w:rsidR="0063617B">
        <w:rPr>
          <w:rFonts w:ascii="Garamond" w:hAnsi="Garamond"/>
          <w:sz w:val="24"/>
          <w:szCs w:val="24"/>
        </w:rPr>
        <w:t xml:space="preserve">što je za 21,7 mil. € odnosno 42,4% više od prethodne godine dok je u odnosu na plan više za 18 mil. € ili 32,9%. Ostvareni rast dominantno je </w:t>
      </w:r>
      <w:r w:rsidR="0063617B" w:rsidRPr="00CF7547">
        <w:rPr>
          <w:rFonts w:ascii="Garamond" w:hAnsi="Garamond"/>
          <w:sz w:val="24"/>
          <w:szCs w:val="24"/>
        </w:rPr>
        <w:t xml:space="preserve">rezultat jednokratne uplate naknada po osnovu aktivnosti istraživanja nafte i gasa kao i veće naplate </w:t>
      </w:r>
      <w:r w:rsidR="0086065C">
        <w:rPr>
          <w:rFonts w:ascii="Garamond" w:hAnsi="Garamond"/>
          <w:sz w:val="24"/>
          <w:szCs w:val="24"/>
        </w:rPr>
        <w:t xml:space="preserve">naknada </w:t>
      </w:r>
      <w:r w:rsidR="0063617B" w:rsidRPr="00CF7547">
        <w:rPr>
          <w:rFonts w:ascii="Garamond" w:hAnsi="Garamond"/>
          <w:sz w:val="24"/>
          <w:szCs w:val="24"/>
        </w:rPr>
        <w:t>po osnovu implementacije programa „Ekonomskog državljanstva“.</w:t>
      </w:r>
    </w:p>
    <w:p w14:paraId="4C84AD68" w14:textId="34D57B6D" w:rsidR="0063617B" w:rsidRPr="00B0202D" w:rsidRDefault="0063617B" w:rsidP="0063617B">
      <w:pPr>
        <w:jc w:val="both"/>
        <w:rPr>
          <w:rFonts w:ascii="Garamond" w:hAnsi="Garamond"/>
          <w:sz w:val="24"/>
          <w:szCs w:val="24"/>
        </w:rPr>
      </w:pPr>
      <w:r w:rsidRPr="00B0202D">
        <w:rPr>
          <w:rFonts w:ascii="Garamond" w:hAnsi="Garamond"/>
          <w:sz w:val="24"/>
          <w:szCs w:val="24"/>
        </w:rPr>
        <w:t xml:space="preserve">Prihodi od akciza u 2022. godini </w:t>
      </w:r>
      <w:r w:rsidR="00AA03E4">
        <w:rPr>
          <w:rFonts w:ascii="Garamond" w:hAnsi="Garamond"/>
          <w:sz w:val="24"/>
          <w:szCs w:val="24"/>
        </w:rPr>
        <w:t>iznosili su 245,9 mil. €ili 4,2% BDP-a što je</w:t>
      </w:r>
      <w:r w:rsidRPr="00B0202D">
        <w:rPr>
          <w:rFonts w:ascii="Garamond" w:hAnsi="Garamond"/>
          <w:sz w:val="24"/>
          <w:szCs w:val="24"/>
        </w:rPr>
        <w:t xml:space="preserve"> za 15,1 mil. € ili 5,8%. </w:t>
      </w:r>
      <w:r w:rsidR="00AA03E4" w:rsidRPr="00B0202D">
        <w:rPr>
          <w:rFonts w:ascii="Garamond" w:hAnsi="Garamond"/>
          <w:sz w:val="24"/>
          <w:szCs w:val="24"/>
        </w:rPr>
        <w:t>manj</w:t>
      </w:r>
      <w:r w:rsidR="00AA03E4">
        <w:rPr>
          <w:rFonts w:ascii="Garamond" w:hAnsi="Garamond"/>
          <w:sz w:val="24"/>
          <w:szCs w:val="24"/>
        </w:rPr>
        <w:t>e</w:t>
      </w:r>
      <w:r w:rsidR="00AA03E4" w:rsidRPr="00B0202D">
        <w:rPr>
          <w:rFonts w:ascii="Garamond" w:hAnsi="Garamond"/>
          <w:sz w:val="24"/>
          <w:szCs w:val="24"/>
        </w:rPr>
        <w:t xml:space="preserve"> u odnosu na plan</w:t>
      </w:r>
      <w:r w:rsidR="00AA03E4">
        <w:rPr>
          <w:rFonts w:ascii="Garamond" w:hAnsi="Garamond"/>
          <w:sz w:val="24"/>
          <w:szCs w:val="24"/>
        </w:rPr>
        <w:t xml:space="preserve">irano. </w:t>
      </w:r>
      <w:r w:rsidRPr="00B0202D">
        <w:rPr>
          <w:rFonts w:ascii="Garamond" w:hAnsi="Garamond"/>
          <w:sz w:val="24"/>
          <w:szCs w:val="24"/>
        </w:rPr>
        <w:t>Navedeno odstupanje posljedica je primjene Odluke o umanjenju iznosa akcize na promet bezolovnog benzina i gasnih ulja po kojoj je akciza na promet ovih proizvoda od maja mjeseca smanjena za 50%, 40% ili 25% u zavisnosti od kretanja cijena, a u cilju zaštite životnog standarda građana</w:t>
      </w:r>
      <w:r>
        <w:rPr>
          <w:rFonts w:ascii="Garamond" w:hAnsi="Garamond"/>
          <w:sz w:val="24"/>
          <w:szCs w:val="24"/>
        </w:rPr>
        <w:t xml:space="preserve"> usljed značajnog rasta cijene energenata na tržištu</w:t>
      </w:r>
      <w:r w:rsidRPr="00B0202D">
        <w:rPr>
          <w:rFonts w:ascii="Garamond" w:hAnsi="Garamond"/>
          <w:sz w:val="24"/>
          <w:szCs w:val="24"/>
        </w:rPr>
        <w:t>. U poređenju sa prethodnom godinom, prihodi od akciza manji su za 2,8 mil. € ili 1,1%. Smanjenje prihoda usljed primjene Odluke o umanjenju iznosa akcize na promet bezolovnog benzina i gasnih ulja</w:t>
      </w:r>
      <w:r>
        <w:rPr>
          <w:rFonts w:ascii="Garamond" w:hAnsi="Garamond"/>
          <w:sz w:val="24"/>
          <w:szCs w:val="24"/>
        </w:rPr>
        <w:t xml:space="preserve"> </w:t>
      </w:r>
      <w:r w:rsidRPr="00B0202D">
        <w:rPr>
          <w:rFonts w:ascii="Garamond" w:hAnsi="Garamond"/>
          <w:sz w:val="24"/>
          <w:szCs w:val="24"/>
        </w:rPr>
        <w:t>u najvećoj mjeri kompenzovan</w:t>
      </w:r>
      <w:r>
        <w:rPr>
          <w:rFonts w:ascii="Garamond" w:hAnsi="Garamond"/>
          <w:sz w:val="24"/>
          <w:szCs w:val="24"/>
        </w:rPr>
        <w:t>o</w:t>
      </w:r>
      <w:r w:rsidRPr="00B0202D">
        <w:rPr>
          <w:rFonts w:ascii="Garamond" w:hAnsi="Garamond"/>
          <w:sz w:val="24"/>
          <w:szCs w:val="24"/>
        </w:rPr>
        <w:t xml:space="preserve"> je rastom prihoda od akciza na duvan i duvanske proizvode, koji su u poređenju sa prethodnom godinom zabilježili rast od </w:t>
      </w:r>
      <w:r w:rsidRPr="001D6F34">
        <w:rPr>
          <w:rFonts w:ascii="Garamond" w:hAnsi="Garamond"/>
          <w:sz w:val="24"/>
          <w:szCs w:val="24"/>
        </w:rPr>
        <w:t>31,6 mil. € ili 52,3%, kao</w:t>
      </w:r>
      <w:r w:rsidRPr="00B0202D">
        <w:rPr>
          <w:rFonts w:ascii="Garamond" w:hAnsi="Garamond"/>
          <w:sz w:val="24"/>
          <w:szCs w:val="24"/>
        </w:rPr>
        <w:t xml:space="preserve"> rezultat suzbijanja aktivnosti na nelegalnom tržištu duvana i duvanskih proizvoda.</w:t>
      </w:r>
    </w:p>
    <w:p w14:paraId="2299A3EE" w14:textId="39FE00CB" w:rsidR="002E1E69" w:rsidRDefault="0063617B" w:rsidP="000D05F9">
      <w:pPr>
        <w:jc w:val="both"/>
        <w:rPr>
          <w:rFonts w:ascii="Garamond" w:hAnsi="Garamond"/>
          <w:sz w:val="24"/>
          <w:szCs w:val="24"/>
        </w:rPr>
      </w:pPr>
      <w:r>
        <w:rPr>
          <w:rFonts w:ascii="Garamond" w:hAnsi="Garamond"/>
          <w:sz w:val="24"/>
          <w:szCs w:val="24"/>
        </w:rPr>
        <w:t xml:space="preserve">Kao što je prethodno pomenuto, </w:t>
      </w:r>
      <w:r w:rsidR="00841DC0" w:rsidRPr="00B0202D">
        <w:rPr>
          <w:rFonts w:ascii="Garamond" w:hAnsi="Garamond"/>
          <w:sz w:val="24"/>
          <w:szCs w:val="24"/>
        </w:rPr>
        <w:t xml:space="preserve">manja naplata prihoda u odnosu na prethodnu godinu ostvarena je kod poreza i doprinosa na zarade usljed uvođenja neoporezivog dijela zarade i ukidanja doprinosa za zdravstveno osiguranje. Osim toga, na nižu naplatu poreza na dohodak, uticalo je i usvajanje Zakona o izmjenama i dopuni zakona o finansiranju lokalne samouprave kojim je povećan procenat ustupljenih prihoda od poreza na dohodak fizičkih lica lokalnim samoupravama kroz istovremeno smanjenje prihoda koji su do tada po ovom osnovu pripadali centralnom budžetu. </w:t>
      </w:r>
    </w:p>
    <w:p w14:paraId="61A7A8E8" w14:textId="77777777" w:rsidR="00E84D4D" w:rsidRPr="003E6974" w:rsidRDefault="00E84D4D" w:rsidP="00F00B3F">
      <w:pPr>
        <w:pStyle w:val="Footer"/>
        <w:suppressAutoHyphens/>
        <w:jc w:val="both"/>
        <w:rPr>
          <w:rFonts w:ascii="Garamond" w:hAnsi="Garamond"/>
          <w:sz w:val="24"/>
          <w:szCs w:val="24"/>
        </w:rPr>
      </w:pPr>
    </w:p>
    <w:p w14:paraId="5934BCA8" w14:textId="4CDFBBB2" w:rsidR="00301BCD" w:rsidRPr="003E6974" w:rsidRDefault="00481641" w:rsidP="00F00B3F">
      <w:pPr>
        <w:pStyle w:val="Footer"/>
        <w:suppressAutoHyphens/>
        <w:jc w:val="both"/>
        <w:rPr>
          <w:rFonts w:ascii="Garamond" w:hAnsi="Garamond"/>
          <w:sz w:val="24"/>
          <w:szCs w:val="24"/>
        </w:rPr>
      </w:pPr>
      <w:r w:rsidRPr="003E6974">
        <w:rPr>
          <w:rFonts w:ascii="Garamond" w:hAnsi="Garamond"/>
          <w:b/>
          <w:sz w:val="24"/>
          <w:szCs w:val="24"/>
        </w:rPr>
        <w:t>Izdaci budžeta</w:t>
      </w:r>
      <w:r w:rsidR="00800347" w:rsidRPr="003E6974">
        <w:rPr>
          <w:rFonts w:ascii="Garamond" w:hAnsi="Garamond"/>
          <w:sz w:val="24"/>
          <w:szCs w:val="24"/>
        </w:rPr>
        <w:t xml:space="preserve"> u 202</w:t>
      </w:r>
      <w:r w:rsidR="000D05F9">
        <w:rPr>
          <w:rFonts w:ascii="Garamond" w:hAnsi="Garamond"/>
          <w:sz w:val="24"/>
          <w:szCs w:val="24"/>
        </w:rPr>
        <w:t>2</w:t>
      </w:r>
      <w:r w:rsidR="00800347" w:rsidRPr="003E6974">
        <w:rPr>
          <w:rFonts w:ascii="Garamond" w:hAnsi="Garamond"/>
          <w:sz w:val="24"/>
          <w:szCs w:val="24"/>
        </w:rPr>
        <w:t>. godini iznosili su</w:t>
      </w:r>
      <w:r w:rsidR="00301BCD" w:rsidRPr="003E6974">
        <w:rPr>
          <w:rFonts w:ascii="Garamond" w:hAnsi="Garamond"/>
          <w:sz w:val="24"/>
          <w:szCs w:val="24"/>
        </w:rPr>
        <w:t xml:space="preserve"> 2.</w:t>
      </w:r>
      <w:r w:rsidR="00970EF4">
        <w:rPr>
          <w:rFonts w:ascii="Garamond" w:hAnsi="Garamond"/>
          <w:sz w:val="24"/>
          <w:szCs w:val="24"/>
        </w:rPr>
        <w:t>268,9</w:t>
      </w:r>
      <w:r w:rsidR="00301BCD" w:rsidRPr="003E6974">
        <w:rPr>
          <w:rFonts w:ascii="Garamond" w:hAnsi="Garamond"/>
          <w:sz w:val="24"/>
          <w:szCs w:val="24"/>
        </w:rPr>
        <w:t xml:space="preserve"> mil. € ili </w:t>
      </w:r>
      <w:r w:rsidR="00970EF4">
        <w:rPr>
          <w:rFonts w:ascii="Garamond" w:hAnsi="Garamond"/>
          <w:sz w:val="24"/>
          <w:szCs w:val="24"/>
        </w:rPr>
        <w:t>39,1</w:t>
      </w:r>
      <w:r w:rsidR="00301BCD" w:rsidRPr="003E6974">
        <w:rPr>
          <w:rFonts w:ascii="Garamond" w:hAnsi="Garamond"/>
          <w:sz w:val="24"/>
          <w:szCs w:val="24"/>
        </w:rPr>
        <w:t>% procijenj</w:t>
      </w:r>
      <w:r w:rsidR="004C09F8" w:rsidRPr="003E6974">
        <w:rPr>
          <w:rFonts w:ascii="Garamond" w:hAnsi="Garamond"/>
          <w:sz w:val="24"/>
          <w:szCs w:val="24"/>
        </w:rPr>
        <w:t>enog BDP-a i odnosu na planirane</w:t>
      </w:r>
      <w:r w:rsidR="00301BCD" w:rsidRPr="003E6974">
        <w:rPr>
          <w:rFonts w:ascii="Garamond" w:hAnsi="Garamond"/>
          <w:sz w:val="24"/>
          <w:szCs w:val="24"/>
        </w:rPr>
        <w:t xml:space="preserve"> </w:t>
      </w:r>
      <w:r w:rsidR="00902B29">
        <w:rPr>
          <w:rFonts w:ascii="Garamond" w:hAnsi="Garamond"/>
          <w:sz w:val="24"/>
          <w:szCs w:val="24"/>
        </w:rPr>
        <w:t>R</w:t>
      </w:r>
      <w:r w:rsidR="00301BCD" w:rsidRPr="003E6974">
        <w:rPr>
          <w:rFonts w:ascii="Garamond" w:hAnsi="Garamond"/>
          <w:sz w:val="24"/>
          <w:szCs w:val="24"/>
        </w:rPr>
        <w:t xml:space="preserve">ebalansom budžeta </w:t>
      </w:r>
      <w:r w:rsidR="00970EF4">
        <w:rPr>
          <w:rFonts w:ascii="Garamond" w:hAnsi="Garamond"/>
          <w:sz w:val="24"/>
          <w:szCs w:val="24"/>
        </w:rPr>
        <w:t>manji su</w:t>
      </w:r>
      <w:r w:rsidR="00301BCD" w:rsidRPr="003E6974">
        <w:rPr>
          <w:rFonts w:ascii="Garamond" w:hAnsi="Garamond"/>
          <w:sz w:val="24"/>
          <w:szCs w:val="24"/>
        </w:rPr>
        <w:t xml:space="preserve"> za </w:t>
      </w:r>
      <w:r w:rsidR="00970EF4">
        <w:rPr>
          <w:rFonts w:ascii="Garamond" w:hAnsi="Garamond"/>
          <w:sz w:val="24"/>
          <w:szCs w:val="24"/>
        </w:rPr>
        <w:t>115,4</w:t>
      </w:r>
      <w:r w:rsidR="00301BCD" w:rsidRPr="003E6974">
        <w:rPr>
          <w:rFonts w:ascii="Garamond" w:hAnsi="Garamond"/>
          <w:sz w:val="24"/>
          <w:szCs w:val="24"/>
        </w:rPr>
        <w:t xml:space="preserve"> mil. € ili </w:t>
      </w:r>
      <w:r w:rsidR="00970EF4">
        <w:rPr>
          <w:rFonts w:ascii="Garamond" w:hAnsi="Garamond"/>
          <w:sz w:val="24"/>
          <w:szCs w:val="24"/>
        </w:rPr>
        <w:t>4,8</w:t>
      </w:r>
      <w:r w:rsidR="00470D7F" w:rsidRPr="003E6974">
        <w:rPr>
          <w:rFonts w:ascii="Garamond" w:hAnsi="Garamond"/>
          <w:sz w:val="24"/>
          <w:szCs w:val="24"/>
        </w:rPr>
        <w:t xml:space="preserve">%, </w:t>
      </w:r>
      <w:r w:rsidR="00301BCD" w:rsidRPr="003E6974">
        <w:rPr>
          <w:rFonts w:ascii="Garamond" w:hAnsi="Garamond"/>
          <w:sz w:val="24"/>
          <w:szCs w:val="24"/>
        </w:rPr>
        <w:t xml:space="preserve">dok </w:t>
      </w:r>
      <w:r w:rsidR="004C09F8" w:rsidRPr="003E6974">
        <w:rPr>
          <w:rFonts w:ascii="Garamond" w:hAnsi="Garamond"/>
          <w:sz w:val="24"/>
          <w:szCs w:val="24"/>
        </w:rPr>
        <w:t>su</w:t>
      </w:r>
      <w:r w:rsidR="00301BCD" w:rsidRPr="003E6974">
        <w:rPr>
          <w:rFonts w:ascii="Garamond" w:hAnsi="Garamond"/>
          <w:sz w:val="24"/>
          <w:szCs w:val="24"/>
        </w:rPr>
        <w:t xml:space="preserve"> u odnosu na</w:t>
      </w:r>
      <w:r w:rsidR="00470D7F" w:rsidRPr="003E6974">
        <w:rPr>
          <w:rFonts w:ascii="Garamond" w:hAnsi="Garamond"/>
          <w:sz w:val="24"/>
          <w:szCs w:val="24"/>
        </w:rPr>
        <w:t xml:space="preserve"> realizovane</w:t>
      </w:r>
      <w:r w:rsidR="004C09F8" w:rsidRPr="003E6974">
        <w:rPr>
          <w:rFonts w:ascii="Garamond" w:hAnsi="Garamond"/>
          <w:sz w:val="24"/>
          <w:szCs w:val="24"/>
        </w:rPr>
        <w:t xml:space="preserve"> u 20</w:t>
      </w:r>
      <w:r w:rsidR="00970EF4">
        <w:rPr>
          <w:rFonts w:ascii="Garamond" w:hAnsi="Garamond"/>
          <w:sz w:val="24"/>
          <w:szCs w:val="24"/>
        </w:rPr>
        <w:t>21</w:t>
      </w:r>
      <w:r w:rsidR="004C09F8" w:rsidRPr="003E6974">
        <w:rPr>
          <w:rFonts w:ascii="Garamond" w:hAnsi="Garamond"/>
          <w:sz w:val="24"/>
          <w:szCs w:val="24"/>
        </w:rPr>
        <w:t>. godini veći</w:t>
      </w:r>
      <w:r w:rsidR="00301BCD" w:rsidRPr="003E6974">
        <w:rPr>
          <w:rFonts w:ascii="Garamond" w:hAnsi="Garamond"/>
          <w:sz w:val="24"/>
          <w:szCs w:val="24"/>
        </w:rPr>
        <w:t xml:space="preserve"> za </w:t>
      </w:r>
      <w:r w:rsidR="00970EF4">
        <w:rPr>
          <w:rFonts w:ascii="Garamond" w:hAnsi="Garamond"/>
          <w:sz w:val="24"/>
          <w:szCs w:val="24"/>
        </w:rPr>
        <w:t>258,0</w:t>
      </w:r>
      <w:r w:rsidR="00301BCD" w:rsidRPr="003E6974">
        <w:rPr>
          <w:rFonts w:ascii="Garamond" w:hAnsi="Garamond"/>
          <w:sz w:val="24"/>
          <w:szCs w:val="24"/>
        </w:rPr>
        <w:t xml:space="preserve"> mil. € i</w:t>
      </w:r>
      <w:r w:rsidR="007E3618" w:rsidRPr="003E6974">
        <w:rPr>
          <w:rFonts w:ascii="Garamond" w:hAnsi="Garamond"/>
          <w:sz w:val="24"/>
          <w:szCs w:val="24"/>
        </w:rPr>
        <w:t xml:space="preserve">li </w:t>
      </w:r>
      <w:r w:rsidR="00970EF4">
        <w:rPr>
          <w:rFonts w:ascii="Garamond" w:hAnsi="Garamond"/>
          <w:sz w:val="24"/>
          <w:szCs w:val="24"/>
        </w:rPr>
        <w:t>12,8</w:t>
      </w:r>
      <w:r w:rsidR="00301BCD" w:rsidRPr="003E6974">
        <w:rPr>
          <w:rFonts w:ascii="Garamond" w:hAnsi="Garamond"/>
          <w:sz w:val="24"/>
          <w:szCs w:val="24"/>
        </w:rPr>
        <w:t>%.</w:t>
      </w:r>
    </w:p>
    <w:p w14:paraId="5C4ED56D" w14:textId="71099530" w:rsidR="007C0938" w:rsidRPr="007C0938" w:rsidRDefault="002624B5" w:rsidP="007C0938">
      <w:pPr>
        <w:numPr>
          <w:ilvl w:val="1"/>
          <w:numId w:val="0"/>
        </w:numPr>
        <w:spacing w:before="100" w:beforeAutospacing="1" w:after="100" w:afterAutospacing="1" w:line="240" w:lineRule="auto"/>
        <w:jc w:val="both"/>
        <w:rPr>
          <w:rFonts w:ascii="Garamond" w:hAnsi="Garamond"/>
          <w:sz w:val="24"/>
          <w:szCs w:val="24"/>
          <w:lang w:val="sr-Latn-CS"/>
        </w:rPr>
      </w:pPr>
      <w:r w:rsidRPr="00A161E8">
        <w:rPr>
          <w:rFonts w:ascii="Garamond" w:hAnsi="Garamond"/>
          <w:sz w:val="24"/>
          <w:szCs w:val="24"/>
          <w:lang w:val="sr-Latn-CS"/>
        </w:rPr>
        <w:t xml:space="preserve">U strukturi izdataka budžeta, </w:t>
      </w:r>
      <w:r w:rsidRPr="00A161E8">
        <w:rPr>
          <w:rFonts w:ascii="Garamond" w:hAnsi="Garamond"/>
          <w:b/>
          <w:sz w:val="24"/>
          <w:szCs w:val="24"/>
          <w:lang w:val="sr-Latn-CS"/>
        </w:rPr>
        <w:t>tekući izdaci</w:t>
      </w:r>
      <w:r w:rsidRPr="00A161E8">
        <w:rPr>
          <w:rFonts w:ascii="Garamond" w:hAnsi="Garamond"/>
          <w:sz w:val="24"/>
          <w:szCs w:val="24"/>
          <w:lang w:val="sr-Latn-CS"/>
        </w:rPr>
        <w:t xml:space="preserve"> ostvareni su na nivou od </w:t>
      </w:r>
      <w:r w:rsidR="00DD7574">
        <w:rPr>
          <w:rFonts w:ascii="Garamond" w:hAnsi="Garamond"/>
          <w:sz w:val="24"/>
          <w:szCs w:val="24"/>
          <w:lang w:val="sr-Latn-CS"/>
        </w:rPr>
        <w:t>923,7</w:t>
      </w:r>
      <w:r w:rsidRPr="00A161E8">
        <w:rPr>
          <w:rFonts w:ascii="Garamond" w:hAnsi="Garamond"/>
          <w:sz w:val="24"/>
          <w:szCs w:val="24"/>
          <w:lang w:val="sr-Latn-CS"/>
        </w:rPr>
        <w:t xml:space="preserve"> mil. € i </w:t>
      </w:r>
      <w:r w:rsidR="00DD7574">
        <w:rPr>
          <w:rFonts w:ascii="Garamond" w:hAnsi="Garamond"/>
          <w:sz w:val="24"/>
          <w:szCs w:val="24"/>
          <w:lang w:val="sr-Latn-CS"/>
        </w:rPr>
        <w:t>manji su</w:t>
      </w:r>
      <w:r w:rsidRPr="00A161E8">
        <w:rPr>
          <w:rFonts w:ascii="Garamond" w:hAnsi="Garamond"/>
          <w:sz w:val="24"/>
          <w:szCs w:val="24"/>
          <w:lang w:val="sr-Latn-CS"/>
        </w:rPr>
        <w:t xml:space="preserve"> za </w:t>
      </w:r>
      <w:r w:rsidR="00DD7574">
        <w:rPr>
          <w:rFonts w:ascii="Garamond" w:hAnsi="Garamond"/>
          <w:sz w:val="24"/>
          <w:szCs w:val="24"/>
          <w:lang w:val="sr-Latn-CS"/>
        </w:rPr>
        <w:t>34,1</w:t>
      </w:r>
      <w:r w:rsidRPr="00A161E8">
        <w:rPr>
          <w:rFonts w:ascii="Garamond" w:hAnsi="Garamond"/>
          <w:sz w:val="24"/>
          <w:szCs w:val="24"/>
          <w:lang w:val="sr-Latn-CS"/>
        </w:rPr>
        <w:t xml:space="preserve"> mil. € ili </w:t>
      </w:r>
      <w:r w:rsidR="00DD7574">
        <w:rPr>
          <w:rFonts w:ascii="Garamond" w:hAnsi="Garamond"/>
          <w:sz w:val="24"/>
          <w:szCs w:val="24"/>
          <w:lang w:val="sr-Latn-CS"/>
        </w:rPr>
        <w:t>3,6</w:t>
      </w:r>
      <w:r w:rsidRPr="00A161E8">
        <w:rPr>
          <w:rFonts w:ascii="Garamond" w:hAnsi="Garamond"/>
          <w:sz w:val="24"/>
          <w:szCs w:val="24"/>
          <w:lang w:val="sr-Latn-CS"/>
        </w:rPr>
        <w:t xml:space="preserve">% od planiranih, </w:t>
      </w:r>
      <w:r>
        <w:rPr>
          <w:rFonts w:ascii="Garamond" w:hAnsi="Garamond"/>
          <w:sz w:val="24"/>
          <w:szCs w:val="24"/>
          <w:lang w:val="sr-Latn-CS"/>
        </w:rPr>
        <w:t>p</w:t>
      </w:r>
      <w:r w:rsidRPr="001A2304">
        <w:rPr>
          <w:rFonts w:ascii="Garamond" w:hAnsi="Garamond"/>
          <w:sz w:val="24"/>
          <w:szCs w:val="24"/>
          <w:lang w:val="sr-Latn-CS"/>
        </w:rPr>
        <w:t xml:space="preserve">rvenstveno usljed </w:t>
      </w:r>
      <w:r w:rsidR="00902B29">
        <w:rPr>
          <w:rFonts w:ascii="Garamond" w:hAnsi="Garamond"/>
          <w:sz w:val="24"/>
          <w:szCs w:val="24"/>
          <w:lang w:val="sr-Latn-CS"/>
        </w:rPr>
        <w:t>niže</w:t>
      </w:r>
      <w:r w:rsidR="00DD7574">
        <w:rPr>
          <w:rFonts w:ascii="Garamond" w:hAnsi="Garamond"/>
          <w:sz w:val="24"/>
          <w:szCs w:val="24"/>
          <w:lang w:val="sr-Latn-CS"/>
        </w:rPr>
        <w:t xml:space="preserve"> realizacije u okviru Bruto zarada i doprinosa na teret poslodavca, rashoda za materijal i usluge i ostalih izdataka. U odnosu na prethodnu godinu, tekući izdaci veći su za 47,9 mil. € ili 5,5%.</w:t>
      </w:r>
      <w:r w:rsidR="007C0938">
        <w:rPr>
          <w:rFonts w:ascii="Garamond" w:hAnsi="Garamond"/>
          <w:sz w:val="24"/>
          <w:szCs w:val="24"/>
          <w:lang w:val="sr-Latn-CS"/>
        </w:rPr>
        <w:t xml:space="preserve"> </w:t>
      </w:r>
      <w:r w:rsidR="007C0938">
        <w:rPr>
          <w:rFonts w:ascii="Garamond" w:hAnsi="Garamond"/>
          <w:sz w:val="24"/>
          <w:szCs w:val="24"/>
        </w:rPr>
        <w:t>Manja realizacija od planirane zabilježena je i u okviru Rezervi u iznosu od 75,0 mil. € odnosno 75%.</w:t>
      </w:r>
    </w:p>
    <w:p w14:paraId="16037AF7" w14:textId="4FB13519" w:rsidR="00A32558" w:rsidRPr="003B4C01" w:rsidRDefault="00A32558" w:rsidP="00A32558">
      <w:pPr>
        <w:jc w:val="both"/>
        <w:rPr>
          <w:rFonts w:ascii="Garamond" w:hAnsi="Garamond"/>
          <w:sz w:val="24"/>
          <w:szCs w:val="24"/>
        </w:rPr>
      </w:pPr>
      <w:r>
        <w:rPr>
          <w:rFonts w:ascii="Garamond" w:hAnsi="Garamond"/>
          <w:sz w:val="24"/>
          <w:szCs w:val="24"/>
        </w:rPr>
        <w:t>N</w:t>
      </w:r>
      <w:r w:rsidRPr="003B4C01">
        <w:rPr>
          <w:rFonts w:ascii="Garamond" w:hAnsi="Garamond"/>
          <w:sz w:val="24"/>
          <w:szCs w:val="24"/>
        </w:rPr>
        <w:t xml:space="preserve">ajveći rast </w:t>
      </w:r>
      <w:r>
        <w:rPr>
          <w:rFonts w:ascii="Garamond" w:hAnsi="Garamond"/>
          <w:sz w:val="24"/>
          <w:szCs w:val="24"/>
        </w:rPr>
        <w:t xml:space="preserve">u odnosu na 2021. godinu </w:t>
      </w:r>
      <w:r w:rsidRPr="003B4C01">
        <w:rPr>
          <w:rFonts w:ascii="Garamond" w:hAnsi="Garamond"/>
          <w:sz w:val="24"/>
          <w:szCs w:val="24"/>
        </w:rPr>
        <w:t xml:space="preserve">zabilježen kod Transfera za socijalnu zaštitu u iznosu od </w:t>
      </w:r>
      <w:r>
        <w:rPr>
          <w:rFonts w:ascii="Garamond" w:hAnsi="Garamond"/>
          <w:sz w:val="24"/>
          <w:szCs w:val="24"/>
        </w:rPr>
        <w:t>100,0</w:t>
      </w:r>
      <w:r w:rsidRPr="003B4C01">
        <w:rPr>
          <w:rFonts w:ascii="Garamond" w:hAnsi="Garamond"/>
          <w:sz w:val="24"/>
          <w:szCs w:val="24"/>
        </w:rPr>
        <w:t xml:space="preserve"> mil. € ili 17,</w:t>
      </w:r>
      <w:r>
        <w:rPr>
          <w:rFonts w:ascii="Garamond" w:hAnsi="Garamond"/>
          <w:sz w:val="24"/>
          <w:szCs w:val="24"/>
        </w:rPr>
        <w:t>6</w:t>
      </w:r>
      <w:r w:rsidRPr="003B4C01">
        <w:rPr>
          <w:rFonts w:ascii="Garamond" w:hAnsi="Garamond"/>
          <w:sz w:val="24"/>
          <w:szCs w:val="24"/>
        </w:rPr>
        <w:t>% usljed rasta troškova po osnovu isplate prava iz oblasti socijalne zaštite i penzijskog i invalidskog osiguranja. U okviru tekućeg budžeta i budžeta državnih fondova, rast je zabilježen i kod transfera institucijama, pojedincima, NVO i ja</w:t>
      </w:r>
      <w:r>
        <w:rPr>
          <w:rFonts w:ascii="Garamond" w:hAnsi="Garamond"/>
          <w:sz w:val="24"/>
          <w:szCs w:val="24"/>
        </w:rPr>
        <w:t>vnom sektoru u iznosu od 96,5 mil. € ili 37,5</w:t>
      </w:r>
      <w:r w:rsidRPr="003B4C01">
        <w:rPr>
          <w:rFonts w:ascii="Garamond" w:hAnsi="Garamond"/>
          <w:sz w:val="24"/>
          <w:szCs w:val="24"/>
        </w:rPr>
        <w:t xml:space="preserve">% prevashodno usljed potreba dodatnog finansiranja zdravstvenog sistema. </w:t>
      </w:r>
    </w:p>
    <w:p w14:paraId="6E2E705E" w14:textId="194CDE4B" w:rsidR="00301BCD" w:rsidRPr="003E6974" w:rsidRDefault="002624B5" w:rsidP="00933992">
      <w:pPr>
        <w:numPr>
          <w:ilvl w:val="1"/>
          <w:numId w:val="0"/>
        </w:numPr>
        <w:spacing w:before="100" w:beforeAutospacing="1" w:after="100" w:afterAutospacing="1" w:line="240" w:lineRule="auto"/>
        <w:jc w:val="both"/>
        <w:rPr>
          <w:rFonts w:ascii="Garamond" w:hAnsi="Garamond"/>
          <w:sz w:val="24"/>
          <w:szCs w:val="24"/>
        </w:rPr>
      </w:pPr>
      <w:r w:rsidRPr="00A161E8">
        <w:rPr>
          <w:rFonts w:ascii="Garamond" w:hAnsi="Garamond"/>
          <w:sz w:val="24"/>
          <w:szCs w:val="24"/>
          <w:lang w:val="sr-Latn-CS"/>
        </w:rPr>
        <w:t xml:space="preserve">Na drugoj strani, </w:t>
      </w:r>
      <w:r w:rsidRPr="00A161E8">
        <w:rPr>
          <w:rFonts w:ascii="Garamond" w:hAnsi="Garamond"/>
          <w:b/>
          <w:sz w:val="24"/>
          <w:szCs w:val="24"/>
          <w:lang w:val="sr-Latn-CS"/>
        </w:rPr>
        <w:t>kapitalni izdaci</w:t>
      </w:r>
      <w:r w:rsidRPr="00A161E8">
        <w:rPr>
          <w:rFonts w:ascii="Garamond" w:hAnsi="Garamond"/>
          <w:sz w:val="24"/>
          <w:szCs w:val="24"/>
          <w:lang w:val="sr-Latn-CS"/>
        </w:rPr>
        <w:t xml:space="preserve"> realizovani su u iznosu od </w:t>
      </w:r>
      <w:r w:rsidR="00A32558">
        <w:rPr>
          <w:rFonts w:ascii="Garamond" w:hAnsi="Garamond"/>
          <w:sz w:val="24"/>
          <w:szCs w:val="24"/>
          <w:lang w:val="sr-Latn-CS"/>
        </w:rPr>
        <w:t>240,5</w:t>
      </w:r>
      <w:r w:rsidRPr="00A161E8">
        <w:rPr>
          <w:rFonts w:ascii="Garamond" w:hAnsi="Garamond"/>
          <w:sz w:val="24"/>
          <w:szCs w:val="24"/>
          <w:lang w:val="sr-Latn-CS"/>
        </w:rPr>
        <w:t xml:space="preserve"> mil. €</w:t>
      </w:r>
      <w:r w:rsidR="0058275E">
        <w:rPr>
          <w:rFonts w:ascii="Garamond" w:hAnsi="Garamond"/>
          <w:sz w:val="24"/>
          <w:szCs w:val="24"/>
          <w:lang w:val="sr-Latn-CS"/>
        </w:rPr>
        <w:t xml:space="preserve"> ili 4,1% BDP-a</w:t>
      </w:r>
      <w:r w:rsidRPr="00A161E8">
        <w:rPr>
          <w:rFonts w:ascii="Garamond" w:hAnsi="Garamond"/>
          <w:sz w:val="24"/>
          <w:szCs w:val="24"/>
          <w:lang w:val="sr-Latn-CS"/>
        </w:rPr>
        <w:t xml:space="preserve">, što je za </w:t>
      </w:r>
      <w:r w:rsidR="0058275E">
        <w:rPr>
          <w:rFonts w:ascii="Garamond" w:hAnsi="Garamond"/>
          <w:sz w:val="24"/>
          <w:szCs w:val="24"/>
          <w:lang w:val="sr-Latn-CS"/>
        </w:rPr>
        <w:t>37,2</w:t>
      </w:r>
      <w:r w:rsidRPr="00A161E8">
        <w:rPr>
          <w:rFonts w:ascii="Garamond" w:hAnsi="Garamond"/>
          <w:sz w:val="24"/>
          <w:szCs w:val="24"/>
          <w:lang w:val="sr-Latn-CS"/>
        </w:rPr>
        <w:t xml:space="preserve"> mil. € ili </w:t>
      </w:r>
      <w:r w:rsidR="0058275E">
        <w:rPr>
          <w:rFonts w:ascii="Garamond" w:hAnsi="Garamond"/>
          <w:sz w:val="24"/>
          <w:szCs w:val="24"/>
          <w:lang w:val="sr-Latn-CS"/>
        </w:rPr>
        <w:t>13,4</w:t>
      </w:r>
      <w:r w:rsidRPr="00A161E8">
        <w:rPr>
          <w:rFonts w:ascii="Garamond" w:hAnsi="Garamond"/>
          <w:sz w:val="24"/>
          <w:szCs w:val="24"/>
          <w:lang w:val="sr-Latn-CS"/>
        </w:rPr>
        <w:t xml:space="preserve">% </w:t>
      </w:r>
      <w:r w:rsidR="0058275E">
        <w:rPr>
          <w:rFonts w:ascii="Garamond" w:hAnsi="Garamond"/>
          <w:sz w:val="24"/>
          <w:szCs w:val="24"/>
          <w:lang w:val="sr-Latn-CS"/>
        </w:rPr>
        <w:t>manje</w:t>
      </w:r>
      <w:r w:rsidRPr="00A161E8">
        <w:rPr>
          <w:rFonts w:ascii="Garamond" w:hAnsi="Garamond"/>
          <w:sz w:val="24"/>
          <w:szCs w:val="24"/>
          <w:lang w:val="sr-Latn-CS"/>
        </w:rPr>
        <w:t xml:space="preserve"> od planiranih</w:t>
      </w:r>
      <w:r w:rsidR="0058275E">
        <w:rPr>
          <w:rFonts w:ascii="Garamond" w:hAnsi="Garamond"/>
          <w:sz w:val="24"/>
          <w:szCs w:val="24"/>
          <w:lang w:val="sr-Latn-CS"/>
        </w:rPr>
        <w:t xml:space="preserve">. </w:t>
      </w:r>
      <w:r>
        <w:rPr>
          <w:rFonts w:ascii="Garamond" w:hAnsi="Garamond"/>
          <w:sz w:val="24"/>
          <w:szCs w:val="24"/>
          <w:lang w:val="sr-Latn-CS"/>
        </w:rPr>
        <w:t>U</w:t>
      </w:r>
      <w:r w:rsidRPr="00A161E8">
        <w:rPr>
          <w:rFonts w:ascii="Garamond" w:hAnsi="Garamond"/>
          <w:sz w:val="24"/>
          <w:szCs w:val="24"/>
          <w:lang w:val="sr-Latn-CS"/>
        </w:rPr>
        <w:t xml:space="preserve"> odnosu na prethodnu godinu </w:t>
      </w:r>
      <w:r>
        <w:rPr>
          <w:rFonts w:ascii="Garamond" w:hAnsi="Garamond"/>
          <w:sz w:val="24"/>
          <w:szCs w:val="24"/>
          <w:lang w:val="sr-Latn-CS"/>
        </w:rPr>
        <w:t xml:space="preserve">ova kategorija izdataka </w:t>
      </w:r>
      <w:r w:rsidR="0058275E">
        <w:rPr>
          <w:rFonts w:ascii="Garamond" w:hAnsi="Garamond"/>
          <w:sz w:val="24"/>
          <w:szCs w:val="24"/>
          <w:lang w:val="sr-Latn-CS"/>
        </w:rPr>
        <w:t>veća</w:t>
      </w:r>
      <w:r>
        <w:rPr>
          <w:rFonts w:ascii="Garamond" w:hAnsi="Garamond"/>
          <w:sz w:val="24"/>
          <w:szCs w:val="24"/>
          <w:lang w:val="sr-Latn-CS"/>
        </w:rPr>
        <w:t xml:space="preserve"> je</w:t>
      </w:r>
      <w:r w:rsidRPr="00A161E8">
        <w:rPr>
          <w:rFonts w:ascii="Garamond" w:hAnsi="Garamond"/>
          <w:sz w:val="24"/>
          <w:szCs w:val="24"/>
          <w:lang w:val="sr-Latn-CS"/>
        </w:rPr>
        <w:t xml:space="preserve"> za </w:t>
      </w:r>
      <w:r w:rsidR="0058275E">
        <w:rPr>
          <w:rFonts w:ascii="Garamond" w:hAnsi="Garamond"/>
          <w:sz w:val="24"/>
          <w:szCs w:val="24"/>
          <w:lang w:val="sr-Latn-CS"/>
        </w:rPr>
        <w:t>36,3</w:t>
      </w:r>
      <w:r w:rsidRPr="00A161E8">
        <w:rPr>
          <w:rFonts w:ascii="Garamond" w:hAnsi="Garamond"/>
          <w:sz w:val="24"/>
          <w:szCs w:val="24"/>
          <w:lang w:val="sr-Latn-CS"/>
        </w:rPr>
        <w:t xml:space="preserve"> mil. € ili </w:t>
      </w:r>
      <w:r w:rsidR="0058275E">
        <w:rPr>
          <w:rFonts w:ascii="Garamond" w:hAnsi="Garamond"/>
          <w:sz w:val="24"/>
          <w:szCs w:val="24"/>
          <w:lang w:val="sr-Latn-CS"/>
        </w:rPr>
        <w:t>17,8</w:t>
      </w:r>
      <w:r w:rsidRPr="00A161E8">
        <w:rPr>
          <w:rFonts w:ascii="Garamond" w:hAnsi="Garamond"/>
          <w:sz w:val="24"/>
          <w:szCs w:val="24"/>
          <w:lang w:val="sr-Latn-CS"/>
        </w:rPr>
        <w:t>%</w:t>
      </w:r>
      <w:r w:rsidR="00933992">
        <w:rPr>
          <w:rFonts w:ascii="Garamond" w:hAnsi="Garamond"/>
          <w:sz w:val="24"/>
          <w:szCs w:val="24"/>
          <w:lang w:val="sr-Latn-CS"/>
        </w:rPr>
        <w:t>.</w:t>
      </w:r>
    </w:p>
    <w:p w14:paraId="0699AA42" w14:textId="2DA5D2E2" w:rsidR="00AB2F27" w:rsidRPr="003E6974" w:rsidRDefault="00961B41" w:rsidP="00D104B7">
      <w:pPr>
        <w:pStyle w:val="Footer"/>
        <w:suppressAutoHyphens/>
        <w:jc w:val="both"/>
        <w:rPr>
          <w:rFonts w:ascii="Garamond" w:hAnsi="Garamond"/>
          <w:b/>
          <w:sz w:val="24"/>
          <w:szCs w:val="24"/>
        </w:rPr>
      </w:pPr>
      <w:r w:rsidRPr="003E6974">
        <w:rPr>
          <w:rFonts w:ascii="Garamond" w:hAnsi="Garamond"/>
          <w:b/>
          <w:sz w:val="24"/>
          <w:szCs w:val="24"/>
        </w:rPr>
        <w:lastRenderedPageBreak/>
        <w:t>Shodno dinamici kretanja budžetskih prihoda i rashoda u 202</w:t>
      </w:r>
      <w:r w:rsidR="007C0938">
        <w:rPr>
          <w:rFonts w:ascii="Garamond" w:hAnsi="Garamond"/>
          <w:b/>
          <w:sz w:val="24"/>
          <w:szCs w:val="24"/>
        </w:rPr>
        <w:t>2</w:t>
      </w:r>
      <w:r w:rsidRPr="003E6974">
        <w:rPr>
          <w:rFonts w:ascii="Garamond" w:hAnsi="Garamond"/>
          <w:b/>
          <w:sz w:val="24"/>
          <w:szCs w:val="24"/>
        </w:rPr>
        <w:t>. godini</w:t>
      </w:r>
      <w:r w:rsidR="00AB2F27" w:rsidRPr="003E6974">
        <w:rPr>
          <w:rFonts w:ascii="Garamond" w:hAnsi="Garamond"/>
          <w:b/>
          <w:sz w:val="24"/>
          <w:szCs w:val="24"/>
        </w:rPr>
        <w:t>,</w:t>
      </w:r>
      <w:r w:rsidRPr="003E6974">
        <w:rPr>
          <w:rFonts w:ascii="Garamond" w:hAnsi="Garamond"/>
          <w:b/>
          <w:sz w:val="24"/>
          <w:szCs w:val="24"/>
        </w:rPr>
        <w:t xml:space="preserve"> </w:t>
      </w:r>
      <w:r w:rsidR="00AB2F27" w:rsidRPr="003E6974">
        <w:rPr>
          <w:rFonts w:ascii="Garamond" w:hAnsi="Garamond"/>
          <w:b/>
          <w:sz w:val="24"/>
          <w:szCs w:val="24"/>
        </w:rPr>
        <w:t>preliminarni gotovinski deficit Centra</w:t>
      </w:r>
      <w:r w:rsidR="004167EA" w:rsidRPr="003E6974">
        <w:rPr>
          <w:rFonts w:ascii="Garamond" w:hAnsi="Garamond"/>
          <w:b/>
          <w:sz w:val="24"/>
          <w:szCs w:val="24"/>
        </w:rPr>
        <w:t>lnog budžeta ostvaren je u iznos</w:t>
      </w:r>
      <w:r w:rsidR="00AB2F27" w:rsidRPr="003E6974">
        <w:rPr>
          <w:rFonts w:ascii="Garamond" w:hAnsi="Garamond"/>
          <w:b/>
          <w:sz w:val="24"/>
          <w:szCs w:val="24"/>
        </w:rPr>
        <w:t xml:space="preserve">u od </w:t>
      </w:r>
      <w:r w:rsidR="007C0938">
        <w:rPr>
          <w:rFonts w:ascii="Garamond" w:hAnsi="Garamond"/>
          <w:b/>
          <w:sz w:val="24"/>
          <w:szCs w:val="24"/>
        </w:rPr>
        <w:t>258,4</w:t>
      </w:r>
      <w:r w:rsidR="00AB2F27" w:rsidRPr="003E6974">
        <w:rPr>
          <w:rFonts w:ascii="Garamond" w:hAnsi="Garamond"/>
          <w:b/>
          <w:sz w:val="24"/>
          <w:szCs w:val="24"/>
        </w:rPr>
        <w:t xml:space="preserve"> mil</w:t>
      </w:r>
      <w:r w:rsidR="008E5B9A">
        <w:rPr>
          <w:rFonts w:ascii="Garamond" w:hAnsi="Garamond"/>
          <w:b/>
          <w:sz w:val="24"/>
          <w:szCs w:val="24"/>
        </w:rPr>
        <w:t xml:space="preserve">. € ili </w:t>
      </w:r>
      <w:r w:rsidR="007C0938">
        <w:rPr>
          <w:rFonts w:ascii="Garamond" w:hAnsi="Garamond"/>
          <w:b/>
          <w:sz w:val="24"/>
          <w:szCs w:val="24"/>
        </w:rPr>
        <w:t>4,5</w:t>
      </w:r>
      <w:r w:rsidR="00AB2F27" w:rsidRPr="003E6974">
        <w:rPr>
          <w:rFonts w:ascii="Garamond" w:hAnsi="Garamond"/>
          <w:b/>
          <w:sz w:val="24"/>
          <w:szCs w:val="24"/>
        </w:rPr>
        <w:t>% procijenjenog BDP-a, što je za</w:t>
      </w:r>
      <w:r w:rsidR="009D01EA" w:rsidRPr="003E6974">
        <w:rPr>
          <w:rFonts w:ascii="Garamond" w:hAnsi="Garamond"/>
          <w:b/>
          <w:sz w:val="24"/>
          <w:szCs w:val="24"/>
        </w:rPr>
        <w:t xml:space="preserve"> </w:t>
      </w:r>
      <w:r w:rsidR="007C0938">
        <w:rPr>
          <w:rFonts w:ascii="Garamond" w:hAnsi="Garamond"/>
          <w:b/>
          <w:sz w:val="24"/>
          <w:szCs w:val="24"/>
        </w:rPr>
        <w:t>194,8</w:t>
      </w:r>
      <w:r w:rsidR="00B37050" w:rsidRPr="003E6974">
        <w:rPr>
          <w:rFonts w:ascii="Garamond" w:hAnsi="Garamond"/>
          <w:b/>
          <w:sz w:val="24"/>
          <w:szCs w:val="24"/>
        </w:rPr>
        <w:t xml:space="preserve"> mil. € ili </w:t>
      </w:r>
      <w:r w:rsidR="007C0938">
        <w:rPr>
          <w:rFonts w:ascii="Garamond" w:hAnsi="Garamond"/>
          <w:b/>
          <w:sz w:val="24"/>
          <w:szCs w:val="24"/>
        </w:rPr>
        <w:t>43</w:t>
      </w:r>
      <w:r w:rsidR="00B37050" w:rsidRPr="003E6974">
        <w:rPr>
          <w:rFonts w:ascii="Garamond" w:hAnsi="Garamond"/>
          <w:b/>
          <w:sz w:val="24"/>
          <w:szCs w:val="24"/>
        </w:rPr>
        <w:t xml:space="preserve">% </w:t>
      </w:r>
      <w:r w:rsidR="007C0938">
        <w:rPr>
          <w:rFonts w:ascii="Garamond" w:hAnsi="Garamond"/>
          <w:b/>
          <w:sz w:val="24"/>
          <w:szCs w:val="24"/>
        </w:rPr>
        <w:t>manje</w:t>
      </w:r>
      <w:r w:rsidR="00B37050" w:rsidRPr="003E6974">
        <w:rPr>
          <w:rFonts w:ascii="Garamond" w:hAnsi="Garamond"/>
          <w:b/>
          <w:sz w:val="24"/>
          <w:szCs w:val="24"/>
        </w:rPr>
        <w:t xml:space="preserve"> u odnosu na planirani, dok je u odnosu na </w:t>
      </w:r>
      <w:r w:rsidR="00F033E9" w:rsidRPr="003E6974">
        <w:rPr>
          <w:rFonts w:ascii="Garamond" w:hAnsi="Garamond"/>
          <w:b/>
          <w:sz w:val="24"/>
          <w:szCs w:val="24"/>
        </w:rPr>
        <w:t>deficit ostvaren u 20</w:t>
      </w:r>
      <w:r w:rsidR="007C0938">
        <w:rPr>
          <w:rFonts w:ascii="Garamond" w:hAnsi="Garamond"/>
          <w:b/>
          <w:sz w:val="24"/>
          <w:szCs w:val="24"/>
        </w:rPr>
        <w:t>21</w:t>
      </w:r>
      <w:r w:rsidR="00F033E9" w:rsidRPr="003E6974">
        <w:rPr>
          <w:rFonts w:ascii="Garamond" w:hAnsi="Garamond"/>
          <w:b/>
          <w:sz w:val="24"/>
          <w:szCs w:val="24"/>
        </w:rPr>
        <w:t xml:space="preserve">. godini više za </w:t>
      </w:r>
      <w:r w:rsidR="007C0938">
        <w:rPr>
          <w:rFonts w:ascii="Garamond" w:hAnsi="Garamond"/>
          <w:b/>
          <w:sz w:val="24"/>
          <w:szCs w:val="24"/>
        </w:rPr>
        <w:t>158,9</w:t>
      </w:r>
      <w:r w:rsidR="00111A0F" w:rsidRPr="003E6974">
        <w:rPr>
          <w:rFonts w:ascii="Garamond" w:hAnsi="Garamond"/>
          <w:b/>
          <w:sz w:val="24"/>
          <w:szCs w:val="24"/>
        </w:rPr>
        <w:t xml:space="preserve"> mil.</w:t>
      </w:r>
      <w:r w:rsidR="00E2598D" w:rsidRPr="003E6974">
        <w:rPr>
          <w:rFonts w:ascii="Garamond" w:hAnsi="Garamond"/>
          <w:b/>
          <w:sz w:val="24"/>
          <w:szCs w:val="24"/>
        </w:rPr>
        <w:t xml:space="preserve"> €</w:t>
      </w:r>
      <w:r w:rsidR="007C0938">
        <w:rPr>
          <w:rFonts w:ascii="Garamond" w:hAnsi="Garamond"/>
          <w:b/>
          <w:sz w:val="24"/>
          <w:szCs w:val="24"/>
        </w:rPr>
        <w:t>.</w:t>
      </w:r>
      <w:r w:rsidR="00895784" w:rsidRPr="00895784">
        <w:rPr>
          <w:noProof/>
        </w:rPr>
        <w:t xml:space="preserve"> </w:t>
      </w:r>
    </w:p>
    <w:p w14:paraId="50254CDD" w14:textId="7281867D" w:rsidR="005E0346" w:rsidRPr="003E6974" w:rsidRDefault="005E0346" w:rsidP="00D104B7">
      <w:pPr>
        <w:pStyle w:val="Footer"/>
        <w:suppressAutoHyphens/>
        <w:jc w:val="both"/>
        <w:rPr>
          <w:rFonts w:ascii="Garamond" w:hAnsi="Garamond"/>
          <w:b/>
          <w:sz w:val="24"/>
          <w:szCs w:val="24"/>
        </w:rPr>
      </w:pPr>
    </w:p>
    <w:p w14:paraId="42029E8A" w14:textId="53FEA992" w:rsidR="00F714D3" w:rsidRPr="003E6974" w:rsidRDefault="00895784" w:rsidP="00D104B7">
      <w:pPr>
        <w:pStyle w:val="Footer"/>
        <w:suppressAutoHyphens/>
        <w:jc w:val="both"/>
        <w:rPr>
          <w:rFonts w:ascii="Garamond" w:hAnsi="Garamond"/>
          <w:sz w:val="24"/>
          <w:szCs w:val="24"/>
        </w:rPr>
      </w:pPr>
      <w:r w:rsidRPr="004C33B9">
        <w:rPr>
          <w:rFonts w:ascii="Garamond" w:hAnsi="Garamond"/>
          <w:noProof/>
        </w:rPr>
        <w:drawing>
          <wp:anchor distT="0" distB="0" distL="114300" distR="114300" simplePos="0" relativeHeight="251665408" behindDoc="1" locked="0" layoutInCell="1" allowOverlap="1" wp14:anchorId="5300F6CE" wp14:editId="13CA64B8">
            <wp:simplePos x="0" y="0"/>
            <wp:positionH relativeFrom="margin">
              <wp:align>left</wp:align>
            </wp:positionH>
            <wp:positionV relativeFrom="paragraph">
              <wp:posOffset>19685</wp:posOffset>
            </wp:positionV>
            <wp:extent cx="3299460" cy="1987550"/>
            <wp:effectExtent l="0" t="0" r="0" b="0"/>
            <wp:wrapTight wrapText="bothSides">
              <wp:wrapPolygon edited="0">
                <wp:start x="0" y="0"/>
                <wp:lineTo x="0" y="21324"/>
                <wp:lineTo x="21450" y="21324"/>
                <wp:lineTo x="21450" y="0"/>
                <wp:lineTo x="0" y="0"/>
              </wp:wrapPolygon>
            </wp:wrapTight>
            <wp:docPr id="2" name="Chart 2">
              <a:extLst xmlns:a="http://schemas.openxmlformats.org/drawingml/2006/main">
                <a:ext uri="{FF2B5EF4-FFF2-40B4-BE49-F238E27FC236}">
                  <a16:creationId xmlns:a16="http://schemas.microsoft.com/office/drawing/2014/main" id="{BBA8B87D-8A7D-461E-958C-78A3FB711D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902B29">
        <w:rPr>
          <w:rFonts w:ascii="Garamond" w:hAnsi="Garamond"/>
          <w:sz w:val="24"/>
          <w:szCs w:val="24"/>
        </w:rPr>
        <w:t>U 2022. godini ostvaren je p</w:t>
      </w:r>
      <w:r w:rsidR="005E0346" w:rsidRPr="003E6974">
        <w:rPr>
          <w:rFonts w:ascii="Garamond" w:hAnsi="Garamond"/>
          <w:sz w:val="24"/>
          <w:szCs w:val="24"/>
        </w:rPr>
        <w:t xml:space="preserve">rimarni budžetski gotovinski deficit </w:t>
      </w:r>
      <w:r w:rsidR="00902B29">
        <w:rPr>
          <w:rFonts w:ascii="Garamond" w:hAnsi="Garamond"/>
          <w:sz w:val="24"/>
          <w:szCs w:val="24"/>
        </w:rPr>
        <w:t>u iznosu</w:t>
      </w:r>
      <w:r w:rsidR="005E0346" w:rsidRPr="003E6974">
        <w:rPr>
          <w:rFonts w:ascii="Garamond" w:hAnsi="Garamond"/>
          <w:sz w:val="24"/>
          <w:szCs w:val="24"/>
        </w:rPr>
        <w:t xml:space="preserve"> od </w:t>
      </w:r>
      <w:r w:rsidR="007C0938">
        <w:rPr>
          <w:rFonts w:ascii="Garamond" w:hAnsi="Garamond"/>
          <w:sz w:val="24"/>
          <w:szCs w:val="24"/>
        </w:rPr>
        <w:t>166,4</w:t>
      </w:r>
      <w:r w:rsidR="00F1173E">
        <w:rPr>
          <w:rFonts w:ascii="Garamond" w:hAnsi="Garamond"/>
          <w:sz w:val="24"/>
          <w:szCs w:val="24"/>
        </w:rPr>
        <w:t xml:space="preserve"> mil. € ili </w:t>
      </w:r>
      <w:r w:rsidR="007C0938">
        <w:rPr>
          <w:rFonts w:ascii="Garamond" w:hAnsi="Garamond"/>
          <w:sz w:val="24"/>
          <w:szCs w:val="24"/>
        </w:rPr>
        <w:t>2,9</w:t>
      </w:r>
      <w:r w:rsidR="00F714D3" w:rsidRPr="003E6974">
        <w:rPr>
          <w:rFonts w:ascii="Garamond" w:hAnsi="Garamond"/>
          <w:sz w:val="24"/>
          <w:szCs w:val="24"/>
        </w:rPr>
        <w:t>% BDP-a.</w:t>
      </w:r>
      <w:r w:rsidR="000F4609" w:rsidRPr="003E6974">
        <w:rPr>
          <w:rFonts w:ascii="Garamond" w:hAnsi="Garamond"/>
          <w:sz w:val="24"/>
          <w:szCs w:val="24"/>
        </w:rPr>
        <w:t xml:space="preserve"> </w:t>
      </w:r>
    </w:p>
    <w:p w14:paraId="7988EF51" w14:textId="77777777" w:rsidR="000F4609" w:rsidRPr="003E6974" w:rsidRDefault="000F4609" w:rsidP="00D104B7">
      <w:pPr>
        <w:pStyle w:val="Footer"/>
        <w:suppressAutoHyphens/>
        <w:jc w:val="both"/>
        <w:rPr>
          <w:rFonts w:ascii="Garamond" w:hAnsi="Garamond"/>
          <w:sz w:val="24"/>
          <w:szCs w:val="24"/>
        </w:rPr>
      </w:pPr>
    </w:p>
    <w:p w14:paraId="1551F8CE" w14:textId="6F2ECF9A" w:rsidR="00F714D3" w:rsidRPr="003E6974" w:rsidRDefault="00FB6424" w:rsidP="00D104B7">
      <w:pPr>
        <w:pStyle w:val="Footer"/>
        <w:suppressAutoHyphens/>
        <w:jc w:val="both"/>
        <w:rPr>
          <w:rFonts w:ascii="Garamond" w:hAnsi="Garamond"/>
          <w:sz w:val="24"/>
          <w:szCs w:val="24"/>
        </w:rPr>
      </w:pPr>
      <w:r>
        <w:rPr>
          <w:rFonts w:ascii="Garamond" w:hAnsi="Garamond"/>
          <w:sz w:val="24"/>
          <w:szCs w:val="24"/>
        </w:rPr>
        <w:t>Ukupna nedostajuća sredstva za potrebe finansiranja Budžeta u 2022. godini iznosila su 577,</w:t>
      </w:r>
      <w:r w:rsidR="00816700">
        <w:rPr>
          <w:rFonts w:ascii="Garamond" w:hAnsi="Garamond"/>
          <w:sz w:val="24"/>
          <w:szCs w:val="24"/>
        </w:rPr>
        <w:t>6</w:t>
      </w:r>
      <w:r>
        <w:rPr>
          <w:rFonts w:ascii="Garamond" w:hAnsi="Garamond"/>
          <w:sz w:val="24"/>
          <w:szCs w:val="24"/>
        </w:rPr>
        <w:t xml:space="preserve"> mil. € ili 10% BDP-a i ista su finansirana zaduživanjem na domaćem i inostran</w:t>
      </w:r>
      <w:r w:rsidR="00902B29">
        <w:rPr>
          <w:rFonts w:ascii="Garamond" w:hAnsi="Garamond"/>
          <w:sz w:val="24"/>
          <w:szCs w:val="24"/>
        </w:rPr>
        <w:t>o</w:t>
      </w:r>
      <w:r>
        <w:rPr>
          <w:rFonts w:ascii="Garamond" w:hAnsi="Garamond"/>
          <w:sz w:val="24"/>
          <w:szCs w:val="24"/>
        </w:rPr>
        <w:t xml:space="preserve">m tržištu u iznosu od 216,2 mil. € dok je preostali iznos nedostajućih sredstava finansiran korišćenjem </w:t>
      </w:r>
      <w:r w:rsidR="00C15B05">
        <w:rPr>
          <w:rFonts w:ascii="Garamond" w:hAnsi="Garamond"/>
          <w:sz w:val="24"/>
          <w:szCs w:val="24"/>
        </w:rPr>
        <w:t>depozita.</w:t>
      </w:r>
    </w:p>
    <w:p w14:paraId="04C2AC6A" w14:textId="77777777" w:rsidR="00E2598D" w:rsidRPr="003E6974" w:rsidRDefault="00E2598D" w:rsidP="00D104B7">
      <w:pPr>
        <w:pStyle w:val="Footer"/>
        <w:suppressAutoHyphens/>
        <w:jc w:val="both"/>
        <w:rPr>
          <w:rFonts w:ascii="Garamond" w:hAnsi="Garamond"/>
          <w:b/>
          <w:sz w:val="24"/>
          <w:szCs w:val="24"/>
        </w:rPr>
      </w:pPr>
    </w:p>
    <w:p w14:paraId="5419AF6D" w14:textId="3D17DC60" w:rsidR="00D63E57" w:rsidRPr="003E6974" w:rsidRDefault="00D63E57" w:rsidP="00D63E57">
      <w:pPr>
        <w:pStyle w:val="Footer"/>
        <w:suppressAutoHyphens/>
        <w:jc w:val="both"/>
        <w:rPr>
          <w:rFonts w:ascii="Garamond" w:hAnsi="Garamond"/>
          <w:b/>
          <w:sz w:val="24"/>
          <w:szCs w:val="24"/>
        </w:rPr>
      </w:pPr>
      <w:r w:rsidRPr="003E6974">
        <w:rPr>
          <w:rFonts w:ascii="Garamond" w:hAnsi="Garamond"/>
          <w:b/>
          <w:sz w:val="24"/>
          <w:szCs w:val="24"/>
        </w:rPr>
        <w:t>Javni dug u 202</w:t>
      </w:r>
      <w:r w:rsidR="00B51444">
        <w:rPr>
          <w:rFonts w:ascii="Garamond" w:hAnsi="Garamond"/>
          <w:b/>
          <w:sz w:val="24"/>
          <w:szCs w:val="24"/>
        </w:rPr>
        <w:t>2</w:t>
      </w:r>
      <w:r w:rsidRPr="003E6974">
        <w:rPr>
          <w:rFonts w:ascii="Garamond" w:hAnsi="Garamond"/>
          <w:b/>
          <w:sz w:val="24"/>
          <w:szCs w:val="24"/>
        </w:rPr>
        <w:t>. godini</w:t>
      </w:r>
    </w:p>
    <w:p w14:paraId="786BD251" w14:textId="77777777" w:rsidR="00D63E57" w:rsidRPr="003E6974" w:rsidRDefault="00D63E57" w:rsidP="00D63E57">
      <w:pPr>
        <w:pStyle w:val="Footer"/>
        <w:suppressAutoHyphens/>
        <w:jc w:val="both"/>
        <w:rPr>
          <w:rFonts w:ascii="Garamond" w:hAnsi="Garamond"/>
          <w:b/>
          <w:sz w:val="24"/>
          <w:szCs w:val="24"/>
        </w:rPr>
      </w:pPr>
    </w:p>
    <w:p w14:paraId="7562792C" w14:textId="4A3DB311" w:rsidR="00607E9D" w:rsidRPr="008C1550" w:rsidRDefault="00607E9D" w:rsidP="00607E9D">
      <w:pPr>
        <w:jc w:val="both"/>
        <w:rPr>
          <w:rFonts w:ascii="Garamond" w:hAnsi="Garamond"/>
          <w:sz w:val="24"/>
          <w:szCs w:val="24"/>
        </w:rPr>
      </w:pPr>
      <w:r w:rsidRPr="008C1550">
        <w:rPr>
          <w:rFonts w:ascii="Garamond" w:hAnsi="Garamond"/>
          <w:sz w:val="24"/>
          <w:szCs w:val="24"/>
        </w:rPr>
        <w:t xml:space="preserve">Ukupan bruto javni dug Crne Gore, na dan 31.12.2022. godine, iznosio je </w:t>
      </w:r>
      <w:r w:rsidRPr="00944310">
        <w:rPr>
          <w:rFonts w:ascii="Garamond" w:hAnsi="Garamond"/>
          <w:sz w:val="24"/>
          <w:szCs w:val="24"/>
        </w:rPr>
        <w:t>4.</w:t>
      </w:r>
      <w:r>
        <w:rPr>
          <w:rFonts w:ascii="Garamond" w:hAnsi="Garamond"/>
          <w:sz w:val="24"/>
          <w:szCs w:val="24"/>
        </w:rPr>
        <w:t>102</w:t>
      </w:r>
      <w:r w:rsidRPr="00944310">
        <w:rPr>
          <w:rFonts w:ascii="Garamond" w:hAnsi="Garamond"/>
          <w:sz w:val="24"/>
          <w:szCs w:val="24"/>
        </w:rPr>
        <w:t>,</w:t>
      </w:r>
      <w:r>
        <w:rPr>
          <w:rFonts w:ascii="Garamond" w:hAnsi="Garamond"/>
          <w:sz w:val="24"/>
          <w:szCs w:val="24"/>
        </w:rPr>
        <w:t>21</w:t>
      </w:r>
      <w:r w:rsidRPr="00944310">
        <w:rPr>
          <w:rFonts w:ascii="Garamond" w:hAnsi="Garamond"/>
          <w:sz w:val="24"/>
          <w:szCs w:val="24"/>
        </w:rPr>
        <w:t xml:space="preserve"> </w:t>
      </w:r>
      <w:r w:rsidRPr="008C1550">
        <w:rPr>
          <w:rFonts w:ascii="Garamond" w:hAnsi="Garamond"/>
          <w:sz w:val="24"/>
          <w:szCs w:val="24"/>
        </w:rPr>
        <w:t xml:space="preserve">mil. €, odnosno </w:t>
      </w:r>
      <w:r w:rsidRPr="00944310">
        <w:rPr>
          <w:rFonts w:ascii="Garamond" w:hAnsi="Garamond"/>
          <w:sz w:val="24"/>
          <w:szCs w:val="24"/>
        </w:rPr>
        <w:t>70,</w:t>
      </w:r>
      <w:r>
        <w:rPr>
          <w:rFonts w:ascii="Garamond" w:hAnsi="Garamond"/>
          <w:sz w:val="24"/>
          <w:szCs w:val="24"/>
        </w:rPr>
        <w:t>77</w:t>
      </w:r>
      <w:r w:rsidRPr="00944310">
        <w:rPr>
          <w:rFonts w:ascii="Garamond" w:hAnsi="Garamond"/>
          <w:sz w:val="24"/>
          <w:szCs w:val="24"/>
        </w:rPr>
        <w:t xml:space="preserve">% </w:t>
      </w:r>
      <w:r w:rsidRPr="008C1550">
        <w:rPr>
          <w:rFonts w:ascii="Garamond" w:hAnsi="Garamond"/>
          <w:sz w:val="24"/>
          <w:szCs w:val="24"/>
        </w:rPr>
        <w:t>BDP-a, dok je neto javni dug (uzimajući u obzir depozite Ministarstva finansija, uključujući i 38.477 unci zlata</w:t>
      </w:r>
      <w:r w:rsidRPr="008C1550">
        <w:footnoteReference w:id="2"/>
      </w:r>
      <w:r w:rsidRPr="008C1550">
        <w:rPr>
          <w:rFonts w:ascii="Garamond" w:hAnsi="Garamond"/>
          <w:sz w:val="24"/>
          <w:szCs w:val="24"/>
        </w:rPr>
        <w:t xml:space="preserve">) na kraju 2022. godine iznosio </w:t>
      </w:r>
      <w:r w:rsidRPr="00944310">
        <w:rPr>
          <w:rFonts w:ascii="Garamond" w:hAnsi="Garamond"/>
          <w:sz w:val="24"/>
          <w:szCs w:val="24"/>
        </w:rPr>
        <w:t>3.</w:t>
      </w:r>
      <w:r>
        <w:rPr>
          <w:rFonts w:ascii="Garamond" w:hAnsi="Garamond"/>
          <w:sz w:val="24"/>
          <w:szCs w:val="24"/>
        </w:rPr>
        <w:t>990</w:t>
      </w:r>
      <w:r w:rsidRPr="00944310">
        <w:rPr>
          <w:rFonts w:ascii="Garamond" w:hAnsi="Garamond"/>
          <w:sz w:val="24"/>
          <w:szCs w:val="24"/>
        </w:rPr>
        <w:t>,</w:t>
      </w:r>
      <w:r>
        <w:rPr>
          <w:rFonts w:ascii="Garamond" w:hAnsi="Garamond"/>
          <w:sz w:val="24"/>
          <w:szCs w:val="24"/>
        </w:rPr>
        <w:t>46</w:t>
      </w:r>
      <w:r w:rsidRPr="00944310">
        <w:rPr>
          <w:rFonts w:ascii="Garamond" w:hAnsi="Garamond"/>
          <w:sz w:val="24"/>
          <w:szCs w:val="24"/>
        </w:rPr>
        <w:t xml:space="preserve"> </w:t>
      </w:r>
      <w:r w:rsidRPr="008C1550">
        <w:rPr>
          <w:rFonts w:ascii="Garamond" w:hAnsi="Garamond"/>
          <w:sz w:val="24"/>
          <w:szCs w:val="24"/>
        </w:rPr>
        <w:t xml:space="preserve"> mil. €, odnosno 68,</w:t>
      </w:r>
      <w:r>
        <w:rPr>
          <w:rFonts w:ascii="Garamond" w:hAnsi="Garamond"/>
          <w:sz w:val="24"/>
          <w:szCs w:val="24"/>
        </w:rPr>
        <w:t>84</w:t>
      </w:r>
      <w:r w:rsidRPr="008C1550">
        <w:rPr>
          <w:rFonts w:ascii="Garamond" w:hAnsi="Garamond"/>
          <w:sz w:val="24"/>
          <w:szCs w:val="24"/>
        </w:rPr>
        <w:t>% BDP-a.</w:t>
      </w:r>
    </w:p>
    <w:p w14:paraId="5DCF8864" w14:textId="77777777" w:rsidR="00607E9D" w:rsidRPr="008C1550" w:rsidRDefault="00607E9D" w:rsidP="00607E9D">
      <w:pPr>
        <w:jc w:val="both"/>
        <w:rPr>
          <w:rFonts w:ascii="Garamond" w:hAnsi="Garamond"/>
          <w:sz w:val="24"/>
          <w:szCs w:val="24"/>
        </w:rPr>
      </w:pPr>
      <w:r w:rsidRPr="008C1550">
        <w:rPr>
          <w:rFonts w:ascii="Garamond" w:hAnsi="Garamond"/>
          <w:sz w:val="24"/>
          <w:szCs w:val="24"/>
        </w:rPr>
        <w:t>Javni dug sastoji se od duga centralnog nivoa države tj. državnog duga i duga lokalnih samouprava.</w:t>
      </w:r>
    </w:p>
    <w:p w14:paraId="7DB04475" w14:textId="67AF6CD9" w:rsidR="00607E9D" w:rsidRPr="003E6974" w:rsidRDefault="00607E9D" w:rsidP="00607E9D">
      <w:pPr>
        <w:jc w:val="both"/>
        <w:rPr>
          <w:rFonts w:ascii="Garamond" w:hAnsi="Garamond"/>
          <w:sz w:val="24"/>
          <w:szCs w:val="24"/>
        </w:rPr>
      </w:pPr>
      <w:r w:rsidRPr="008C1550">
        <w:rPr>
          <w:rFonts w:ascii="Garamond" w:hAnsi="Garamond"/>
          <w:sz w:val="24"/>
          <w:szCs w:val="24"/>
        </w:rPr>
        <w:t xml:space="preserve">Ukupan državni dug (bez depozita), na 31.12.2022. godine, iznosio je </w:t>
      </w:r>
      <w:r w:rsidRPr="00944310">
        <w:rPr>
          <w:rFonts w:ascii="Garamond" w:hAnsi="Garamond"/>
          <w:sz w:val="24"/>
          <w:szCs w:val="24"/>
        </w:rPr>
        <w:t>4,026.32</w:t>
      </w:r>
      <w:r>
        <w:rPr>
          <w:rFonts w:ascii="Garamond" w:hAnsi="Garamond"/>
          <w:sz w:val="24"/>
          <w:szCs w:val="24"/>
        </w:rPr>
        <w:t xml:space="preserve"> </w:t>
      </w:r>
      <w:r w:rsidRPr="008C1550">
        <w:rPr>
          <w:rFonts w:ascii="Garamond" w:hAnsi="Garamond"/>
          <w:sz w:val="24"/>
          <w:szCs w:val="24"/>
        </w:rPr>
        <w:t xml:space="preserve">mil. €, ili </w:t>
      </w:r>
      <w:r w:rsidRPr="00944310">
        <w:rPr>
          <w:rFonts w:ascii="Garamond" w:hAnsi="Garamond"/>
          <w:sz w:val="24"/>
          <w:szCs w:val="24"/>
        </w:rPr>
        <w:t>69</w:t>
      </w:r>
      <w:r w:rsidR="002B23C6">
        <w:rPr>
          <w:rFonts w:ascii="Garamond" w:hAnsi="Garamond"/>
          <w:sz w:val="24"/>
          <w:szCs w:val="24"/>
        </w:rPr>
        <w:t>,</w:t>
      </w:r>
      <w:r w:rsidRPr="00944310">
        <w:rPr>
          <w:rFonts w:ascii="Garamond" w:hAnsi="Garamond"/>
          <w:sz w:val="24"/>
          <w:szCs w:val="24"/>
        </w:rPr>
        <w:t>46%</w:t>
      </w:r>
      <w:r>
        <w:rPr>
          <w:rFonts w:ascii="Garamond" w:hAnsi="Garamond"/>
          <w:sz w:val="24"/>
          <w:szCs w:val="24"/>
        </w:rPr>
        <w:t xml:space="preserve"> </w:t>
      </w:r>
      <w:r w:rsidRPr="008C1550">
        <w:rPr>
          <w:rFonts w:ascii="Garamond" w:hAnsi="Garamond"/>
          <w:sz w:val="24"/>
          <w:szCs w:val="24"/>
        </w:rPr>
        <w:t xml:space="preserve">BDP-a, dok je ukupan neto državni dug (uključujući depozite), na kraju 2022. godine, iznosio </w:t>
      </w:r>
      <w:r w:rsidRPr="00944310">
        <w:rPr>
          <w:rFonts w:ascii="Garamond" w:hAnsi="Garamond"/>
          <w:sz w:val="24"/>
          <w:szCs w:val="24"/>
        </w:rPr>
        <w:t>3</w:t>
      </w:r>
      <w:r w:rsidR="002B23C6">
        <w:rPr>
          <w:rFonts w:ascii="Garamond" w:hAnsi="Garamond"/>
          <w:sz w:val="24"/>
          <w:szCs w:val="24"/>
        </w:rPr>
        <w:t>.</w:t>
      </w:r>
      <w:r w:rsidRPr="00944310">
        <w:rPr>
          <w:rFonts w:ascii="Garamond" w:hAnsi="Garamond"/>
          <w:sz w:val="24"/>
          <w:szCs w:val="24"/>
        </w:rPr>
        <w:t>914</w:t>
      </w:r>
      <w:r w:rsidR="002B23C6">
        <w:rPr>
          <w:rFonts w:ascii="Garamond" w:hAnsi="Garamond"/>
          <w:sz w:val="24"/>
          <w:szCs w:val="24"/>
        </w:rPr>
        <w:t>,</w:t>
      </w:r>
      <w:r w:rsidRPr="00944310">
        <w:rPr>
          <w:rFonts w:ascii="Garamond" w:hAnsi="Garamond"/>
          <w:sz w:val="24"/>
          <w:szCs w:val="24"/>
        </w:rPr>
        <w:t>57</w:t>
      </w:r>
      <w:r>
        <w:rPr>
          <w:rFonts w:ascii="Garamond" w:hAnsi="Garamond"/>
          <w:sz w:val="24"/>
          <w:szCs w:val="24"/>
        </w:rPr>
        <w:t xml:space="preserve"> </w:t>
      </w:r>
      <w:r w:rsidRPr="008C1550">
        <w:rPr>
          <w:rFonts w:ascii="Garamond" w:hAnsi="Garamond"/>
          <w:sz w:val="24"/>
          <w:szCs w:val="24"/>
        </w:rPr>
        <w:t>mil. € ili 67,53% BDP-a.</w:t>
      </w:r>
    </w:p>
    <w:p w14:paraId="3AF4D4AB" w14:textId="77777777" w:rsidR="00D63E57" w:rsidRPr="003E6974" w:rsidRDefault="00D63E57" w:rsidP="00D63E57">
      <w:pPr>
        <w:pStyle w:val="Footer"/>
        <w:suppressAutoHyphens/>
        <w:jc w:val="both"/>
        <w:rPr>
          <w:rFonts w:ascii="Garamond" w:hAnsi="Garamond"/>
          <w:sz w:val="24"/>
          <w:szCs w:val="24"/>
        </w:rPr>
      </w:pPr>
    </w:p>
    <w:p w14:paraId="5D8F6A1A" w14:textId="1B886CAD" w:rsidR="00D63E57" w:rsidRPr="003E6974" w:rsidRDefault="00D63E57" w:rsidP="00D63E57">
      <w:pPr>
        <w:pStyle w:val="Footer"/>
        <w:suppressAutoHyphens/>
        <w:jc w:val="both"/>
        <w:rPr>
          <w:rFonts w:ascii="Garamond" w:hAnsi="Garamond"/>
          <w:b/>
          <w:color w:val="2E74B5" w:themeColor="accent1" w:themeShade="BF"/>
          <w:sz w:val="24"/>
          <w:szCs w:val="24"/>
        </w:rPr>
      </w:pPr>
      <w:r w:rsidRPr="0013587E">
        <w:rPr>
          <w:rFonts w:ascii="Garamond" w:hAnsi="Garamond"/>
          <w:b/>
          <w:color w:val="2E74B5" w:themeColor="accent1" w:themeShade="BF"/>
          <w:sz w:val="18"/>
          <w:szCs w:val="18"/>
        </w:rPr>
        <w:t>Grafik 1: Kretanje državnog i javnog duga</w:t>
      </w:r>
      <w:r w:rsidRPr="003E6974">
        <w:rPr>
          <w:rFonts w:ascii="Garamond" w:hAnsi="Garamond"/>
          <w:b/>
          <w:color w:val="2E74B5" w:themeColor="accent1" w:themeShade="BF"/>
          <w:sz w:val="24"/>
          <w:szCs w:val="24"/>
        </w:rPr>
        <w:t xml:space="preserve">              </w:t>
      </w:r>
      <w:r>
        <w:rPr>
          <w:rFonts w:ascii="Garamond" w:hAnsi="Garamond"/>
          <w:b/>
          <w:color w:val="2E74B5" w:themeColor="accent1" w:themeShade="BF"/>
          <w:sz w:val="24"/>
          <w:szCs w:val="24"/>
        </w:rPr>
        <w:tab/>
        <w:t xml:space="preserve">              </w:t>
      </w:r>
      <w:r w:rsidRPr="0013587E">
        <w:rPr>
          <w:rFonts w:ascii="Garamond" w:hAnsi="Garamond"/>
          <w:b/>
          <w:color w:val="2E74B5" w:themeColor="accent1" w:themeShade="BF"/>
          <w:sz w:val="18"/>
          <w:szCs w:val="18"/>
        </w:rPr>
        <w:t>Grafik 2: Neto državni i javni dug</w:t>
      </w:r>
    </w:p>
    <w:p w14:paraId="61E65A4F" w14:textId="77777777" w:rsidR="00D63E57" w:rsidRPr="003E6974" w:rsidRDefault="00D63E57" w:rsidP="00D63E57">
      <w:pPr>
        <w:pStyle w:val="Footer"/>
        <w:suppressAutoHyphens/>
        <w:jc w:val="both"/>
        <w:rPr>
          <w:rFonts w:ascii="Garamond" w:hAnsi="Garamond"/>
          <w:sz w:val="24"/>
          <w:szCs w:val="24"/>
        </w:rPr>
      </w:pPr>
    </w:p>
    <w:p w14:paraId="5DC4430F" w14:textId="48E3BFAD" w:rsidR="00607E9D" w:rsidRDefault="00D63E57" w:rsidP="00D63E57">
      <w:pPr>
        <w:pStyle w:val="Footer"/>
        <w:suppressAutoHyphens/>
        <w:jc w:val="both"/>
        <w:rPr>
          <w:noProof/>
        </w:rPr>
      </w:pPr>
      <w:r w:rsidRPr="003E6974">
        <w:rPr>
          <w:rFonts w:ascii="Garamond" w:hAnsi="Garamond"/>
          <w:sz w:val="24"/>
          <w:szCs w:val="24"/>
        </w:rPr>
        <w:t xml:space="preserve"> </w:t>
      </w:r>
      <w:r w:rsidR="00607E9D">
        <w:rPr>
          <w:noProof/>
        </w:rPr>
        <w:drawing>
          <wp:inline distT="0" distB="0" distL="0" distR="0" wp14:anchorId="46D69EA3" wp14:editId="11FBBA90">
            <wp:extent cx="2609850" cy="2124075"/>
            <wp:effectExtent l="0" t="0" r="0" b="9525"/>
            <wp:docPr id="4" name="Chart 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Garamond" w:hAnsi="Garamond"/>
          <w:sz w:val="24"/>
          <w:szCs w:val="24"/>
        </w:rPr>
        <w:t xml:space="preserve">   </w:t>
      </w:r>
      <w:r w:rsidR="00607E9D">
        <w:rPr>
          <w:noProof/>
        </w:rPr>
        <w:drawing>
          <wp:inline distT="0" distB="0" distL="0" distR="0" wp14:anchorId="643D3333" wp14:editId="5F32E4F2">
            <wp:extent cx="2828925" cy="2124075"/>
            <wp:effectExtent l="0" t="0" r="9525" b="9525"/>
            <wp:docPr id="5" name="Chart 5">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DF2CCA" w14:textId="77777777" w:rsidR="00607E9D" w:rsidRDefault="00607E9D" w:rsidP="00D63E57">
      <w:pPr>
        <w:pStyle w:val="Footer"/>
        <w:suppressAutoHyphens/>
        <w:jc w:val="both"/>
        <w:rPr>
          <w:rFonts w:ascii="Garamond" w:hAnsi="Garamond"/>
          <w:sz w:val="24"/>
          <w:szCs w:val="24"/>
        </w:rPr>
      </w:pPr>
    </w:p>
    <w:p w14:paraId="0988BF80" w14:textId="77777777" w:rsidR="00607E9D" w:rsidRDefault="00607E9D" w:rsidP="00D63E57">
      <w:pPr>
        <w:pStyle w:val="Footer"/>
        <w:suppressAutoHyphens/>
        <w:jc w:val="both"/>
        <w:rPr>
          <w:rFonts w:ascii="Garamond" w:hAnsi="Garamond"/>
          <w:sz w:val="24"/>
          <w:szCs w:val="24"/>
        </w:rPr>
      </w:pPr>
    </w:p>
    <w:p w14:paraId="25290A00" w14:textId="77777777" w:rsidR="00607E9D" w:rsidRDefault="00607E9D" w:rsidP="00D63E57">
      <w:pPr>
        <w:pStyle w:val="Footer"/>
        <w:suppressAutoHyphens/>
        <w:jc w:val="both"/>
        <w:rPr>
          <w:rFonts w:ascii="Garamond" w:hAnsi="Garamond"/>
          <w:sz w:val="24"/>
          <w:szCs w:val="24"/>
        </w:rPr>
      </w:pPr>
    </w:p>
    <w:p w14:paraId="5D2373FF" w14:textId="5E274FB0" w:rsidR="00D63E57" w:rsidRPr="003E6974" w:rsidRDefault="00D63E57" w:rsidP="00D63E57">
      <w:pPr>
        <w:pStyle w:val="Footer"/>
        <w:suppressAutoHyphens/>
        <w:jc w:val="both"/>
        <w:rPr>
          <w:rFonts w:ascii="Garamond" w:hAnsi="Garamond"/>
          <w:sz w:val="24"/>
          <w:szCs w:val="24"/>
        </w:rPr>
      </w:pPr>
      <w:r>
        <w:rPr>
          <w:rFonts w:ascii="Garamond" w:hAnsi="Garamond"/>
          <w:sz w:val="24"/>
          <w:szCs w:val="24"/>
        </w:rPr>
        <w:t xml:space="preserve">    </w:t>
      </w:r>
      <w:r w:rsidRPr="003E6974">
        <w:rPr>
          <w:rFonts w:ascii="Garamond" w:hAnsi="Garamond"/>
          <w:sz w:val="24"/>
          <w:szCs w:val="24"/>
        </w:rPr>
        <w:t xml:space="preserve">  </w:t>
      </w:r>
    </w:p>
    <w:p w14:paraId="3425DBAC" w14:textId="77777777" w:rsidR="00D63E57" w:rsidRPr="003E6974" w:rsidRDefault="00D63E57" w:rsidP="00D63E57">
      <w:pPr>
        <w:pStyle w:val="Footer"/>
        <w:suppressAutoHyphens/>
        <w:jc w:val="both"/>
        <w:rPr>
          <w:rFonts w:ascii="Garamond" w:hAnsi="Garamond"/>
          <w:sz w:val="24"/>
          <w:szCs w:val="24"/>
        </w:rPr>
      </w:pPr>
    </w:p>
    <w:p w14:paraId="6E763C0D" w14:textId="55130853" w:rsidR="00607E9D" w:rsidRPr="00F83329" w:rsidRDefault="00607E9D" w:rsidP="00607E9D">
      <w:pPr>
        <w:pStyle w:val="Footer"/>
        <w:suppressAutoHyphens/>
        <w:jc w:val="both"/>
        <w:rPr>
          <w:rFonts w:ascii="Garamond" w:hAnsi="Garamond"/>
          <w:sz w:val="24"/>
          <w:szCs w:val="24"/>
        </w:rPr>
      </w:pPr>
      <w:r w:rsidRPr="00870158">
        <w:rPr>
          <w:rFonts w:ascii="Garamond" w:hAnsi="Garamond"/>
          <w:noProof/>
        </w:rPr>
        <w:lastRenderedPageBreak/>
        <w:drawing>
          <wp:anchor distT="0" distB="0" distL="114300" distR="114300" simplePos="0" relativeHeight="251668480" behindDoc="0" locked="0" layoutInCell="1" allowOverlap="1" wp14:anchorId="6D0431B2" wp14:editId="5ED6E2F6">
            <wp:simplePos x="0" y="0"/>
            <wp:positionH relativeFrom="margin">
              <wp:posOffset>3748405</wp:posOffset>
            </wp:positionH>
            <wp:positionV relativeFrom="paragraph">
              <wp:posOffset>128905</wp:posOffset>
            </wp:positionV>
            <wp:extent cx="2000250" cy="1609725"/>
            <wp:effectExtent l="0" t="0" r="0" b="9525"/>
            <wp:wrapThrough wrapText="bothSides">
              <wp:wrapPolygon edited="0">
                <wp:start x="0" y="0"/>
                <wp:lineTo x="0" y="21472"/>
                <wp:lineTo x="21394" y="21472"/>
                <wp:lineTo x="21394" y="0"/>
                <wp:lineTo x="0" y="0"/>
              </wp:wrapPolygon>
            </wp:wrapThrough>
            <wp:docPr id="22" name="Chart 22">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870158">
        <w:rPr>
          <w:rFonts w:ascii="Garamond" w:hAnsi="Garamond"/>
          <w:noProof/>
          <w:lang w:val="en-GB" w:eastAsia="en-GB"/>
        </w:rPr>
        <mc:AlternateContent>
          <mc:Choice Requires="wps">
            <w:drawing>
              <wp:anchor distT="0" distB="0" distL="114300" distR="114300" simplePos="0" relativeHeight="251667456" behindDoc="1" locked="0" layoutInCell="1" allowOverlap="1" wp14:anchorId="18021494" wp14:editId="22DC2F0F">
                <wp:simplePos x="0" y="0"/>
                <wp:positionH relativeFrom="column">
                  <wp:posOffset>3766820</wp:posOffset>
                </wp:positionH>
                <wp:positionV relativeFrom="paragraph">
                  <wp:posOffset>0</wp:posOffset>
                </wp:positionV>
                <wp:extent cx="2449830" cy="207010"/>
                <wp:effectExtent l="0" t="0" r="7620" b="2540"/>
                <wp:wrapTight wrapText="bothSides">
                  <wp:wrapPolygon edited="0">
                    <wp:start x="0" y="0"/>
                    <wp:lineTo x="0" y="19877"/>
                    <wp:lineTo x="21499" y="19877"/>
                    <wp:lineTo x="21499"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449830" cy="207010"/>
                        </a:xfrm>
                        <a:prstGeom prst="rect">
                          <a:avLst/>
                        </a:prstGeom>
                        <a:solidFill>
                          <a:prstClr val="white"/>
                        </a:solidFill>
                        <a:ln>
                          <a:noFill/>
                        </a:ln>
                      </wps:spPr>
                      <wps:txbx>
                        <w:txbxContent>
                          <w:p w14:paraId="0D3612A7" w14:textId="77777777" w:rsidR="00607E9D" w:rsidRPr="00AD3854" w:rsidRDefault="00607E9D" w:rsidP="00607E9D">
                            <w:pPr>
                              <w:spacing w:line="240" w:lineRule="auto"/>
                              <w:rPr>
                                <w:rFonts w:ascii="Garamond" w:hAnsi="Garamond"/>
                                <w:b/>
                                <w:color w:val="2E74B5" w:themeColor="accent1" w:themeShade="BF"/>
                                <w:sz w:val="18"/>
                                <w:szCs w:val="18"/>
                              </w:rPr>
                            </w:pPr>
                            <w:r w:rsidRPr="00AD3854">
                              <w:rPr>
                                <w:rFonts w:ascii="Garamond" w:hAnsi="Garamond"/>
                                <w:b/>
                                <w:color w:val="2E74B5" w:themeColor="accent1" w:themeShade="BF"/>
                                <w:sz w:val="18"/>
                                <w:szCs w:val="18"/>
                              </w:rPr>
                              <w:t>Grafik 3</w:t>
                            </w:r>
                            <w:r>
                              <w:rPr>
                                <w:rFonts w:ascii="Garamond" w:hAnsi="Garamond"/>
                                <w:b/>
                                <w:color w:val="2E74B5" w:themeColor="accent1" w:themeShade="BF"/>
                                <w:sz w:val="18"/>
                                <w:szCs w:val="18"/>
                              </w:rPr>
                              <w:t>:</w:t>
                            </w:r>
                            <w:r w:rsidRPr="00AD3854">
                              <w:rPr>
                                <w:rFonts w:ascii="Garamond" w:hAnsi="Garamond"/>
                                <w:b/>
                                <w:color w:val="2E74B5" w:themeColor="accent1" w:themeShade="BF"/>
                                <w:sz w:val="18"/>
                                <w:szCs w:val="18"/>
                              </w:rPr>
                              <w:t xml:space="preserve"> Odnos spoljnjeg i domaćeg duga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021494" id="_x0000_t202" coordsize="21600,21600" o:spt="202" path="m,l,21600r21600,l21600,xe">
                <v:stroke joinstyle="miter"/>
                <v:path gradientshapeok="t" o:connecttype="rect"/>
              </v:shapetype>
              <v:shape id="Text Box 3" o:spid="_x0000_s1026" type="#_x0000_t202" style="position:absolute;left:0;text-align:left;margin-left:296.6pt;margin-top:0;width:192.9pt;height:16.3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" stroked="f">
                <v:textbox inset="0,0,0,0">
                  <w:txbxContent>
                    <w:p w14:paraId="0D3612A7" w14:textId="77777777" w:rsidR="00607E9D" w:rsidRPr="00AD3854" w:rsidRDefault="00607E9D" w:rsidP="00607E9D">
                      <w:pPr>
                        <w:spacing w:line="240" w:lineRule="auto"/>
                        <w:rPr>
                          <w:rFonts w:ascii="Garamond" w:hAnsi="Garamond"/>
                          <w:b/>
                          <w:color w:val="2E74B5" w:themeColor="accent1" w:themeShade="BF"/>
                          <w:sz w:val="18"/>
                          <w:szCs w:val="18"/>
                        </w:rPr>
                      </w:pPr>
                      <w:r w:rsidRPr="00AD3854">
                        <w:rPr>
                          <w:rFonts w:ascii="Garamond" w:hAnsi="Garamond"/>
                          <w:b/>
                          <w:color w:val="2E74B5" w:themeColor="accent1" w:themeShade="BF"/>
                          <w:sz w:val="18"/>
                          <w:szCs w:val="18"/>
                        </w:rPr>
                        <w:t>Grafik 3</w:t>
                      </w:r>
                      <w:r>
                        <w:rPr>
                          <w:rFonts w:ascii="Garamond" w:hAnsi="Garamond"/>
                          <w:b/>
                          <w:color w:val="2E74B5" w:themeColor="accent1" w:themeShade="BF"/>
                          <w:sz w:val="18"/>
                          <w:szCs w:val="18"/>
                        </w:rPr>
                        <w:t>:</w:t>
                      </w:r>
                      <w:r w:rsidRPr="00AD3854">
                        <w:rPr>
                          <w:rFonts w:ascii="Garamond" w:hAnsi="Garamond"/>
                          <w:b/>
                          <w:color w:val="2E74B5" w:themeColor="accent1" w:themeShade="BF"/>
                          <w:sz w:val="18"/>
                          <w:szCs w:val="18"/>
                        </w:rPr>
                        <w:t xml:space="preserve"> Odnos spoljnjeg i domaćeg duga</w:t>
                      </w:r>
                    </w:p>
                  </w:txbxContent>
                </v:textbox>
                <w10:wrap type="tight"/>
              </v:shape>
            </w:pict>
          </mc:Fallback>
        </mc:AlternateContent>
      </w:r>
      <w:r w:rsidRPr="00870158">
        <w:rPr>
          <w:rFonts w:ascii="Garamond" w:hAnsi="Garamond"/>
          <w:sz w:val="24"/>
          <w:szCs w:val="24"/>
        </w:rPr>
        <w:t xml:space="preserve">U strukturi državnog duga, dominantno je zastupljen dug prema ino kreditorima, koji je iznosio 3.557,56 mil. €, odnosno 61,37% BDP-a, i čini </w:t>
      </w:r>
      <w:r w:rsidRPr="00870158">
        <w:rPr>
          <w:rFonts w:ascii="Garamond" w:hAnsi="Garamond" w:cs="Calibri"/>
          <w:b/>
          <w:bCs/>
        </w:rPr>
        <w:t>88</w:t>
      </w:r>
      <w:r w:rsidR="00870158">
        <w:rPr>
          <w:rFonts w:ascii="Garamond" w:hAnsi="Garamond" w:cs="Calibri"/>
          <w:b/>
          <w:bCs/>
        </w:rPr>
        <w:t>,</w:t>
      </w:r>
      <w:bookmarkStart w:id="0" w:name="_GoBack"/>
      <w:bookmarkEnd w:id="0"/>
      <w:r w:rsidRPr="00870158">
        <w:rPr>
          <w:rFonts w:ascii="Garamond" w:hAnsi="Garamond" w:cs="Calibri"/>
          <w:b/>
          <w:bCs/>
        </w:rPr>
        <w:t xml:space="preserve">36% </w:t>
      </w:r>
      <w:r w:rsidRPr="00870158">
        <w:rPr>
          <w:rFonts w:ascii="Garamond" w:hAnsi="Garamond"/>
          <w:sz w:val="24"/>
          <w:szCs w:val="24"/>
        </w:rPr>
        <w:t>ukupnog  državnog duga, dok je unutrašnji dug, iznosio 468,76  mil. €, odnosno 8,09% BDP-a, što predstavlja 11,6% ukupnog državnog duga</w:t>
      </w:r>
      <w:r w:rsidRPr="003E6974">
        <w:rPr>
          <w:rFonts w:ascii="Garamond" w:hAnsi="Garamond"/>
          <w:sz w:val="24"/>
          <w:szCs w:val="24"/>
        </w:rPr>
        <w:t>.</w:t>
      </w:r>
    </w:p>
    <w:p w14:paraId="48EA9F15" w14:textId="77777777" w:rsidR="00607E9D" w:rsidRDefault="00607E9D" w:rsidP="00607E9D">
      <w:pPr>
        <w:pStyle w:val="Footer"/>
        <w:suppressAutoHyphens/>
        <w:jc w:val="both"/>
        <w:rPr>
          <w:rFonts w:ascii="Garamond" w:hAnsi="Garamond"/>
          <w:sz w:val="24"/>
          <w:szCs w:val="24"/>
        </w:rPr>
      </w:pPr>
    </w:p>
    <w:p w14:paraId="6BE5B2E1" w14:textId="789D0BBC" w:rsidR="00607E9D" w:rsidRDefault="00607E9D" w:rsidP="00607E9D">
      <w:pPr>
        <w:pStyle w:val="Footer"/>
        <w:suppressAutoHyphens/>
        <w:jc w:val="both"/>
        <w:rPr>
          <w:rFonts w:ascii="Garamond" w:hAnsi="Garamond"/>
          <w:sz w:val="24"/>
          <w:szCs w:val="24"/>
        </w:rPr>
      </w:pPr>
      <w:r w:rsidRPr="00B24664">
        <w:rPr>
          <w:rFonts w:ascii="Garamond" w:hAnsi="Garamond"/>
          <w:sz w:val="24"/>
          <w:szCs w:val="24"/>
        </w:rPr>
        <w:t xml:space="preserve">U stanje državnog duga uključen je i dio duga lokalne  samouprave, u iznosu od 38,73 </w:t>
      </w:r>
      <w:r>
        <w:rPr>
          <w:rFonts w:ascii="Garamond" w:hAnsi="Garamond"/>
          <w:sz w:val="24"/>
          <w:szCs w:val="24"/>
        </w:rPr>
        <w:t>mil. €</w:t>
      </w:r>
      <w:r w:rsidRPr="00B24664">
        <w:rPr>
          <w:rFonts w:ascii="Garamond" w:hAnsi="Garamond"/>
          <w:sz w:val="24"/>
          <w:szCs w:val="24"/>
        </w:rPr>
        <w:t>, po osnovu ugovora za koje je Ministarstvo finansija zaključilo sa međunarodnim kreditorima i dalje proslijedilo opštinama u obliku transfernih zajmova.</w:t>
      </w:r>
    </w:p>
    <w:p w14:paraId="660C622A" w14:textId="77777777" w:rsidR="00607E9D" w:rsidRPr="003E6974" w:rsidRDefault="00607E9D" w:rsidP="00607E9D">
      <w:pPr>
        <w:pStyle w:val="Footer"/>
        <w:suppressAutoHyphens/>
        <w:jc w:val="both"/>
        <w:rPr>
          <w:rFonts w:ascii="Garamond" w:hAnsi="Garamond"/>
          <w:sz w:val="24"/>
          <w:szCs w:val="24"/>
        </w:rPr>
      </w:pPr>
    </w:p>
    <w:p w14:paraId="2C845D83" w14:textId="1DD9911F" w:rsidR="00607E9D" w:rsidRPr="00B24664" w:rsidRDefault="00607E9D" w:rsidP="00607E9D">
      <w:pPr>
        <w:jc w:val="both"/>
        <w:rPr>
          <w:rFonts w:ascii="Cambria" w:hAnsi="Cambria"/>
          <w:b/>
          <w:color w:val="418AB3"/>
          <w:sz w:val="20"/>
          <w:szCs w:val="20"/>
        </w:rPr>
      </w:pPr>
      <w:r w:rsidRPr="00B24664">
        <w:rPr>
          <w:rFonts w:ascii="Garamond" w:hAnsi="Garamond"/>
          <w:sz w:val="24"/>
          <w:szCs w:val="24"/>
        </w:rPr>
        <w:t xml:space="preserve">U odnosu na kraj 2021. godine, došlo je do smanjenja državnog duga u ukupnom iznosu od 63,70 </w:t>
      </w:r>
      <w:r>
        <w:rPr>
          <w:rFonts w:ascii="Garamond" w:hAnsi="Garamond"/>
          <w:sz w:val="24"/>
          <w:szCs w:val="24"/>
        </w:rPr>
        <w:t>mil. €</w:t>
      </w:r>
      <w:r w:rsidRPr="00B24664">
        <w:rPr>
          <w:rFonts w:ascii="Garamond" w:hAnsi="Garamond"/>
          <w:sz w:val="24"/>
          <w:szCs w:val="24"/>
        </w:rPr>
        <w:t xml:space="preserve">, što je rezultat smanjenja spoljnjeg duga za 130,92  </w:t>
      </w:r>
      <w:r>
        <w:rPr>
          <w:rFonts w:ascii="Garamond" w:hAnsi="Garamond"/>
          <w:sz w:val="24"/>
          <w:szCs w:val="24"/>
        </w:rPr>
        <w:t>mil. €</w:t>
      </w:r>
      <w:r w:rsidRPr="00B24664">
        <w:rPr>
          <w:rFonts w:ascii="Garamond" w:hAnsi="Garamond"/>
          <w:sz w:val="24"/>
          <w:szCs w:val="24"/>
        </w:rPr>
        <w:t xml:space="preserve">, a povećanja domaćeg duga za 67,22 </w:t>
      </w:r>
      <w:r>
        <w:rPr>
          <w:rFonts w:ascii="Garamond" w:hAnsi="Garamond"/>
          <w:sz w:val="24"/>
          <w:szCs w:val="24"/>
        </w:rPr>
        <w:t>mil. €</w:t>
      </w:r>
      <w:r w:rsidRPr="00B24664">
        <w:rPr>
          <w:rFonts w:ascii="Garamond" w:hAnsi="Garamond"/>
          <w:sz w:val="24"/>
          <w:szCs w:val="24"/>
        </w:rPr>
        <w:t>. Do smanjenja spoljnjeg duga došlo je usl</w:t>
      </w:r>
      <w:r>
        <w:rPr>
          <w:rFonts w:ascii="Garamond" w:hAnsi="Garamond"/>
          <w:sz w:val="24"/>
          <w:szCs w:val="24"/>
        </w:rPr>
        <w:t>j</w:t>
      </w:r>
      <w:r w:rsidRPr="00B24664">
        <w:rPr>
          <w:rFonts w:ascii="Garamond" w:hAnsi="Garamond"/>
          <w:sz w:val="24"/>
          <w:szCs w:val="24"/>
        </w:rPr>
        <w:t>ed izmirenja redovnih obaveza po osnovu kreditnih aranžmana zaključenih sa ino kreditorima. Do povećanja domaćeg duga došlo je prije svega usl</w:t>
      </w:r>
      <w:r>
        <w:rPr>
          <w:rFonts w:ascii="Garamond" w:hAnsi="Garamond"/>
          <w:sz w:val="24"/>
          <w:szCs w:val="24"/>
        </w:rPr>
        <w:t>j</w:t>
      </w:r>
      <w:r w:rsidRPr="00B24664">
        <w:rPr>
          <w:rFonts w:ascii="Garamond" w:hAnsi="Garamond"/>
          <w:sz w:val="24"/>
          <w:szCs w:val="24"/>
        </w:rPr>
        <w:t xml:space="preserve">ed zaduženja putem državnih zapisa u iznosu od 39 </w:t>
      </w:r>
      <w:r>
        <w:rPr>
          <w:rFonts w:ascii="Garamond" w:hAnsi="Garamond"/>
          <w:sz w:val="24"/>
          <w:szCs w:val="24"/>
        </w:rPr>
        <w:t>mil. €</w:t>
      </w:r>
      <w:r w:rsidRPr="00B24664">
        <w:rPr>
          <w:rFonts w:ascii="Garamond" w:hAnsi="Garamond"/>
          <w:sz w:val="24"/>
          <w:szCs w:val="24"/>
        </w:rPr>
        <w:t xml:space="preserve">, kao i putem novih kreditnih aranžmana sa domaćim komercijalnim bankama u iznosu od 66 </w:t>
      </w:r>
      <w:r>
        <w:rPr>
          <w:rFonts w:ascii="Garamond" w:hAnsi="Garamond"/>
          <w:sz w:val="24"/>
          <w:szCs w:val="24"/>
        </w:rPr>
        <w:t>mil. €</w:t>
      </w:r>
      <w:r w:rsidRPr="00B24664">
        <w:rPr>
          <w:rFonts w:ascii="Garamond" w:hAnsi="Garamond"/>
          <w:sz w:val="24"/>
          <w:szCs w:val="24"/>
        </w:rPr>
        <w:t>.</w:t>
      </w:r>
    </w:p>
    <w:p w14:paraId="7D0CF789" w14:textId="77777777" w:rsidR="00D63E57" w:rsidRDefault="00D63E57" w:rsidP="00D63E57">
      <w:pPr>
        <w:pStyle w:val="Footer"/>
        <w:suppressAutoHyphens/>
        <w:rPr>
          <w:rFonts w:ascii="Garamond" w:hAnsi="Garamond"/>
          <w:sz w:val="24"/>
          <w:szCs w:val="24"/>
        </w:rPr>
      </w:pPr>
    </w:p>
    <w:p w14:paraId="2E146E31" w14:textId="77777777" w:rsidR="00617866" w:rsidRPr="003E6974" w:rsidRDefault="00617866" w:rsidP="001B0664">
      <w:pPr>
        <w:pStyle w:val="Footer"/>
        <w:suppressAutoHyphens/>
        <w:jc w:val="both"/>
        <w:rPr>
          <w:rFonts w:ascii="Garamond" w:hAnsi="Garamond"/>
          <w:sz w:val="24"/>
          <w:szCs w:val="24"/>
        </w:rPr>
      </w:pPr>
    </w:p>
    <w:p w14:paraId="60D4137B" w14:textId="77777777" w:rsidR="00E2598D" w:rsidRPr="003E6974" w:rsidRDefault="00E2598D" w:rsidP="00D104B7">
      <w:pPr>
        <w:pStyle w:val="Footer"/>
        <w:suppressAutoHyphens/>
        <w:jc w:val="both"/>
        <w:rPr>
          <w:rFonts w:ascii="Garamond" w:hAnsi="Garamond"/>
          <w:b/>
          <w:sz w:val="24"/>
          <w:szCs w:val="24"/>
        </w:rPr>
      </w:pPr>
    </w:p>
    <w:p w14:paraId="42FC530A" w14:textId="77777777" w:rsidR="00E2598D" w:rsidRPr="003E6974" w:rsidRDefault="00E2598D" w:rsidP="00D104B7">
      <w:pPr>
        <w:pStyle w:val="Footer"/>
        <w:suppressAutoHyphens/>
        <w:jc w:val="both"/>
        <w:rPr>
          <w:rFonts w:ascii="Garamond" w:hAnsi="Garamond"/>
          <w:b/>
          <w:sz w:val="24"/>
          <w:szCs w:val="24"/>
        </w:rPr>
      </w:pPr>
    </w:p>
    <w:p w14:paraId="650A7C0D" w14:textId="77777777" w:rsidR="00AB2F27" w:rsidRPr="003E6974" w:rsidRDefault="00AB2F27" w:rsidP="00D104B7">
      <w:pPr>
        <w:pStyle w:val="Footer"/>
        <w:suppressAutoHyphens/>
        <w:jc w:val="both"/>
        <w:rPr>
          <w:rFonts w:ascii="Garamond" w:hAnsi="Garamond"/>
          <w:sz w:val="24"/>
          <w:szCs w:val="24"/>
        </w:rPr>
      </w:pPr>
    </w:p>
    <w:p w14:paraId="5E45DB42" w14:textId="77777777" w:rsidR="00C53D5B" w:rsidRPr="003E6974" w:rsidRDefault="00C53D5B" w:rsidP="00D104B7">
      <w:pPr>
        <w:pStyle w:val="Footer"/>
        <w:suppressAutoHyphens/>
        <w:jc w:val="both"/>
        <w:rPr>
          <w:rFonts w:ascii="Garamond" w:hAnsi="Garamond"/>
          <w:sz w:val="24"/>
          <w:szCs w:val="24"/>
        </w:rPr>
      </w:pPr>
    </w:p>
    <w:p w14:paraId="38F95954" w14:textId="77777777" w:rsidR="00C53D5B" w:rsidRPr="003E6974" w:rsidRDefault="00C53D5B" w:rsidP="00D104B7">
      <w:pPr>
        <w:pStyle w:val="Footer"/>
        <w:suppressAutoHyphens/>
        <w:jc w:val="both"/>
        <w:rPr>
          <w:rFonts w:ascii="Garamond" w:hAnsi="Garamond"/>
          <w:sz w:val="24"/>
          <w:szCs w:val="24"/>
        </w:rPr>
      </w:pPr>
    </w:p>
    <w:p w14:paraId="50E4CA00" w14:textId="77777777" w:rsidR="0005016F" w:rsidRPr="003E6974" w:rsidRDefault="0005016F" w:rsidP="00D104B7">
      <w:pPr>
        <w:pStyle w:val="Footer"/>
        <w:suppressAutoHyphens/>
        <w:jc w:val="both"/>
        <w:rPr>
          <w:rFonts w:ascii="Garamond" w:hAnsi="Garamond"/>
          <w:sz w:val="24"/>
          <w:szCs w:val="24"/>
        </w:rPr>
      </w:pPr>
    </w:p>
    <w:p w14:paraId="74263DB6" w14:textId="77777777" w:rsidR="00D104B7" w:rsidRPr="003E6974" w:rsidRDefault="00D104B7" w:rsidP="00D104B7">
      <w:pPr>
        <w:pStyle w:val="Footer"/>
        <w:suppressAutoHyphens/>
        <w:jc w:val="both"/>
        <w:rPr>
          <w:rFonts w:ascii="Garamond" w:hAnsi="Garamond"/>
          <w:b/>
          <w:sz w:val="24"/>
          <w:szCs w:val="24"/>
        </w:rPr>
      </w:pPr>
    </w:p>
    <w:p w14:paraId="7A1A558A" w14:textId="77777777" w:rsidR="00FE2D4A" w:rsidRPr="003E6974" w:rsidRDefault="00FE2D4A" w:rsidP="00D104B7">
      <w:pPr>
        <w:numPr>
          <w:ilvl w:val="1"/>
          <w:numId w:val="0"/>
        </w:numPr>
        <w:spacing w:after="200" w:line="240" w:lineRule="auto"/>
        <w:jc w:val="both"/>
        <w:rPr>
          <w:rFonts w:ascii="Garamond" w:hAnsi="Garamond"/>
          <w:color w:val="548DD4"/>
          <w:spacing w:val="15"/>
          <w:sz w:val="24"/>
          <w:szCs w:val="24"/>
          <w:shd w:val="clear" w:color="auto" w:fill="FFFFFF"/>
        </w:rPr>
      </w:pPr>
    </w:p>
    <w:p w14:paraId="5F509B06" w14:textId="77777777" w:rsidR="00523064" w:rsidRPr="003E6974" w:rsidRDefault="00523064" w:rsidP="00A161E8">
      <w:pPr>
        <w:numPr>
          <w:ilvl w:val="1"/>
          <w:numId w:val="0"/>
        </w:numPr>
        <w:spacing w:after="200" w:line="240" w:lineRule="auto"/>
        <w:jc w:val="both"/>
        <w:rPr>
          <w:rFonts w:ascii="Garamond" w:hAnsi="Garamond"/>
          <w:sz w:val="24"/>
          <w:szCs w:val="24"/>
          <w:lang w:val="sr-Latn-CS"/>
        </w:rPr>
      </w:pPr>
    </w:p>
    <w:p w14:paraId="325813D1" w14:textId="77777777" w:rsidR="00E10CBA" w:rsidRPr="003E6974" w:rsidRDefault="00E10CBA" w:rsidP="00DC3094">
      <w:pPr>
        <w:numPr>
          <w:ilvl w:val="1"/>
          <w:numId w:val="0"/>
        </w:numPr>
        <w:spacing w:after="200" w:line="240" w:lineRule="auto"/>
        <w:jc w:val="both"/>
        <w:rPr>
          <w:rFonts w:ascii="Garamond" w:hAnsi="Garamond"/>
          <w:sz w:val="24"/>
          <w:szCs w:val="24"/>
          <w:lang w:val="sr-Latn-CS"/>
        </w:rPr>
      </w:pPr>
    </w:p>
    <w:sectPr w:rsidR="00E10CBA" w:rsidRPr="003E697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54066" w16cex:dateUtc="2021-02-15T17: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9B54A" w14:textId="77777777" w:rsidR="004F719C" w:rsidRDefault="004F719C" w:rsidP="009D4601">
      <w:pPr>
        <w:spacing w:after="0" w:line="240" w:lineRule="auto"/>
      </w:pPr>
      <w:r>
        <w:separator/>
      </w:r>
    </w:p>
  </w:endnote>
  <w:endnote w:type="continuationSeparator" w:id="0">
    <w:p w14:paraId="592E7031" w14:textId="77777777" w:rsidR="004F719C" w:rsidRDefault="004F719C" w:rsidP="009D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1E4ED" w14:textId="77777777" w:rsidR="004F719C" w:rsidRDefault="004F719C" w:rsidP="009D4601">
      <w:pPr>
        <w:spacing w:after="0" w:line="240" w:lineRule="auto"/>
      </w:pPr>
      <w:r>
        <w:separator/>
      </w:r>
    </w:p>
  </w:footnote>
  <w:footnote w:type="continuationSeparator" w:id="0">
    <w:p w14:paraId="08E095DD" w14:textId="77777777" w:rsidR="004F719C" w:rsidRDefault="004F719C" w:rsidP="009D4601">
      <w:pPr>
        <w:spacing w:after="0" w:line="240" w:lineRule="auto"/>
      </w:pPr>
      <w:r>
        <w:continuationSeparator/>
      </w:r>
    </w:p>
  </w:footnote>
  <w:footnote w:id="1">
    <w:p w14:paraId="133E5528" w14:textId="3E0C7C46" w:rsidR="00AE6B73" w:rsidRPr="00AE6B73" w:rsidRDefault="00AE6B73">
      <w:pPr>
        <w:pStyle w:val="FootnoteText"/>
        <w:rPr>
          <w:lang w:val="sr-Latn-RS"/>
        </w:rPr>
      </w:pPr>
      <w:r>
        <w:rPr>
          <w:rStyle w:val="FootnoteReference"/>
        </w:rPr>
        <w:footnoteRef/>
      </w:r>
      <w:r>
        <w:t xml:space="preserve"> </w:t>
      </w:r>
      <w:r w:rsidRPr="00861A8D">
        <w:rPr>
          <w:rFonts w:ascii="Garamond" w:hAnsi="Garamond"/>
          <w:sz w:val="18"/>
          <w:szCs w:val="18"/>
        </w:rPr>
        <w:t xml:space="preserve">Preliminarni BDP na osnovu podataka </w:t>
      </w:r>
      <w:r w:rsidR="005E2552">
        <w:rPr>
          <w:rFonts w:ascii="Garamond" w:hAnsi="Garamond"/>
          <w:sz w:val="18"/>
          <w:szCs w:val="18"/>
        </w:rPr>
        <w:t>Uprave za statistiku</w:t>
      </w:r>
      <w:r w:rsidRPr="00861A8D">
        <w:rPr>
          <w:rFonts w:ascii="Garamond" w:hAnsi="Garamond"/>
          <w:sz w:val="18"/>
          <w:szCs w:val="18"/>
        </w:rPr>
        <w:t xml:space="preserve"> za IV kvartal</w:t>
      </w:r>
      <w:r w:rsidR="00AE7102" w:rsidRPr="00861A8D">
        <w:rPr>
          <w:rFonts w:ascii="Garamond" w:hAnsi="Garamond"/>
          <w:sz w:val="18"/>
          <w:szCs w:val="18"/>
        </w:rPr>
        <w:t>a</w:t>
      </w:r>
      <w:r w:rsidR="00866F7F" w:rsidRPr="00861A8D">
        <w:rPr>
          <w:rFonts w:ascii="Garamond" w:hAnsi="Garamond"/>
          <w:sz w:val="18"/>
          <w:szCs w:val="18"/>
        </w:rPr>
        <w:t xml:space="preserve"> 202</w:t>
      </w:r>
      <w:r w:rsidR="00EF7CE7">
        <w:rPr>
          <w:rFonts w:ascii="Garamond" w:hAnsi="Garamond"/>
          <w:sz w:val="18"/>
          <w:szCs w:val="18"/>
        </w:rPr>
        <w:t>2</w:t>
      </w:r>
      <w:r w:rsidR="00866F7F" w:rsidRPr="00861A8D">
        <w:rPr>
          <w:rFonts w:ascii="Garamond" w:hAnsi="Garamond"/>
          <w:sz w:val="18"/>
          <w:szCs w:val="18"/>
        </w:rPr>
        <w:t>. godine</w:t>
      </w:r>
    </w:p>
  </w:footnote>
  <w:footnote w:id="2">
    <w:p w14:paraId="0B4ADA9B" w14:textId="77777777" w:rsidR="00607E9D" w:rsidRPr="0088551A" w:rsidRDefault="00607E9D" w:rsidP="00607E9D">
      <w:pPr>
        <w:pStyle w:val="FootnoteText"/>
        <w:rPr>
          <w:rFonts w:ascii="Garamond" w:hAnsi="Garamond"/>
          <w:lang w:val="sr-Latn-RS"/>
        </w:rPr>
      </w:pPr>
      <w:r w:rsidRPr="0088551A">
        <w:rPr>
          <w:rStyle w:val="FootnoteReference"/>
          <w:rFonts w:ascii="Garamond" w:hAnsi="Garamond"/>
        </w:rPr>
        <w:footnoteRef/>
      </w:r>
      <w:r w:rsidRPr="0088551A">
        <w:rPr>
          <w:rFonts w:ascii="Garamond" w:hAnsi="Garamond"/>
        </w:rPr>
        <w:t xml:space="preserve"> </w:t>
      </w:r>
      <w:r w:rsidRPr="00D63E57">
        <w:rPr>
          <w:rFonts w:ascii="Garamond" w:hAnsi="Garamond"/>
          <w:sz w:val="18"/>
          <w:szCs w:val="18"/>
          <w:lang w:val="sr-Latn-RS"/>
        </w:rPr>
        <w:t xml:space="preserve">Depoziti na kraju </w:t>
      </w:r>
      <w:r>
        <w:rPr>
          <w:rFonts w:ascii="Garamond" w:hAnsi="Garamond"/>
          <w:sz w:val="18"/>
          <w:szCs w:val="18"/>
          <w:lang w:val="sr-Latn-RS"/>
        </w:rPr>
        <w:t>2022</w:t>
      </w:r>
      <w:r w:rsidRPr="00D63E57">
        <w:rPr>
          <w:rFonts w:ascii="Garamond" w:hAnsi="Garamond"/>
          <w:sz w:val="18"/>
          <w:szCs w:val="18"/>
          <w:lang w:val="sr-Latn-RS"/>
        </w:rPr>
        <w:t xml:space="preserve">. godine (uključujući 38.477 unci zlata) iznose </w:t>
      </w:r>
      <w:r w:rsidRPr="00944310">
        <w:rPr>
          <w:rFonts w:ascii="Garamond" w:hAnsi="Garamond"/>
          <w:sz w:val="18"/>
          <w:szCs w:val="18"/>
          <w:lang w:val="sr-Latn-RS"/>
        </w:rPr>
        <w:t xml:space="preserve">111.75 </w:t>
      </w:r>
      <w:r w:rsidRPr="00D63E57">
        <w:rPr>
          <w:rFonts w:ascii="Garamond" w:hAnsi="Garamond"/>
          <w:sz w:val="18"/>
          <w:szCs w:val="18"/>
          <w:lang w:val="sr-Latn-RS"/>
        </w:rPr>
        <w:t>mil.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A3E13"/>
    <w:multiLevelType w:val="hybridMultilevel"/>
    <w:tmpl w:val="50205D0A"/>
    <w:lvl w:ilvl="0" w:tplc="7D98BA8E">
      <w:numFmt w:val="bullet"/>
      <w:lvlText w:val="-"/>
      <w:lvlJc w:val="left"/>
      <w:pPr>
        <w:ind w:left="720" w:hanging="360"/>
      </w:pPr>
      <w:rPr>
        <w:rFonts w:ascii="Garamond" w:eastAsiaTheme="minorHAnsi" w:hAnsi="Garamond"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9C7"/>
    <w:rsid w:val="00001999"/>
    <w:rsid w:val="00005D36"/>
    <w:rsid w:val="000074D7"/>
    <w:rsid w:val="00007DB9"/>
    <w:rsid w:val="00010CE2"/>
    <w:rsid w:val="000171F7"/>
    <w:rsid w:val="00017B87"/>
    <w:rsid w:val="0002025C"/>
    <w:rsid w:val="00034611"/>
    <w:rsid w:val="000353F1"/>
    <w:rsid w:val="00037238"/>
    <w:rsid w:val="00041116"/>
    <w:rsid w:val="00043279"/>
    <w:rsid w:val="000443B2"/>
    <w:rsid w:val="00047BF5"/>
    <w:rsid w:val="0005016F"/>
    <w:rsid w:val="000501C9"/>
    <w:rsid w:val="00051E94"/>
    <w:rsid w:val="00052525"/>
    <w:rsid w:val="00054CED"/>
    <w:rsid w:val="00056671"/>
    <w:rsid w:val="00056988"/>
    <w:rsid w:val="00060B94"/>
    <w:rsid w:val="00064179"/>
    <w:rsid w:val="0006455C"/>
    <w:rsid w:val="000651F4"/>
    <w:rsid w:val="00071016"/>
    <w:rsid w:val="00074483"/>
    <w:rsid w:val="00080CAB"/>
    <w:rsid w:val="00081CC3"/>
    <w:rsid w:val="00082F6C"/>
    <w:rsid w:val="00083959"/>
    <w:rsid w:val="0008737F"/>
    <w:rsid w:val="000A0E81"/>
    <w:rsid w:val="000A212A"/>
    <w:rsid w:val="000B092C"/>
    <w:rsid w:val="000B26F4"/>
    <w:rsid w:val="000B366D"/>
    <w:rsid w:val="000B5A7D"/>
    <w:rsid w:val="000D02B0"/>
    <w:rsid w:val="000D05F9"/>
    <w:rsid w:val="000D253E"/>
    <w:rsid w:val="000D27F3"/>
    <w:rsid w:val="000D29FB"/>
    <w:rsid w:val="000D6583"/>
    <w:rsid w:val="000D6B3D"/>
    <w:rsid w:val="000E5F6A"/>
    <w:rsid w:val="000F17E9"/>
    <w:rsid w:val="000F2621"/>
    <w:rsid w:val="000F4609"/>
    <w:rsid w:val="000F6011"/>
    <w:rsid w:val="000F7A47"/>
    <w:rsid w:val="001020A6"/>
    <w:rsid w:val="001109BB"/>
    <w:rsid w:val="00111A0F"/>
    <w:rsid w:val="00112D0E"/>
    <w:rsid w:val="00126322"/>
    <w:rsid w:val="001321BB"/>
    <w:rsid w:val="001325F1"/>
    <w:rsid w:val="00133167"/>
    <w:rsid w:val="0013587E"/>
    <w:rsid w:val="001358EF"/>
    <w:rsid w:val="001421B2"/>
    <w:rsid w:val="0014798E"/>
    <w:rsid w:val="00147F59"/>
    <w:rsid w:val="00152005"/>
    <w:rsid w:val="00153E8F"/>
    <w:rsid w:val="00157BCE"/>
    <w:rsid w:val="00162121"/>
    <w:rsid w:val="00162C3F"/>
    <w:rsid w:val="001638EA"/>
    <w:rsid w:val="00164E6D"/>
    <w:rsid w:val="00170760"/>
    <w:rsid w:val="00175484"/>
    <w:rsid w:val="00177592"/>
    <w:rsid w:val="00184E48"/>
    <w:rsid w:val="0018700E"/>
    <w:rsid w:val="00187EC0"/>
    <w:rsid w:val="0019596A"/>
    <w:rsid w:val="00196191"/>
    <w:rsid w:val="0019796A"/>
    <w:rsid w:val="00197BA8"/>
    <w:rsid w:val="001A0301"/>
    <w:rsid w:val="001A2304"/>
    <w:rsid w:val="001A5B3F"/>
    <w:rsid w:val="001B0664"/>
    <w:rsid w:val="001B5492"/>
    <w:rsid w:val="001C12ED"/>
    <w:rsid w:val="001C23C1"/>
    <w:rsid w:val="001D258B"/>
    <w:rsid w:val="001D3F35"/>
    <w:rsid w:val="001D64ED"/>
    <w:rsid w:val="001D6984"/>
    <w:rsid w:val="001D6F34"/>
    <w:rsid w:val="001D785F"/>
    <w:rsid w:val="001E2337"/>
    <w:rsid w:val="001E2C15"/>
    <w:rsid w:val="001E5765"/>
    <w:rsid w:val="001E57F6"/>
    <w:rsid w:val="001E742A"/>
    <w:rsid w:val="001E7E59"/>
    <w:rsid w:val="001F12C2"/>
    <w:rsid w:val="001F27EE"/>
    <w:rsid w:val="001F3D96"/>
    <w:rsid w:val="001F43C2"/>
    <w:rsid w:val="002011D4"/>
    <w:rsid w:val="00207A44"/>
    <w:rsid w:val="00212FB5"/>
    <w:rsid w:val="00215787"/>
    <w:rsid w:val="00221465"/>
    <w:rsid w:val="00227434"/>
    <w:rsid w:val="002329E4"/>
    <w:rsid w:val="0023527C"/>
    <w:rsid w:val="002419C7"/>
    <w:rsid w:val="00241AC3"/>
    <w:rsid w:val="002516E5"/>
    <w:rsid w:val="00261680"/>
    <w:rsid w:val="002624B5"/>
    <w:rsid w:val="00262E17"/>
    <w:rsid w:val="00266D70"/>
    <w:rsid w:val="00274588"/>
    <w:rsid w:val="0028143D"/>
    <w:rsid w:val="002818BD"/>
    <w:rsid w:val="00284477"/>
    <w:rsid w:val="00284AC8"/>
    <w:rsid w:val="00285555"/>
    <w:rsid w:val="002872ED"/>
    <w:rsid w:val="00293C86"/>
    <w:rsid w:val="002941A0"/>
    <w:rsid w:val="002971C1"/>
    <w:rsid w:val="002A1882"/>
    <w:rsid w:val="002A37B6"/>
    <w:rsid w:val="002A4AC8"/>
    <w:rsid w:val="002A4D7B"/>
    <w:rsid w:val="002B1BCF"/>
    <w:rsid w:val="002B23C6"/>
    <w:rsid w:val="002B3681"/>
    <w:rsid w:val="002B4224"/>
    <w:rsid w:val="002B6301"/>
    <w:rsid w:val="002C1009"/>
    <w:rsid w:val="002D1671"/>
    <w:rsid w:val="002D5E90"/>
    <w:rsid w:val="002D677C"/>
    <w:rsid w:val="002D6EA8"/>
    <w:rsid w:val="002E1E69"/>
    <w:rsid w:val="002E678A"/>
    <w:rsid w:val="002E7A78"/>
    <w:rsid w:val="002F148D"/>
    <w:rsid w:val="002F29D6"/>
    <w:rsid w:val="002F31DF"/>
    <w:rsid w:val="002F478C"/>
    <w:rsid w:val="002F73DC"/>
    <w:rsid w:val="002F7866"/>
    <w:rsid w:val="002F7EBE"/>
    <w:rsid w:val="00301BCD"/>
    <w:rsid w:val="0030254C"/>
    <w:rsid w:val="003039FE"/>
    <w:rsid w:val="00305A1D"/>
    <w:rsid w:val="00313D79"/>
    <w:rsid w:val="003154F1"/>
    <w:rsid w:val="00320435"/>
    <w:rsid w:val="00332FE1"/>
    <w:rsid w:val="0033473B"/>
    <w:rsid w:val="00335DD6"/>
    <w:rsid w:val="00336B21"/>
    <w:rsid w:val="003427CF"/>
    <w:rsid w:val="0036020A"/>
    <w:rsid w:val="0036104E"/>
    <w:rsid w:val="003625AD"/>
    <w:rsid w:val="00364853"/>
    <w:rsid w:val="0037061E"/>
    <w:rsid w:val="003709BB"/>
    <w:rsid w:val="003727FA"/>
    <w:rsid w:val="00381EEC"/>
    <w:rsid w:val="00382C9F"/>
    <w:rsid w:val="003878DD"/>
    <w:rsid w:val="003903BD"/>
    <w:rsid w:val="0039084B"/>
    <w:rsid w:val="0039206C"/>
    <w:rsid w:val="00395619"/>
    <w:rsid w:val="0039591F"/>
    <w:rsid w:val="00397C40"/>
    <w:rsid w:val="003A0C91"/>
    <w:rsid w:val="003A1A73"/>
    <w:rsid w:val="003A2E12"/>
    <w:rsid w:val="003A303F"/>
    <w:rsid w:val="003A4339"/>
    <w:rsid w:val="003A7675"/>
    <w:rsid w:val="003B432B"/>
    <w:rsid w:val="003B5284"/>
    <w:rsid w:val="003B6F6D"/>
    <w:rsid w:val="003B7FF1"/>
    <w:rsid w:val="003C0DC8"/>
    <w:rsid w:val="003C2AD1"/>
    <w:rsid w:val="003C402A"/>
    <w:rsid w:val="003C4F7B"/>
    <w:rsid w:val="003C7D73"/>
    <w:rsid w:val="003D0441"/>
    <w:rsid w:val="003D274D"/>
    <w:rsid w:val="003D3937"/>
    <w:rsid w:val="003D5F1F"/>
    <w:rsid w:val="003D6E25"/>
    <w:rsid w:val="003E1B0F"/>
    <w:rsid w:val="003E209A"/>
    <w:rsid w:val="003E6974"/>
    <w:rsid w:val="003F5AAF"/>
    <w:rsid w:val="003F7829"/>
    <w:rsid w:val="00401070"/>
    <w:rsid w:val="004071D9"/>
    <w:rsid w:val="00410065"/>
    <w:rsid w:val="0041095A"/>
    <w:rsid w:val="004167EA"/>
    <w:rsid w:val="0042055A"/>
    <w:rsid w:val="00422E10"/>
    <w:rsid w:val="00423CD3"/>
    <w:rsid w:val="0042557D"/>
    <w:rsid w:val="00425A3F"/>
    <w:rsid w:val="00433531"/>
    <w:rsid w:val="00436C06"/>
    <w:rsid w:val="00441D18"/>
    <w:rsid w:val="00441DCD"/>
    <w:rsid w:val="00443082"/>
    <w:rsid w:val="0044358A"/>
    <w:rsid w:val="00444B3D"/>
    <w:rsid w:val="00454F0D"/>
    <w:rsid w:val="00457629"/>
    <w:rsid w:val="00465725"/>
    <w:rsid w:val="00470D7F"/>
    <w:rsid w:val="00473324"/>
    <w:rsid w:val="00473387"/>
    <w:rsid w:val="004752BC"/>
    <w:rsid w:val="0048100D"/>
    <w:rsid w:val="00481335"/>
    <w:rsid w:val="00481641"/>
    <w:rsid w:val="00490E91"/>
    <w:rsid w:val="00491596"/>
    <w:rsid w:val="00493929"/>
    <w:rsid w:val="004952BF"/>
    <w:rsid w:val="004A0430"/>
    <w:rsid w:val="004A3B0C"/>
    <w:rsid w:val="004B0889"/>
    <w:rsid w:val="004B0CFE"/>
    <w:rsid w:val="004B2312"/>
    <w:rsid w:val="004B2A3E"/>
    <w:rsid w:val="004C09F8"/>
    <w:rsid w:val="004C0EE9"/>
    <w:rsid w:val="004C33B9"/>
    <w:rsid w:val="004C42E0"/>
    <w:rsid w:val="004C443A"/>
    <w:rsid w:val="004C5D7A"/>
    <w:rsid w:val="004C791B"/>
    <w:rsid w:val="004D21F0"/>
    <w:rsid w:val="004D7F4F"/>
    <w:rsid w:val="004E531E"/>
    <w:rsid w:val="004F083D"/>
    <w:rsid w:val="004F719C"/>
    <w:rsid w:val="00503A56"/>
    <w:rsid w:val="00506B6B"/>
    <w:rsid w:val="00506CBA"/>
    <w:rsid w:val="00507C64"/>
    <w:rsid w:val="00512C51"/>
    <w:rsid w:val="00514A22"/>
    <w:rsid w:val="00514C05"/>
    <w:rsid w:val="005153A4"/>
    <w:rsid w:val="00515D97"/>
    <w:rsid w:val="00523064"/>
    <w:rsid w:val="005257C9"/>
    <w:rsid w:val="00527A5D"/>
    <w:rsid w:val="0053153F"/>
    <w:rsid w:val="005332F8"/>
    <w:rsid w:val="00535B9F"/>
    <w:rsid w:val="00547997"/>
    <w:rsid w:val="0055248F"/>
    <w:rsid w:val="005543AF"/>
    <w:rsid w:val="00555C8E"/>
    <w:rsid w:val="005640B2"/>
    <w:rsid w:val="00565230"/>
    <w:rsid w:val="00566DA0"/>
    <w:rsid w:val="00567898"/>
    <w:rsid w:val="00571345"/>
    <w:rsid w:val="00575B78"/>
    <w:rsid w:val="00581723"/>
    <w:rsid w:val="00581F4F"/>
    <w:rsid w:val="0058275E"/>
    <w:rsid w:val="00583E20"/>
    <w:rsid w:val="00585804"/>
    <w:rsid w:val="0058786E"/>
    <w:rsid w:val="005937C6"/>
    <w:rsid w:val="005974D2"/>
    <w:rsid w:val="00597C48"/>
    <w:rsid w:val="005A14AC"/>
    <w:rsid w:val="005C480A"/>
    <w:rsid w:val="005C61F1"/>
    <w:rsid w:val="005D279C"/>
    <w:rsid w:val="005D45B9"/>
    <w:rsid w:val="005E0346"/>
    <w:rsid w:val="005E2048"/>
    <w:rsid w:val="005E2552"/>
    <w:rsid w:val="005E2CC7"/>
    <w:rsid w:val="005F01DE"/>
    <w:rsid w:val="005F515F"/>
    <w:rsid w:val="005F5E81"/>
    <w:rsid w:val="005F77D3"/>
    <w:rsid w:val="00607253"/>
    <w:rsid w:val="00607E9D"/>
    <w:rsid w:val="00612480"/>
    <w:rsid w:val="00617866"/>
    <w:rsid w:val="00621EA2"/>
    <w:rsid w:val="00624FBD"/>
    <w:rsid w:val="006276E2"/>
    <w:rsid w:val="00631259"/>
    <w:rsid w:val="00633723"/>
    <w:rsid w:val="006341AF"/>
    <w:rsid w:val="0063617B"/>
    <w:rsid w:val="00640165"/>
    <w:rsid w:val="0064042E"/>
    <w:rsid w:val="00653095"/>
    <w:rsid w:val="00656903"/>
    <w:rsid w:val="006639F2"/>
    <w:rsid w:val="00666234"/>
    <w:rsid w:val="006805F6"/>
    <w:rsid w:val="006839DD"/>
    <w:rsid w:val="00683BA6"/>
    <w:rsid w:val="0068466F"/>
    <w:rsid w:val="00685D47"/>
    <w:rsid w:val="00695610"/>
    <w:rsid w:val="00696616"/>
    <w:rsid w:val="006A3D5C"/>
    <w:rsid w:val="006A53DE"/>
    <w:rsid w:val="006A6CDA"/>
    <w:rsid w:val="006C0718"/>
    <w:rsid w:val="006C129A"/>
    <w:rsid w:val="006C2138"/>
    <w:rsid w:val="006C46F7"/>
    <w:rsid w:val="006D51E6"/>
    <w:rsid w:val="006D6D67"/>
    <w:rsid w:val="006F06B8"/>
    <w:rsid w:val="00701AC0"/>
    <w:rsid w:val="00707183"/>
    <w:rsid w:val="0071385B"/>
    <w:rsid w:val="00715A59"/>
    <w:rsid w:val="00720407"/>
    <w:rsid w:val="00725634"/>
    <w:rsid w:val="007261E0"/>
    <w:rsid w:val="0072749D"/>
    <w:rsid w:val="00730D70"/>
    <w:rsid w:val="00740CE2"/>
    <w:rsid w:val="00746EEE"/>
    <w:rsid w:val="00751D37"/>
    <w:rsid w:val="0075204A"/>
    <w:rsid w:val="0075226F"/>
    <w:rsid w:val="007535DC"/>
    <w:rsid w:val="007538BD"/>
    <w:rsid w:val="00754599"/>
    <w:rsid w:val="00760C6A"/>
    <w:rsid w:val="00765854"/>
    <w:rsid w:val="007728D0"/>
    <w:rsid w:val="00772D9E"/>
    <w:rsid w:val="00781824"/>
    <w:rsid w:val="007841E8"/>
    <w:rsid w:val="00793671"/>
    <w:rsid w:val="00794220"/>
    <w:rsid w:val="007967C1"/>
    <w:rsid w:val="00797AB5"/>
    <w:rsid w:val="007A5877"/>
    <w:rsid w:val="007A64D9"/>
    <w:rsid w:val="007B049A"/>
    <w:rsid w:val="007C0938"/>
    <w:rsid w:val="007D41C9"/>
    <w:rsid w:val="007D56F8"/>
    <w:rsid w:val="007D58DB"/>
    <w:rsid w:val="007D5961"/>
    <w:rsid w:val="007D6E89"/>
    <w:rsid w:val="007E3618"/>
    <w:rsid w:val="007E4413"/>
    <w:rsid w:val="007E7CBA"/>
    <w:rsid w:val="007F4B9D"/>
    <w:rsid w:val="00800347"/>
    <w:rsid w:val="00800F54"/>
    <w:rsid w:val="00804915"/>
    <w:rsid w:val="00804C50"/>
    <w:rsid w:val="00810A53"/>
    <w:rsid w:val="00811FE4"/>
    <w:rsid w:val="00812264"/>
    <w:rsid w:val="00813063"/>
    <w:rsid w:val="00816700"/>
    <w:rsid w:val="0082099A"/>
    <w:rsid w:val="00820D76"/>
    <w:rsid w:val="008221B7"/>
    <w:rsid w:val="00824877"/>
    <w:rsid w:val="00825742"/>
    <w:rsid w:val="00830D51"/>
    <w:rsid w:val="00835BB0"/>
    <w:rsid w:val="00836FAD"/>
    <w:rsid w:val="00837BE0"/>
    <w:rsid w:val="00841DC0"/>
    <w:rsid w:val="00845F62"/>
    <w:rsid w:val="0084674E"/>
    <w:rsid w:val="00846770"/>
    <w:rsid w:val="00847551"/>
    <w:rsid w:val="00850518"/>
    <w:rsid w:val="00854F84"/>
    <w:rsid w:val="0085539B"/>
    <w:rsid w:val="008569A8"/>
    <w:rsid w:val="0086065C"/>
    <w:rsid w:val="00861789"/>
    <w:rsid w:val="00861A8D"/>
    <w:rsid w:val="00865AC0"/>
    <w:rsid w:val="00866F7F"/>
    <w:rsid w:val="00870158"/>
    <w:rsid w:val="008718AA"/>
    <w:rsid w:val="00871A21"/>
    <w:rsid w:val="0087342D"/>
    <w:rsid w:val="00876CD8"/>
    <w:rsid w:val="00880F01"/>
    <w:rsid w:val="0088543E"/>
    <w:rsid w:val="0088551A"/>
    <w:rsid w:val="008902AE"/>
    <w:rsid w:val="008921A4"/>
    <w:rsid w:val="00893B55"/>
    <w:rsid w:val="00894CBA"/>
    <w:rsid w:val="00895784"/>
    <w:rsid w:val="0089708C"/>
    <w:rsid w:val="008A265B"/>
    <w:rsid w:val="008A5D01"/>
    <w:rsid w:val="008A647B"/>
    <w:rsid w:val="008B2995"/>
    <w:rsid w:val="008B4376"/>
    <w:rsid w:val="008B5D58"/>
    <w:rsid w:val="008C0C95"/>
    <w:rsid w:val="008C136D"/>
    <w:rsid w:val="008C1550"/>
    <w:rsid w:val="008C6E8E"/>
    <w:rsid w:val="008D1104"/>
    <w:rsid w:val="008D1962"/>
    <w:rsid w:val="008E3A43"/>
    <w:rsid w:val="008E4A63"/>
    <w:rsid w:val="008E51FD"/>
    <w:rsid w:val="008E5B9A"/>
    <w:rsid w:val="008E7CCF"/>
    <w:rsid w:val="008F17DD"/>
    <w:rsid w:val="008F2749"/>
    <w:rsid w:val="008F2C56"/>
    <w:rsid w:val="008F4724"/>
    <w:rsid w:val="008F7C59"/>
    <w:rsid w:val="00902B29"/>
    <w:rsid w:val="0090305A"/>
    <w:rsid w:val="00906880"/>
    <w:rsid w:val="00906DA9"/>
    <w:rsid w:val="00907DD4"/>
    <w:rsid w:val="00907E77"/>
    <w:rsid w:val="00910109"/>
    <w:rsid w:val="00911CF4"/>
    <w:rsid w:val="00913910"/>
    <w:rsid w:val="00913AC7"/>
    <w:rsid w:val="0091467A"/>
    <w:rsid w:val="00915B04"/>
    <w:rsid w:val="00915CCA"/>
    <w:rsid w:val="00916C57"/>
    <w:rsid w:val="0091798B"/>
    <w:rsid w:val="009209EA"/>
    <w:rsid w:val="00921A70"/>
    <w:rsid w:val="0092251E"/>
    <w:rsid w:val="00922E37"/>
    <w:rsid w:val="00926475"/>
    <w:rsid w:val="0092733C"/>
    <w:rsid w:val="00932A38"/>
    <w:rsid w:val="00933992"/>
    <w:rsid w:val="009343B2"/>
    <w:rsid w:val="009363B3"/>
    <w:rsid w:val="009402F8"/>
    <w:rsid w:val="00942BF2"/>
    <w:rsid w:val="009436A8"/>
    <w:rsid w:val="00943A0F"/>
    <w:rsid w:val="00944310"/>
    <w:rsid w:val="0094446C"/>
    <w:rsid w:val="009444B3"/>
    <w:rsid w:val="009504E9"/>
    <w:rsid w:val="00951DF6"/>
    <w:rsid w:val="00957CF9"/>
    <w:rsid w:val="0096195C"/>
    <w:rsid w:val="00961B41"/>
    <w:rsid w:val="00962DDD"/>
    <w:rsid w:val="00967C34"/>
    <w:rsid w:val="00970EF4"/>
    <w:rsid w:val="00971A1A"/>
    <w:rsid w:val="00973979"/>
    <w:rsid w:val="00975405"/>
    <w:rsid w:val="00976A89"/>
    <w:rsid w:val="00982C17"/>
    <w:rsid w:val="00983DAE"/>
    <w:rsid w:val="0098460A"/>
    <w:rsid w:val="0099295A"/>
    <w:rsid w:val="00993629"/>
    <w:rsid w:val="00996298"/>
    <w:rsid w:val="009A0AEB"/>
    <w:rsid w:val="009A172B"/>
    <w:rsid w:val="009A60A2"/>
    <w:rsid w:val="009A7A42"/>
    <w:rsid w:val="009B270E"/>
    <w:rsid w:val="009B6D37"/>
    <w:rsid w:val="009B7941"/>
    <w:rsid w:val="009C2641"/>
    <w:rsid w:val="009C315A"/>
    <w:rsid w:val="009C4538"/>
    <w:rsid w:val="009C4A87"/>
    <w:rsid w:val="009C4BA5"/>
    <w:rsid w:val="009C768D"/>
    <w:rsid w:val="009D01EA"/>
    <w:rsid w:val="009D17B1"/>
    <w:rsid w:val="009D29CF"/>
    <w:rsid w:val="009D4601"/>
    <w:rsid w:val="009D68F0"/>
    <w:rsid w:val="009E0299"/>
    <w:rsid w:val="009E06B1"/>
    <w:rsid w:val="009E27B6"/>
    <w:rsid w:val="009E406A"/>
    <w:rsid w:val="009E54F8"/>
    <w:rsid w:val="009F0132"/>
    <w:rsid w:val="009F1181"/>
    <w:rsid w:val="009F2001"/>
    <w:rsid w:val="009F29CC"/>
    <w:rsid w:val="009F2A82"/>
    <w:rsid w:val="00A005E0"/>
    <w:rsid w:val="00A04296"/>
    <w:rsid w:val="00A13182"/>
    <w:rsid w:val="00A1563F"/>
    <w:rsid w:val="00A161E8"/>
    <w:rsid w:val="00A17747"/>
    <w:rsid w:val="00A30193"/>
    <w:rsid w:val="00A32558"/>
    <w:rsid w:val="00A327CE"/>
    <w:rsid w:val="00A353C8"/>
    <w:rsid w:val="00A35D90"/>
    <w:rsid w:val="00A3627B"/>
    <w:rsid w:val="00A37C8D"/>
    <w:rsid w:val="00A421C6"/>
    <w:rsid w:val="00A433C0"/>
    <w:rsid w:val="00A45067"/>
    <w:rsid w:val="00A5057F"/>
    <w:rsid w:val="00A528AA"/>
    <w:rsid w:val="00A5347C"/>
    <w:rsid w:val="00A647AB"/>
    <w:rsid w:val="00A71BAE"/>
    <w:rsid w:val="00A72A8D"/>
    <w:rsid w:val="00A753BA"/>
    <w:rsid w:val="00A770E6"/>
    <w:rsid w:val="00A77588"/>
    <w:rsid w:val="00A803F3"/>
    <w:rsid w:val="00A807CE"/>
    <w:rsid w:val="00A81339"/>
    <w:rsid w:val="00A90F55"/>
    <w:rsid w:val="00A914D1"/>
    <w:rsid w:val="00A9258B"/>
    <w:rsid w:val="00A94D69"/>
    <w:rsid w:val="00AA03E4"/>
    <w:rsid w:val="00AA1E9F"/>
    <w:rsid w:val="00AA42EA"/>
    <w:rsid w:val="00AA7FEC"/>
    <w:rsid w:val="00AB0E43"/>
    <w:rsid w:val="00AB2F27"/>
    <w:rsid w:val="00AB613F"/>
    <w:rsid w:val="00AB7468"/>
    <w:rsid w:val="00AC21CD"/>
    <w:rsid w:val="00AC6E08"/>
    <w:rsid w:val="00AC7B3D"/>
    <w:rsid w:val="00AC7D78"/>
    <w:rsid w:val="00AD181D"/>
    <w:rsid w:val="00AD3854"/>
    <w:rsid w:val="00AD489D"/>
    <w:rsid w:val="00AE2AB4"/>
    <w:rsid w:val="00AE3D17"/>
    <w:rsid w:val="00AE54BD"/>
    <w:rsid w:val="00AE6B73"/>
    <w:rsid w:val="00AE7102"/>
    <w:rsid w:val="00AF227D"/>
    <w:rsid w:val="00B018D2"/>
    <w:rsid w:val="00B0381E"/>
    <w:rsid w:val="00B0536F"/>
    <w:rsid w:val="00B06EF6"/>
    <w:rsid w:val="00B1051C"/>
    <w:rsid w:val="00B12A28"/>
    <w:rsid w:val="00B13DB1"/>
    <w:rsid w:val="00B1671F"/>
    <w:rsid w:val="00B24188"/>
    <w:rsid w:val="00B24664"/>
    <w:rsid w:val="00B33B02"/>
    <w:rsid w:val="00B36E56"/>
    <w:rsid w:val="00B37050"/>
    <w:rsid w:val="00B373FD"/>
    <w:rsid w:val="00B4179D"/>
    <w:rsid w:val="00B41D66"/>
    <w:rsid w:val="00B42635"/>
    <w:rsid w:val="00B43206"/>
    <w:rsid w:val="00B44237"/>
    <w:rsid w:val="00B45391"/>
    <w:rsid w:val="00B45FCB"/>
    <w:rsid w:val="00B51444"/>
    <w:rsid w:val="00B51CB5"/>
    <w:rsid w:val="00B530B8"/>
    <w:rsid w:val="00B5499C"/>
    <w:rsid w:val="00B55278"/>
    <w:rsid w:val="00B60C0C"/>
    <w:rsid w:val="00B61DE7"/>
    <w:rsid w:val="00B64FB5"/>
    <w:rsid w:val="00B66657"/>
    <w:rsid w:val="00B72A1C"/>
    <w:rsid w:val="00B7388E"/>
    <w:rsid w:val="00B749CD"/>
    <w:rsid w:val="00B753B5"/>
    <w:rsid w:val="00B75B01"/>
    <w:rsid w:val="00B76775"/>
    <w:rsid w:val="00B83178"/>
    <w:rsid w:val="00B858C6"/>
    <w:rsid w:val="00B91FF7"/>
    <w:rsid w:val="00B94359"/>
    <w:rsid w:val="00B97500"/>
    <w:rsid w:val="00B97DDE"/>
    <w:rsid w:val="00BA1CDA"/>
    <w:rsid w:val="00BB0430"/>
    <w:rsid w:val="00BB1A73"/>
    <w:rsid w:val="00BB5A5B"/>
    <w:rsid w:val="00BC0A6C"/>
    <w:rsid w:val="00BC1A51"/>
    <w:rsid w:val="00BC36DF"/>
    <w:rsid w:val="00BC4D51"/>
    <w:rsid w:val="00BC7B63"/>
    <w:rsid w:val="00BC7E69"/>
    <w:rsid w:val="00BD5AF3"/>
    <w:rsid w:val="00BD7AB5"/>
    <w:rsid w:val="00BE3268"/>
    <w:rsid w:val="00BE6245"/>
    <w:rsid w:val="00BF300F"/>
    <w:rsid w:val="00BF455E"/>
    <w:rsid w:val="00C02F08"/>
    <w:rsid w:val="00C10911"/>
    <w:rsid w:val="00C1221B"/>
    <w:rsid w:val="00C12940"/>
    <w:rsid w:val="00C1329F"/>
    <w:rsid w:val="00C15B05"/>
    <w:rsid w:val="00C169E7"/>
    <w:rsid w:val="00C16EAF"/>
    <w:rsid w:val="00C17BBA"/>
    <w:rsid w:val="00C25516"/>
    <w:rsid w:val="00C26600"/>
    <w:rsid w:val="00C26BC5"/>
    <w:rsid w:val="00C27793"/>
    <w:rsid w:val="00C30609"/>
    <w:rsid w:val="00C339AE"/>
    <w:rsid w:val="00C33E73"/>
    <w:rsid w:val="00C340A9"/>
    <w:rsid w:val="00C35B3E"/>
    <w:rsid w:val="00C36531"/>
    <w:rsid w:val="00C4459A"/>
    <w:rsid w:val="00C44922"/>
    <w:rsid w:val="00C45741"/>
    <w:rsid w:val="00C53D5B"/>
    <w:rsid w:val="00C5486A"/>
    <w:rsid w:val="00C57535"/>
    <w:rsid w:val="00C61204"/>
    <w:rsid w:val="00C70D02"/>
    <w:rsid w:val="00C72255"/>
    <w:rsid w:val="00C736E2"/>
    <w:rsid w:val="00C73779"/>
    <w:rsid w:val="00C762A5"/>
    <w:rsid w:val="00C7749B"/>
    <w:rsid w:val="00C81567"/>
    <w:rsid w:val="00C829B2"/>
    <w:rsid w:val="00C85AB2"/>
    <w:rsid w:val="00C8724E"/>
    <w:rsid w:val="00C87EA8"/>
    <w:rsid w:val="00C92068"/>
    <w:rsid w:val="00CA1A2E"/>
    <w:rsid w:val="00CB0DE8"/>
    <w:rsid w:val="00CB1212"/>
    <w:rsid w:val="00CB2A8E"/>
    <w:rsid w:val="00CB41E4"/>
    <w:rsid w:val="00CB61EA"/>
    <w:rsid w:val="00CB6204"/>
    <w:rsid w:val="00CB71B7"/>
    <w:rsid w:val="00CB786B"/>
    <w:rsid w:val="00CC3E1D"/>
    <w:rsid w:val="00CC4041"/>
    <w:rsid w:val="00CC434E"/>
    <w:rsid w:val="00CC6066"/>
    <w:rsid w:val="00CC702E"/>
    <w:rsid w:val="00CD10D9"/>
    <w:rsid w:val="00CD3BE9"/>
    <w:rsid w:val="00CD532A"/>
    <w:rsid w:val="00CD6CDC"/>
    <w:rsid w:val="00CE3755"/>
    <w:rsid w:val="00CE437C"/>
    <w:rsid w:val="00CE454F"/>
    <w:rsid w:val="00CE49A3"/>
    <w:rsid w:val="00CE76CF"/>
    <w:rsid w:val="00CF00C4"/>
    <w:rsid w:val="00CF552F"/>
    <w:rsid w:val="00CF595B"/>
    <w:rsid w:val="00CF74C3"/>
    <w:rsid w:val="00D0033C"/>
    <w:rsid w:val="00D03641"/>
    <w:rsid w:val="00D05605"/>
    <w:rsid w:val="00D0691F"/>
    <w:rsid w:val="00D104B7"/>
    <w:rsid w:val="00D14F54"/>
    <w:rsid w:val="00D15444"/>
    <w:rsid w:val="00D2176F"/>
    <w:rsid w:val="00D233A3"/>
    <w:rsid w:val="00D24402"/>
    <w:rsid w:val="00D26A6C"/>
    <w:rsid w:val="00D26C62"/>
    <w:rsid w:val="00D30B07"/>
    <w:rsid w:val="00D32993"/>
    <w:rsid w:val="00D33B9A"/>
    <w:rsid w:val="00D343CA"/>
    <w:rsid w:val="00D42D42"/>
    <w:rsid w:val="00D45CDB"/>
    <w:rsid w:val="00D46037"/>
    <w:rsid w:val="00D50388"/>
    <w:rsid w:val="00D51634"/>
    <w:rsid w:val="00D550BE"/>
    <w:rsid w:val="00D63E57"/>
    <w:rsid w:val="00D70034"/>
    <w:rsid w:val="00D71503"/>
    <w:rsid w:val="00D732DC"/>
    <w:rsid w:val="00D76403"/>
    <w:rsid w:val="00D81FD8"/>
    <w:rsid w:val="00D8240A"/>
    <w:rsid w:val="00D85461"/>
    <w:rsid w:val="00D8636B"/>
    <w:rsid w:val="00D8660E"/>
    <w:rsid w:val="00D93FF5"/>
    <w:rsid w:val="00D945F6"/>
    <w:rsid w:val="00D95D1C"/>
    <w:rsid w:val="00D96574"/>
    <w:rsid w:val="00DA2D59"/>
    <w:rsid w:val="00DA6222"/>
    <w:rsid w:val="00DA7BEF"/>
    <w:rsid w:val="00DB10F1"/>
    <w:rsid w:val="00DB113B"/>
    <w:rsid w:val="00DB1A4F"/>
    <w:rsid w:val="00DB1B75"/>
    <w:rsid w:val="00DB2250"/>
    <w:rsid w:val="00DC10AD"/>
    <w:rsid w:val="00DC3094"/>
    <w:rsid w:val="00DC59F8"/>
    <w:rsid w:val="00DC5D7F"/>
    <w:rsid w:val="00DD426D"/>
    <w:rsid w:val="00DD7574"/>
    <w:rsid w:val="00DE1796"/>
    <w:rsid w:val="00DE6B95"/>
    <w:rsid w:val="00DE6CB6"/>
    <w:rsid w:val="00DF71EF"/>
    <w:rsid w:val="00DF7238"/>
    <w:rsid w:val="00DF7CE1"/>
    <w:rsid w:val="00E01112"/>
    <w:rsid w:val="00E06882"/>
    <w:rsid w:val="00E06925"/>
    <w:rsid w:val="00E10CBA"/>
    <w:rsid w:val="00E128D2"/>
    <w:rsid w:val="00E140BA"/>
    <w:rsid w:val="00E179D8"/>
    <w:rsid w:val="00E23602"/>
    <w:rsid w:val="00E2598D"/>
    <w:rsid w:val="00E26444"/>
    <w:rsid w:val="00E27342"/>
    <w:rsid w:val="00E27F81"/>
    <w:rsid w:val="00E362BB"/>
    <w:rsid w:val="00E36BC9"/>
    <w:rsid w:val="00E40FE2"/>
    <w:rsid w:val="00E51EC9"/>
    <w:rsid w:val="00E5253E"/>
    <w:rsid w:val="00E5637C"/>
    <w:rsid w:val="00E56D19"/>
    <w:rsid w:val="00E61725"/>
    <w:rsid w:val="00E64DBC"/>
    <w:rsid w:val="00E666D6"/>
    <w:rsid w:val="00E71676"/>
    <w:rsid w:val="00E71734"/>
    <w:rsid w:val="00E74D2B"/>
    <w:rsid w:val="00E84D4D"/>
    <w:rsid w:val="00E95006"/>
    <w:rsid w:val="00EA1575"/>
    <w:rsid w:val="00EA5D8E"/>
    <w:rsid w:val="00EC1FAA"/>
    <w:rsid w:val="00EC3566"/>
    <w:rsid w:val="00EC5D80"/>
    <w:rsid w:val="00ED0631"/>
    <w:rsid w:val="00ED14FF"/>
    <w:rsid w:val="00ED2433"/>
    <w:rsid w:val="00ED412A"/>
    <w:rsid w:val="00ED5190"/>
    <w:rsid w:val="00EE02A8"/>
    <w:rsid w:val="00EE79E6"/>
    <w:rsid w:val="00EF14AB"/>
    <w:rsid w:val="00EF6679"/>
    <w:rsid w:val="00EF67FB"/>
    <w:rsid w:val="00EF6FB7"/>
    <w:rsid w:val="00EF7549"/>
    <w:rsid w:val="00EF7CE7"/>
    <w:rsid w:val="00F00B3F"/>
    <w:rsid w:val="00F022AF"/>
    <w:rsid w:val="00F033E9"/>
    <w:rsid w:val="00F0371F"/>
    <w:rsid w:val="00F03DC9"/>
    <w:rsid w:val="00F06977"/>
    <w:rsid w:val="00F105D8"/>
    <w:rsid w:val="00F1173E"/>
    <w:rsid w:val="00F13E1D"/>
    <w:rsid w:val="00F14CE2"/>
    <w:rsid w:val="00F20123"/>
    <w:rsid w:val="00F21D2B"/>
    <w:rsid w:val="00F24E67"/>
    <w:rsid w:val="00F35D89"/>
    <w:rsid w:val="00F41AAB"/>
    <w:rsid w:val="00F42385"/>
    <w:rsid w:val="00F445AC"/>
    <w:rsid w:val="00F469C0"/>
    <w:rsid w:val="00F46ACE"/>
    <w:rsid w:val="00F4757D"/>
    <w:rsid w:val="00F53D10"/>
    <w:rsid w:val="00F553BF"/>
    <w:rsid w:val="00F64322"/>
    <w:rsid w:val="00F670C9"/>
    <w:rsid w:val="00F714D3"/>
    <w:rsid w:val="00F72DC5"/>
    <w:rsid w:val="00F7390E"/>
    <w:rsid w:val="00F76F21"/>
    <w:rsid w:val="00F77A93"/>
    <w:rsid w:val="00F77D11"/>
    <w:rsid w:val="00F80B14"/>
    <w:rsid w:val="00F81D9B"/>
    <w:rsid w:val="00F82114"/>
    <w:rsid w:val="00F83329"/>
    <w:rsid w:val="00F936D3"/>
    <w:rsid w:val="00FA1365"/>
    <w:rsid w:val="00FA1E06"/>
    <w:rsid w:val="00FA3522"/>
    <w:rsid w:val="00FA36DF"/>
    <w:rsid w:val="00FB0B9E"/>
    <w:rsid w:val="00FB3958"/>
    <w:rsid w:val="00FB5825"/>
    <w:rsid w:val="00FB6424"/>
    <w:rsid w:val="00FB65DF"/>
    <w:rsid w:val="00FB7339"/>
    <w:rsid w:val="00FC0232"/>
    <w:rsid w:val="00FC6B2A"/>
    <w:rsid w:val="00FD14ED"/>
    <w:rsid w:val="00FD2987"/>
    <w:rsid w:val="00FD7AB3"/>
    <w:rsid w:val="00FE07E9"/>
    <w:rsid w:val="00FE1631"/>
    <w:rsid w:val="00FE1A84"/>
    <w:rsid w:val="00FE2D4A"/>
    <w:rsid w:val="00FE6249"/>
    <w:rsid w:val="00FF1FB6"/>
    <w:rsid w:val="00FF32D3"/>
    <w:rsid w:val="00FF4C4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0DE6"/>
  <w15:chartTrackingRefBased/>
  <w15:docId w15:val="{EFA8986E-EAC3-4E08-93B9-4F3831D4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0AD"/>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0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10AD"/>
    <w:rPr>
      <w:lang w:val="sr-Latn-ME"/>
    </w:rPr>
  </w:style>
  <w:style w:type="paragraph" w:styleId="Footer">
    <w:name w:val="footer"/>
    <w:basedOn w:val="Normal"/>
    <w:link w:val="FooterChar"/>
    <w:uiPriority w:val="99"/>
    <w:unhideWhenUsed/>
    <w:rsid w:val="00DC10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10AD"/>
    <w:rPr>
      <w:lang w:val="sr-Latn-ME"/>
    </w:rPr>
  </w:style>
  <w:style w:type="character" w:styleId="Emphasis">
    <w:name w:val="Emphasis"/>
    <w:basedOn w:val="DefaultParagraphFont"/>
    <w:uiPriority w:val="20"/>
    <w:qFormat/>
    <w:rsid w:val="00D2176F"/>
    <w:rPr>
      <w:i/>
      <w:iCs/>
    </w:rPr>
  </w:style>
  <w:style w:type="paragraph" w:styleId="ListParagraph">
    <w:name w:val="List Paragraph"/>
    <w:basedOn w:val="Normal"/>
    <w:uiPriority w:val="34"/>
    <w:qFormat/>
    <w:rsid w:val="00F77A93"/>
    <w:pPr>
      <w:ind w:left="720"/>
      <w:contextualSpacing/>
    </w:pPr>
  </w:style>
  <w:style w:type="character" w:styleId="PlaceholderText">
    <w:name w:val="Placeholder Text"/>
    <w:basedOn w:val="DefaultParagraphFont"/>
    <w:uiPriority w:val="99"/>
    <w:semiHidden/>
    <w:rsid w:val="00B72A1C"/>
    <w:rPr>
      <w:color w:val="808080"/>
    </w:rPr>
  </w:style>
  <w:style w:type="paragraph" w:styleId="BalloonText">
    <w:name w:val="Balloon Text"/>
    <w:basedOn w:val="Normal"/>
    <w:link w:val="BalloonTextChar"/>
    <w:uiPriority w:val="99"/>
    <w:semiHidden/>
    <w:unhideWhenUsed/>
    <w:rsid w:val="000F2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621"/>
    <w:rPr>
      <w:rFonts w:ascii="Segoe UI" w:hAnsi="Segoe UI" w:cs="Segoe UI"/>
      <w:sz w:val="18"/>
      <w:szCs w:val="18"/>
      <w:lang w:val="sr-Latn-ME"/>
    </w:rPr>
  </w:style>
  <w:style w:type="character" w:styleId="CommentReference">
    <w:name w:val="annotation reference"/>
    <w:basedOn w:val="DefaultParagraphFont"/>
    <w:uiPriority w:val="99"/>
    <w:semiHidden/>
    <w:unhideWhenUsed/>
    <w:rsid w:val="007D41C9"/>
    <w:rPr>
      <w:sz w:val="16"/>
      <w:szCs w:val="16"/>
    </w:rPr>
  </w:style>
  <w:style w:type="paragraph" w:styleId="CommentText">
    <w:name w:val="annotation text"/>
    <w:basedOn w:val="Normal"/>
    <w:link w:val="CommentTextChar"/>
    <w:uiPriority w:val="99"/>
    <w:semiHidden/>
    <w:unhideWhenUsed/>
    <w:rsid w:val="007D41C9"/>
    <w:pPr>
      <w:spacing w:line="240" w:lineRule="auto"/>
    </w:pPr>
    <w:rPr>
      <w:sz w:val="20"/>
      <w:szCs w:val="20"/>
    </w:rPr>
  </w:style>
  <w:style w:type="character" w:customStyle="1" w:styleId="CommentTextChar">
    <w:name w:val="Comment Text Char"/>
    <w:basedOn w:val="DefaultParagraphFont"/>
    <w:link w:val="CommentText"/>
    <w:uiPriority w:val="99"/>
    <w:semiHidden/>
    <w:rsid w:val="007D41C9"/>
    <w:rPr>
      <w:sz w:val="20"/>
      <w:szCs w:val="20"/>
      <w:lang w:val="sr-Latn-ME"/>
    </w:rPr>
  </w:style>
  <w:style w:type="paragraph" w:styleId="CommentSubject">
    <w:name w:val="annotation subject"/>
    <w:basedOn w:val="CommentText"/>
    <w:next w:val="CommentText"/>
    <w:link w:val="CommentSubjectChar"/>
    <w:uiPriority w:val="99"/>
    <w:semiHidden/>
    <w:unhideWhenUsed/>
    <w:rsid w:val="007D41C9"/>
    <w:rPr>
      <w:b/>
      <w:bCs/>
    </w:rPr>
  </w:style>
  <w:style w:type="character" w:customStyle="1" w:styleId="CommentSubjectChar">
    <w:name w:val="Comment Subject Char"/>
    <w:basedOn w:val="CommentTextChar"/>
    <w:link w:val="CommentSubject"/>
    <w:uiPriority w:val="99"/>
    <w:semiHidden/>
    <w:rsid w:val="007D41C9"/>
    <w:rPr>
      <w:b/>
      <w:bCs/>
      <w:sz w:val="20"/>
      <w:szCs w:val="20"/>
      <w:lang w:val="sr-Latn-ME"/>
    </w:rPr>
  </w:style>
  <w:style w:type="paragraph" w:styleId="FootnoteText">
    <w:name w:val="footnote text"/>
    <w:basedOn w:val="Normal"/>
    <w:link w:val="FootnoteTextChar"/>
    <w:uiPriority w:val="99"/>
    <w:semiHidden/>
    <w:unhideWhenUsed/>
    <w:rsid w:val="009D46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4601"/>
    <w:rPr>
      <w:sz w:val="20"/>
      <w:szCs w:val="20"/>
      <w:lang w:val="sr-Latn-ME"/>
    </w:rPr>
  </w:style>
  <w:style w:type="character" w:styleId="FootnoteReference">
    <w:name w:val="footnote reference"/>
    <w:basedOn w:val="DefaultParagraphFont"/>
    <w:uiPriority w:val="99"/>
    <w:semiHidden/>
    <w:unhideWhenUsed/>
    <w:rsid w:val="009D4601"/>
    <w:rPr>
      <w:vertAlign w:val="superscript"/>
    </w:rPr>
  </w:style>
  <w:style w:type="paragraph" w:styleId="Caption">
    <w:name w:val="caption"/>
    <w:basedOn w:val="Normal"/>
    <w:next w:val="Normal"/>
    <w:uiPriority w:val="35"/>
    <w:unhideWhenUsed/>
    <w:qFormat/>
    <w:rsid w:val="00AD385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699930">
      <w:bodyDiv w:val="1"/>
      <w:marLeft w:val="0"/>
      <w:marRight w:val="0"/>
      <w:marTop w:val="0"/>
      <w:marBottom w:val="0"/>
      <w:divBdr>
        <w:top w:val="none" w:sz="0" w:space="0" w:color="auto"/>
        <w:left w:val="none" w:sz="0" w:space="0" w:color="auto"/>
        <w:bottom w:val="none" w:sz="0" w:space="0" w:color="auto"/>
        <w:right w:val="none" w:sz="0" w:space="0" w:color="auto"/>
      </w:divBdr>
    </w:div>
    <w:div w:id="112998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m.vukotic\Desktop\izvjestaj%20o%20javnom%20dugu%202022\Grafici%20za%20javni%20dug%2022.03.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Sheet1!$C$3</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50" b="1" i="0" u="none" strike="noStrike" kern="1200" baseline="0">
                    <a:solidFill>
                      <a:schemeClr val="tx1">
                        <a:lumMod val="75000"/>
                        <a:lumOff val="25000"/>
                      </a:schemeClr>
                    </a:solidFill>
                    <a:latin typeface="Garamond" panose="020204040303010108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Sheet1!$B$4:$B$5</c:f>
              <c:strCache>
                <c:ptCount val="2"/>
                <c:pt idx="0">
                  <c:v>Porez na dodatu vrijednost</c:v>
                </c:pt>
                <c:pt idx="1">
                  <c:v>Porezi i doprinosi na zarade</c:v>
                </c:pt>
              </c:strCache>
            </c:strRef>
          </c:cat>
          <c:val>
            <c:numRef>
              <c:f>Sheet1!$C$4:$C$5</c:f>
              <c:numCache>
                <c:formatCode>0.0,,</c:formatCode>
                <c:ptCount val="2"/>
                <c:pt idx="0">
                  <c:v>691948121.63999999</c:v>
                </c:pt>
                <c:pt idx="1">
                  <c:v>681340399.70999992</c:v>
                </c:pt>
              </c:numCache>
            </c:numRef>
          </c:val>
          <c:extLst>
            <c:ext xmlns:c16="http://schemas.microsoft.com/office/drawing/2014/chart" uri="{C3380CC4-5D6E-409C-BE32-E72D297353CC}">
              <c16:uniqueId val="{00000000-F07D-478A-BD02-D8B815554819}"/>
            </c:ext>
          </c:extLst>
        </c:ser>
        <c:ser>
          <c:idx val="1"/>
          <c:order val="1"/>
          <c:tx>
            <c:strRef>
              <c:f>Sheet1!$D$3</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50" b="1" i="0" u="none" strike="noStrike" kern="1200" baseline="0">
                    <a:solidFill>
                      <a:schemeClr val="tx1">
                        <a:lumMod val="75000"/>
                        <a:lumOff val="25000"/>
                      </a:schemeClr>
                    </a:solidFill>
                    <a:latin typeface="Garamond" panose="020204040303010108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Sheet1!$B$4:$B$5</c:f>
              <c:strCache>
                <c:ptCount val="2"/>
                <c:pt idx="0">
                  <c:v>Porez na dodatu vrijednost</c:v>
                </c:pt>
                <c:pt idx="1">
                  <c:v>Porezi i doprinosi na zarade</c:v>
                </c:pt>
              </c:strCache>
            </c:strRef>
          </c:cat>
          <c:val>
            <c:numRef>
              <c:f>Sheet1!$D$4:$D$5</c:f>
              <c:numCache>
                <c:formatCode>0.0,,</c:formatCode>
                <c:ptCount val="2"/>
                <c:pt idx="0">
                  <c:v>908047104.25999999</c:v>
                </c:pt>
                <c:pt idx="1">
                  <c:v>545838054.38999999</c:v>
                </c:pt>
              </c:numCache>
            </c:numRef>
          </c:val>
          <c:extLst>
            <c:ext xmlns:c16="http://schemas.microsoft.com/office/drawing/2014/chart" uri="{C3380CC4-5D6E-409C-BE32-E72D297353CC}">
              <c16:uniqueId val="{00000001-F07D-478A-BD02-D8B815554819}"/>
            </c:ext>
          </c:extLst>
        </c:ser>
        <c:dLbls>
          <c:dLblPos val="inEnd"/>
          <c:showLegendKey val="0"/>
          <c:showVal val="1"/>
          <c:showCatName val="0"/>
          <c:showSerName val="0"/>
          <c:showPercent val="0"/>
          <c:showBubbleSize val="0"/>
        </c:dLbls>
        <c:gapWidth val="199"/>
        <c:axId val="1991557616"/>
        <c:axId val="1991873856"/>
      </c:barChart>
      <c:catAx>
        <c:axId val="1991557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tx1">
                    <a:lumMod val="65000"/>
                    <a:lumOff val="35000"/>
                  </a:schemeClr>
                </a:solidFill>
                <a:latin typeface="Garamond" panose="02020404030301010803" pitchFamily="18" charset="0"/>
                <a:ea typeface="+mn-ea"/>
                <a:cs typeface="+mn-cs"/>
              </a:defRPr>
            </a:pPr>
            <a:endParaRPr lang="en-US"/>
          </a:p>
        </c:txPr>
        <c:crossAx val="1991873856"/>
        <c:crosses val="autoZero"/>
        <c:auto val="1"/>
        <c:lblAlgn val="ctr"/>
        <c:lblOffset val="100"/>
        <c:noMultiLvlLbl val="0"/>
      </c:catAx>
      <c:valAx>
        <c:axId val="199187385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19915576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026173979984603E-2"/>
          <c:y val="7.0287539936102233E-2"/>
          <c:w val="0.83607590332963577"/>
          <c:h val="0.70640386405373445"/>
        </c:manualLayout>
      </c:layout>
      <c:bar3DChart>
        <c:barDir val="bar"/>
        <c:grouping val="clustered"/>
        <c:varyColors val="0"/>
        <c:ser>
          <c:idx val="0"/>
          <c:order val="0"/>
          <c:tx>
            <c:strRef>
              <c:f>Sheet1!$B$28</c:f>
              <c:strCache>
                <c:ptCount val="1"/>
                <c:pt idx="0">
                  <c:v>Prihodi budžeta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cat>
            <c:strRef>
              <c:f>Sheet1!$C$27:$F$27</c:f>
              <c:strCache>
                <c:ptCount val="3"/>
                <c:pt idx="0">
                  <c:v>2021</c:v>
                </c:pt>
                <c:pt idx="1">
                  <c:v>plan 2022</c:v>
                </c:pt>
                <c:pt idx="2">
                  <c:v>izvršenje 2022</c:v>
                </c:pt>
              </c:strCache>
            </c:strRef>
          </c:cat>
          <c:val>
            <c:numRef>
              <c:f>Sheet1!$C$28:$F$28</c:f>
              <c:numCache>
                <c:formatCode>0.0,,</c:formatCode>
                <c:ptCount val="3"/>
                <c:pt idx="0">
                  <c:v>1911382039.5399997</c:v>
                </c:pt>
                <c:pt idx="1">
                  <c:v>1931027140.856792</c:v>
                </c:pt>
                <c:pt idx="2">
                  <c:v>2010497374.47</c:v>
                </c:pt>
              </c:numCache>
            </c:numRef>
          </c:val>
          <c:extLst>
            <c:ext xmlns:c16="http://schemas.microsoft.com/office/drawing/2014/chart" uri="{C3380CC4-5D6E-409C-BE32-E72D297353CC}">
              <c16:uniqueId val="{00000000-1C65-4742-8B71-025A0A36864C}"/>
            </c:ext>
          </c:extLst>
        </c:ser>
        <c:ser>
          <c:idx val="1"/>
          <c:order val="1"/>
          <c:tx>
            <c:strRef>
              <c:f>Sheet1!$B$29</c:f>
              <c:strCache>
                <c:ptCount val="1"/>
                <c:pt idx="0">
                  <c:v>Rashodi budžeta</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invertIfNegative val="0"/>
          <c:cat>
            <c:strRef>
              <c:f>Sheet1!$C$27:$F$27</c:f>
              <c:strCache>
                <c:ptCount val="3"/>
                <c:pt idx="0">
                  <c:v>2021</c:v>
                </c:pt>
                <c:pt idx="1">
                  <c:v>plan 2022</c:v>
                </c:pt>
                <c:pt idx="2">
                  <c:v>izvršenje 2022</c:v>
                </c:pt>
              </c:strCache>
            </c:strRef>
          </c:cat>
          <c:val>
            <c:numRef>
              <c:f>Sheet1!$C$29:$F$29</c:f>
              <c:numCache>
                <c:formatCode>0.0,,</c:formatCode>
                <c:ptCount val="3"/>
                <c:pt idx="0">
                  <c:v>2010900385.8600006</c:v>
                </c:pt>
                <c:pt idx="1">
                  <c:v>2384264043.0300007</c:v>
                </c:pt>
                <c:pt idx="2">
                  <c:v>2268889835.6399999</c:v>
                </c:pt>
              </c:numCache>
            </c:numRef>
          </c:val>
          <c:extLst>
            <c:ext xmlns:c16="http://schemas.microsoft.com/office/drawing/2014/chart" uri="{C3380CC4-5D6E-409C-BE32-E72D297353CC}">
              <c16:uniqueId val="{00000001-1C65-4742-8B71-025A0A36864C}"/>
            </c:ext>
          </c:extLst>
        </c:ser>
        <c:ser>
          <c:idx val="2"/>
          <c:order val="2"/>
          <c:tx>
            <c:strRef>
              <c:f>Sheet1!$B$30</c:f>
              <c:strCache>
                <c:ptCount val="1"/>
                <c:pt idx="0">
                  <c:v>Deficit/Suficit</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cat>
            <c:strRef>
              <c:f>Sheet1!$C$27:$F$27</c:f>
              <c:strCache>
                <c:ptCount val="3"/>
                <c:pt idx="0">
                  <c:v>2021</c:v>
                </c:pt>
                <c:pt idx="1">
                  <c:v>plan 2022</c:v>
                </c:pt>
                <c:pt idx="2">
                  <c:v>izvršenje 2022</c:v>
                </c:pt>
              </c:strCache>
            </c:strRef>
          </c:cat>
          <c:val>
            <c:numRef>
              <c:f>Sheet1!$C$30:$F$30</c:f>
              <c:numCache>
                <c:formatCode>0.0,,</c:formatCode>
                <c:ptCount val="3"/>
                <c:pt idx="0">
                  <c:v>-258392461.16999984</c:v>
                </c:pt>
                <c:pt idx="1">
                  <c:v>-453236902.17320871</c:v>
                </c:pt>
                <c:pt idx="2">
                  <c:v>-99518346.320000887</c:v>
                </c:pt>
              </c:numCache>
            </c:numRef>
          </c:val>
          <c:extLst>
            <c:ext xmlns:c16="http://schemas.microsoft.com/office/drawing/2014/chart" uri="{C3380CC4-5D6E-409C-BE32-E72D297353CC}">
              <c16:uniqueId val="{00000002-1C65-4742-8B71-025A0A36864C}"/>
            </c:ext>
          </c:extLst>
        </c:ser>
        <c:dLbls>
          <c:showLegendKey val="0"/>
          <c:showVal val="0"/>
          <c:showCatName val="0"/>
          <c:showSerName val="0"/>
          <c:showPercent val="0"/>
          <c:showBubbleSize val="0"/>
        </c:dLbls>
        <c:gapWidth val="150"/>
        <c:shape val="box"/>
        <c:axId val="2075913120"/>
        <c:axId val="1997537696"/>
        <c:axId val="0"/>
      </c:bar3DChart>
      <c:catAx>
        <c:axId val="207591312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Garamond" panose="02020404030301010803" pitchFamily="18" charset="0"/>
                <a:ea typeface="+mn-ea"/>
                <a:cs typeface="+mn-cs"/>
              </a:defRPr>
            </a:pPr>
            <a:endParaRPr lang="en-US"/>
          </a:p>
        </c:txPr>
        <c:crossAx val="1997537696"/>
        <c:crosses val="autoZero"/>
        <c:auto val="1"/>
        <c:lblAlgn val="ctr"/>
        <c:lblOffset val="100"/>
        <c:noMultiLvlLbl val="0"/>
      </c:catAx>
      <c:valAx>
        <c:axId val="1997537696"/>
        <c:scaling>
          <c:orientation val="minMax"/>
        </c:scaling>
        <c:delete val="0"/>
        <c:axPos val="b"/>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2"/>
                </a:solidFill>
                <a:latin typeface="Garamond" panose="02020404030301010803" pitchFamily="18" charset="0"/>
                <a:ea typeface="+mn-ea"/>
                <a:cs typeface="+mn-cs"/>
              </a:defRPr>
            </a:pPr>
            <a:endParaRPr lang="en-US"/>
          </a:p>
        </c:txPr>
        <c:crossAx val="2075913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50" b="0" i="0" u="none" strike="noStrike" kern="1200" baseline="0">
              <a:solidFill>
                <a:schemeClr val="tx2"/>
              </a:solidFill>
              <a:latin typeface="Garamond" panose="02020404030301010803"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4163040801247933E-2"/>
          <c:y val="2.7818061964403409E-2"/>
          <c:w val="0.79197110253673808"/>
          <c:h val="0.66446934739617713"/>
        </c:manualLayout>
      </c:layout>
      <c:barChart>
        <c:barDir val="col"/>
        <c:grouping val="clustered"/>
        <c:varyColors val="0"/>
        <c:ser>
          <c:idx val="0"/>
          <c:order val="0"/>
          <c:tx>
            <c:strRef>
              <c:f>Sheet1!$A$46</c:f>
              <c:strCache>
                <c:ptCount val="1"/>
                <c:pt idx="0">
                  <c:v>državni dug kao % BDP-a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Garamond" panose="02020404030301010803"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Sheet1!$B$43:$C$43</c:f>
              <c:numCache>
                <c:formatCode>General</c:formatCode>
                <c:ptCount val="2"/>
                <c:pt idx="0">
                  <c:v>2021</c:v>
                </c:pt>
                <c:pt idx="1">
                  <c:v>2022</c:v>
                </c:pt>
              </c:numCache>
            </c:numRef>
          </c:cat>
          <c:val>
            <c:numRef>
              <c:f>Sheet1!$B$46:$C$46</c:f>
              <c:numCache>
                <c:formatCode>0.00%</c:formatCode>
                <c:ptCount val="2"/>
                <c:pt idx="0">
                  <c:v>0.82541250262354904</c:v>
                </c:pt>
                <c:pt idx="1">
                  <c:v>0.69457597295059337</c:v>
                </c:pt>
              </c:numCache>
            </c:numRef>
          </c:val>
          <c:extLst>
            <c:ext xmlns:c16="http://schemas.microsoft.com/office/drawing/2014/chart" uri="{C3380CC4-5D6E-409C-BE32-E72D297353CC}">
              <c16:uniqueId val="{00000000-38CC-4514-9D5F-28E5301E922C}"/>
            </c:ext>
          </c:extLst>
        </c:ser>
        <c:ser>
          <c:idx val="1"/>
          <c:order val="1"/>
          <c:tx>
            <c:strRef>
              <c:f>Sheet1!$A$47</c:f>
              <c:strCache>
                <c:ptCount val="1"/>
                <c:pt idx="0">
                  <c:v>Javni dug kao % BDP-a</c:v>
                </c:pt>
              </c:strCache>
            </c:strRef>
          </c:tx>
          <c:spPr>
            <a:solidFill>
              <a:schemeClr val="accent2"/>
            </a:solidFill>
            <a:ln>
              <a:noFill/>
            </a:ln>
            <a:effectLst/>
          </c:spPr>
          <c:invertIfNegative val="0"/>
          <c:dLbls>
            <c:dLbl>
              <c:idx val="1"/>
              <c:tx>
                <c:rich>
                  <a:bodyPr/>
                  <a:lstStyle/>
                  <a:p>
                    <a:r>
                      <a:rPr lang="en-US"/>
                      <a:t>70,77%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CC-4514-9D5F-28E5301E922C}"/>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Garamond" panose="02020404030301010803"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Sheet1!$B$43:$C$43</c:f>
              <c:numCache>
                <c:formatCode>General</c:formatCode>
                <c:ptCount val="2"/>
                <c:pt idx="0">
                  <c:v>2021</c:v>
                </c:pt>
                <c:pt idx="1">
                  <c:v>2022</c:v>
                </c:pt>
              </c:numCache>
            </c:numRef>
          </c:cat>
          <c:val>
            <c:numRef>
              <c:f>Sheet1!$B$47:$C$47</c:f>
              <c:numCache>
                <c:formatCode>0.00%</c:formatCode>
                <c:ptCount val="2"/>
                <c:pt idx="0">
                  <c:v>0.84009832254314742</c:v>
                </c:pt>
                <c:pt idx="1">
                  <c:v>0.70603401876897598</c:v>
                </c:pt>
              </c:numCache>
            </c:numRef>
          </c:val>
          <c:extLst>
            <c:ext xmlns:c16="http://schemas.microsoft.com/office/drawing/2014/chart" uri="{C3380CC4-5D6E-409C-BE32-E72D297353CC}">
              <c16:uniqueId val="{00000002-38CC-4514-9D5F-28E5301E922C}"/>
            </c:ext>
          </c:extLst>
        </c:ser>
        <c:dLbls>
          <c:showLegendKey val="0"/>
          <c:showVal val="0"/>
          <c:showCatName val="0"/>
          <c:showSerName val="0"/>
          <c:showPercent val="0"/>
          <c:showBubbleSize val="0"/>
        </c:dLbls>
        <c:gapWidth val="219"/>
        <c:overlap val="-27"/>
        <c:axId val="133843200"/>
        <c:axId val="133844992"/>
      </c:barChart>
      <c:catAx>
        <c:axId val="13384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133844992"/>
        <c:crosses val="autoZero"/>
        <c:auto val="1"/>
        <c:lblAlgn val="ctr"/>
        <c:lblOffset val="100"/>
        <c:noMultiLvlLbl val="0"/>
      </c:catAx>
      <c:valAx>
        <c:axId val="133844992"/>
        <c:scaling>
          <c:orientation val="minMax"/>
          <c:max val="0.9"/>
          <c:min val="0.5"/>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133843200"/>
        <c:crosses val="autoZero"/>
        <c:crossBetween val="between"/>
        <c:majorUnit val="0.2"/>
      </c:valAx>
      <c:spPr>
        <a:noFill/>
        <a:ln>
          <a:noFill/>
        </a:ln>
        <a:effectLst/>
      </c:spPr>
    </c:plotArea>
    <c:legend>
      <c:legendPos val="b"/>
      <c:layout>
        <c:manualLayout>
          <c:xMode val="edge"/>
          <c:yMode val="edge"/>
          <c:x val="9.1207851892076711E-2"/>
          <c:y val="0.82758465536635506"/>
          <c:w val="0.82269245079997189"/>
          <c:h val="0.1330064776385710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Garamond" panose="02020404030301010803"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Sheet1!$A$50</c:f>
              <c:strCache>
                <c:ptCount val="1"/>
                <c:pt idx="0">
                  <c:v>državni dug kao % BDP-a (uključujući depozite)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Sheet1!$B$43:$C$43</c:f>
              <c:numCache>
                <c:formatCode>General</c:formatCode>
                <c:ptCount val="2"/>
                <c:pt idx="0">
                  <c:v>2021</c:v>
                </c:pt>
                <c:pt idx="1">
                  <c:v>2022</c:v>
                </c:pt>
              </c:numCache>
            </c:numRef>
          </c:cat>
          <c:val>
            <c:numRef>
              <c:f>Sheet1!$B$50:$C$50</c:f>
              <c:numCache>
                <c:formatCode>0.00%</c:formatCode>
                <c:ptCount val="2"/>
                <c:pt idx="0">
                  <c:v>0.73160448182889626</c:v>
                </c:pt>
                <c:pt idx="1">
                  <c:v>0.67529809550096598</c:v>
                </c:pt>
              </c:numCache>
            </c:numRef>
          </c:val>
          <c:extLst>
            <c:ext xmlns:c16="http://schemas.microsoft.com/office/drawing/2014/chart" uri="{C3380CC4-5D6E-409C-BE32-E72D297353CC}">
              <c16:uniqueId val="{00000000-6600-475E-94F0-0BF9CCFB4751}"/>
            </c:ext>
          </c:extLst>
        </c:ser>
        <c:ser>
          <c:idx val="1"/>
          <c:order val="1"/>
          <c:tx>
            <c:strRef>
              <c:f>Sheet1!$A$51</c:f>
              <c:strCache>
                <c:ptCount val="1"/>
                <c:pt idx="0">
                  <c:v>Javni dug kao % BDP-a (uključujući depozite)</c:v>
                </c:pt>
              </c:strCache>
            </c:strRef>
          </c:tx>
          <c:spPr>
            <a:solidFill>
              <a:schemeClr val="accent2"/>
            </a:solidFill>
            <a:ln>
              <a:noFill/>
            </a:ln>
            <a:effectLst/>
          </c:spPr>
          <c:invertIfNegative val="0"/>
          <c:dLbls>
            <c:dLbl>
              <c:idx val="0"/>
              <c:layout>
                <c:manualLayout>
                  <c:x val="4.6948356807511651E-2"/>
                  <c:y val="-1.441283140530565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00-475E-94F0-0BF9CCFB4751}"/>
                </c:ext>
              </c:extLst>
            </c:dLbl>
            <c:dLbl>
              <c:idx val="1"/>
              <c:layout>
                <c:manualLayout>
                  <c:x val="5.4938819267309896E-2"/>
                  <c:y val="-1.7493685930768089E-2"/>
                </c:manualLayout>
              </c:layout>
              <c:tx>
                <c:rich>
                  <a:bodyPr/>
                  <a:lstStyle/>
                  <a:p>
                    <a:r>
                      <a:rPr lang="en-US"/>
                      <a:t>68.84%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600-475E-94F0-0BF9CCFB4751}"/>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Sheet1!$B$43:$C$43</c:f>
              <c:numCache>
                <c:formatCode>General</c:formatCode>
                <c:ptCount val="2"/>
                <c:pt idx="0">
                  <c:v>2021</c:v>
                </c:pt>
                <c:pt idx="1">
                  <c:v>2022</c:v>
                </c:pt>
              </c:numCache>
            </c:numRef>
          </c:cat>
          <c:val>
            <c:numRef>
              <c:f>Sheet1!$B$51:$C$51</c:f>
              <c:numCache>
                <c:formatCode>0.00%</c:formatCode>
                <c:ptCount val="2"/>
                <c:pt idx="0">
                  <c:v>0.74629030174849464</c:v>
                </c:pt>
                <c:pt idx="1">
                  <c:v>0.68675614131934859</c:v>
                </c:pt>
              </c:numCache>
            </c:numRef>
          </c:val>
          <c:extLst>
            <c:ext xmlns:c16="http://schemas.microsoft.com/office/drawing/2014/chart" uri="{C3380CC4-5D6E-409C-BE32-E72D297353CC}">
              <c16:uniqueId val="{00000003-6600-475E-94F0-0BF9CCFB4751}"/>
            </c:ext>
          </c:extLst>
        </c:ser>
        <c:dLbls>
          <c:showLegendKey val="0"/>
          <c:showVal val="0"/>
          <c:showCatName val="0"/>
          <c:showSerName val="0"/>
          <c:showPercent val="0"/>
          <c:showBubbleSize val="0"/>
        </c:dLbls>
        <c:gapWidth val="219"/>
        <c:overlap val="-27"/>
        <c:axId val="133919104"/>
        <c:axId val="133920640"/>
      </c:barChart>
      <c:catAx>
        <c:axId val="13391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3920640"/>
        <c:crosses val="autoZero"/>
        <c:auto val="1"/>
        <c:lblAlgn val="ctr"/>
        <c:lblOffset val="100"/>
        <c:noMultiLvlLbl val="0"/>
      </c:catAx>
      <c:valAx>
        <c:axId val="133920640"/>
        <c:scaling>
          <c:orientation val="minMax"/>
          <c:max val="0.9"/>
          <c:min val="0.30000000000000004"/>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3919104"/>
        <c:crosses val="autoZero"/>
        <c:crossBetween val="between"/>
        <c:majorUnit val="0.2"/>
      </c:valAx>
      <c:spPr>
        <a:noFill/>
        <a:ln>
          <a:noFill/>
        </a:ln>
        <a:effectLst/>
      </c:spPr>
    </c:plotArea>
    <c:legend>
      <c:legendPos val="b"/>
      <c:layout>
        <c:manualLayout>
          <c:xMode val="edge"/>
          <c:yMode val="edge"/>
          <c:x val="1.3319285793501159E-3"/>
          <c:y val="0.80974694200960717"/>
          <c:w val="0.98325126612694558"/>
          <c:h val="0.1525172089337888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418832020997377"/>
          <c:y val="0.19800087489063872"/>
          <c:w val="0.59046053836293722"/>
          <c:h val="0.7052723097112861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C4B-4EBD-9B05-F33629271CB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C4B-4EBD-9B05-F33629271CB7}"/>
              </c:ext>
            </c:extLst>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'Valutna i kamatna struktura dug'!$C$26:$C$27</c:f>
              <c:strCache>
                <c:ptCount val="2"/>
                <c:pt idx="0">
                  <c:v>ino dug</c:v>
                </c:pt>
                <c:pt idx="1">
                  <c:v>domaći dug</c:v>
                </c:pt>
              </c:strCache>
            </c:strRef>
          </c:cat>
          <c:val>
            <c:numRef>
              <c:f>'Valutna i kamatna struktura dug'!$D$26:$D$27</c:f>
              <c:numCache>
                <c:formatCode>0.0%</c:formatCode>
                <c:ptCount val="2"/>
                <c:pt idx="0" formatCode="0.00%">
                  <c:v>0.88357650836322421</c:v>
                </c:pt>
                <c:pt idx="1">
                  <c:v>0.11642349163677583</c:v>
                </c:pt>
              </c:numCache>
            </c:numRef>
          </c:val>
          <c:extLst>
            <c:ext xmlns:c16="http://schemas.microsoft.com/office/drawing/2014/chart" uri="{C3380CC4-5D6E-409C-BE32-E72D297353CC}">
              <c16:uniqueId val="{00000004-7C4B-4EBD-9B05-F33629271CB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9648593925759281"/>
          <c:y val="0.88428147664973833"/>
          <c:w val="0.60702812148481444"/>
          <c:h val="6.838124524375281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3820B-D226-4E90-B6B8-14B4C031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Andjela Bulatovic</dc:creator>
  <cp:keywords/>
  <dc:description/>
  <cp:lastModifiedBy>Milena Milovic</cp:lastModifiedBy>
  <cp:revision>12</cp:revision>
  <cp:lastPrinted>2021-03-25T07:19:00Z</cp:lastPrinted>
  <dcterms:created xsi:type="dcterms:W3CDTF">2023-03-28T11:52:00Z</dcterms:created>
  <dcterms:modified xsi:type="dcterms:W3CDTF">2023-03-31T10:13:00Z</dcterms:modified>
</cp:coreProperties>
</file>