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92" w:rsidRDefault="00A42492"/>
    <w:tbl>
      <w:tblPr>
        <w:tblStyle w:val="TableGrid"/>
        <w:tblW w:w="96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1751"/>
        <w:gridCol w:w="3172"/>
        <w:gridCol w:w="4735"/>
      </w:tblGrid>
      <w:tr w:rsidR="00A1409F" w:rsidRPr="0015160E" w:rsidTr="00A42492">
        <w:trPr>
          <w:trHeight w:val="225"/>
          <w:tblHeader/>
          <w:jc w:val="center"/>
        </w:trPr>
        <w:tc>
          <w:tcPr>
            <w:tcW w:w="9658" w:type="dxa"/>
            <w:gridSpan w:val="3"/>
            <w:shd w:val="clear" w:color="auto" w:fill="8EAADB" w:themeFill="accent1" w:themeFillTint="99"/>
          </w:tcPr>
          <w:p w:rsidR="00A1409F" w:rsidRPr="0015160E" w:rsidRDefault="00A42492" w:rsidP="0015160E">
            <w:pPr>
              <w:spacing w:before="40" w:after="40"/>
              <w:ind w:left="-9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15160E">
              <w:rPr>
                <w:rFonts w:ascii="Garamond" w:hAnsi="Garamond"/>
                <w:b/>
                <w:color w:val="000000" w:themeColor="text1"/>
              </w:rPr>
              <w:t>SPISAK ZAPOSLENIH</w:t>
            </w:r>
          </w:p>
        </w:tc>
      </w:tr>
      <w:tr w:rsidR="00A1409F" w:rsidRPr="0015160E" w:rsidTr="0015160E">
        <w:trPr>
          <w:trHeight w:val="583"/>
          <w:tblHeader/>
          <w:jc w:val="center"/>
        </w:trPr>
        <w:tc>
          <w:tcPr>
            <w:tcW w:w="1751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jc w:val="center"/>
              <w:rPr>
                <w:rFonts w:ascii="Garamond" w:hAnsi="Garamond"/>
                <w:color w:val="FFFFFF" w:themeColor="background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Organizaciona jedinica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Ime i prezime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ind w:left="71"/>
              <w:jc w:val="center"/>
              <w:rPr>
                <w:rFonts w:ascii="Garamond" w:hAnsi="Garamond"/>
                <w:color w:val="000000" w:themeColor="text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Radno mjesto</w:t>
            </w:r>
          </w:p>
        </w:tc>
      </w:tr>
      <w:tr w:rsidR="00A1409F" w:rsidRPr="0015160E" w:rsidTr="0015160E">
        <w:trPr>
          <w:trHeight w:val="557"/>
          <w:jc w:val="center"/>
        </w:trPr>
        <w:tc>
          <w:tcPr>
            <w:tcW w:w="1751" w:type="dxa"/>
            <w:vMerge w:val="restart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Kabinet direktora </w:t>
            </w: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Aleksandra Lalević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Direktorica  </w:t>
            </w:r>
          </w:p>
        </w:tc>
      </w:tr>
      <w:tr w:rsidR="00A1409F" w:rsidRPr="002F44AB" w:rsidTr="0015160E">
        <w:trPr>
          <w:trHeight w:val="41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Magdalena Jovanović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odnose sa javnostima i lektorisanje</w:t>
            </w:r>
          </w:p>
        </w:tc>
      </w:tr>
      <w:tr w:rsidR="00A1409F" w:rsidRPr="0015160E" w:rsidTr="0015160E">
        <w:trPr>
          <w:trHeight w:val="557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3.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 xml:space="preserve">Ivana Moretti   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 poslovno-tehnička sekretarka</w:t>
            </w:r>
          </w:p>
        </w:tc>
      </w:tr>
      <w:tr w:rsidR="00A1409F" w:rsidRPr="002F44AB" w:rsidTr="0015160E">
        <w:trPr>
          <w:trHeight w:val="41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4.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Ognjen Marković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referent za administrativnu i tehničku podršku</w:t>
            </w:r>
          </w:p>
        </w:tc>
      </w:tr>
      <w:tr w:rsidR="00A1409F" w:rsidRPr="0015160E" w:rsidTr="0015160E">
        <w:trPr>
          <w:trHeight w:val="454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5.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Arial" w:hAnsi="Garamond" w:cs="Arial"/>
              </w:rPr>
              <w:t>Marko Kaluđerović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hAnsi="Garamond"/>
              </w:rPr>
              <w:t>Samostalni savjetnik I- sistem inženjer</w:t>
            </w:r>
          </w:p>
        </w:tc>
      </w:tr>
      <w:tr w:rsidR="0015160E" w:rsidRPr="0015160E" w:rsidTr="0015160E">
        <w:trPr>
          <w:trHeight w:val="446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Odjeljenje za razvoj </w:t>
            </w:r>
          </w:p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>kvalifikacija u stručnom obrazovanju</w:t>
            </w:r>
          </w:p>
          <w:p w:rsidR="0015160E" w:rsidRPr="0015160E" w:rsidRDefault="0015160E" w:rsidP="0015160E">
            <w:pPr>
              <w:spacing w:before="40" w:after="40"/>
              <w:ind w:left="118"/>
              <w:rPr>
                <w:rFonts w:ascii="Garamond" w:eastAsia="Garamond" w:hAnsi="Garamond" w:cs="Garamond"/>
                <w:b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6. Mil</w:t>
            </w:r>
            <w:r w:rsidR="00C3428E">
              <w:rPr>
                <w:rFonts w:ascii="Garamond" w:eastAsia="Garamond" w:hAnsi="Garamond" w:cs="Garamond"/>
              </w:rPr>
              <w:t>i</w:t>
            </w:r>
            <w:bookmarkStart w:id="0" w:name="_GoBack"/>
            <w:bookmarkEnd w:id="0"/>
            <w:r w:rsidRPr="0015160E">
              <w:rPr>
                <w:rFonts w:ascii="Garamond" w:eastAsia="Garamond" w:hAnsi="Garamond" w:cs="Garamond"/>
              </w:rPr>
              <w:t>ana Dabović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Rukovoditeljka Odjeljenja</w:t>
            </w:r>
          </w:p>
        </w:tc>
      </w:tr>
      <w:tr w:rsidR="0015160E" w:rsidRPr="0015160E" w:rsidTr="00A42492">
        <w:trPr>
          <w:trHeight w:val="446"/>
          <w:jc w:val="center"/>
        </w:trPr>
        <w:tc>
          <w:tcPr>
            <w:tcW w:w="1751" w:type="dxa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ind w:left="118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7.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Srđan Obradović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Koordinator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8.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Dušan Bošković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9.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Slavica Jovanović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10.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Jelena Knežević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5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11.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Miljan Mitrović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12.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Katarina Todorović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13.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Vanja Đikanović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2F44AB" w:rsidTr="0015160E">
        <w:trPr>
          <w:trHeight w:val="485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14. Nada Šekarić 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ind w:left="19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za praktično obrazovanje i majstorski ispit</w:t>
            </w:r>
          </w:p>
        </w:tc>
      </w:tr>
      <w:tr w:rsidR="00A1409F" w:rsidRPr="0015160E" w:rsidTr="0015160E">
        <w:trPr>
          <w:trHeight w:val="449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ind w:left="52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Odjeljenje za kvalitet, istraživanje i kontinuirani profesionalni razvoj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196F9C" w:rsidRPr="0015160E">
              <w:rPr>
                <w:rFonts w:ascii="Garamond" w:eastAsia="Garamond" w:hAnsi="Garamond" w:cs="Garamond"/>
              </w:rPr>
              <w:t>5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Vladislav Koprivica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Rukovodilac odjeljenja - nadzornik za kvalitet, istraživanje I kontinuirani profesionalni razvoj</w:t>
            </w:r>
          </w:p>
        </w:tc>
      </w:tr>
      <w:tr w:rsidR="00A1409F" w:rsidRPr="002F44AB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196F9C" w:rsidRPr="0015160E">
              <w:rPr>
                <w:rFonts w:ascii="Garamond" w:eastAsia="Garamond" w:hAnsi="Garamond" w:cs="Garamond"/>
              </w:rPr>
              <w:t>6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Miomir Vojinović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savjetnik I-nadzornik za kvalitet</w:t>
            </w:r>
          </w:p>
        </w:tc>
      </w:tr>
      <w:tr w:rsidR="00A1409F" w:rsidRPr="0015160E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AA6146" w:rsidRPr="0015160E">
              <w:rPr>
                <w:rFonts w:ascii="Garamond" w:eastAsia="Garamond" w:hAnsi="Garamond" w:cs="Garamond"/>
              </w:rPr>
              <w:t>7</w:t>
            </w:r>
            <w:r w:rsidRPr="0015160E">
              <w:rPr>
                <w:rFonts w:ascii="Garamond" w:eastAsia="Garamond" w:hAnsi="Garamond" w:cs="Garamond"/>
              </w:rPr>
              <w:t>. Vjera Mitrović Radošević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I-nadzornica za kvalitet u inkluzivnom obrazovanju I istraživanje</w:t>
            </w:r>
          </w:p>
        </w:tc>
      </w:tr>
      <w:tr w:rsidR="00A1409F" w:rsidRPr="002F44AB" w:rsidTr="0015160E">
        <w:trPr>
          <w:trHeight w:val="45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AA6146" w:rsidRPr="0015160E">
              <w:rPr>
                <w:rFonts w:ascii="Garamond" w:eastAsia="Garamond" w:hAnsi="Garamond" w:cs="Garamond"/>
              </w:rPr>
              <w:t>8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Džana Baković 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</w:t>
            </w: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  <w:r w:rsidRPr="0015160E">
              <w:rPr>
                <w:rFonts w:ascii="Garamond" w:eastAsia="Garamond" w:hAnsi="Garamond" w:cs="Garamond"/>
                <w:lang w:val="it-IT"/>
              </w:rPr>
              <w:t xml:space="preserve">za istraživanje, praćenje i analizu </w:t>
            </w:r>
          </w:p>
        </w:tc>
      </w:tr>
      <w:tr w:rsidR="0029462D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313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lastRenderedPageBreak/>
              <w:t>Odjeljenje za obrazovanje odraslih I cjeloživotno učenje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29462D" w:rsidRPr="0015160E" w:rsidRDefault="00AA6146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19</w:t>
            </w:r>
            <w:r w:rsidR="0029462D" w:rsidRPr="0015160E">
              <w:rPr>
                <w:rFonts w:ascii="Garamond" w:eastAsia="Garamond" w:hAnsi="Garamond" w:cs="Garamond"/>
              </w:rPr>
              <w:t>.</w:t>
            </w:r>
            <w:r w:rsidR="0029462D" w:rsidRPr="0015160E">
              <w:rPr>
                <w:rFonts w:ascii="Garamond" w:eastAsia="Arial" w:hAnsi="Garamond" w:cs="Arial"/>
              </w:rPr>
              <w:t xml:space="preserve"> </w:t>
            </w:r>
            <w:r w:rsidR="0029462D" w:rsidRPr="0015160E">
              <w:rPr>
                <w:rFonts w:ascii="Garamond" w:eastAsia="Garamond" w:hAnsi="Garamond" w:cs="Garamond"/>
              </w:rPr>
              <w:t xml:space="preserve">Ivan Marković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Rukovodilac  Odjeljenja </w:t>
            </w:r>
          </w:p>
        </w:tc>
      </w:tr>
      <w:tr w:rsidR="0029462D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9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0</w:t>
            </w:r>
            <w:r w:rsidRPr="0015160E">
              <w:rPr>
                <w:rFonts w:ascii="Garamond" w:eastAsia="Garamond" w:hAnsi="Garamond" w:cs="Garamond"/>
              </w:rPr>
              <w:t xml:space="preserve">. Ljiljana Garić  </w:t>
            </w:r>
          </w:p>
        </w:tc>
        <w:tc>
          <w:tcPr>
            <w:tcW w:w="4735" w:type="dxa"/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savjetnica I za obrazovanje odraslih i cjeloživotno učenje </w:t>
            </w:r>
          </w:p>
        </w:tc>
      </w:tr>
      <w:tr w:rsidR="0029462D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1</w:t>
            </w:r>
            <w:r w:rsidRPr="0015160E">
              <w:rPr>
                <w:rFonts w:ascii="Garamond" w:eastAsia="Garamond" w:hAnsi="Garamond" w:cs="Garamond"/>
              </w:rPr>
              <w:t xml:space="preserve">. Mladen Prijović </w:t>
            </w:r>
          </w:p>
        </w:tc>
        <w:tc>
          <w:tcPr>
            <w:tcW w:w="4735" w:type="dxa"/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obrazovanje odraslih i cjeloživotno učenje</w:t>
            </w:r>
          </w:p>
        </w:tc>
      </w:tr>
      <w:tr w:rsidR="0029462D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2</w:t>
            </w:r>
            <w:r w:rsidRPr="0015160E">
              <w:rPr>
                <w:rFonts w:ascii="Garamond" w:eastAsia="Garamond" w:hAnsi="Garamond" w:cs="Garamond"/>
              </w:rPr>
              <w:t>. Milica Jaramaz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obrazovanje odraslih i cjeloživotno učenje</w:t>
            </w:r>
          </w:p>
        </w:tc>
      </w:tr>
      <w:tr w:rsidR="00A1409F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858"/>
          <w:jc w:val="center"/>
        </w:trPr>
        <w:tc>
          <w:tcPr>
            <w:tcW w:w="17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Odjeljenje za međunarodnu saradnju I projekte 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3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Jelena Bojović </w:t>
            </w:r>
          </w:p>
        </w:tc>
        <w:tc>
          <w:tcPr>
            <w:tcW w:w="47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Rukovoditeljka Odjeljenja </w:t>
            </w:r>
          </w:p>
        </w:tc>
      </w:tr>
      <w:tr w:rsidR="00A1409F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97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</w:p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</w:p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</w:p>
          <w:p w:rsidR="00A1409F" w:rsidRPr="0015160E" w:rsidRDefault="00A1409F" w:rsidP="0015160E">
            <w:pPr>
              <w:spacing w:before="40" w:after="40"/>
              <w:ind w:right="155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Služba  za opšte,  pravne, </w:t>
            </w:r>
          </w:p>
          <w:p w:rsidR="00A1409F" w:rsidRPr="0015160E" w:rsidRDefault="00A1409F" w:rsidP="0015160E">
            <w:pPr>
              <w:spacing w:before="40" w:after="40"/>
              <w:ind w:left="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i finansijske  poslove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4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Ivana Vukićević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Rukovoditeljka Službe 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5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Selma Kurpejović 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savjetnica I za pravnu podršku, priznavanje neformalno stečenih obrazovnih isprava i javne nabavke </w:t>
            </w:r>
          </w:p>
        </w:tc>
      </w:tr>
      <w:tr w:rsidR="00CF2230" w:rsidRPr="002F44AB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CF2230" w:rsidRPr="0015160E" w:rsidRDefault="00CF2230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CF2230" w:rsidRPr="0015160E" w:rsidRDefault="00CF2230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6</w:t>
            </w:r>
            <w:r w:rsidRPr="0015160E">
              <w:rPr>
                <w:rFonts w:ascii="Garamond" w:eastAsia="Garamond" w:hAnsi="Garamond" w:cs="Garamond"/>
              </w:rPr>
              <w:t>. Duška Stanić</w:t>
            </w:r>
          </w:p>
        </w:tc>
        <w:tc>
          <w:tcPr>
            <w:tcW w:w="4735" w:type="dxa"/>
            <w:vAlign w:val="center"/>
          </w:tcPr>
          <w:p w:rsidR="00CF2230" w:rsidRPr="0015160E" w:rsidRDefault="00CF2230" w:rsidP="0015160E">
            <w:pPr>
              <w:spacing w:before="40" w:after="40"/>
              <w:ind w:left="58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finansijsko- računovodstvene poslove</w:t>
            </w:r>
          </w:p>
        </w:tc>
      </w:tr>
      <w:tr w:rsidR="00A1409F" w:rsidRPr="002F44AB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504F0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7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Danilo Gogić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58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savjetnik II za administriranje i dizajn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196F9C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28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Irena Janković</w:t>
            </w:r>
            <w:r w:rsidR="00A1409F" w:rsidRPr="0015160E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0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196F9C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29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Arial" w:hAnsi="Garamond" w:cs="Arial"/>
              </w:rPr>
              <w:t>Biljana Vuković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359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3</w:t>
            </w:r>
            <w:r w:rsidR="00196F9C" w:rsidRPr="0015160E">
              <w:rPr>
                <w:rFonts w:ascii="Garamond" w:eastAsia="Garamond" w:hAnsi="Garamond" w:cs="Garamond"/>
              </w:rPr>
              <w:t>0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Zehra Fetahović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 w:right="149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referentkinja – administratorka arhivarka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F1EB1" w:rsidRDefault="003F1817" w:rsidP="0015160E">
      <w:pPr>
        <w:spacing w:after="0"/>
      </w:pPr>
      <w:r>
        <w:t xml:space="preserve"> </w:t>
      </w:r>
      <w:r>
        <w:rPr>
          <w:rFonts w:ascii="Garamond" w:eastAsia="Garamond" w:hAnsi="Garamond" w:cs="Garamond"/>
        </w:rPr>
        <w:t xml:space="preserve">Podgorica, </w:t>
      </w:r>
      <w:r w:rsidR="00196F9C">
        <w:rPr>
          <w:rFonts w:ascii="Garamond" w:eastAsia="Garamond" w:hAnsi="Garamond" w:cs="Garamond"/>
        </w:rPr>
        <w:t>novembar</w:t>
      </w:r>
      <w:r w:rsidR="00884A55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202</w:t>
      </w:r>
      <w:r w:rsidR="00CF2230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4D" w:rsidRDefault="007A614D" w:rsidP="00E00F43">
      <w:pPr>
        <w:spacing w:after="0" w:line="240" w:lineRule="auto"/>
      </w:pPr>
      <w:r>
        <w:separator/>
      </w:r>
    </w:p>
  </w:endnote>
  <w:endnote w:type="continuationSeparator" w:id="0">
    <w:p w:rsidR="007A614D" w:rsidRDefault="007A614D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196F9C">
      <w:rPr>
        <w:rFonts w:ascii="Garamond" w:eastAsia="Times New Roman" w:hAnsi="Garamond" w:cs="Arial"/>
        <w:sz w:val="18"/>
        <w:szCs w:val="18"/>
        <w:lang w:val="sr-Latn-C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@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cso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edu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me</w:t>
    </w:r>
  </w:p>
  <w:p w:rsidR="00CF2230" w:rsidRPr="00196F9C" w:rsidRDefault="00CF2230" w:rsidP="00CF2230">
    <w:pPr>
      <w:pStyle w:val="Footer"/>
      <w:rPr>
        <w:lang w:val="sr-Latn-CS"/>
      </w:rPr>
    </w:pPr>
  </w:p>
  <w:p w:rsidR="00E00F43" w:rsidRPr="00196F9C" w:rsidRDefault="00E00F43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4D" w:rsidRDefault="007A614D" w:rsidP="00E00F43">
      <w:pPr>
        <w:spacing w:after="0" w:line="240" w:lineRule="auto"/>
      </w:pPr>
      <w:r>
        <w:separator/>
      </w:r>
    </w:p>
  </w:footnote>
  <w:footnote w:type="continuationSeparator" w:id="0">
    <w:p w:rsidR="007A614D" w:rsidRDefault="007A614D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B1"/>
    <w:rsid w:val="000102DE"/>
    <w:rsid w:val="000C0301"/>
    <w:rsid w:val="0015160E"/>
    <w:rsid w:val="001744F0"/>
    <w:rsid w:val="00196F9C"/>
    <w:rsid w:val="001F1EB1"/>
    <w:rsid w:val="0029462D"/>
    <w:rsid w:val="002C55EA"/>
    <w:rsid w:val="002F44AB"/>
    <w:rsid w:val="00383050"/>
    <w:rsid w:val="003F1817"/>
    <w:rsid w:val="00477144"/>
    <w:rsid w:val="004C4A2D"/>
    <w:rsid w:val="00504F0F"/>
    <w:rsid w:val="005914F9"/>
    <w:rsid w:val="005A6D90"/>
    <w:rsid w:val="007A614D"/>
    <w:rsid w:val="00884A55"/>
    <w:rsid w:val="008D1C61"/>
    <w:rsid w:val="008E5FBE"/>
    <w:rsid w:val="00A1409F"/>
    <w:rsid w:val="00A1477B"/>
    <w:rsid w:val="00A42492"/>
    <w:rsid w:val="00A75B42"/>
    <w:rsid w:val="00AA6146"/>
    <w:rsid w:val="00AF12B9"/>
    <w:rsid w:val="00AF7672"/>
    <w:rsid w:val="00C3428E"/>
    <w:rsid w:val="00CF2230"/>
    <w:rsid w:val="00D7338A"/>
    <w:rsid w:val="00E00F43"/>
    <w:rsid w:val="00E40CBD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Win</cp:lastModifiedBy>
  <cp:revision>3</cp:revision>
  <dcterms:created xsi:type="dcterms:W3CDTF">2025-11-28T09:07:00Z</dcterms:created>
  <dcterms:modified xsi:type="dcterms:W3CDTF">2025-11-28T09:07:00Z</dcterms:modified>
</cp:coreProperties>
</file>