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B9" w:rsidRDefault="00D432B9" w:rsidP="006562C5">
      <w:pPr>
        <w:pStyle w:val="Blockquote"/>
        <w:spacing w:before="0" w:after="0"/>
        <w:jc w:val="center"/>
        <w:rPr>
          <w:b/>
          <w:color w:val="FF0000"/>
        </w:rPr>
      </w:pPr>
    </w:p>
    <w:p w:rsidR="00D432B9" w:rsidRDefault="00D432B9" w:rsidP="006562C5">
      <w:pPr>
        <w:pStyle w:val="Blockquote"/>
        <w:spacing w:before="0" w:after="0"/>
        <w:jc w:val="center"/>
        <w:rPr>
          <w:b/>
          <w:color w:val="FF0000"/>
        </w:rPr>
      </w:pPr>
    </w:p>
    <w:p w:rsidR="000C7F17" w:rsidRPr="000C7F17" w:rsidRDefault="000C7F17" w:rsidP="006562C5">
      <w:pPr>
        <w:pStyle w:val="Blockquote"/>
        <w:spacing w:before="0" w:after="0"/>
        <w:jc w:val="center"/>
        <w:rPr>
          <w:b/>
          <w:color w:val="FF0000"/>
        </w:rPr>
      </w:pPr>
      <w:r w:rsidRPr="000C7F17">
        <w:rPr>
          <w:b/>
          <w:color w:val="FF0000"/>
        </w:rPr>
        <w:t>CORRIGENDUM No</w:t>
      </w:r>
      <w:r>
        <w:rPr>
          <w:b/>
          <w:color w:val="FF0000"/>
        </w:rPr>
        <w:t xml:space="preserve"> </w:t>
      </w:r>
      <w:r w:rsidR="006A11EE">
        <w:rPr>
          <w:b/>
          <w:color w:val="FF0000"/>
        </w:rPr>
        <w:t>1</w:t>
      </w:r>
      <w:r w:rsidRPr="000C7F17">
        <w:rPr>
          <w:b/>
          <w:color w:val="FF0000"/>
        </w:rPr>
        <w:t xml:space="preserve">   </w:t>
      </w:r>
    </w:p>
    <w:p w:rsidR="00933E0D" w:rsidRDefault="00933E0D" w:rsidP="006562C5">
      <w:pPr>
        <w:spacing w:after="0"/>
        <w:jc w:val="center"/>
        <w:rPr>
          <w:rStyle w:val="Strong"/>
          <w:rFonts w:ascii="Times New Roman" w:hAnsi="Times New Roman"/>
          <w:sz w:val="24"/>
          <w:szCs w:val="24"/>
        </w:rPr>
      </w:pPr>
    </w:p>
    <w:p w:rsidR="000C7F17" w:rsidRDefault="000C7F17" w:rsidP="006562C5">
      <w:pPr>
        <w:spacing w:after="0"/>
        <w:jc w:val="center"/>
        <w:rPr>
          <w:rStyle w:val="Strong"/>
          <w:rFonts w:ascii="Times New Roman" w:hAnsi="Times New Roman"/>
          <w:sz w:val="24"/>
          <w:szCs w:val="24"/>
        </w:rPr>
      </w:pPr>
      <w:r>
        <w:rPr>
          <w:rStyle w:val="Strong"/>
          <w:rFonts w:ascii="Times New Roman" w:hAnsi="Times New Roman"/>
          <w:sz w:val="24"/>
          <w:szCs w:val="24"/>
        </w:rPr>
        <w:t>Reference: EuropeAid/136938/ID/ACT/ME</w:t>
      </w:r>
    </w:p>
    <w:p w:rsidR="00933E0D" w:rsidRDefault="00933E0D" w:rsidP="006562C5">
      <w:pPr>
        <w:spacing w:after="0"/>
        <w:jc w:val="center"/>
        <w:rPr>
          <w:rFonts w:ascii="Times New Roman" w:hAnsi="Times New Roman"/>
          <w:b/>
          <w:noProof/>
          <w:sz w:val="24"/>
          <w:szCs w:val="24"/>
        </w:rPr>
      </w:pPr>
    </w:p>
    <w:p w:rsidR="000C7F17" w:rsidRDefault="000C7F17" w:rsidP="006562C5">
      <w:pPr>
        <w:spacing w:after="0"/>
        <w:jc w:val="center"/>
        <w:rPr>
          <w:rStyle w:val="Strong"/>
          <w:rFonts w:ascii="Times New Roman" w:hAnsi="Times New Roman"/>
          <w:sz w:val="24"/>
          <w:szCs w:val="24"/>
        </w:rPr>
      </w:pPr>
      <w:r>
        <w:rPr>
          <w:rFonts w:ascii="Times New Roman" w:hAnsi="Times New Roman"/>
          <w:b/>
          <w:noProof/>
          <w:sz w:val="24"/>
          <w:szCs w:val="24"/>
        </w:rPr>
        <w:t>Subject:  Call for Proposals-</w:t>
      </w:r>
      <w:r>
        <w:rPr>
          <w:rFonts w:ascii="Times New Roman" w:hAnsi="Times New Roman"/>
          <w:b/>
          <w:i/>
          <w:sz w:val="24"/>
          <w:szCs w:val="24"/>
        </w:rPr>
        <w:t>Transfer of knowledge between sectors of higher education, research and industry</w:t>
      </w:r>
      <w:r>
        <w:rPr>
          <w:rFonts w:ascii="Times New Roman" w:hAnsi="Times New Roman"/>
          <w:b/>
          <w:sz w:val="24"/>
          <w:szCs w:val="24"/>
        </w:rPr>
        <w:t xml:space="preserve"> </w:t>
      </w:r>
    </w:p>
    <w:p w:rsidR="000C7F17" w:rsidRDefault="000C7F17" w:rsidP="006562C5">
      <w:pPr>
        <w:spacing w:after="0"/>
        <w:jc w:val="center"/>
        <w:rPr>
          <w:lang w:val="fr-FR"/>
        </w:rPr>
      </w:pPr>
      <w:r>
        <w:rPr>
          <w:rStyle w:val="Strong"/>
          <w:rFonts w:ascii="Times New Roman" w:hAnsi="Times New Roman"/>
          <w:sz w:val="24"/>
          <w:szCs w:val="24"/>
          <w:lang w:val="fr-FR"/>
        </w:rPr>
        <w:t xml:space="preserve">Location –Europe (non-EU) – </w:t>
      </w:r>
      <w:r>
        <w:rPr>
          <w:rStyle w:val="Strong"/>
          <w:rFonts w:ascii="Times New Roman" w:hAnsi="Times New Roman"/>
          <w:noProof/>
          <w:sz w:val="24"/>
          <w:szCs w:val="24"/>
          <w:lang w:val="fr-FR"/>
        </w:rPr>
        <w:t xml:space="preserve">Montenegro </w:t>
      </w:r>
    </w:p>
    <w:p w:rsidR="009E21E0" w:rsidRPr="00D60B71" w:rsidRDefault="009E21E0">
      <w:pPr>
        <w:rPr>
          <w:lang w:val="fr-FR"/>
        </w:rPr>
      </w:pPr>
    </w:p>
    <w:p w:rsidR="000C7F17" w:rsidRPr="00D60B71" w:rsidRDefault="000C7F17">
      <w:pPr>
        <w:rPr>
          <w:rFonts w:ascii="Times New Roman" w:hAnsi="Times New Roman"/>
          <w:b/>
          <w:color w:val="FF0000"/>
          <w:u w:val="single"/>
          <w:lang w:val="fr-FR"/>
        </w:rPr>
      </w:pPr>
      <w:r w:rsidRPr="00D60B71">
        <w:rPr>
          <w:rFonts w:ascii="Times New Roman" w:hAnsi="Times New Roman"/>
          <w:b/>
          <w:color w:val="FF0000"/>
          <w:u w:val="single"/>
          <w:lang w:val="fr-FR"/>
        </w:rPr>
        <w:t>Correction 1</w:t>
      </w:r>
    </w:p>
    <w:p w:rsidR="000C7F17" w:rsidRPr="000C7F17" w:rsidRDefault="000C7F17">
      <w:pPr>
        <w:rPr>
          <w:rFonts w:ascii="Times New Roman" w:hAnsi="Times New Roman"/>
        </w:rPr>
      </w:pPr>
      <w:r w:rsidRPr="000C7F17">
        <w:rPr>
          <w:rFonts w:ascii="Times New Roman" w:hAnsi="Times New Roman"/>
        </w:rPr>
        <w:t xml:space="preserve">Section </w:t>
      </w:r>
      <w:r>
        <w:rPr>
          <w:rFonts w:ascii="Times New Roman" w:hAnsi="Times New Roman"/>
        </w:rPr>
        <w:t xml:space="preserve">2.1.5 of the guidelines </w:t>
      </w:r>
      <w:r w:rsidR="006562C5">
        <w:rPr>
          <w:rFonts w:ascii="Times New Roman" w:hAnsi="Times New Roman"/>
        </w:rPr>
        <w:t xml:space="preserve">for </w:t>
      </w:r>
      <w:r w:rsidR="006562C5" w:rsidRPr="000C7F17">
        <w:rPr>
          <w:rFonts w:ascii="Times New Roman" w:hAnsi="Times New Roman"/>
        </w:rPr>
        <w:t>applicant</w:t>
      </w:r>
      <w:r w:rsidRPr="000C7F17">
        <w:rPr>
          <w:rFonts w:ascii="Times New Roman" w:hAnsi="Times New Roman"/>
        </w:rPr>
        <w:t xml:space="preserve"> the title referring to eligible costs is amended as follows</w:t>
      </w:r>
    </w:p>
    <w:p w:rsidR="000C7F17" w:rsidRPr="000C7F17" w:rsidRDefault="000C7F17">
      <w:pPr>
        <w:rPr>
          <w:rFonts w:ascii="Times New Roman" w:hAnsi="Times New Roman"/>
          <w:b/>
        </w:rPr>
      </w:pPr>
      <w:r w:rsidRPr="000C7F17">
        <w:rPr>
          <w:rFonts w:ascii="Times New Roman" w:hAnsi="Times New Roman"/>
          <w:b/>
        </w:rPr>
        <w:t>Add</w:t>
      </w:r>
      <w:r>
        <w:rPr>
          <w:rFonts w:ascii="Times New Roman" w:hAnsi="Times New Roman"/>
          <w:b/>
        </w:rPr>
        <w:t xml:space="preserve"> the following paragraph</w:t>
      </w:r>
      <w:r w:rsidRPr="000C7F17">
        <w:rPr>
          <w:rFonts w:ascii="Times New Roman" w:hAnsi="Times New Roman"/>
          <w:b/>
        </w:rPr>
        <w:t>:</w:t>
      </w:r>
    </w:p>
    <w:p w:rsidR="000C7F17" w:rsidRPr="000C7F17" w:rsidRDefault="000C7F17" w:rsidP="000C7F17">
      <w:pPr>
        <w:numPr>
          <w:ilvl w:val="0"/>
          <w:numId w:val="1"/>
        </w:numPr>
        <w:jc w:val="both"/>
        <w:rPr>
          <w:rFonts w:ascii="Times New Roman" w:hAnsi="Times New Roman"/>
        </w:rPr>
      </w:pPr>
      <w:r w:rsidRPr="000C7F17">
        <w:rPr>
          <w:rFonts w:ascii="Times New Roman" w:hAnsi="Times New Roman"/>
        </w:rPr>
        <w:t>"</w:t>
      </w:r>
      <w:r w:rsidRPr="000C7F17">
        <w:rPr>
          <w:rFonts w:ascii="Times New Roman" w:hAnsi="Times New Roman"/>
          <w:i/>
        </w:rPr>
        <w:t>Purchase of small items and consumables in the form of non-capital items which can't be depreciated are eligible. As there is no limit for the number of such small items which can be claimed, the expenditure generated should be in correct relation with the planned results of the Action and with a view to value for money (sound financial management)</w:t>
      </w:r>
      <w:r w:rsidRPr="000C7F17">
        <w:rPr>
          <w:rFonts w:ascii="Times New Roman" w:hAnsi="Times New Roman"/>
        </w:rPr>
        <w:t>"</w:t>
      </w:r>
    </w:p>
    <w:p w:rsidR="006562C5" w:rsidRDefault="006562C5" w:rsidP="000F50D0">
      <w:pPr>
        <w:rPr>
          <w:rFonts w:ascii="Times New Roman" w:hAnsi="Times New Roman"/>
          <w:b/>
          <w:color w:val="FF0000"/>
          <w:u w:val="single"/>
        </w:rPr>
      </w:pPr>
    </w:p>
    <w:p w:rsidR="000F50D0" w:rsidRDefault="00D432B9" w:rsidP="000F50D0">
      <w:pPr>
        <w:rPr>
          <w:rFonts w:ascii="Times New Roman" w:hAnsi="Times New Roman"/>
          <w:b/>
          <w:color w:val="FF0000"/>
          <w:u w:val="single"/>
        </w:rPr>
      </w:pPr>
      <w:r>
        <w:rPr>
          <w:rFonts w:ascii="Times New Roman" w:hAnsi="Times New Roman"/>
          <w:b/>
          <w:color w:val="FF0000"/>
          <w:u w:val="single"/>
        </w:rPr>
        <w:t>Correction 2</w:t>
      </w:r>
    </w:p>
    <w:p w:rsidR="000F50D0" w:rsidRDefault="006562C5" w:rsidP="000F50D0">
      <w:pPr>
        <w:rPr>
          <w:rFonts w:ascii="Times New Roman" w:hAnsi="Times New Roman"/>
        </w:rPr>
      </w:pPr>
      <w:r>
        <w:rPr>
          <w:rFonts w:ascii="Times New Roman" w:hAnsi="Times New Roman"/>
        </w:rPr>
        <w:t>Within article 7.2 of t</w:t>
      </w:r>
      <w:r w:rsidR="000F50D0">
        <w:rPr>
          <w:rFonts w:ascii="Times New Roman" w:hAnsi="Times New Roman"/>
        </w:rPr>
        <w:t>he Draft contract</w:t>
      </w:r>
      <w:r>
        <w:rPr>
          <w:rFonts w:ascii="Times New Roman" w:hAnsi="Times New Roman"/>
        </w:rPr>
        <w:t>,</w:t>
      </w:r>
      <w:r w:rsidR="000F50D0">
        <w:rPr>
          <w:rFonts w:ascii="Times New Roman" w:hAnsi="Times New Roman"/>
        </w:rPr>
        <w:t xml:space="preserve"> </w:t>
      </w:r>
      <w:r w:rsidRPr="006562C5">
        <w:rPr>
          <w:rFonts w:ascii="Times New Roman" w:hAnsi="Times New Roman"/>
          <w:b/>
        </w:rPr>
        <w:t>the following sub-clause is introduced</w:t>
      </w:r>
      <w:r>
        <w:rPr>
          <w:rFonts w:ascii="Times New Roman" w:hAnsi="Times New Roman"/>
        </w:rPr>
        <w:t>:</w:t>
      </w:r>
    </w:p>
    <w:p w:rsidR="000F50D0" w:rsidRPr="000F50D0" w:rsidRDefault="000F50D0" w:rsidP="000F50D0">
      <w:pPr>
        <w:ind w:left="720" w:hanging="720"/>
        <w:rPr>
          <w:rFonts w:ascii="Times New Roman" w:hAnsi="Times New Roman"/>
          <w:i/>
        </w:rPr>
      </w:pPr>
      <w:r>
        <w:rPr>
          <w:rFonts w:ascii="Times New Roman" w:hAnsi="Times New Roman"/>
          <w:i/>
        </w:rPr>
        <w:t>"</w:t>
      </w:r>
      <w:r w:rsidRPr="000F50D0">
        <w:rPr>
          <w:rFonts w:ascii="Times New Roman" w:hAnsi="Times New Roman"/>
          <w:i/>
        </w:rPr>
        <w:t>7.2.2</w:t>
      </w:r>
      <w:r w:rsidRPr="000F50D0">
        <w:rPr>
          <w:rFonts w:ascii="Times New Roman" w:hAnsi="Times New Roman"/>
          <w:i/>
        </w:rPr>
        <w:tab/>
        <w:t>By w</w:t>
      </w:r>
      <w:r w:rsidR="006562C5">
        <w:rPr>
          <w:rFonts w:ascii="Times New Roman" w:hAnsi="Times New Roman"/>
          <w:i/>
        </w:rPr>
        <w:t>ay of derogation from Article 14.2</w:t>
      </w:r>
      <w:r w:rsidRPr="000F50D0">
        <w:rPr>
          <w:rFonts w:ascii="Times New Roman" w:hAnsi="Times New Roman"/>
          <w:i/>
        </w:rPr>
        <w:t>.</w:t>
      </w:r>
      <w:r w:rsidR="006562C5">
        <w:rPr>
          <w:rFonts w:ascii="Times New Roman" w:hAnsi="Times New Roman"/>
          <w:i/>
        </w:rPr>
        <w:t>(c)</w:t>
      </w:r>
      <w:r w:rsidRPr="000F50D0">
        <w:rPr>
          <w:rFonts w:ascii="Times New Roman" w:hAnsi="Times New Roman"/>
          <w:i/>
        </w:rPr>
        <w:t xml:space="preserve"> of Annex II, the purchase of small items and consumables in the form of non-capital items which can't be depreciated are eligible. As there is no limit for the number of such small items which can be claimed, the expenditure generated should be in correct relation with the planned results of the Action and with a view to value for money (sound financial management)</w:t>
      </w:r>
      <w:r>
        <w:rPr>
          <w:rFonts w:ascii="Times New Roman" w:hAnsi="Times New Roman"/>
          <w:i/>
        </w:rPr>
        <w:t>"</w:t>
      </w:r>
    </w:p>
    <w:p w:rsidR="000F50D0" w:rsidRPr="000F50D0" w:rsidRDefault="000F50D0" w:rsidP="000F50D0">
      <w:pPr>
        <w:rPr>
          <w:rFonts w:ascii="Times New Roman" w:hAnsi="Times New Roman"/>
        </w:rPr>
      </w:pPr>
    </w:p>
    <w:sectPr w:rsidR="000F50D0" w:rsidRPr="000F50D0" w:rsidSect="006562C5">
      <w:footerReference w:type="default" r:id="rId7"/>
      <w:pgSz w:w="11906" w:h="16838"/>
      <w:pgMar w:top="60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FF0" w:rsidRDefault="007B6FF0" w:rsidP="006562C5">
      <w:pPr>
        <w:spacing w:after="0" w:line="240" w:lineRule="auto"/>
      </w:pPr>
      <w:r>
        <w:separator/>
      </w:r>
    </w:p>
  </w:endnote>
  <w:endnote w:type="continuationSeparator" w:id="1">
    <w:p w:rsidR="007B6FF0" w:rsidRDefault="007B6FF0" w:rsidP="00656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C5" w:rsidRDefault="006562C5" w:rsidP="006562C5">
    <w:pPr>
      <w:pStyle w:val="Footer"/>
    </w:pPr>
    <w:r>
      <w:t>C</w:t>
    </w:r>
    <w:r w:rsidR="00933E0D">
      <w:t>orrigendum No 1</w:t>
    </w:r>
    <w:r>
      <w:t xml:space="preserve">  </w:t>
    </w:r>
    <w:r>
      <w:tab/>
      <w:t>EuropeAid/136938/ID/ACT/ME</w:t>
    </w:r>
    <w:r>
      <w:tab/>
    </w:r>
    <w:fldSimple w:instr=" PAGE  \* Arabic  \* MERGEFORMAT ">
      <w:r w:rsidR="00BB0AC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FF0" w:rsidRDefault="007B6FF0" w:rsidP="006562C5">
      <w:pPr>
        <w:spacing w:after="0" w:line="240" w:lineRule="auto"/>
      </w:pPr>
      <w:r>
        <w:separator/>
      </w:r>
    </w:p>
  </w:footnote>
  <w:footnote w:type="continuationSeparator" w:id="1">
    <w:p w:rsidR="007B6FF0" w:rsidRDefault="007B6FF0" w:rsidP="006562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5C19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457533"/>
    <w:multiLevelType w:val="hybridMultilevel"/>
    <w:tmpl w:val="C3180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docVars>
    <w:docVar w:name="LW_DocType" w:val="NORMAL"/>
  </w:docVars>
  <w:rsids>
    <w:rsidRoot w:val="000C7F17"/>
    <w:rsid w:val="000C7F17"/>
    <w:rsid w:val="000F50D0"/>
    <w:rsid w:val="005D409C"/>
    <w:rsid w:val="006562C5"/>
    <w:rsid w:val="006A11EE"/>
    <w:rsid w:val="007B6FF0"/>
    <w:rsid w:val="00926840"/>
    <w:rsid w:val="00933E0D"/>
    <w:rsid w:val="009E21E0"/>
    <w:rsid w:val="00BB0ACD"/>
    <w:rsid w:val="00D11A07"/>
    <w:rsid w:val="00D432B9"/>
    <w:rsid w:val="00D60B71"/>
    <w:rsid w:val="00E31908"/>
    <w:rsid w:val="00EF6ABA"/>
    <w:rsid w:val="00FE5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C7F17"/>
    <w:rPr>
      <w:b/>
      <w:bCs w:val="0"/>
    </w:rPr>
  </w:style>
  <w:style w:type="paragraph" w:customStyle="1" w:styleId="Blockquote">
    <w:name w:val="Blockquote"/>
    <w:basedOn w:val="Normal"/>
    <w:rsid w:val="000C7F17"/>
    <w:pPr>
      <w:snapToGrid w:val="0"/>
      <w:spacing w:before="100" w:after="100" w:line="240" w:lineRule="auto"/>
      <w:ind w:left="360" w:right="360"/>
    </w:pPr>
    <w:rPr>
      <w:rFonts w:ascii="Times New Roman" w:hAnsi="Times New Roman"/>
      <w:sz w:val="24"/>
      <w:szCs w:val="24"/>
      <w:lang w:val="en-US"/>
    </w:rPr>
  </w:style>
  <w:style w:type="paragraph" w:styleId="Header">
    <w:name w:val="header"/>
    <w:basedOn w:val="Normal"/>
    <w:link w:val="HeaderChar"/>
    <w:uiPriority w:val="99"/>
    <w:unhideWhenUsed/>
    <w:rsid w:val="006562C5"/>
    <w:pPr>
      <w:tabs>
        <w:tab w:val="center" w:pos="4536"/>
        <w:tab w:val="right" w:pos="9072"/>
      </w:tabs>
    </w:pPr>
  </w:style>
  <w:style w:type="character" w:customStyle="1" w:styleId="HeaderChar">
    <w:name w:val="Header Char"/>
    <w:link w:val="Header"/>
    <w:uiPriority w:val="99"/>
    <w:rsid w:val="006562C5"/>
    <w:rPr>
      <w:sz w:val="22"/>
      <w:szCs w:val="22"/>
      <w:lang w:eastAsia="en-US"/>
    </w:rPr>
  </w:style>
  <w:style w:type="paragraph" w:styleId="Footer">
    <w:name w:val="footer"/>
    <w:basedOn w:val="Normal"/>
    <w:link w:val="FooterChar"/>
    <w:uiPriority w:val="99"/>
    <w:unhideWhenUsed/>
    <w:rsid w:val="006562C5"/>
    <w:pPr>
      <w:tabs>
        <w:tab w:val="center" w:pos="4536"/>
        <w:tab w:val="right" w:pos="9072"/>
      </w:tabs>
    </w:pPr>
  </w:style>
  <w:style w:type="character" w:customStyle="1" w:styleId="FooterChar">
    <w:name w:val="Footer Char"/>
    <w:link w:val="Footer"/>
    <w:uiPriority w:val="99"/>
    <w:rsid w:val="006562C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420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BOURGADE Claire (EEAS-PODGORICA)</dc:creator>
  <cp:lastModifiedBy>vlado.stojkovic</cp:lastModifiedBy>
  <cp:revision>2</cp:revision>
  <dcterms:created xsi:type="dcterms:W3CDTF">2015-07-09T09:50:00Z</dcterms:created>
  <dcterms:modified xsi:type="dcterms:W3CDTF">2015-07-09T09:50:00Z</dcterms:modified>
</cp:coreProperties>
</file>