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B589" w14:textId="77777777" w:rsidR="00D64E6A" w:rsidRDefault="00D64E6A" w:rsidP="00D64E6A">
      <w:pPr>
        <w:rPr>
          <w:lang w:val="de-AT"/>
        </w:rPr>
      </w:pPr>
      <w:r>
        <w:rPr>
          <w:i/>
          <w:noProof/>
          <w:sz w:val="21"/>
          <w:szCs w:val="21"/>
        </w:rPr>
        <w:drawing>
          <wp:inline distT="0" distB="0" distL="0" distR="0" wp14:anchorId="20A3CA4C" wp14:editId="469495DC">
            <wp:extent cx="2544779" cy="727079"/>
            <wp:effectExtent l="0" t="0" r="0" b="0"/>
            <wp:docPr id="6" name="image2.png"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background with blue text&#10;&#10;Description automatically generated"/>
                    <pic:cNvPicPr preferRelativeResize="0"/>
                  </pic:nvPicPr>
                  <pic:blipFill>
                    <a:blip r:embed="rId8"/>
                    <a:srcRect/>
                    <a:stretch>
                      <a:fillRect/>
                    </a:stretch>
                  </pic:blipFill>
                  <pic:spPr>
                    <a:xfrm>
                      <a:off x="0" y="0"/>
                      <a:ext cx="2544779" cy="727079"/>
                    </a:xfrm>
                    <a:prstGeom prst="rect">
                      <a:avLst/>
                    </a:prstGeom>
                    <a:ln/>
                  </pic:spPr>
                </pic:pic>
              </a:graphicData>
            </a:graphic>
          </wp:inline>
        </w:drawing>
      </w:r>
    </w:p>
    <w:p w14:paraId="1E8BFBDF" w14:textId="77777777" w:rsidR="00D64E6A" w:rsidRDefault="00D64E6A" w:rsidP="00D64E6A">
      <w:pPr>
        <w:rPr>
          <w:lang w:val="de-AT"/>
        </w:rPr>
      </w:pPr>
    </w:p>
    <w:p w14:paraId="7B4A6F34" w14:textId="77777777" w:rsidR="00D64E6A" w:rsidRPr="007C3CD4" w:rsidRDefault="00D64E6A" w:rsidP="00D64E6A"/>
    <w:p w14:paraId="71990BE2" w14:textId="0398D625" w:rsidR="00D64E6A" w:rsidRPr="007C3CD4" w:rsidRDefault="00D64E6A" w:rsidP="00D64E6A">
      <w:pPr>
        <w:rPr>
          <w:rFonts w:asciiTheme="majorHAnsi" w:hAnsiTheme="majorHAnsi" w:cstheme="majorHAnsi"/>
        </w:rPr>
      </w:pPr>
      <w:r w:rsidRPr="007C3CD4">
        <w:rPr>
          <w:rFonts w:asciiTheme="majorHAnsi" w:hAnsiTheme="majorHAnsi" w:cstheme="majorHAnsi"/>
        </w:rPr>
        <w:t>Final</w:t>
      </w:r>
      <w:r w:rsidR="007C3CD4" w:rsidRPr="007C3CD4">
        <w:rPr>
          <w:rFonts w:asciiTheme="majorHAnsi" w:hAnsiTheme="majorHAnsi" w:cstheme="majorHAnsi"/>
        </w:rPr>
        <w:t>na</w:t>
      </w:r>
      <w:r w:rsidRPr="007C3CD4">
        <w:rPr>
          <w:rFonts w:asciiTheme="majorHAnsi" w:hAnsiTheme="majorHAnsi" w:cstheme="majorHAnsi"/>
        </w:rPr>
        <w:t xml:space="preserve"> </w:t>
      </w:r>
      <w:r w:rsidR="007C3CD4" w:rsidRPr="007C3CD4">
        <w:rPr>
          <w:rFonts w:asciiTheme="majorHAnsi" w:hAnsiTheme="majorHAnsi" w:cstheme="majorHAnsi"/>
        </w:rPr>
        <w:t>evaluacija</w:t>
      </w:r>
      <w:r w:rsidRPr="007C3CD4">
        <w:rPr>
          <w:rFonts w:asciiTheme="majorHAnsi" w:hAnsiTheme="majorHAnsi" w:cstheme="majorHAnsi"/>
        </w:rPr>
        <w:t xml:space="preserve"> </w:t>
      </w:r>
      <w:r w:rsidR="007C3CD4" w:rsidRPr="007C3CD4">
        <w:rPr>
          <w:rFonts w:asciiTheme="majorHAnsi" w:hAnsiTheme="majorHAnsi" w:cstheme="majorHAnsi"/>
        </w:rPr>
        <w:t>Nacionalnog programa zaštite potrošača</w:t>
      </w:r>
    </w:p>
    <w:p w14:paraId="1769CFD2" w14:textId="62979822" w:rsidR="00D64E6A" w:rsidRPr="007C3CD4" w:rsidRDefault="00D64E6A" w:rsidP="00D64E6A">
      <w:pPr>
        <w:rPr>
          <w:rFonts w:asciiTheme="majorHAnsi" w:hAnsiTheme="majorHAnsi" w:cstheme="majorHAnsi"/>
        </w:rPr>
      </w:pPr>
      <w:r w:rsidRPr="007C3CD4">
        <w:rPr>
          <w:rFonts w:asciiTheme="majorHAnsi" w:hAnsiTheme="majorHAnsi" w:cstheme="majorHAnsi"/>
        </w:rPr>
        <w:t xml:space="preserve">UNDP </w:t>
      </w:r>
      <w:r w:rsidR="007C3CD4" w:rsidRPr="007C3CD4">
        <w:rPr>
          <w:rFonts w:asciiTheme="majorHAnsi" w:hAnsiTheme="majorHAnsi" w:cstheme="majorHAnsi"/>
        </w:rPr>
        <w:t>Crna Gora</w:t>
      </w:r>
    </w:p>
    <w:p w14:paraId="5416EE7B" w14:textId="57EF8CA7" w:rsidR="00D64E6A" w:rsidRPr="007C3CD4" w:rsidRDefault="00D64E6A" w:rsidP="00D64E6A">
      <w:pPr>
        <w:rPr>
          <w:rFonts w:asciiTheme="majorHAnsi" w:hAnsiTheme="majorHAnsi" w:cstheme="majorHAnsi"/>
          <w:b/>
          <w:bCs/>
        </w:rPr>
      </w:pPr>
      <w:r w:rsidRPr="007C3CD4">
        <w:rPr>
          <w:rFonts w:asciiTheme="majorHAnsi" w:hAnsiTheme="majorHAnsi" w:cstheme="majorHAnsi"/>
          <w:b/>
          <w:bCs/>
        </w:rPr>
        <w:t xml:space="preserve">Reference </w:t>
      </w:r>
      <w:proofErr w:type="spellStart"/>
      <w:r w:rsidRPr="007C3CD4">
        <w:rPr>
          <w:rFonts w:asciiTheme="majorHAnsi" w:hAnsiTheme="majorHAnsi" w:cstheme="majorHAnsi"/>
          <w:b/>
          <w:bCs/>
        </w:rPr>
        <w:t>number</w:t>
      </w:r>
      <w:proofErr w:type="spellEnd"/>
      <w:r w:rsidRPr="007C3CD4">
        <w:rPr>
          <w:rFonts w:asciiTheme="majorHAnsi" w:hAnsiTheme="majorHAnsi" w:cstheme="majorHAnsi"/>
          <w:b/>
          <w:bCs/>
        </w:rPr>
        <w:t>: UNDP-MNE-00541</w:t>
      </w:r>
    </w:p>
    <w:p w14:paraId="54DC000F" w14:textId="026168A1" w:rsidR="006312B9" w:rsidRPr="007C3CD4" w:rsidRDefault="001941B4" w:rsidP="006312B9">
      <w:pPr>
        <w:pStyle w:val="Berichtsdatum"/>
        <w:rPr>
          <w:b/>
          <w:bCs/>
          <w:sz w:val="24"/>
          <w:lang w:val="sr-Latn-RS"/>
        </w:rPr>
      </w:pPr>
      <w:r w:rsidRPr="007C3CD4">
        <w:rPr>
          <w:b/>
          <w:bCs/>
          <w:sz w:val="24"/>
          <w:lang w:val="sr-Latn-RS"/>
        </w:rPr>
        <w:t>Final</w:t>
      </w:r>
      <w:r w:rsidR="007C3CD4" w:rsidRPr="007C3CD4">
        <w:rPr>
          <w:b/>
          <w:bCs/>
          <w:sz w:val="24"/>
          <w:lang w:val="sr-Latn-RS"/>
        </w:rPr>
        <w:t>ni</w:t>
      </w:r>
      <w:r w:rsidR="006312B9" w:rsidRPr="007C3CD4">
        <w:rPr>
          <w:b/>
          <w:bCs/>
          <w:sz w:val="24"/>
          <w:lang w:val="sr-Latn-RS"/>
        </w:rPr>
        <w:t xml:space="preserve"> </w:t>
      </w:r>
      <w:r w:rsidR="007C3CD4" w:rsidRPr="007C3CD4">
        <w:rPr>
          <w:b/>
          <w:bCs/>
          <w:sz w:val="24"/>
          <w:lang w:val="sr-Latn-RS"/>
        </w:rPr>
        <w:t>izveštaj</w:t>
      </w:r>
    </w:p>
    <w:p w14:paraId="63892120" w14:textId="4F14753F" w:rsidR="006312B9" w:rsidRPr="007C3CD4" w:rsidRDefault="00D64E6A" w:rsidP="006312B9">
      <w:pPr>
        <w:pStyle w:val="Berichtsdatum"/>
        <w:rPr>
          <w:lang w:val="sr-Latn-RS"/>
        </w:rPr>
      </w:pPr>
      <w:r w:rsidRPr="007C3CD4">
        <w:rPr>
          <w:lang w:val="sr-Latn-RS"/>
        </w:rPr>
        <w:t>Ma</w:t>
      </w:r>
      <w:r w:rsidR="007C3CD4" w:rsidRPr="007C3CD4">
        <w:rPr>
          <w:lang w:val="sr-Latn-RS"/>
        </w:rPr>
        <w:t>j</w:t>
      </w:r>
      <w:r w:rsidRPr="007C3CD4">
        <w:rPr>
          <w:lang w:val="sr-Latn-RS"/>
        </w:rPr>
        <w:t xml:space="preserve"> 2025</w:t>
      </w:r>
    </w:p>
    <w:p w14:paraId="6FA3FCAC" w14:textId="77777777" w:rsidR="00D64E6A" w:rsidRPr="007C3CD4" w:rsidRDefault="00D64E6A" w:rsidP="006312B9">
      <w:pPr>
        <w:pStyle w:val="Berichtsdatum"/>
        <w:rPr>
          <w:lang w:val="sr-Latn-RS"/>
        </w:rPr>
      </w:pPr>
    </w:p>
    <w:p w14:paraId="751DAABD" w14:textId="77777777" w:rsidR="00D64E6A" w:rsidRDefault="00D64E6A" w:rsidP="006312B9">
      <w:pPr>
        <w:pStyle w:val="Berichtsdatum"/>
      </w:pPr>
    </w:p>
    <w:p w14:paraId="499CBCDA" w14:textId="77777777" w:rsidR="00D64E6A" w:rsidRDefault="00D64E6A" w:rsidP="006312B9">
      <w:pPr>
        <w:pStyle w:val="Berichtsdatum"/>
      </w:pPr>
    </w:p>
    <w:p w14:paraId="052DE10E" w14:textId="77777777" w:rsidR="00D64E6A" w:rsidRDefault="00D64E6A" w:rsidP="006312B9">
      <w:pPr>
        <w:pStyle w:val="Berichtsdatum"/>
      </w:pPr>
    </w:p>
    <w:p w14:paraId="70C7CCAA" w14:textId="77777777" w:rsidR="00D64E6A" w:rsidRDefault="00D64E6A" w:rsidP="006312B9">
      <w:pPr>
        <w:pStyle w:val="Berichtsdatum"/>
      </w:pPr>
    </w:p>
    <w:p w14:paraId="6D1358C6" w14:textId="77777777" w:rsidR="00D64E6A" w:rsidRDefault="00D64E6A" w:rsidP="006312B9">
      <w:pPr>
        <w:pStyle w:val="Berichtsdatum"/>
      </w:pPr>
    </w:p>
    <w:p w14:paraId="6242A988" w14:textId="77777777" w:rsidR="00D64E6A" w:rsidRDefault="00D64E6A" w:rsidP="006312B9">
      <w:pPr>
        <w:pStyle w:val="Berichtsdatum"/>
      </w:pPr>
    </w:p>
    <w:p w14:paraId="5C2E1E37" w14:textId="77777777" w:rsidR="00D64E6A" w:rsidRDefault="00D64E6A" w:rsidP="006312B9">
      <w:pPr>
        <w:pStyle w:val="Berichtsdatum"/>
      </w:pPr>
    </w:p>
    <w:p w14:paraId="66389DCE" w14:textId="77777777" w:rsidR="00D64E6A" w:rsidRDefault="00D64E6A" w:rsidP="006312B9">
      <w:pPr>
        <w:pStyle w:val="Berichtsdatum"/>
      </w:pPr>
    </w:p>
    <w:p w14:paraId="2D88E3E9" w14:textId="77777777" w:rsidR="00D64E6A" w:rsidRDefault="00D64E6A" w:rsidP="006312B9">
      <w:pPr>
        <w:pStyle w:val="Berichtsdatum"/>
      </w:pPr>
    </w:p>
    <w:p w14:paraId="3E77E32B" w14:textId="77777777" w:rsidR="00D64E6A" w:rsidRDefault="00D64E6A" w:rsidP="006312B9">
      <w:pPr>
        <w:pStyle w:val="Berichtsdatum"/>
      </w:pPr>
    </w:p>
    <w:p w14:paraId="3AE6AFEF" w14:textId="77777777" w:rsidR="00D64E6A" w:rsidRDefault="00D64E6A" w:rsidP="006312B9">
      <w:pPr>
        <w:pStyle w:val="Berichtsdatum"/>
      </w:pPr>
    </w:p>
    <w:p w14:paraId="556AE888" w14:textId="77777777" w:rsidR="00D64E6A" w:rsidRDefault="00D64E6A" w:rsidP="006312B9">
      <w:pPr>
        <w:pStyle w:val="Berichtsdatum"/>
      </w:pPr>
    </w:p>
    <w:p w14:paraId="7BBE1292" w14:textId="77777777" w:rsidR="00D64E6A" w:rsidRDefault="00D64E6A" w:rsidP="006312B9">
      <w:pPr>
        <w:pStyle w:val="Berichtsdatum"/>
      </w:pPr>
    </w:p>
    <w:p w14:paraId="0EC1FA3F" w14:textId="77777777" w:rsidR="00D64E6A" w:rsidRDefault="00D64E6A" w:rsidP="006312B9">
      <w:pPr>
        <w:pStyle w:val="Berichtsdatum"/>
      </w:pPr>
    </w:p>
    <w:p w14:paraId="100C208D" w14:textId="77777777" w:rsidR="00D64E6A" w:rsidRDefault="00D64E6A" w:rsidP="006312B9">
      <w:pPr>
        <w:pStyle w:val="Berichtsdatum"/>
      </w:pPr>
    </w:p>
    <w:p w14:paraId="6ADD93E0" w14:textId="77777777" w:rsidR="00D64E6A" w:rsidRDefault="00D64E6A" w:rsidP="006312B9">
      <w:pPr>
        <w:pStyle w:val="Berichtsdatum"/>
      </w:pPr>
    </w:p>
    <w:p w14:paraId="0D4FCBBF" w14:textId="77777777" w:rsidR="00D64E6A" w:rsidRPr="00401B85" w:rsidRDefault="00D64E6A" w:rsidP="006312B9">
      <w:pPr>
        <w:pStyle w:val="Berichtsdatum"/>
      </w:pPr>
    </w:p>
    <w:p w14:paraId="7CE387C0" w14:textId="7C1D6188" w:rsidR="00C43234" w:rsidRPr="00C43C63" w:rsidRDefault="00146F9D" w:rsidP="00C43234">
      <w:pPr>
        <w:rPr>
          <w:rFonts w:ascii="Arial" w:hAnsi="Arial" w:cs="Arial"/>
          <w:b/>
          <w:bCs/>
          <w:i/>
          <w:iCs/>
          <w:szCs w:val="18"/>
        </w:rPr>
      </w:pPr>
      <w:r w:rsidRPr="00C43C63">
        <w:rPr>
          <w:rFonts w:ascii="Arial" w:hAnsi="Arial" w:cs="Arial"/>
          <w:b/>
          <w:bCs/>
          <w:i/>
          <w:iCs/>
          <w:szCs w:val="18"/>
        </w:rPr>
        <w:lastRenderedPageBreak/>
        <w:t>Sadržaj</w:t>
      </w:r>
    </w:p>
    <w:sdt>
      <w:sdtPr>
        <w:id w:val="-732537161"/>
        <w:docPartObj>
          <w:docPartGallery w:val="Table of Contents"/>
          <w:docPartUnique/>
        </w:docPartObj>
      </w:sdtPr>
      <w:sdtEndPr>
        <w:rPr>
          <w:b/>
          <w:bCs/>
          <w:noProof/>
        </w:rPr>
      </w:sdtEndPr>
      <w:sdtContent>
        <w:p w14:paraId="6F74BE7C" w14:textId="5509A626" w:rsidR="00146F9D" w:rsidRDefault="005D578D">
          <w:pPr>
            <w:pStyle w:val="TOC1"/>
            <w:tabs>
              <w:tab w:val="right" w:leader="dot" w:pos="9062"/>
            </w:tabs>
            <w:rPr>
              <w:rFonts w:eastAsiaTheme="minorEastAsia"/>
              <w:noProof/>
              <w:kern w:val="2"/>
              <w:sz w:val="24"/>
              <w:szCs w:val="24"/>
              <w:lang w:val="en-RS" w:eastAsia="en-GB"/>
              <w14:ligatures w14:val="standardContextual"/>
            </w:rPr>
          </w:pPr>
          <w:r>
            <w:fldChar w:fldCharType="begin"/>
          </w:r>
          <w:r>
            <w:instrText xml:space="preserve"> TOC \o "1-3" \h \z \u </w:instrText>
          </w:r>
          <w:r>
            <w:fldChar w:fldCharType="separate"/>
          </w:r>
          <w:hyperlink w:anchor="_Toc199479344" w:history="1">
            <w:r w:rsidR="00146F9D" w:rsidRPr="00C814AB">
              <w:rPr>
                <w:rStyle w:val="Hyperlink"/>
                <w:rFonts w:ascii="Arial" w:hAnsi="Arial"/>
                <w:b/>
                <w:bCs/>
                <w:i/>
                <w:iCs/>
                <w:noProof/>
              </w:rPr>
              <w:t>Rezime</w:t>
            </w:r>
            <w:r w:rsidR="00146F9D">
              <w:rPr>
                <w:noProof/>
                <w:webHidden/>
              </w:rPr>
              <w:tab/>
            </w:r>
            <w:r w:rsidR="00146F9D">
              <w:rPr>
                <w:noProof/>
                <w:webHidden/>
              </w:rPr>
              <w:fldChar w:fldCharType="begin"/>
            </w:r>
            <w:r w:rsidR="00146F9D">
              <w:rPr>
                <w:noProof/>
                <w:webHidden/>
              </w:rPr>
              <w:instrText xml:space="preserve"> PAGEREF _Toc199479344 \h </w:instrText>
            </w:r>
            <w:r w:rsidR="00146F9D">
              <w:rPr>
                <w:noProof/>
                <w:webHidden/>
              </w:rPr>
            </w:r>
            <w:r w:rsidR="00146F9D">
              <w:rPr>
                <w:noProof/>
                <w:webHidden/>
              </w:rPr>
              <w:fldChar w:fldCharType="separate"/>
            </w:r>
            <w:r w:rsidR="00C43C63">
              <w:rPr>
                <w:noProof/>
                <w:webHidden/>
              </w:rPr>
              <w:t>4</w:t>
            </w:r>
            <w:r w:rsidR="00146F9D">
              <w:rPr>
                <w:noProof/>
                <w:webHidden/>
              </w:rPr>
              <w:fldChar w:fldCharType="end"/>
            </w:r>
          </w:hyperlink>
        </w:p>
        <w:p w14:paraId="6CBC8538" w14:textId="182449F2" w:rsidR="00146F9D" w:rsidRDefault="00000000">
          <w:pPr>
            <w:pStyle w:val="TOC1"/>
            <w:tabs>
              <w:tab w:val="left" w:pos="440"/>
              <w:tab w:val="right" w:leader="dot" w:pos="9062"/>
            </w:tabs>
            <w:rPr>
              <w:rFonts w:eastAsiaTheme="minorEastAsia"/>
              <w:noProof/>
              <w:kern w:val="2"/>
              <w:sz w:val="24"/>
              <w:szCs w:val="24"/>
              <w:lang w:val="en-RS" w:eastAsia="en-GB"/>
              <w14:ligatures w14:val="standardContextual"/>
            </w:rPr>
          </w:pPr>
          <w:hyperlink w:anchor="_Toc199479345" w:history="1">
            <w:r w:rsidR="00146F9D" w:rsidRPr="00C814AB">
              <w:rPr>
                <w:rStyle w:val="Hyperlink"/>
                <w:rFonts w:ascii="Arial" w:hAnsi="Arial"/>
                <w:b/>
                <w:bCs/>
                <w:i/>
                <w:iCs/>
                <w:noProof/>
              </w:rPr>
              <w:t>1.</w:t>
            </w:r>
            <w:r w:rsidR="00146F9D">
              <w:rPr>
                <w:rFonts w:eastAsiaTheme="minorEastAsia"/>
                <w:noProof/>
                <w:kern w:val="2"/>
                <w:sz w:val="24"/>
                <w:szCs w:val="24"/>
                <w:lang w:val="en-RS" w:eastAsia="en-GB"/>
                <w14:ligatures w14:val="standardContextual"/>
              </w:rPr>
              <w:tab/>
            </w:r>
            <w:r w:rsidR="00146F9D" w:rsidRPr="00C814AB">
              <w:rPr>
                <w:rStyle w:val="Hyperlink"/>
                <w:rFonts w:ascii="Arial" w:hAnsi="Arial"/>
                <w:b/>
                <w:bCs/>
                <w:i/>
                <w:iCs/>
                <w:noProof/>
              </w:rPr>
              <w:t>Uvod</w:t>
            </w:r>
            <w:r w:rsidR="00146F9D">
              <w:rPr>
                <w:noProof/>
                <w:webHidden/>
              </w:rPr>
              <w:tab/>
            </w:r>
            <w:r w:rsidR="00146F9D">
              <w:rPr>
                <w:noProof/>
                <w:webHidden/>
              </w:rPr>
              <w:fldChar w:fldCharType="begin"/>
            </w:r>
            <w:r w:rsidR="00146F9D">
              <w:rPr>
                <w:noProof/>
                <w:webHidden/>
              </w:rPr>
              <w:instrText xml:space="preserve"> PAGEREF _Toc199479345 \h </w:instrText>
            </w:r>
            <w:r w:rsidR="00146F9D">
              <w:rPr>
                <w:noProof/>
                <w:webHidden/>
              </w:rPr>
            </w:r>
            <w:r w:rsidR="00146F9D">
              <w:rPr>
                <w:noProof/>
                <w:webHidden/>
              </w:rPr>
              <w:fldChar w:fldCharType="separate"/>
            </w:r>
            <w:r w:rsidR="00C43C63">
              <w:rPr>
                <w:noProof/>
                <w:webHidden/>
              </w:rPr>
              <w:t>9</w:t>
            </w:r>
            <w:r w:rsidR="00146F9D">
              <w:rPr>
                <w:noProof/>
                <w:webHidden/>
              </w:rPr>
              <w:fldChar w:fldCharType="end"/>
            </w:r>
          </w:hyperlink>
        </w:p>
        <w:p w14:paraId="174F9E05" w14:textId="5EF95427" w:rsidR="00146F9D" w:rsidRDefault="00000000">
          <w:pPr>
            <w:pStyle w:val="TOC2"/>
            <w:tabs>
              <w:tab w:val="left" w:pos="960"/>
              <w:tab w:val="right" w:leader="dot" w:pos="9062"/>
            </w:tabs>
            <w:rPr>
              <w:rFonts w:eastAsiaTheme="minorEastAsia"/>
              <w:noProof/>
              <w:kern w:val="2"/>
              <w:sz w:val="24"/>
              <w:szCs w:val="24"/>
              <w:lang w:val="en-RS" w:eastAsia="en-GB"/>
              <w14:ligatures w14:val="standardContextual"/>
            </w:rPr>
          </w:pPr>
          <w:hyperlink w:anchor="_Toc199479346" w:history="1">
            <w:r w:rsidR="00146F9D" w:rsidRPr="00C814AB">
              <w:rPr>
                <w:rStyle w:val="Hyperlink"/>
                <w:rFonts w:ascii="Arial" w:hAnsi="Arial" w:cs="Arial"/>
                <w:b/>
                <w:bCs/>
                <w:i/>
                <w:iCs/>
                <w:noProof/>
              </w:rPr>
              <w:t>1.1</w:t>
            </w:r>
            <w:r w:rsidR="00146F9D">
              <w:rPr>
                <w:rFonts w:eastAsiaTheme="minorEastAsia"/>
                <w:noProof/>
                <w:kern w:val="2"/>
                <w:sz w:val="24"/>
                <w:szCs w:val="24"/>
                <w:lang w:val="en-RS" w:eastAsia="en-GB"/>
                <w14:ligatures w14:val="standardContextual"/>
              </w:rPr>
              <w:tab/>
            </w:r>
            <w:r w:rsidR="00146F9D" w:rsidRPr="00C814AB">
              <w:rPr>
                <w:rStyle w:val="Hyperlink"/>
                <w:rFonts w:ascii="Arial" w:hAnsi="Arial" w:cs="Arial"/>
                <w:b/>
                <w:bCs/>
                <w:i/>
                <w:iCs/>
                <w:noProof/>
              </w:rPr>
              <w:t>Osnovna razmatranja</w:t>
            </w:r>
            <w:r w:rsidR="00146F9D">
              <w:rPr>
                <w:noProof/>
                <w:webHidden/>
              </w:rPr>
              <w:tab/>
            </w:r>
            <w:r w:rsidR="00146F9D">
              <w:rPr>
                <w:noProof/>
                <w:webHidden/>
              </w:rPr>
              <w:fldChar w:fldCharType="begin"/>
            </w:r>
            <w:r w:rsidR="00146F9D">
              <w:rPr>
                <w:noProof/>
                <w:webHidden/>
              </w:rPr>
              <w:instrText xml:space="preserve"> PAGEREF _Toc199479346 \h </w:instrText>
            </w:r>
            <w:r w:rsidR="00146F9D">
              <w:rPr>
                <w:noProof/>
                <w:webHidden/>
              </w:rPr>
            </w:r>
            <w:r w:rsidR="00146F9D">
              <w:rPr>
                <w:noProof/>
                <w:webHidden/>
              </w:rPr>
              <w:fldChar w:fldCharType="separate"/>
            </w:r>
            <w:r w:rsidR="00C43C63">
              <w:rPr>
                <w:noProof/>
                <w:webHidden/>
              </w:rPr>
              <w:t>9</w:t>
            </w:r>
            <w:r w:rsidR="00146F9D">
              <w:rPr>
                <w:noProof/>
                <w:webHidden/>
              </w:rPr>
              <w:fldChar w:fldCharType="end"/>
            </w:r>
          </w:hyperlink>
        </w:p>
        <w:p w14:paraId="646DF636" w14:textId="51687463" w:rsidR="00146F9D" w:rsidRDefault="00000000">
          <w:pPr>
            <w:pStyle w:val="TOC2"/>
            <w:tabs>
              <w:tab w:val="left" w:pos="960"/>
              <w:tab w:val="right" w:leader="dot" w:pos="9062"/>
            </w:tabs>
            <w:rPr>
              <w:rFonts w:eastAsiaTheme="minorEastAsia"/>
              <w:noProof/>
              <w:kern w:val="2"/>
              <w:sz w:val="24"/>
              <w:szCs w:val="24"/>
              <w:lang w:val="en-RS" w:eastAsia="en-GB"/>
              <w14:ligatures w14:val="standardContextual"/>
            </w:rPr>
          </w:pPr>
          <w:hyperlink w:anchor="_Toc199479347" w:history="1">
            <w:r w:rsidR="00146F9D" w:rsidRPr="00C814AB">
              <w:rPr>
                <w:rStyle w:val="Hyperlink"/>
                <w:rFonts w:ascii="Arial" w:hAnsi="Arial" w:cs="Arial"/>
                <w:b/>
                <w:bCs/>
                <w:i/>
                <w:iCs/>
                <w:noProof/>
              </w:rPr>
              <w:t>1.2</w:t>
            </w:r>
            <w:r w:rsidR="00146F9D">
              <w:rPr>
                <w:rFonts w:eastAsiaTheme="minorEastAsia"/>
                <w:noProof/>
                <w:kern w:val="2"/>
                <w:sz w:val="24"/>
                <w:szCs w:val="24"/>
                <w:lang w:val="en-RS" w:eastAsia="en-GB"/>
                <w14:ligatures w14:val="standardContextual"/>
              </w:rPr>
              <w:tab/>
            </w:r>
            <w:r w:rsidR="00146F9D" w:rsidRPr="00C814AB">
              <w:rPr>
                <w:rStyle w:val="Hyperlink"/>
                <w:rFonts w:ascii="Arial" w:hAnsi="Arial" w:cs="Arial"/>
                <w:b/>
                <w:bCs/>
                <w:i/>
                <w:iCs/>
                <w:noProof/>
              </w:rPr>
              <w:t>Svrha i opseg FE</w:t>
            </w:r>
            <w:r w:rsidR="00146F9D">
              <w:rPr>
                <w:noProof/>
                <w:webHidden/>
              </w:rPr>
              <w:tab/>
            </w:r>
            <w:r w:rsidR="00146F9D">
              <w:rPr>
                <w:noProof/>
                <w:webHidden/>
              </w:rPr>
              <w:fldChar w:fldCharType="begin"/>
            </w:r>
            <w:r w:rsidR="00146F9D">
              <w:rPr>
                <w:noProof/>
                <w:webHidden/>
              </w:rPr>
              <w:instrText xml:space="preserve"> PAGEREF _Toc199479347 \h </w:instrText>
            </w:r>
            <w:r w:rsidR="00146F9D">
              <w:rPr>
                <w:noProof/>
                <w:webHidden/>
              </w:rPr>
            </w:r>
            <w:r w:rsidR="00146F9D">
              <w:rPr>
                <w:noProof/>
                <w:webHidden/>
              </w:rPr>
              <w:fldChar w:fldCharType="separate"/>
            </w:r>
            <w:r w:rsidR="00C43C63">
              <w:rPr>
                <w:noProof/>
                <w:webHidden/>
              </w:rPr>
              <w:t>10</w:t>
            </w:r>
            <w:r w:rsidR="00146F9D">
              <w:rPr>
                <w:noProof/>
                <w:webHidden/>
              </w:rPr>
              <w:fldChar w:fldCharType="end"/>
            </w:r>
          </w:hyperlink>
        </w:p>
        <w:p w14:paraId="698B71FF" w14:textId="05A056B3" w:rsidR="00146F9D" w:rsidRDefault="00000000">
          <w:pPr>
            <w:pStyle w:val="TOC1"/>
            <w:tabs>
              <w:tab w:val="left" w:pos="440"/>
              <w:tab w:val="right" w:leader="dot" w:pos="9062"/>
            </w:tabs>
            <w:rPr>
              <w:rFonts w:eastAsiaTheme="minorEastAsia"/>
              <w:noProof/>
              <w:kern w:val="2"/>
              <w:sz w:val="24"/>
              <w:szCs w:val="24"/>
              <w:lang w:val="en-RS" w:eastAsia="en-GB"/>
              <w14:ligatures w14:val="standardContextual"/>
            </w:rPr>
          </w:pPr>
          <w:hyperlink w:anchor="_Toc199479348" w:history="1">
            <w:r w:rsidR="00146F9D" w:rsidRPr="00C814AB">
              <w:rPr>
                <w:rStyle w:val="Hyperlink"/>
                <w:rFonts w:ascii="Arial" w:hAnsi="Arial"/>
                <w:b/>
                <w:bCs/>
                <w:i/>
                <w:iCs/>
                <w:noProof/>
              </w:rPr>
              <w:t>2.</w:t>
            </w:r>
            <w:r w:rsidR="00146F9D">
              <w:rPr>
                <w:rFonts w:eastAsiaTheme="minorEastAsia"/>
                <w:noProof/>
                <w:kern w:val="2"/>
                <w:sz w:val="24"/>
                <w:szCs w:val="24"/>
                <w:lang w:val="en-RS" w:eastAsia="en-GB"/>
                <w14:ligatures w14:val="standardContextual"/>
              </w:rPr>
              <w:tab/>
            </w:r>
            <w:r w:rsidR="00146F9D" w:rsidRPr="00C814AB">
              <w:rPr>
                <w:rStyle w:val="Hyperlink"/>
                <w:rFonts w:ascii="Arial" w:hAnsi="Arial"/>
                <w:b/>
                <w:bCs/>
                <w:i/>
                <w:iCs/>
                <w:noProof/>
              </w:rPr>
              <w:t>Metodološki pristup</w:t>
            </w:r>
            <w:r w:rsidR="00146F9D">
              <w:rPr>
                <w:noProof/>
                <w:webHidden/>
              </w:rPr>
              <w:tab/>
            </w:r>
            <w:r w:rsidR="00146F9D">
              <w:rPr>
                <w:noProof/>
                <w:webHidden/>
              </w:rPr>
              <w:fldChar w:fldCharType="begin"/>
            </w:r>
            <w:r w:rsidR="00146F9D">
              <w:rPr>
                <w:noProof/>
                <w:webHidden/>
              </w:rPr>
              <w:instrText xml:space="preserve"> PAGEREF _Toc199479348 \h </w:instrText>
            </w:r>
            <w:r w:rsidR="00146F9D">
              <w:rPr>
                <w:noProof/>
                <w:webHidden/>
              </w:rPr>
            </w:r>
            <w:r w:rsidR="00146F9D">
              <w:rPr>
                <w:noProof/>
                <w:webHidden/>
              </w:rPr>
              <w:fldChar w:fldCharType="separate"/>
            </w:r>
            <w:r w:rsidR="00C43C63">
              <w:rPr>
                <w:noProof/>
                <w:webHidden/>
              </w:rPr>
              <w:t>11</w:t>
            </w:r>
            <w:r w:rsidR="00146F9D">
              <w:rPr>
                <w:noProof/>
                <w:webHidden/>
              </w:rPr>
              <w:fldChar w:fldCharType="end"/>
            </w:r>
          </w:hyperlink>
        </w:p>
        <w:p w14:paraId="25A1318F" w14:textId="12CD6A62" w:rsidR="00146F9D" w:rsidRDefault="00000000">
          <w:pPr>
            <w:pStyle w:val="TOC2"/>
            <w:tabs>
              <w:tab w:val="left" w:pos="960"/>
              <w:tab w:val="right" w:leader="dot" w:pos="9062"/>
            </w:tabs>
            <w:rPr>
              <w:rFonts w:eastAsiaTheme="minorEastAsia"/>
              <w:noProof/>
              <w:kern w:val="2"/>
              <w:sz w:val="24"/>
              <w:szCs w:val="24"/>
              <w:lang w:val="en-RS" w:eastAsia="en-GB"/>
              <w14:ligatures w14:val="standardContextual"/>
            </w:rPr>
          </w:pPr>
          <w:hyperlink w:anchor="_Toc199479349" w:history="1">
            <w:r w:rsidR="00146F9D" w:rsidRPr="00C814AB">
              <w:rPr>
                <w:rStyle w:val="Hyperlink"/>
                <w:rFonts w:ascii="Arial" w:hAnsi="Arial" w:cs="Arial"/>
                <w:b/>
                <w:bCs/>
                <w:i/>
                <w:iCs/>
                <w:noProof/>
              </w:rPr>
              <w:t>2.1</w:t>
            </w:r>
            <w:r w:rsidR="00146F9D">
              <w:rPr>
                <w:rFonts w:eastAsiaTheme="minorEastAsia"/>
                <w:noProof/>
                <w:kern w:val="2"/>
                <w:sz w:val="24"/>
                <w:szCs w:val="24"/>
                <w:lang w:val="en-RS" w:eastAsia="en-GB"/>
                <w14:ligatures w14:val="standardContextual"/>
              </w:rPr>
              <w:tab/>
            </w:r>
            <w:r w:rsidR="00146F9D" w:rsidRPr="00C814AB">
              <w:rPr>
                <w:rStyle w:val="Hyperlink"/>
                <w:rFonts w:ascii="Arial" w:hAnsi="Arial" w:cs="Arial"/>
                <w:b/>
                <w:bCs/>
                <w:i/>
                <w:iCs/>
                <w:noProof/>
              </w:rPr>
              <w:t>Pitanja za evaluaciju</w:t>
            </w:r>
            <w:r w:rsidR="00146F9D">
              <w:rPr>
                <w:noProof/>
                <w:webHidden/>
              </w:rPr>
              <w:tab/>
            </w:r>
            <w:r w:rsidR="00146F9D">
              <w:rPr>
                <w:noProof/>
                <w:webHidden/>
              </w:rPr>
              <w:fldChar w:fldCharType="begin"/>
            </w:r>
            <w:r w:rsidR="00146F9D">
              <w:rPr>
                <w:noProof/>
                <w:webHidden/>
              </w:rPr>
              <w:instrText xml:space="preserve"> PAGEREF _Toc199479349 \h </w:instrText>
            </w:r>
            <w:r w:rsidR="00146F9D">
              <w:rPr>
                <w:noProof/>
                <w:webHidden/>
              </w:rPr>
            </w:r>
            <w:r w:rsidR="00146F9D">
              <w:rPr>
                <w:noProof/>
                <w:webHidden/>
              </w:rPr>
              <w:fldChar w:fldCharType="separate"/>
            </w:r>
            <w:r w:rsidR="00C43C63">
              <w:rPr>
                <w:noProof/>
                <w:webHidden/>
              </w:rPr>
              <w:t>15</w:t>
            </w:r>
            <w:r w:rsidR="00146F9D">
              <w:rPr>
                <w:noProof/>
                <w:webHidden/>
              </w:rPr>
              <w:fldChar w:fldCharType="end"/>
            </w:r>
          </w:hyperlink>
        </w:p>
        <w:p w14:paraId="33F70055" w14:textId="3128DEB0" w:rsidR="00146F9D" w:rsidRDefault="00000000">
          <w:pPr>
            <w:pStyle w:val="TOC2"/>
            <w:tabs>
              <w:tab w:val="left" w:pos="960"/>
              <w:tab w:val="right" w:leader="dot" w:pos="9062"/>
            </w:tabs>
            <w:rPr>
              <w:rFonts w:eastAsiaTheme="minorEastAsia"/>
              <w:noProof/>
              <w:kern w:val="2"/>
              <w:sz w:val="24"/>
              <w:szCs w:val="24"/>
              <w:lang w:val="en-RS" w:eastAsia="en-GB"/>
              <w14:ligatures w14:val="standardContextual"/>
            </w:rPr>
          </w:pPr>
          <w:hyperlink w:anchor="_Toc199479350" w:history="1">
            <w:r w:rsidR="00146F9D" w:rsidRPr="00C814AB">
              <w:rPr>
                <w:rStyle w:val="Hyperlink"/>
                <w:rFonts w:ascii="Arial" w:hAnsi="Arial" w:cs="Arial"/>
                <w:b/>
                <w:bCs/>
                <w:i/>
                <w:iCs/>
                <w:noProof/>
              </w:rPr>
              <w:t>2.2</w:t>
            </w:r>
            <w:r w:rsidR="00146F9D">
              <w:rPr>
                <w:rFonts w:eastAsiaTheme="minorEastAsia"/>
                <w:noProof/>
                <w:kern w:val="2"/>
                <w:sz w:val="24"/>
                <w:szCs w:val="24"/>
                <w:lang w:val="en-RS" w:eastAsia="en-GB"/>
                <w14:ligatures w14:val="standardContextual"/>
              </w:rPr>
              <w:tab/>
            </w:r>
            <w:r w:rsidR="00146F9D" w:rsidRPr="00C814AB">
              <w:rPr>
                <w:rStyle w:val="Hyperlink"/>
                <w:rFonts w:ascii="Arial" w:hAnsi="Arial" w:cs="Arial"/>
                <w:b/>
                <w:bCs/>
                <w:i/>
                <w:iCs/>
                <w:noProof/>
              </w:rPr>
              <w:t>Matrica evaluacije</w:t>
            </w:r>
            <w:r w:rsidR="00146F9D">
              <w:rPr>
                <w:noProof/>
                <w:webHidden/>
              </w:rPr>
              <w:tab/>
            </w:r>
            <w:r w:rsidR="00146F9D">
              <w:rPr>
                <w:noProof/>
                <w:webHidden/>
              </w:rPr>
              <w:fldChar w:fldCharType="begin"/>
            </w:r>
            <w:r w:rsidR="00146F9D">
              <w:rPr>
                <w:noProof/>
                <w:webHidden/>
              </w:rPr>
              <w:instrText xml:space="preserve"> PAGEREF _Toc199479350 \h </w:instrText>
            </w:r>
            <w:r w:rsidR="00146F9D">
              <w:rPr>
                <w:noProof/>
                <w:webHidden/>
              </w:rPr>
            </w:r>
            <w:r w:rsidR="00146F9D">
              <w:rPr>
                <w:noProof/>
                <w:webHidden/>
              </w:rPr>
              <w:fldChar w:fldCharType="separate"/>
            </w:r>
            <w:r w:rsidR="00C43C63">
              <w:rPr>
                <w:noProof/>
                <w:webHidden/>
              </w:rPr>
              <w:t>16</w:t>
            </w:r>
            <w:r w:rsidR="00146F9D">
              <w:rPr>
                <w:noProof/>
                <w:webHidden/>
              </w:rPr>
              <w:fldChar w:fldCharType="end"/>
            </w:r>
          </w:hyperlink>
        </w:p>
        <w:p w14:paraId="25D49E5D" w14:textId="02A5D682"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51" w:history="1">
            <w:r w:rsidR="00146F9D" w:rsidRPr="00C814AB">
              <w:rPr>
                <w:rStyle w:val="Hyperlink"/>
                <w:rFonts w:ascii="Arial" w:hAnsi="Arial" w:cs="Arial"/>
                <w:b/>
                <w:bCs/>
                <w:noProof/>
              </w:rPr>
              <w:t>Relevantnost</w:t>
            </w:r>
            <w:r w:rsidR="00146F9D">
              <w:rPr>
                <w:noProof/>
                <w:webHidden/>
              </w:rPr>
              <w:tab/>
            </w:r>
            <w:r w:rsidR="00146F9D">
              <w:rPr>
                <w:noProof/>
                <w:webHidden/>
              </w:rPr>
              <w:fldChar w:fldCharType="begin"/>
            </w:r>
            <w:r w:rsidR="00146F9D">
              <w:rPr>
                <w:noProof/>
                <w:webHidden/>
              </w:rPr>
              <w:instrText xml:space="preserve"> PAGEREF _Toc199479351 \h </w:instrText>
            </w:r>
            <w:r w:rsidR="00146F9D">
              <w:rPr>
                <w:noProof/>
                <w:webHidden/>
              </w:rPr>
            </w:r>
            <w:r w:rsidR="00146F9D">
              <w:rPr>
                <w:noProof/>
                <w:webHidden/>
              </w:rPr>
              <w:fldChar w:fldCharType="separate"/>
            </w:r>
            <w:r w:rsidR="00C43C63">
              <w:rPr>
                <w:noProof/>
                <w:webHidden/>
              </w:rPr>
              <w:t>18</w:t>
            </w:r>
            <w:r w:rsidR="00146F9D">
              <w:rPr>
                <w:noProof/>
                <w:webHidden/>
              </w:rPr>
              <w:fldChar w:fldCharType="end"/>
            </w:r>
          </w:hyperlink>
        </w:p>
        <w:p w14:paraId="68CC1552" w14:textId="127F32A4"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52" w:history="1">
            <w:r w:rsidR="00146F9D" w:rsidRPr="00C814AB">
              <w:rPr>
                <w:rStyle w:val="Hyperlink"/>
                <w:rFonts w:ascii="Arial" w:hAnsi="Arial" w:cs="Arial"/>
                <w:b/>
                <w:bCs/>
                <w:noProof/>
                <w:lang w:val="en-GB"/>
              </w:rPr>
              <w:t>Efektivnost</w:t>
            </w:r>
            <w:r w:rsidR="00146F9D">
              <w:rPr>
                <w:noProof/>
                <w:webHidden/>
              </w:rPr>
              <w:tab/>
            </w:r>
            <w:r w:rsidR="00146F9D">
              <w:rPr>
                <w:noProof/>
                <w:webHidden/>
              </w:rPr>
              <w:fldChar w:fldCharType="begin"/>
            </w:r>
            <w:r w:rsidR="00146F9D">
              <w:rPr>
                <w:noProof/>
                <w:webHidden/>
              </w:rPr>
              <w:instrText xml:space="preserve"> PAGEREF _Toc199479352 \h </w:instrText>
            </w:r>
            <w:r w:rsidR="00146F9D">
              <w:rPr>
                <w:noProof/>
                <w:webHidden/>
              </w:rPr>
            </w:r>
            <w:r w:rsidR="00146F9D">
              <w:rPr>
                <w:noProof/>
                <w:webHidden/>
              </w:rPr>
              <w:fldChar w:fldCharType="separate"/>
            </w:r>
            <w:r w:rsidR="00C43C63">
              <w:rPr>
                <w:noProof/>
                <w:webHidden/>
              </w:rPr>
              <w:t>20</w:t>
            </w:r>
            <w:r w:rsidR="00146F9D">
              <w:rPr>
                <w:noProof/>
                <w:webHidden/>
              </w:rPr>
              <w:fldChar w:fldCharType="end"/>
            </w:r>
          </w:hyperlink>
        </w:p>
        <w:p w14:paraId="785AEC30" w14:textId="26E9669C"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53" w:history="1">
            <w:r w:rsidR="00146F9D" w:rsidRPr="00C814AB">
              <w:rPr>
                <w:rStyle w:val="Hyperlink"/>
                <w:rFonts w:ascii="Arial" w:hAnsi="Arial" w:cs="Arial"/>
                <w:b/>
                <w:bCs/>
                <w:noProof/>
              </w:rPr>
              <w:t>Rezultati</w:t>
            </w:r>
            <w:r w:rsidR="00146F9D">
              <w:rPr>
                <w:noProof/>
                <w:webHidden/>
              </w:rPr>
              <w:tab/>
            </w:r>
            <w:r w:rsidR="00146F9D">
              <w:rPr>
                <w:noProof/>
                <w:webHidden/>
              </w:rPr>
              <w:fldChar w:fldCharType="begin"/>
            </w:r>
            <w:r w:rsidR="00146F9D">
              <w:rPr>
                <w:noProof/>
                <w:webHidden/>
              </w:rPr>
              <w:instrText xml:space="preserve"> PAGEREF _Toc199479353 \h </w:instrText>
            </w:r>
            <w:r w:rsidR="00146F9D">
              <w:rPr>
                <w:noProof/>
                <w:webHidden/>
              </w:rPr>
            </w:r>
            <w:r w:rsidR="00146F9D">
              <w:rPr>
                <w:noProof/>
                <w:webHidden/>
              </w:rPr>
              <w:fldChar w:fldCharType="separate"/>
            </w:r>
            <w:r w:rsidR="00C43C63">
              <w:rPr>
                <w:noProof/>
                <w:webHidden/>
              </w:rPr>
              <w:t>23</w:t>
            </w:r>
            <w:r w:rsidR="00146F9D">
              <w:rPr>
                <w:noProof/>
                <w:webHidden/>
              </w:rPr>
              <w:fldChar w:fldCharType="end"/>
            </w:r>
          </w:hyperlink>
        </w:p>
        <w:p w14:paraId="5323E1E0" w14:textId="6354C62D"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54" w:history="1">
            <w:r w:rsidR="00146F9D" w:rsidRPr="00C814AB">
              <w:rPr>
                <w:rStyle w:val="Hyperlink"/>
                <w:rFonts w:ascii="Arial" w:hAnsi="Arial"/>
                <w:b/>
                <w:bCs/>
                <w:noProof/>
              </w:rPr>
              <w:t>Efikasnost</w:t>
            </w:r>
            <w:r w:rsidR="00146F9D">
              <w:rPr>
                <w:noProof/>
                <w:webHidden/>
              </w:rPr>
              <w:tab/>
            </w:r>
            <w:r w:rsidR="00146F9D">
              <w:rPr>
                <w:noProof/>
                <w:webHidden/>
              </w:rPr>
              <w:fldChar w:fldCharType="begin"/>
            </w:r>
            <w:r w:rsidR="00146F9D">
              <w:rPr>
                <w:noProof/>
                <w:webHidden/>
              </w:rPr>
              <w:instrText xml:space="preserve"> PAGEREF _Toc199479354 \h </w:instrText>
            </w:r>
            <w:r w:rsidR="00146F9D">
              <w:rPr>
                <w:noProof/>
                <w:webHidden/>
              </w:rPr>
            </w:r>
            <w:r w:rsidR="00146F9D">
              <w:rPr>
                <w:noProof/>
                <w:webHidden/>
              </w:rPr>
              <w:fldChar w:fldCharType="separate"/>
            </w:r>
            <w:r w:rsidR="00C43C63">
              <w:rPr>
                <w:noProof/>
                <w:webHidden/>
              </w:rPr>
              <w:t>26</w:t>
            </w:r>
            <w:r w:rsidR="00146F9D">
              <w:rPr>
                <w:noProof/>
                <w:webHidden/>
              </w:rPr>
              <w:fldChar w:fldCharType="end"/>
            </w:r>
          </w:hyperlink>
        </w:p>
        <w:p w14:paraId="229D328E" w14:textId="4493C173"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55" w:history="1">
            <w:r w:rsidR="00146F9D" w:rsidRPr="00C814AB">
              <w:rPr>
                <w:rStyle w:val="Hyperlink"/>
                <w:rFonts w:ascii="Arial" w:hAnsi="Arial" w:cs="Arial"/>
                <w:b/>
                <w:bCs/>
                <w:noProof/>
                <w:lang w:val="en-GB"/>
              </w:rPr>
              <w:t>Koherentnost</w:t>
            </w:r>
            <w:r w:rsidR="00146F9D">
              <w:rPr>
                <w:noProof/>
                <w:webHidden/>
              </w:rPr>
              <w:tab/>
            </w:r>
            <w:r w:rsidR="00146F9D">
              <w:rPr>
                <w:noProof/>
                <w:webHidden/>
              </w:rPr>
              <w:fldChar w:fldCharType="begin"/>
            </w:r>
            <w:r w:rsidR="00146F9D">
              <w:rPr>
                <w:noProof/>
                <w:webHidden/>
              </w:rPr>
              <w:instrText xml:space="preserve"> PAGEREF _Toc199479355 \h </w:instrText>
            </w:r>
            <w:r w:rsidR="00146F9D">
              <w:rPr>
                <w:noProof/>
                <w:webHidden/>
              </w:rPr>
            </w:r>
            <w:r w:rsidR="00146F9D">
              <w:rPr>
                <w:noProof/>
                <w:webHidden/>
              </w:rPr>
              <w:fldChar w:fldCharType="separate"/>
            </w:r>
            <w:r w:rsidR="00C43C63">
              <w:rPr>
                <w:noProof/>
                <w:webHidden/>
              </w:rPr>
              <w:t>28</w:t>
            </w:r>
            <w:r w:rsidR="00146F9D">
              <w:rPr>
                <w:noProof/>
                <w:webHidden/>
              </w:rPr>
              <w:fldChar w:fldCharType="end"/>
            </w:r>
          </w:hyperlink>
        </w:p>
        <w:p w14:paraId="03A945CF" w14:textId="5DD13386" w:rsidR="00146F9D" w:rsidRDefault="00000000">
          <w:pPr>
            <w:pStyle w:val="TOC1"/>
            <w:tabs>
              <w:tab w:val="right" w:leader="dot" w:pos="9062"/>
            </w:tabs>
            <w:rPr>
              <w:rFonts w:eastAsiaTheme="minorEastAsia"/>
              <w:noProof/>
              <w:kern w:val="2"/>
              <w:sz w:val="24"/>
              <w:szCs w:val="24"/>
              <w:lang w:val="en-RS" w:eastAsia="en-GB"/>
              <w14:ligatures w14:val="standardContextual"/>
            </w:rPr>
          </w:pPr>
          <w:hyperlink w:anchor="_Toc199479356" w:history="1">
            <w:r w:rsidR="00146F9D" w:rsidRPr="00C814AB">
              <w:rPr>
                <w:rStyle w:val="Hyperlink"/>
                <w:rFonts w:ascii="Arial" w:hAnsi="Arial"/>
                <w:b/>
                <w:bCs/>
                <w:i/>
                <w:iCs/>
                <w:noProof/>
              </w:rPr>
              <w:t>4. Preporuke</w:t>
            </w:r>
            <w:r w:rsidR="00146F9D">
              <w:rPr>
                <w:noProof/>
                <w:webHidden/>
              </w:rPr>
              <w:tab/>
            </w:r>
            <w:r w:rsidR="00146F9D">
              <w:rPr>
                <w:noProof/>
                <w:webHidden/>
              </w:rPr>
              <w:fldChar w:fldCharType="begin"/>
            </w:r>
            <w:r w:rsidR="00146F9D">
              <w:rPr>
                <w:noProof/>
                <w:webHidden/>
              </w:rPr>
              <w:instrText xml:space="preserve"> PAGEREF _Toc199479356 \h </w:instrText>
            </w:r>
            <w:r w:rsidR="00146F9D">
              <w:rPr>
                <w:noProof/>
                <w:webHidden/>
              </w:rPr>
            </w:r>
            <w:r w:rsidR="00146F9D">
              <w:rPr>
                <w:noProof/>
                <w:webHidden/>
              </w:rPr>
              <w:fldChar w:fldCharType="separate"/>
            </w:r>
            <w:r w:rsidR="00C43C63">
              <w:rPr>
                <w:noProof/>
                <w:webHidden/>
              </w:rPr>
              <w:t>28</w:t>
            </w:r>
            <w:r w:rsidR="00146F9D">
              <w:rPr>
                <w:noProof/>
                <w:webHidden/>
              </w:rPr>
              <w:fldChar w:fldCharType="end"/>
            </w:r>
          </w:hyperlink>
        </w:p>
        <w:p w14:paraId="0FE7CFF9" w14:textId="2563300C" w:rsidR="00146F9D" w:rsidRDefault="00000000">
          <w:pPr>
            <w:pStyle w:val="TOC1"/>
            <w:tabs>
              <w:tab w:val="right" w:leader="dot" w:pos="9062"/>
            </w:tabs>
            <w:rPr>
              <w:rFonts w:eastAsiaTheme="minorEastAsia"/>
              <w:noProof/>
              <w:kern w:val="2"/>
              <w:sz w:val="24"/>
              <w:szCs w:val="24"/>
              <w:lang w:val="en-RS" w:eastAsia="en-GB"/>
              <w14:ligatures w14:val="standardContextual"/>
            </w:rPr>
          </w:pPr>
          <w:hyperlink w:anchor="_Toc199479357" w:history="1">
            <w:r w:rsidR="00146F9D" w:rsidRPr="00C814AB">
              <w:rPr>
                <w:rStyle w:val="Hyperlink"/>
                <w:rFonts w:ascii="Arial" w:hAnsi="Arial"/>
                <w:b/>
                <w:bCs/>
                <w:i/>
                <w:iCs/>
                <w:noProof/>
              </w:rPr>
              <w:t>Aneksi</w:t>
            </w:r>
            <w:r w:rsidR="00146F9D">
              <w:rPr>
                <w:noProof/>
                <w:webHidden/>
              </w:rPr>
              <w:tab/>
            </w:r>
            <w:r w:rsidR="00146F9D">
              <w:rPr>
                <w:noProof/>
                <w:webHidden/>
              </w:rPr>
              <w:fldChar w:fldCharType="begin"/>
            </w:r>
            <w:r w:rsidR="00146F9D">
              <w:rPr>
                <w:noProof/>
                <w:webHidden/>
              </w:rPr>
              <w:instrText xml:space="preserve"> PAGEREF _Toc199479357 \h </w:instrText>
            </w:r>
            <w:r w:rsidR="00146F9D">
              <w:rPr>
                <w:noProof/>
                <w:webHidden/>
              </w:rPr>
            </w:r>
            <w:r w:rsidR="00146F9D">
              <w:rPr>
                <w:noProof/>
                <w:webHidden/>
              </w:rPr>
              <w:fldChar w:fldCharType="separate"/>
            </w:r>
            <w:r w:rsidR="00C43C63">
              <w:rPr>
                <w:noProof/>
                <w:webHidden/>
              </w:rPr>
              <w:t>33</w:t>
            </w:r>
            <w:r w:rsidR="00146F9D">
              <w:rPr>
                <w:noProof/>
                <w:webHidden/>
              </w:rPr>
              <w:fldChar w:fldCharType="end"/>
            </w:r>
          </w:hyperlink>
        </w:p>
        <w:p w14:paraId="4B2238A8" w14:textId="0B4349F0"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58" w:history="1">
            <w:r w:rsidR="00146F9D" w:rsidRPr="00C814AB">
              <w:rPr>
                <w:rStyle w:val="Hyperlink"/>
                <w:rFonts w:ascii="Arial" w:hAnsi="Arial"/>
                <w:b/>
                <w:bCs/>
                <w:i/>
                <w:iCs/>
                <w:noProof/>
              </w:rPr>
              <w:t>I. Lista dokumenata</w:t>
            </w:r>
            <w:r w:rsidR="00146F9D">
              <w:rPr>
                <w:noProof/>
                <w:webHidden/>
              </w:rPr>
              <w:tab/>
            </w:r>
            <w:r w:rsidR="00146F9D">
              <w:rPr>
                <w:noProof/>
                <w:webHidden/>
              </w:rPr>
              <w:fldChar w:fldCharType="begin"/>
            </w:r>
            <w:r w:rsidR="00146F9D">
              <w:rPr>
                <w:noProof/>
                <w:webHidden/>
              </w:rPr>
              <w:instrText xml:space="preserve"> PAGEREF _Toc199479358 \h </w:instrText>
            </w:r>
            <w:r w:rsidR="00146F9D">
              <w:rPr>
                <w:noProof/>
                <w:webHidden/>
              </w:rPr>
            </w:r>
            <w:r w:rsidR="00146F9D">
              <w:rPr>
                <w:noProof/>
                <w:webHidden/>
              </w:rPr>
              <w:fldChar w:fldCharType="separate"/>
            </w:r>
            <w:r w:rsidR="00C43C63">
              <w:rPr>
                <w:noProof/>
                <w:webHidden/>
              </w:rPr>
              <w:t>33</w:t>
            </w:r>
            <w:r w:rsidR="00146F9D">
              <w:rPr>
                <w:noProof/>
                <w:webHidden/>
              </w:rPr>
              <w:fldChar w:fldCharType="end"/>
            </w:r>
          </w:hyperlink>
        </w:p>
        <w:p w14:paraId="7AE45D85" w14:textId="00F72B58" w:rsidR="00146F9D" w:rsidRDefault="00000000">
          <w:pPr>
            <w:pStyle w:val="TOC2"/>
            <w:tabs>
              <w:tab w:val="right" w:leader="dot" w:pos="9062"/>
            </w:tabs>
            <w:rPr>
              <w:rFonts w:eastAsiaTheme="minorEastAsia"/>
              <w:noProof/>
              <w:kern w:val="2"/>
              <w:sz w:val="24"/>
              <w:szCs w:val="24"/>
              <w:lang w:val="en-RS" w:eastAsia="en-GB"/>
              <w14:ligatures w14:val="standardContextual"/>
            </w:rPr>
          </w:pPr>
          <w:hyperlink w:anchor="_Toc199479359" w:history="1">
            <w:r w:rsidR="00146F9D" w:rsidRPr="00C814AB">
              <w:rPr>
                <w:rStyle w:val="Hyperlink"/>
                <w:rFonts w:ascii="Arial" w:hAnsi="Arial" w:cs="Arial"/>
                <w:b/>
                <w:bCs/>
                <w:i/>
                <w:iCs/>
                <w:noProof/>
              </w:rPr>
              <w:t>II. Lista stejkholdera</w:t>
            </w:r>
            <w:r w:rsidR="00146F9D">
              <w:rPr>
                <w:noProof/>
                <w:webHidden/>
              </w:rPr>
              <w:tab/>
            </w:r>
            <w:r w:rsidR="00146F9D">
              <w:rPr>
                <w:noProof/>
                <w:webHidden/>
              </w:rPr>
              <w:fldChar w:fldCharType="begin"/>
            </w:r>
            <w:r w:rsidR="00146F9D">
              <w:rPr>
                <w:noProof/>
                <w:webHidden/>
              </w:rPr>
              <w:instrText xml:space="preserve"> PAGEREF _Toc199479359 \h </w:instrText>
            </w:r>
            <w:r w:rsidR="00146F9D">
              <w:rPr>
                <w:noProof/>
                <w:webHidden/>
              </w:rPr>
            </w:r>
            <w:r w:rsidR="00146F9D">
              <w:rPr>
                <w:noProof/>
                <w:webHidden/>
              </w:rPr>
              <w:fldChar w:fldCharType="separate"/>
            </w:r>
            <w:r w:rsidR="00C43C63">
              <w:rPr>
                <w:noProof/>
                <w:webHidden/>
              </w:rPr>
              <w:t>33</w:t>
            </w:r>
            <w:r w:rsidR="00146F9D">
              <w:rPr>
                <w:noProof/>
                <w:webHidden/>
              </w:rPr>
              <w:fldChar w:fldCharType="end"/>
            </w:r>
          </w:hyperlink>
        </w:p>
        <w:p w14:paraId="25E4A503" w14:textId="73A882F5" w:rsidR="00146F9D" w:rsidRDefault="00000000">
          <w:pPr>
            <w:pStyle w:val="TOC3"/>
            <w:tabs>
              <w:tab w:val="right" w:leader="dot" w:pos="9062"/>
            </w:tabs>
            <w:rPr>
              <w:rFonts w:eastAsiaTheme="minorEastAsia"/>
              <w:noProof/>
              <w:kern w:val="2"/>
              <w:sz w:val="24"/>
              <w:szCs w:val="24"/>
              <w:lang w:val="en-RS" w:eastAsia="en-GB"/>
              <w14:ligatures w14:val="standardContextual"/>
            </w:rPr>
          </w:pPr>
          <w:hyperlink w:anchor="_Toc199479360" w:history="1">
            <w:r w:rsidR="00146F9D" w:rsidRPr="00C814AB">
              <w:rPr>
                <w:rStyle w:val="Hyperlink"/>
                <w:rFonts w:ascii="Arial" w:hAnsi="Arial"/>
                <w:b/>
                <w:bCs/>
                <w:i/>
                <w:iCs/>
                <w:noProof/>
              </w:rPr>
              <w:t>III. Upitnik za konsultacije</w:t>
            </w:r>
            <w:r w:rsidR="00146F9D">
              <w:rPr>
                <w:noProof/>
                <w:webHidden/>
              </w:rPr>
              <w:tab/>
            </w:r>
            <w:r w:rsidR="00146F9D">
              <w:rPr>
                <w:noProof/>
                <w:webHidden/>
              </w:rPr>
              <w:fldChar w:fldCharType="begin"/>
            </w:r>
            <w:r w:rsidR="00146F9D">
              <w:rPr>
                <w:noProof/>
                <w:webHidden/>
              </w:rPr>
              <w:instrText xml:space="preserve"> PAGEREF _Toc199479360 \h </w:instrText>
            </w:r>
            <w:r w:rsidR="00146F9D">
              <w:rPr>
                <w:noProof/>
                <w:webHidden/>
              </w:rPr>
            </w:r>
            <w:r w:rsidR="00146F9D">
              <w:rPr>
                <w:noProof/>
                <w:webHidden/>
              </w:rPr>
              <w:fldChar w:fldCharType="separate"/>
            </w:r>
            <w:r w:rsidR="00C43C63">
              <w:rPr>
                <w:noProof/>
                <w:webHidden/>
              </w:rPr>
              <w:t>33</w:t>
            </w:r>
            <w:r w:rsidR="00146F9D">
              <w:rPr>
                <w:noProof/>
                <w:webHidden/>
              </w:rPr>
              <w:fldChar w:fldCharType="end"/>
            </w:r>
          </w:hyperlink>
        </w:p>
        <w:p w14:paraId="4F9B3AEE" w14:textId="4F20013A" w:rsidR="00146F9D" w:rsidRDefault="00000000">
          <w:pPr>
            <w:pStyle w:val="TOC2"/>
            <w:tabs>
              <w:tab w:val="right" w:leader="dot" w:pos="9062"/>
            </w:tabs>
            <w:rPr>
              <w:rFonts w:eastAsiaTheme="minorEastAsia"/>
              <w:noProof/>
              <w:kern w:val="2"/>
              <w:sz w:val="24"/>
              <w:szCs w:val="24"/>
              <w:lang w:val="en-RS" w:eastAsia="en-GB"/>
              <w14:ligatures w14:val="standardContextual"/>
            </w:rPr>
          </w:pPr>
          <w:hyperlink w:anchor="_Toc199479361" w:history="1">
            <w:r w:rsidR="00146F9D" w:rsidRPr="00C814AB">
              <w:rPr>
                <w:rStyle w:val="Hyperlink"/>
                <w:rFonts w:ascii="Arial" w:hAnsi="Arial" w:cs="Arial"/>
                <w:b/>
                <w:bCs/>
                <w:i/>
                <w:iCs/>
                <w:noProof/>
              </w:rPr>
              <w:t>IV. Terms of Reference</w:t>
            </w:r>
            <w:r w:rsidR="00146F9D">
              <w:rPr>
                <w:noProof/>
                <w:webHidden/>
              </w:rPr>
              <w:tab/>
            </w:r>
            <w:r w:rsidR="00146F9D">
              <w:rPr>
                <w:noProof/>
                <w:webHidden/>
              </w:rPr>
              <w:fldChar w:fldCharType="begin"/>
            </w:r>
            <w:r w:rsidR="00146F9D">
              <w:rPr>
                <w:noProof/>
                <w:webHidden/>
              </w:rPr>
              <w:instrText xml:space="preserve"> PAGEREF _Toc199479361 \h </w:instrText>
            </w:r>
            <w:r w:rsidR="00146F9D">
              <w:rPr>
                <w:noProof/>
                <w:webHidden/>
              </w:rPr>
            </w:r>
            <w:r w:rsidR="00146F9D">
              <w:rPr>
                <w:noProof/>
                <w:webHidden/>
              </w:rPr>
              <w:fldChar w:fldCharType="separate"/>
            </w:r>
            <w:r w:rsidR="00C43C63">
              <w:rPr>
                <w:noProof/>
                <w:webHidden/>
              </w:rPr>
              <w:t>35</w:t>
            </w:r>
            <w:r w:rsidR="00146F9D">
              <w:rPr>
                <w:noProof/>
                <w:webHidden/>
              </w:rPr>
              <w:fldChar w:fldCharType="end"/>
            </w:r>
          </w:hyperlink>
        </w:p>
        <w:p w14:paraId="1130AA4F" w14:textId="02F8A84C" w:rsidR="00146F9D" w:rsidRDefault="00000000">
          <w:pPr>
            <w:pStyle w:val="TOC2"/>
            <w:tabs>
              <w:tab w:val="right" w:leader="dot" w:pos="9062"/>
            </w:tabs>
            <w:rPr>
              <w:rFonts w:eastAsiaTheme="minorEastAsia"/>
              <w:noProof/>
              <w:kern w:val="2"/>
              <w:sz w:val="24"/>
              <w:szCs w:val="24"/>
              <w:lang w:val="en-RS" w:eastAsia="en-GB"/>
              <w14:ligatures w14:val="standardContextual"/>
            </w:rPr>
          </w:pPr>
          <w:hyperlink w:anchor="_Toc199479362" w:history="1">
            <w:r w:rsidR="00146F9D" w:rsidRPr="00C814AB">
              <w:rPr>
                <w:rStyle w:val="Hyperlink"/>
                <w:rFonts w:ascii="Arial" w:hAnsi="Arial" w:cs="Arial"/>
                <w:b/>
                <w:bCs/>
                <w:i/>
                <w:iCs/>
                <w:noProof/>
              </w:rPr>
              <w:t>V. Matrica evaluacije</w:t>
            </w:r>
            <w:r w:rsidR="00146F9D">
              <w:rPr>
                <w:noProof/>
                <w:webHidden/>
              </w:rPr>
              <w:tab/>
            </w:r>
            <w:r w:rsidR="00146F9D">
              <w:rPr>
                <w:noProof/>
                <w:webHidden/>
              </w:rPr>
              <w:fldChar w:fldCharType="begin"/>
            </w:r>
            <w:r w:rsidR="00146F9D">
              <w:rPr>
                <w:noProof/>
                <w:webHidden/>
              </w:rPr>
              <w:instrText xml:space="preserve"> PAGEREF _Toc199479362 \h </w:instrText>
            </w:r>
            <w:r w:rsidR="00146F9D">
              <w:rPr>
                <w:noProof/>
                <w:webHidden/>
              </w:rPr>
            </w:r>
            <w:r w:rsidR="00146F9D">
              <w:rPr>
                <w:noProof/>
                <w:webHidden/>
              </w:rPr>
              <w:fldChar w:fldCharType="separate"/>
            </w:r>
            <w:r w:rsidR="00C43C63">
              <w:rPr>
                <w:noProof/>
                <w:webHidden/>
              </w:rPr>
              <w:t>40</w:t>
            </w:r>
            <w:r w:rsidR="00146F9D">
              <w:rPr>
                <w:noProof/>
                <w:webHidden/>
              </w:rPr>
              <w:fldChar w:fldCharType="end"/>
            </w:r>
          </w:hyperlink>
        </w:p>
        <w:p w14:paraId="1302571E" w14:textId="0DE60C76" w:rsidR="00146F9D" w:rsidRDefault="00000000">
          <w:pPr>
            <w:pStyle w:val="TOC2"/>
            <w:tabs>
              <w:tab w:val="right" w:leader="dot" w:pos="9062"/>
            </w:tabs>
            <w:rPr>
              <w:rFonts w:eastAsiaTheme="minorEastAsia"/>
              <w:noProof/>
              <w:kern w:val="2"/>
              <w:sz w:val="24"/>
              <w:szCs w:val="24"/>
              <w:lang w:val="en-RS" w:eastAsia="en-GB"/>
              <w14:ligatures w14:val="standardContextual"/>
            </w:rPr>
          </w:pPr>
          <w:hyperlink w:anchor="_Toc199479363" w:history="1">
            <w:r w:rsidR="00146F9D" w:rsidRPr="00C814AB">
              <w:rPr>
                <w:rStyle w:val="Hyperlink"/>
                <w:rFonts w:ascii="Arial" w:hAnsi="Arial" w:cs="Arial"/>
                <w:b/>
                <w:bCs/>
                <w:i/>
                <w:iCs/>
                <w:noProof/>
              </w:rPr>
              <w:t>VI. Tabela za izveštavanje</w:t>
            </w:r>
            <w:r w:rsidR="00146F9D">
              <w:rPr>
                <w:noProof/>
                <w:webHidden/>
              </w:rPr>
              <w:tab/>
            </w:r>
            <w:r w:rsidR="00146F9D">
              <w:rPr>
                <w:noProof/>
                <w:webHidden/>
              </w:rPr>
              <w:fldChar w:fldCharType="begin"/>
            </w:r>
            <w:r w:rsidR="00146F9D">
              <w:rPr>
                <w:noProof/>
                <w:webHidden/>
              </w:rPr>
              <w:instrText xml:space="preserve"> PAGEREF _Toc199479363 \h </w:instrText>
            </w:r>
            <w:r w:rsidR="00146F9D">
              <w:rPr>
                <w:noProof/>
                <w:webHidden/>
              </w:rPr>
            </w:r>
            <w:r w:rsidR="00146F9D">
              <w:rPr>
                <w:noProof/>
                <w:webHidden/>
              </w:rPr>
              <w:fldChar w:fldCharType="separate"/>
            </w:r>
            <w:r w:rsidR="00C43C63">
              <w:rPr>
                <w:noProof/>
                <w:webHidden/>
              </w:rPr>
              <w:t>45</w:t>
            </w:r>
            <w:r w:rsidR="00146F9D">
              <w:rPr>
                <w:noProof/>
                <w:webHidden/>
              </w:rPr>
              <w:fldChar w:fldCharType="end"/>
            </w:r>
          </w:hyperlink>
        </w:p>
        <w:p w14:paraId="3E7D043B" w14:textId="5BD4D923" w:rsidR="005D578D" w:rsidRDefault="005D578D">
          <w:r>
            <w:rPr>
              <w:b/>
              <w:bCs/>
              <w:noProof/>
            </w:rPr>
            <w:fldChar w:fldCharType="end"/>
          </w:r>
        </w:p>
      </w:sdtContent>
    </w:sdt>
    <w:p w14:paraId="248BA28F" w14:textId="1BE81368" w:rsidR="00C43234" w:rsidRPr="00A20BF1" w:rsidRDefault="00C43234" w:rsidP="00C43234">
      <w:pPr>
        <w:rPr>
          <w:rFonts w:ascii="Arial" w:hAnsi="Arial" w:cs="Arial"/>
          <w:sz w:val="20"/>
          <w:szCs w:val="16"/>
          <w:lang w:val="en-GB"/>
        </w:rPr>
      </w:pPr>
    </w:p>
    <w:p w14:paraId="313D2CE3" w14:textId="12EFCB79" w:rsidR="00C43234" w:rsidRPr="00A20BF1" w:rsidRDefault="00C43234" w:rsidP="00C43234">
      <w:pPr>
        <w:rPr>
          <w:rFonts w:ascii="Arial" w:hAnsi="Arial" w:cs="Arial"/>
          <w:sz w:val="20"/>
          <w:szCs w:val="16"/>
          <w:lang w:val="en-GB"/>
        </w:rPr>
      </w:pPr>
    </w:p>
    <w:p w14:paraId="145D8D9E" w14:textId="640EA3C3" w:rsidR="00C43234" w:rsidRPr="00A20BF1" w:rsidRDefault="00C43234" w:rsidP="00C43234">
      <w:pPr>
        <w:rPr>
          <w:rFonts w:ascii="Arial" w:hAnsi="Arial" w:cs="Arial"/>
          <w:sz w:val="20"/>
          <w:szCs w:val="16"/>
          <w:lang w:val="en-GB"/>
        </w:rPr>
      </w:pPr>
    </w:p>
    <w:p w14:paraId="20AD66FA" w14:textId="37545751" w:rsidR="00C43234" w:rsidRPr="00A20BF1" w:rsidRDefault="00C43234" w:rsidP="00C43234">
      <w:pPr>
        <w:rPr>
          <w:rFonts w:ascii="Arial" w:hAnsi="Arial" w:cs="Arial"/>
          <w:sz w:val="20"/>
          <w:szCs w:val="16"/>
          <w:lang w:val="en-GB"/>
        </w:rPr>
      </w:pPr>
    </w:p>
    <w:p w14:paraId="39A697BE" w14:textId="47181B48" w:rsidR="00C43234" w:rsidRPr="00A20BF1" w:rsidRDefault="00C43234" w:rsidP="00C43234">
      <w:pPr>
        <w:rPr>
          <w:rFonts w:ascii="Arial" w:hAnsi="Arial" w:cs="Arial"/>
          <w:sz w:val="20"/>
          <w:szCs w:val="16"/>
          <w:lang w:val="en-GB"/>
        </w:rPr>
      </w:pPr>
    </w:p>
    <w:p w14:paraId="02DB6909" w14:textId="36592383" w:rsidR="00C43234" w:rsidRPr="00A20BF1" w:rsidRDefault="00C43234" w:rsidP="00C43234">
      <w:pPr>
        <w:rPr>
          <w:rFonts w:ascii="Arial" w:hAnsi="Arial" w:cs="Arial"/>
          <w:sz w:val="20"/>
          <w:szCs w:val="16"/>
          <w:lang w:val="en-GB"/>
        </w:rPr>
      </w:pPr>
    </w:p>
    <w:p w14:paraId="14B416A3" w14:textId="5BD51E9D" w:rsidR="00C43234" w:rsidRPr="00A20BF1" w:rsidRDefault="00C43234" w:rsidP="00C43234">
      <w:pPr>
        <w:rPr>
          <w:rFonts w:ascii="Arial" w:hAnsi="Arial" w:cs="Arial"/>
          <w:sz w:val="20"/>
          <w:szCs w:val="16"/>
          <w:lang w:val="en-GB"/>
        </w:rPr>
      </w:pPr>
    </w:p>
    <w:p w14:paraId="1A045E1B" w14:textId="349AE8F5" w:rsidR="00C43234" w:rsidRPr="00A20BF1" w:rsidRDefault="00C43234" w:rsidP="00C43234">
      <w:pPr>
        <w:rPr>
          <w:rFonts w:ascii="Arial" w:hAnsi="Arial" w:cs="Arial"/>
          <w:sz w:val="20"/>
          <w:szCs w:val="16"/>
          <w:lang w:val="en-GB"/>
        </w:rPr>
      </w:pPr>
    </w:p>
    <w:p w14:paraId="35E7CCDB" w14:textId="18AABCD6" w:rsidR="00C43234" w:rsidRPr="00A20BF1" w:rsidRDefault="00C43234" w:rsidP="00C43234">
      <w:pPr>
        <w:rPr>
          <w:rFonts w:ascii="Arial" w:hAnsi="Arial" w:cs="Arial"/>
          <w:sz w:val="20"/>
          <w:szCs w:val="16"/>
          <w:lang w:val="en-GB"/>
        </w:rPr>
      </w:pPr>
    </w:p>
    <w:p w14:paraId="0D54A401" w14:textId="032483F2" w:rsidR="00C43234" w:rsidRPr="00A20BF1" w:rsidRDefault="00C43234" w:rsidP="00C43234">
      <w:pPr>
        <w:rPr>
          <w:rFonts w:ascii="Arial" w:hAnsi="Arial" w:cs="Arial"/>
          <w:sz w:val="20"/>
          <w:szCs w:val="16"/>
          <w:lang w:val="en-GB"/>
        </w:rPr>
      </w:pPr>
    </w:p>
    <w:p w14:paraId="2AE69CA1" w14:textId="6C138B6E" w:rsidR="00C43234" w:rsidRPr="00A20BF1" w:rsidRDefault="00C43234" w:rsidP="00C43234">
      <w:pPr>
        <w:rPr>
          <w:rFonts w:ascii="Arial" w:hAnsi="Arial" w:cs="Arial"/>
          <w:sz w:val="20"/>
          <w:szCs w:val="16"/>
          <w:lang w:val="en-GB"/>
        </w:rPr>
      </w:pPr>
    </w:p>
    <w:p w14:paraId="44D8DB9E" w14:textId="7FCC0D77" w:rsidR="0040118A" w:rsidRDefault="0040118A">
      <w:pPr>
        <w:rPr>
          <w:rFonts w:ascii="Arial" w:hAnsi="Arial" w:cs="Arial"/>
          <w:sz w:val="20"/>
          <w:szCs w:val="16"/>
          <w:lang w:val="en-GB"/>
        </w:rPr>
      </w:pPr>
      <w:r>
        <w:rPr>
          <w:rFonts w:ascii="Arial" w:hAnsi="Arial" w:cs="Arial"/>
          <w:sz w:val="20"/>
          <w:szCs w:val="16"/>
          <w:lang w:val="en-GB"/>
        </w:rPr>
        <w:br w:type="page"/>
      </w:r>
    </w:p>
    <w:p w14:paraId="2E03D932" w14:textId="04AA303E" w:rsidR="00C43234" w:rsidRPr="007C3CD4" w:rsidRDefault="00C43234" w:rsidP="00C43234">
      <w:pPr>
        <w:rPr>
          <w:rFonts w:ascii="Arial" w:hAnsi="Arial" w:cs="Arial"/>
          <w:b/>
          <w:bCs/>
          <w:i/>
          <w:iCs/>
          <w:szCs w:val="18"/>
        </w:rPr>
      </w:pPr>
      <w:r w:rsidRPr="007C3CD4">
        <w:rPr>
          <w:rFonts w:ascii="Arial" w:hAnsi="Arial" w:cs="Arial"/>
          <w:b/>
          <w:bCs/>
          <w:i/>
          <w:iCs/>
          <w:szCs w:val="18"/>
        </w:rPr>
        <w:lastRenderedPageBreak/>
        <w:t>A</w:t>
      </w:r>
      <w:r w:rsidR="007C3CD4" w:rsidRPr="007C3CD4">
        <w:rPr>
          <w:rFonts w:ascii="Arial" w:hAnsi="Arial" w:cs="Arial"/>
          <w:b/>
          <w:bCs/>
          <w:i/>
          <w:iCs/>
          <w:szCs w:val="18"/>
        </w:rPr>
        <w:t>k</w:t>
      </w:r>
      <w:r w:rsidRPr="007C3CD4">
        <w:rPr>
          <w:rFonts w:ascii="Arial" w:hAnsi="Arial" w:cs="Arial"/>
          <w:b/>
          <w:bCs/>
          <w:i/>
          <w:iCs/>
          <w:szCs w:val="18"/>
        </w:rPr>
        <w:t>ron</w:t>
      </w:r>
      <w:r w:rsidR="007C3CD4" w:rsidRPr="007C3CD4">
        <w:rPr>
          <w:rFonts w:ascii="Arial" w:hAnsi="Arial" w:cs="Arial"/>
          <w:b/>
          <w:bCs/>
          <w:i/>
          <w:iCs/>
          <w:szCs w:val="18"/>
        </w:rPr>
        <w:t>imi</w:t>
      </w:r>
    </w:p>
    <w:p w14:paraId="6B8C85DA" w14:textId="0BEE0698" w:rsidR="002139B3" w:rsidRPr="007C3CD4" w:rsidRDefault="002139B3" w:rsidP="002139B3"/>
    <w:tbl>
      <w:tblPr>
        <w:tblStyle w:val="TableGrid"/>
        <w:tblpPr w:leftFromText="180" w:rightFromText="180" w:vertAnchor="text" w:horzAnchor="margin" w:tblpY="-51"/>
        <w:tblW w:w="0" w:type="auto"/>
        <w:tblLook w:val="04A0" w:firstRow="1" w:lastRow="0" w:firstColumn="1" w:lastColumn="0" w:noHBand="0" w:noVBand="1"/>
      </w:tblPr>
      <w:tblGrid>
        <w:gridCol w:w="1980"/>
        <w:gridCol w:w="5386"/>
      </w:tblGrid>
      <w:tr w:rsidR="00C4538E" w:rsidRPr="007C3CD4" w14:paraId="38B3970F" w14:textId="77777777" w:rsidTr="00C4538E">
        <w:tc>
          <w:tcPr>
            <w:tcW w:w="1980" w:type="dxa"/>
          </w:tcPr>
          <w:p w14:paraId="353F3CE4" w14:textId="39DE6234" w:rsidR="00092C65" w:rsidRPr="007C3CD4" w:rsidRDefault="00465B8E" w:rsidP="00092C65">
            <w:pPr>
              <w:rPr>
                <w:rFonts w:ascii="Arial" w:hAnsi="Arial" w:cs="Arial"/>
                <w:sz w:val="20"/>
                <w:szCs w:val="20"/>
              </w:rPr>
            </w:pPr>
            <w:r w:rsidRPr="007C3CD4">
              <w:rPr>
                <w:rFonts w:ascii="Arial" w:hAnsi="Arial" w:cs="Arial"/>
                <w:sz w:val="20"/>
                <w:szCs w:val="20"/>
              </w:rPr>
              <w:t>N</w:t>
            </w:r>
            <w:r w:rsidR="007C3CD4" w:rsidRPr="007C3CD4">
              <w:rPr>
                <w:rFonts w:ascii="Arial" w:hAnsi="Arial" w:cs="Arial"/>
                <w:sz w:val="20"/>
                <w:szCs w:val="20"/>
              </w:rPr>
              <w:t>PZP</w:t>
            </w:r>
          </w:p>
        </w:tc>
        <w:tc>
          <w:tcPr>
            <w:tcW w:w="5386" w:type="dxa"/>
          </w:tcPr>
          <w:p w14:paraId="560FD6E3" w14:textId="0E6318E1" w:rsidR="00092C65" w:rsidRPr="007C3CD4" w:rsidRDefault="007C3CD4" w:rsidP="00092C65">
            <w:pPr>
              <w:rPr>
                <w:rFonts w:ascii="Arial" w:hAnsi="Arial" w:cs="Arial"/>
                <w:sz w:val="20"/>
                <w:szCs w:val="20"/>
              </w:rPr>
            </w:pPr>
            <w:r w:rsidRPr="007C3CD4">
              <w:rPr>
                <w:rFonts w:ascii="Arial" w:hAnsi="Arial" w:cs="Arial"/>
                <w:sz w:val="20"/>
                <w:szCs w:val="20"/>
              </w:rPr>
              <w:t>Nacionalni program zaštite potrošača</w:t>
            </w:r>
          </w:p>
        </w:tc>
      </w:tr>
      <w:tr w:rsidR="00092C65" w:rsidRPr="007C3CD4" w14:paraId="59384AEE" w14:textId="77777777" w:rsidTr="00DE468B">
        <w:tc>
          <w:tcPr>
            <w:tcW w:w="1980" w:type="dxa"/>
          </w:tcPr>
          <w:p w14:paraId="5CB6F70F" w14:textId="3055BDB6" w:rsidR="00092C65" w:rsidRPr="007C3CD4" w:rsidRDefault="00D64E6A" w:rsidP="00092C65">
            <w:pPr>
              <w:rPr>
                <w:rFonts w:ascii="Arial" w:hAnsi="Arial" w:cs="Arial"/>
                <w:sz w:val="20"/>
                <w:szCs w:val="20"/>
              </w:rPr>
            </w:pPr>
            <w:r w:rsidRPr="007C3CD4">
              <w:rPr>
                <w:rFonts w:ascii="Arial" w:hAnsi="Arial" w:cs="Arial"/>
                <w:sz w:val="20"/>
                <w:szCs w:val="20"/>
              </w:rPr>
              <w:t>FE</w:t>
            </w:r>
            <w:r w:rsidR="00092C65" w:rsidRPr="007C3CD4">
              <w:rPr>
                <w:rFonts w:ascii="Arial" w:hAnsi="Arial" w:cs="Arial"/>
                <w:sz w:val="20"/>
                <w:szCs w:val="20"/>
              </w:rPr>
              <w:t xml:space="preserve"> </w:t>
            </w:r>
          </w:p>
        </w:tc>
        <w:tc>
          <w:tcPr>
            <w:tcW w:w="5386" w:type="dxa"/>
          </w:tcPr>
          <w:p w14:paraId="7230E7C4" w14:textId="09BF176B" w:rsidR="00092C65" w:rsidRPr="007C3CD4" w:rsidRDefault="00D64E6A" w:rsidP="00092C65">
            <w:pPr>
              <w:rPr>
                <w:rFonts w:ascii="Arial" w:hAnsi="Arial" w:cs="Arial"/>
                <w:sz w:val="20"/>
                <w:szCs w:val="20"/>
              </w:rPr>
            </w:pPr>
            <w:r w:rsidRPr="007C3CD4">
              <w:rPr>
                <w:rFonts w:ascii="Arial" w:hAnsi="Arial" w:cs="Arial"/>
                <w:sz w:val="20"/>
                <w:szCs w:val="20"/>
              </w:rPr>
              <w:t>Final</w:t>
            </w:r>
            <w:r w:rsidR="007C3CD4" w:rsidRPr="007C3CD4">
              <w:rPr>
                <w:rFonts w:ascii="Arial" w:hAnsi="Arial" w:cs="Arial"/>
                <w:sz w:val="20"/>
                <w:szCs w:val="20"/>
              </w:rPr>
              <w:t>na evaluacija</w:t>
            </w:r>
          </w:p>
        </w:tc>
      </w:tr>
      <w:tr w:rsidR="00092C65" w:rsidRPr="007C3CD4" w14:paraId="4FDAC5D5" w14:textId="77777777" w:rsidTr="00DE468B">
        <w:tc>
          <w:tcPr>
            <w:tcW w:w="1980" w:type="dxa"/>
          </w:tcPr>
          <w:p w14:paraId="35C2F4D5" w14:textId="341FC69C" w:rsidR="00092C65" w:rsidRPr="007C3CD4" w:rsidRDefault="00D64E6A" w:rsidP="00092C65">
            <w:pPr>
              <w:rPr>
                <w:rFonts w:ascii="Arial" w:hAnsi="Arial" w:cs="Arial"/>
                <w:sz w:val="20"/>
                <w:szCs w:val="20"/>
              </w:rPr>
            </w:pPr>
            <w:r w:rsidRPr="007C3CD4">
              <w:rPr>
                <w:rFonts w:ascii="Arial" w:hAnsi="Arial" w:cs="Arial"/>
                <w:sz w:val="20"/>
                <w:szCs w:val="20"/>
              </w:rPr>
              <w:t>UNDP</w:t>
            </w:r>
          </w:p>
        </w:tc>
        <w:tc>
          <w:tcPr>
            <w:tcW w:w="5386" w:type="dxa"/>
          </w:tcPr>
          <w:p w14:paraId="13376999" w14:textId="5273C03D" w:rsidR="00092C65" w:rsidRPr="007C3CD4" w:rsidRDefault="00D64E6A" w:rsidP="00092C65">
            <w:pPr>
              <w:rPr>
                <w:rFonts w:ascii="Arial" w:hAnsi="Arial" w:cs="Arial"/>
                <w:sz w:val="20"/>
                <w:szCs w:val="20"/>
              </w:rPr>
            </w:pPr>
            <w:proofErr w:type="spellStart"/>
            <w:r w:rsidRPr="007C3CD4">
              <w:rPr>
                <w:rFonts w:ascii="Arial" w:hAnsi="Arial" w:cs="Arial"/>
                <w:sz w:val="20"/>
                <w:szCs w:val="20"/>
              </w:rPr>
              <w:t>United</w:t>
            </w:r>
            <w:proofErr w:type="spellEnd"/>
            <w:r w:rsidRPr="007C3CD4">
              <w:rPr>
                <w:rFonts w:ascii="Arial" w:hAnsi="Arial" w:cs="Arial"/>
                <w:sz w:val="20"/>
                <w:szCs w:val="20"/>
              </w:rPr>
              <w:t xml:space="preserve"> </w:t>
            </w:r>
            <w:proofErr w:type="spellStart"/>
            <w:r w:rsidRPr="007C3CD4">
              <w:rPr>
                <w:rFonts w:ascii="Arial" w:hAnsi="Arial" w:cs="Arial"/>
                <w:sz w:val="20"/>
                <w:szCs w:val="20"/>
              </w:rPr>
              <w:t>Nations</w:t>
            </w:r>
            <w:proofErr w:type="spellEnd"/>
            <w:r w:rsidRPr="007C3CD4">
              <w:rPr>
                <w:rFonts w:ascii="Arial" w:hAnsi="Arial" w:cs="Arial"/>
                <w:sz w:val="20"/>
                <w:szCs w:val="20"/>
              </w:rPr>
              <w:t xml:space="preserve"> </w:t>
            </w:r>
            <w:proofErr w:type="spellStart"/>
            <w:r w:rsidRPr="007C3CD4">
              <w:rPr>
                <w:rFonts w:ascii="Arial" w:hAnsi="Arial" w:cs="Arial"/>
                <w:sz w:val="20"/>
                <w:szCs w:val="20"/>
              </w:rPr>
              <w:t>Development</w:t>
            </w:r>
            <w:proofErr w:type="spellEnd"/>
            <w:r w:rsidRPr="007C3CD4">
              <w:rPr>
                <w:rFonts w:ascii="Arial" w:hAnsi="Arial" w:cs="Arial"/>
                <w:sz w:val="20"/>
                <w:szCs w:val="20"/>
              </w:rPr>
              <w:t xml:space="preserve"> Program</w:t>
            </w:r>
          </w:p>
        </w:tc>
      </w:tr>
      <w:tr w:rsidR="00092C65" w:rsidRPr="007C3CD4" w14:paraId="690C9F92" w14:textId="77777777" w:rsidTr="00DE468B">
        <w:tc>
          <w:tcPr>
            <w:tcW w:w="1980" w:type="dxa"/>
          </w:tcPr>
          <w:p w14:paraId="70086F5B" w14:textId="3576C171" w:rsidR="00092C65" w:rsidRPr="007C3CD4" w:rsidRDefault="007C3CD4" w:rsidP="00092C65">
            <w:pPr>
              <w:rPr>
                <w:rFonts w:ascii="Arial" w:hAnsi="Arial" w:cs="Arial"/>
                <w:sz w:val="20"/>
                <w:szCs w:val="20"/>
              </w:rPr>
            </w:pPr>
            <w:r w:rsidRPr="007C3CD4">
              <w:rPr>
                <w:rFonts w:ascii="Arial" w:hAnsi="Arial" w:cs="Arial"/>
                <w:sz w:val="20"/>
                <w:szCs w:val="20"/>
              </w:rPr>
              <w:t>CG</w:t>
            </w:r>
          </w:p>
        </w:tc>
        <w:tc>
          <w:tcPr>
            <w:tcW w:w="5386" w:type="dxa"/>
          </w:tcPr>
          <w:p w14:paraId="0EA4F30B" w14:textId="246C8C4D" w:rsidR="00092C65" w:rsidRPr="007C3CD4" w:rsidRDefault="007C3CD4" w:rsidP="00092C65">
            <w:pPr>
              <w:rPr>
                <w:rFonts w:ascii="Arial" w:hAnsi="Arial" w:cs="Arial"/>
                <w:sz w:val="20"/>
                <w:szCs w:val="20"/>
              </w:rPr>
            </w:pPr>
            <w:r w:rsidRPr="007C3CD4">
              <w:rPr>
                <w:rFonts w:ascii="Arial" w:hAnsi="Arial" w:cs="Arial"/>
                <w:sz w:val="20"/>
                <w:szCs w:val="20"/>
              </w:rPr>
              <w:t>Crna Gora</w:t>
            </w:r>
          </w:p>
        </w:tc>
      </w:tr>
      <w:tr w:rsidR="00092C65" w:rsidRPr="007C3CD4" w14:paraId="731802F2" w14:textId="77777777" w:rsidTr="00DE468B">
        <w:tc>
          <w:tcPr>
            <w:tcW w:w="1980" w:type="dxa"/>
          </w:tcPr>
          <w:p w14:paraId="36550236" w14:textId="2613CB82" w:rsidR="00092C65" w:rsidRPr="007C3CD4" w:rsidRDefault="00092C65" w:rsidP="00092C65">
            <w:pPr>
              <w:rPr>
                <w:rFonts w:ascii="Arial" w:hAnsi="Arial" w:cs="Arial"/>
                <w:sz w:val="20"/>
                <w:szCs w:val="20"/>
              </w:rPr>
            </w:pPr>
            <w:r w:rsidRPr="007C3CD4">
              <w:rPr>
                <w:rFonts w:ascii="Arial" w:hAnsi="Arial" w:cs="Arial"/>
                <w:sz w:val="20"/>
                <w:szCs w:val="20"/>
              </w:rPr>
              <w:t>MEL</w:t>
            </w:r>
          </w:p>
        </w:tc>
        <w:tc>
          <w:tcPr>
            <w:tcW w:w="5386" w:type="dxa"/>
          </w:tcPr>
          <w:p w14:paraId="76429340" w14:textId="48285F10" w:rsidR="00092C65" w:rsidRPr="007C3CD4" w:rsidRDefault="00092C65" w:rsidP="00092C65">
            <w:pPr>
              <w:rPr>
                <w:rFonts w:ascii="Arial" w:hAnsi="Arial" w:cs="Arial"/>
                <w:sz w:val="20"/>
                <w:szCs w:val="20"/>
              </w:rPr>
            </w:pPr>
            <w:r w:rsidRPr="007C3CD4">
              <w:rPr>
                <w:rFonts w:ascii="Arial" w:hAnsi="Arial" w:cs="Arial"/>
                <w:color w:val="212121"/>
                <w:sz w:val="20"/>
                <w:szCs w:val="20"/>
              </w:rPr>
              <w:t xml:space="preserve">Monitoring </w:t>
            </w:r>
            <w:proofErr w:type="spellStart"/>
            <w:r w:rsidRPr="007C3CD4">
              <w:rPr>
                <w:rFonts w:ascii="Arial" w:hAnsi="Arial" w:cs="Arial"/>
                <w:color w:val="212121"/>
                <w:sz w:val="20"/>
                <w:szCs w:val="20"/>
              </w:rPr>
              <w:t>Evaluation</w:t>
            </w:r>
            <w:proofErr w:type="spellEnd"/>
            <w:r w:rsidRPr="007C3CD4">
              <w:rPr>
                <w:rFonts w:ascii="Arial" w:hAnsi="Arial" w:cs="Arial"/>
                <w:color w:val="212121"/>
                <w:sz w:val="20"/>
                <w:szCs w:val="20"/>
              </w:rPr>
              <w:t xml:space="preserve"> </w:t>
            </w:r>
            <w:proofErr w:type="spellStart"/>
            <w:r w:rsidRPr="007C3CD4">
              <w:rPr>
                <w:rFonts w:ascii="Arial" w:hAnsi="Arial" w:cs="Arial"/>
                <w:color w:val="212121"/>
                <w:sz w:val="20"/>
                <w:szCs w:val="20"/>
              </w:rPr>
              <w:t>and</w:t>
            </w:r>
            <w:proofErr w:type="spellEnd"/>
            <w:r w:rsidRPr="007C3CD4">
              <w:rPr>
                <w:rFonts w:ascii="Arial" w:hAnsi="Arial" w:cs="Arial"/>
                <w:color w:val="212121"/>
                <w:sz w:val="20"/>
                <w:szCs w:val="20"/>
              </w:rPr>
              <w:t xml:space="preserve"> </w:t>
            </w:r>
            <w:proofErr w:type="spellStart"/>
            <w:r w:rsidRPr="007C3CD4">
              <w:rPr>
                <w:rFonts w:ascii="Arial" w:hAnsi="Arial" w:cs="Arial"/>
                <w:color w:val="212121"/>
                <w:sz w:val="20"/>
                <w:szCs w:val="20"/>
              </w:rPr>
              <w:t>Learning</w:t>
            </w:r>
            <w:proofErr w:type="spellEnd"/>
          </w:p>
        </w:tc>
      </w:tr>
      <w:tr w:rsidR="00092C65" w:rsidRPr="007C3CD4" w14:paraId="28DFFF9C" w14:textId="77777777" w:rsidTr="00DE468B">
        <w:tc>
          <w:tcPr>
            <w:tcW w:w="1980" w:type="dxa"/>
          </w:tcPr>
          <w:p w14:paraId="3E3DA912" w14:textId="77777777" w:rsidR="00092C65" w:rsidRPr="007C3CD4" w:rsidRDefault="00092C65" w:rsidP="00092C65">
            <w:pPr>
              <w:rPr>
                <w:rFonts w:ascii="Arial" w:hAnsi="Arial" w:cs="Arial"/>
                <w:sz w:val="20"/>
                <w:szCs w:val="20"/>
              </w:rPr>
            </w:pPr>
            <w:proofErr w:type="spellStart"/>
            <w:r w:rsidRPr="007C3CD4">
              <w:rPr>
                <w:rFonts w:ascii="Arial" w:hAnsi="Arial" w:cs="Arial"/>
                <w:sz w:val="20"/>
                <w:szCs w:val="20"/>
              </w:rPr>
              <w:t>ToR</w:t>
            </w:r>
            <w:proofErr w:type="spellEnd"/>
          </w:p>
          <w:p w14:paraId="1EAA5CC1" w14:textId="77777777" w:rsidR="00092C65" w:rsidRPr="007C3CD4" w:rsidRDefault="00092C65" w:rsidP="00092C65">
            <w:pPr>
              <w:rPr>
                <w:rFonts w:ascii="Arial" w:hAnsi="Arial" w:cs="Arial"/>
                <w:sz w:val="20"/>
                <w:szCs w:val="20"/>
              </w:rPr>
            </w:pPr>
          </w:p>
        </w:tc>
        <w:tc>
          <w:tcPr>
            <w:tcW w:w="5386" w:type="dxa"/>
          </w:tcPr>
          <w:p w14:paraId="08B52884" w14:textId="636AEEFE" w:rsidR="00092C65" w:rsidRPr="007C3CD4" w:rsidRDefault="00092C65" w:rsidP="00092C65">
            <w:pPr>
              <w:rPr>
                <w:rFonts w:ascii="Arial" w:hAnsi="Arial" w:cs="Arial"/>
                <w:color w:val="212121"/>
                <w:sz w:val="20"/>
                <w:szCs w:val="20"/>
              </w:rPr>
            </w:pPr>
            <w:proofErr w:type="spellStart"/>
            <w:r w:rsidRPr="007C3CD4">
              <w:rPr>
                <w:rFonts w:ascii="Arial" w:hAnsi="Arial" w:cs="Arial"/>
                <w:color w:val="212121"/>
                <w:sz w:val="20"/>
                <w:szCs w:val="20"/>
              </w:rPr>
              <w:t>Terms</w:t>
            </w:r>
            <w:proofErr w:type="spellEnd"/>
            <w:r w:rsidRPr="007C3CD4">
              <w:rPr>
                <w:rFonts w:ascii="Arial" w:hAnsi="Arial" w:cs="Arial"/>
                <w:color w:val="212121"/>
                <w:sz w:val="20"/>
                <w:szCs w:val="20"/>
              </w:rPr>
              <w:t xml:space="preserve"> </w:t>
            </w:r>
            <w:proofErr w:type="spellStart"/>
            <w:r w:rsidRPr="007C3CD4">
              <w:rPr>
                <w:rFonts w:ascii="Arial" w:hAnsi="Arial" w:cs="Arial"/>
                <w:color w:val="212121"/>
                <w:sz w:val="20"/>
                <w:szCs w:val="20"/>
              </w:rPr>
              <w:t>of</w:t>
            </w:r>
            <w:proofErr w:type="spellEnd"/>
            <w:r w:rsidRPr="007C3CD4">
              <w:rPr>
                <w:rFonts w:ascii="Arial" w:hAnsi="Arial" w:cs="Arial"/>
                <w:color w:val="212121"/>
                <w:sz w:val="20"/>
                <w:szCs w:val="20"/>
              </w:rPr>
              <w:t xml:space="preserve"> reference</w:t>
            </w:r>
          </w:p>
        </w:tc>
      </w:tr>
      <w:tr w:rsidR="00092C65" w:rsidRPr="007C3CD4" w14:paraId="34ACA1F3" w14:textId="77777777" w:rsidTr="00DE468B">
        <w:tc>
          <w:tcPr>
            <w:tcW w:w="1980" w:type="dxa"/>
          </w:tcPr>
          <w:p w14:paraId="2EB5E3E1" w14:textId="3E592DE3" w:rsidR="00092C65" w:rsidRPr="007C3CD4" w:rsidRDefault="002429A4" w:rsidP="00092C65">
            <w:pPr>
              <w:rPr>
                <w:rFonts w:ascii="Arial" w:hAnsi="Arial" w:cs="Arial"/>
                <w:sz w:val="20"/>
                <w:szCs w:val="20"/>
              </w:rPr>
            </w:pPr>
            <w:r w:rsidRPr="007C3CD4">
              <w:rPr>
                <w:rFonts w:ascii="Arial" w:hAnsi="Arial" w:cs="Arial"/>
                <w:sz w:val="20"/>
                <w:szCs w:val="20"/>
              </w:rPr>
              <w:t>ME</w:t>
            </w:r>
            <w:r w:rsidR="007C3CD4" w:rsidRPr="007C3CD4">
              <w:rPr>
                <w:rFonts w:ascii="Arial" w:hAnsi="Arial" w:cs="Arial"/>
                <w:sz w:val="20"/>
                <w:szCs w:val="20"/>
              </w:rPr>
              <w:t>R</w:t>
            </w:r>
          </w:p>
        </w:tc>
        <w:tc>
          <w:tcPr>
            <w:tcW w:w="5386" w:type="dxa"/>
          </w:tcPr>
          <w:p w14:paraId="12F3F938" w14:textId="5C930963" w:rsidR="00092C65" w:rsidRPr="007C3CD4" w:rsidRDefault="007C3CD4" w:rsidP="00092C65">
            <w:pPr>
              <w:rPr>
                <w:rFonts w:ascii="Arial" w:hAnsi="Arial" w:cs="Arial"/>
                <w:color w:val="212121"/>
                <w:sz w:val="20"/>
                <w:szCs w:val="20"/>
              </w:rPr>
            </w:pPr>
            <w:r w:rsidRPr="007C3CD4">
              <w:rPr>
                <w:rFonts w:ascii="Arial" w:hAnsi="Arial" w:cs="Arial"/>
                <w:color w:val="212121"/>
                <w:sz w:val="20"/>
                <w:szCs w:val="20"/>
              </w:rPr>
              <w:t>Ministarstvo ekonomskog razvoja</w:t>
            </w:r>
          </w:p>
        </w:tc>
      </w:tr>
      <w:tr w:rsidR="00C4538E" w:rsidRPr="007C3CD4" w14:paraId="3F94F8DC" w14:textId="77777777" w:rsidTr="00DE468B">
        <w:tc>
          <w:tcPr>
            <w:tcW w:w="1980" w:type="dxa"/>
          </w:tcPr>
          <w:p w14:paraId="43D33C7C" w14:textId="1AF77FA1" w:rsidR="00C4538E" w:rsidRPr="007C3CD4" w:rsidRDefault="007C3CD4" w:rsidP="00C4538E">
            <w:pPr>
              <w:rPr>
                <w:rFonts w:ascii="Arial" w:hAnsi="Arial" w:cs="Arial"/>
                <w:sz w:val="20"/>
                <w:szCs w:val="20"/>
              </w:rPr>
            </w:pPr>
            <w:r>
              <w:rPr>
                <w:rFonts w:ascii="Arial" w:hAnsi="Arial" w:cs="Arial"/>
                <w:sz w:val="20"/>
                <w:szCs w:val="20"/>
              </w:rPr>
              <w:t>SZP</w:t>
            </w:r>
          </w:p>
          <w:p w14:paraId="3D966A98" w14:textId="77777777" w:rsidR="00C4538E" w:rsidRPr="007C3CD4" w:rsidRDefault="00C4538E" w:rsidP="00092C65">
            <w:pPr>
              <w:rPr>
                <w:rFonts w:ascii="Arial" w:hAnsi="Arial" w:cs="Arial"/>
                <w:sz w:val="20"/>
                <w:szCs w:val="20"/>
              </w:rPr>
            </w:pPr>
          </w:p>
        </w:tc>
        <w:tc>
          <w:tcPr>
            <w:tcW w:w="5386" w:type="dxa"/>
          </w:tcPr>
          <w:p w14:paraId="4E842BE6" w14:textId="24DE4A9C" w:rsidR="00C4538E" w:rsidRPr="007C3CD4" w:rsidRDefault="007C3CD4" w:rsidP="00092C65">
            <w:pPr>
              <w:rPr>
                <w:rFonts w:ascii="Arial" w:hAnsi="Arial" w:cs="Arial"/>
                <w:color w:val="212121"/>
                <w:sz w:val="20"/>
                <w:szCs w:val="20"/>
              </w:rPr>
            </w:pPr>
            <w:proofErr w:type="spellStart"/>
            <w:r>
              <w:rPr>
                <w:rFonts w:ascii="Arial" w:hAnsi="Arial" w:cs="Arial"/>
                <w:sz w:val="20"/>
                <w:szCs w:val="20"/>
              </w:rPr>
              <w:t>Savjet</w:t>
            </w:r>
            <w:proofErr w:type="spellEnd"/>
            <w:r>
              <w:rPr>
                <w:rFonts w:ascii="Arial" w:hAnsi="Arial" w:cs="Arial"/>
                <w:sz w:val="20"/>
                <w:szCs w:val="20"/>
              </w:rPr>
              <w:t xml:space="preserve"> za zaštitu potrošača</w:t>
            </w:r>
          </w:p>
        </w:tc>
      </w:tr>
    </w:tbl>
    <w:p w14:paraId="3130D04C" w14:textId="0220C3FE" w:rsidR="00092C65" w:rsidRPr="007C3CD4" w:rsidRDefault="00092C65" w:rsidP="002139B3">
      <w:r w:rsidRPr="007C3CD4">
        <w:t xml:space="preserve">   </w:t>
      </w:r>
    </w:p>
    <w:p w14:paraId="08F7F0B6" w14:textId="30D358C4" w:rsidR="002139B3" w:rsidRPr="007C3CD4" w:rsidRDefault="002139B3" w:rsidP="002139B3">
      <w:r w:rsidRPr="007C3CD4">
        <w:t xml:space="preserve"> </w:t>
      </w:r>
    </w:p>
    <w:p w14:paraId="2ADA3AFA" w14:textId="3B0FFE49" w:rsidR="002139B3" w:rsidRPr="007C3CD4" w:rsidRDefault="002139B3" w:rsidP="002139B3"/>
    <w:p w14:paraId="23EF9967" w14:textId="61B2F417" w:rsidR="002139B3" w:rsidRPr="007C3CD4" w:rsidRDefault="002139B3" w:rsidP="002139B3"/>
    <w:p w14:paraId="27DE79CE" w14:textId="42ADEACB" w:rsidR="002139B3" w:rsidRPr="007C3CD4" w:rsidRDefault="002139B3" w:rsidP="00DE468B">
      <w:pPr>
        <w:rPr>
          <w:rFonts w:ascii="Arial" w:hAnsi="Arial" w:cs="Arial"/>
          <w:sz w:val="20"/>
          <w:szCs w:val="20"/>
        </w:rPr>
      </w:pPr>
      <w:r w:rsidRPr="007C3CD4">
        <w:rPr>
          <w:rFonts w:ascii="Arial" w:hAnsi="Arial" w:cs="Arial"/>
          <w:sz w:val="20"/>
          <w:szCs w:val="20"/>
        </w:rPr>
        <w:t xml:space="preserve"> </w:t>
      </w:r>
    </w:p>
    <w:p w14:paraId="6DFDD2E3" w14:textId="3D90333E" w:rsidR="00C43234" w:rsidRPr="00A20BF1" w:rsidRDefault="00C43234" w:rsidP="00C43234">
      <w:pPr>
        <w:rPr>
          <w:rFonts w:ascii="Arial" w:hAnsi="Arial" w:cs="Arial"/>
          <w:b/>
          <w:bCs/>
          <w:i/>
          <w:iCs/>
          <w:szCs w:val="18"/>
          <w:lang w:val="en-GB"/>
        </w:rPr>
      </w:pPr>
    </w:p>
    <w:p w14:paraId="2D2158FE" w14:textId="77777777" w:rsidR="00A40ADB" w:rsidRDefault="00A40ADB">
      <w:pPr>
        <w:rPr>
          <w:rFonts w:ascii="Arial" w:eastAsia="Times New Roman" w:hAnsi="Arial" w:cs="Arial"/>
          <w:b/>
          <w:bCs/>
          <w:i/>
          <w:iCs/>
          <w:color w:val="0060A9"/>
          <w:kern w:val="32"/>
          <w:sz w:val="24"/>
          <w:szCs w:val="18"/>
          <w:lang w:val="en-GB" w:eastAsia="de-DE"/>
        </w:rPr>
      </w:pPr>
      <w:r>
        <w:rPr>
          <w:rFonts w:ascii="Arial" w:hAnsi="Arial"/>
          <w:b/>
          <w:bCs/>
          <w:i/>
          <w:iCs/>
          <w:szCs w:val="18"/>
        </w:rPr>
        <w:br w:type="page"/>
      </w:r>
    </w:p>
    <w:p w14:paraId="7254B3BD" w14:textId="71351563" w:rsidR="002F3354" w:rsidRPr="007C3CD4" w:rsidRDefault="007C3CD4" w:rsidP="007C3CD4">
      <w:pPr>
        <w:pStyle w:val="Heading1"/>
        <w:numPr>
          <w:ilvl w:val="0"/>
          <w:numId w:val="0"/>
        </w:numPr>
        <w:ind w:left="567" w:hanging="567"/>
        <w:rPr>
          <w:rFonts w:ascii="Arial" w:hAnsi="Arial"/>
          <w:b/>
          <w:bCs/>
          <w:i/>
          <w:iCs/>
          <w:szCs w:val="18"/>
        </w:rPr>
      </w:pPr>
      <w:bookmarkStart w:id="0" w:name="_Toc199479344"/>
      <w:proofErr w:type="spellStart"/>
      <w:r>
        <w:rPr>
          <w:rFonts w:ascii="Arial" w:hAnsi="Arial"/>
          <w:b/>
          <w:bCs/>
          <w:i/>
          <w:iCs/>
          <w:szCs w:val="18"/>
        </w:rPr>
        <w:lastRenderedPageBreak/>
        <w:t>Rezime</w:t>
      </w:r>
      <w:bookmarkEnd w:id="0"/>
      <w:proofErr w:type="spellEnd"/>
    </w:p>
    <w:p w14:paraId="605274DE" w14:textId="4A3322B7" w:rsidR="002F3354" w:rsidRDefault="002F3354" w:rsidP="002F3354">
      <w:pPr>
        <w:jc w:val="both"/>
        <w:rPr>
          <w:rFonts w:ascii="Arial" w:hAnsi="Arial" w:cs="Arial"/>
          <w:sz w:val="20"/>
          <w:szCs w:val="20"/>
          <w:lang w:eastAsia="de-DE"/>
        </w:rPr>
      </w:pPr>
      <w:r>
        <w:rPr>
          <w:rFonts w:ascii="Arial" w:hAnsi="Arial" w:cs="Arial"/>
          <w:sz w:val="20"/>
          <w:szCs w:val="20"/>
          <w:lang w:val="en-GB" w:eastAsia="de-DE"/>
        </w:rPr>
        <w:t>Final</w:t>
      </w:r>
      <w:r>
        <w:rPr>
          <w:rFonts w:ascii="Arial" w:hAnsi="Arial" w:cs="Arial"/>
          <w:sz w:val="20"/>
          <w:szCs w:val="20"/>
          <w:lang w:eastAsia="de-DE"/>
        </w:rPr>
        <w:t xml:space="preserve">na evaluacija Nacionalnog programa zaštite potrošača za period 2022-2024 se sprovodi u cilju informisanja Ministarstva ekonomskog razvoja i drugih </w:t>
      </w:r>
      <w:proofErr w:type="spellStart"/>
      <w:r>
        <w:rPr>
          <w:rFonts w:ascii="Arial" w:hAnsi="Arial" w:cs="Arial"/>
          <w:sz w:val="20"/>
          <w:szCs w:val="20"/>
          <w:lang w:eastAsia="de-DE"/>
        </w:rPr>
        <w:t>implementacionih</w:t>
      </w:r>
      <w:proofErr w:type="spellEnd"/>
      <w:r>
        <w:rPr>
          <w:rFonts w:ascii="Arial" w:hAnsi="Arial" w:cs="Arial"/>
          <w:sz w:val="20"/>
          <w:szCs w:val="20"/>
          <w:lang w:eastAsia="de-DE"/>
        </w:rPr>
        <w:t xml:space="preserve"> partnera o rezultatima i efektima sprovedenog programa, te ocene na koji način je program ispunio svoje strateške i operativne ciljeve. Rezultati finalne evaluacije će se koristiti za potrebe finalnog izveštaja o implementaciji Programa. U tom smislu, finalna evaluacija </w:t>
      </w:r>
      <w:r w:rsidR="00E356F5">
        <w:rPr>
          <w:rFonts w:ascii="Arial" w:hAnsi="Arial" w:cs="Arial"/>
          <w:sz w:val="20"/>
          <w:szCs w:val="20"/>
          <w:lang w:eastAsia="de-DE"/>
        </w:rPr>
        <w:t>predstavlja deo analize stanja za potrebe izrade novog Nacionalnog programa zaštite potrošača za period 2025-2027.</w:t>
      </w:r>
    </w:p>
    <w:p w14:paraId="758538CC" w14:textId="14574316" w:rsidR="00EA1C56" w:rsidRDefault="00EA1C56" w:rsidP="002F3354">
      <w:pPr>
        <w:jc w:val="both"/>
        <w:rPr>
          <w:rFonts w:ascii="Arial" w:hAnsi="Arial" w:cs="Arial"/>
          <w:sz w:val="20"/>
          <w:szCs w:val="20"/>
          <w:lang w:eastAsia="de-DE"/>
        </w:rPr>
      </w:pPr>
      <w:r>
        <w:rPr>
          <w:rFonts w:ascii="Arial" w:hAnsi="Arial" w:cs="Arial"/>
          <w:sz w:val="20"/>
          <w:szCs w:val="20"/>
          <w:lang w:eastAsia="de-DE"/>
        </w:rPr>
        <w:t>U cilju ostvarenja većeg nivoa objektivnosti, finalna evaluacija se sprovodi eksterno u skladu sa odeljkom V Programa, a u sklopu uspostavljenog okvira za monitoring, evaluaciju i izveštavanje o rezultatima predmetnog dokumenta javne politike. Finalna evaluacija pr</w:t>
      </w:r>
      <w:r w:rsidR="00C532FF">
        <w:rPr>
          <w:rFonts w:ascii="Arial" w:hAnsi="Arial" w:cs="Arial"/>
          <w:sz w:val="20"/>
          <w:szCs w:val="20"/>
          <w:lang w:eastAsia="de-DE"/>
        </w:rPr>
        <w:t>imenjuje</w:t>
      </w:r>
      <w:r>
        <w:rPr>
          <w:rFonts w:ascii="Arial" w:hAnsi="Arial" w:cs="Arial"/>
          <w:sz w:val="20"/>
          <w:szCs w:val="20"/>
          <w:lang w:eastAsia="de-DE"/>
        </w:rPr>
        <w:t xml:space="preserve"> metodološki pristup baziran na dokazima i </w:t>
      </w:r>
      <w:proofErr w:type="spellStart"/>
      <w:r>
        <w:rPr>
          <w:rFonts w:ascii="Arial" w:hAnsi="Arial" w:cs="Arial"/>
          <w:sz w:val="20"/>
          <w:szCs w:val="20"/>
          <w:lang w:eastAsia="de-DE"/>
        </w:rPr>
        <w:t>participativnom</w:t>
      </w:r>
      <w:proofErr w:type="spellEnd"/>
      <w:r>
        <w:rPr>
          <w:rFonts w:ascii="Arial" w:hAnsi="Arial" w:cs="Arial"/>
          <w:sz w:val="20"/>
          <w:szCs w:val="20"/>
          <w:lang w:eastAsia="de-DE"/>
        </w:rPr>
        <w:t xml:space="preserve"> modelom koji se zasniva podjednako na analizi relevantne dokumentacije i na konsultativnom procesu, odnosno prikupljanju podataka kroz pregled dostupne literature (</w:t>
      </w:r>
      <w:proofErr w:type="spellStart"/>
      <w:r>
        <w:rPr>
          <w:rFonts w:ascii="Arial" w:hAnsi="Arial" w:cs="Arial"/>
          <w:sz w:val="20"/>
          <w:szCs w:val="20"/>
          <w:lang w:eastAsia="de-DE"/>
        </w:rPr>
        <w:t>implementacionih</w:t>
      </w:r>
      <w:proofErr w:type="spellEnd"/>
      <w:r>
        <w:rPr>
          <w:rFonts w:ascii="Arial" w:hAnsi="Arial" w:cs="Arial"/>
          <w:sz w:val="20"/>
          <w:szCs w:val="20"/>
          <w:lang w:eastAsia="de-DE"/>
        </w:rPr>
        <w:t xml:space="preserve"> izveštaja organa javne uprave, strateških dokumenata i </w:t>
      </w:r>
      <w:r w:rsidR="003245F2">
        <w:rPr>
          <w:rFonts w:ascii="Arial" w:hAnsi="Arial" w:cs="Arial"/>
          <w:sz w:val="20"/>
          <w:szCs w:val="20"/>
          <w:lang w:eastAsia="de-DE"/>
        </w:rPr>
        <w:t xml:space="preserve">nezavisnih eksternih izveštaja, između ostalih) i kroz ličnu perspektivu odabranih učesnika koji su učestvovali u procesu donošenja, implementacije i izveštavanja o Programu. </w:t>
      </w:r>
    </w:p>
    <w:p w14:paraId="3A04D007" w14:textId="2162D8A1" w:rsidR="003245F2" w:rsidRDefault="003245F2" w:rsidP="002F3354">
      <w:pPr>
        <w:jc w:val="both"/>
        <w:rPr>
          <w:rFonts w:ascii="Arial" w:hAnsi="Arial" w:cs="Arial"/>
          <w:sz w:val="20"/>
          <w:szCs w:val="20"/>
          <w:lang w:eastAsia="de-DE"/>
        </w:rPr>
      </w:pPr>
      <w:r w:rsidRPr="003245F2">
        <w:rPr>
          <w:rFonts w:ascii="Arial" w:hAnsi="Arial" w:cs="Arial"/>
          <w:sz w:val="20"/>
          <w:szCs w:val="20"/>
          <w:lang w:eastAsia="de-DE"/>
        </w:rPr>
        <w:t xml:space="preserve">Ova evaluacija ispunjava zahteve UNDP </w:t>
      </w:r>
      <w:r>
        <w:rPr>
          <w:rFonts w:ascii="Arial" w:hAnsi="Arial" w:cs="Arial"/>
          <w:sz w:val="20"/>
          <w:szCs w:val="20"/>
          <w:lang w:eastAsia="de-DE"/>
        </w:rPr>
        <w:t xml:space="preserve">Crna Gora </w:t>
      </w:r>
      <w:r w:rsidRPr="003245F2">
        <w:rPr>
          <w:rFonts w:ascii="Arial" w:hAnsi="Arial" w:cs="Arial"/>
          <w:sz w:val="20"/>
          <w:szCs w:val="20"/>
          <w:lang w:eastAsia="de-DE"/>
        </w:rPr>
        <w:t xml:space="preserve">i </w:t>
      </w:r>
      <w:r>
        <w:rPr>
          <w:rFonts w:ascii="Arial" w:hAnsi="Arial" w:cs="Arial"/>
          <w:sz w:val="20"/>
          <w:szCs w:val="20"/>
          <w:lang w:eastAsia="de-DE"/>
        </w:rPr>
        <w:t>Ministarstva ekonoms</w:t>
      </w:r>
      <w:r w:rsidR="00C532FF">
        <w:rPr>
          <w:rFonts w:ascii="Arial" w:hAnsi="Arial" w:cs="Arial"/>
          <w:sz w:val="20"/>
          <w:szCs w:val="20"/>
          <w:lang w:eastAsia="de-DE"/>
        </w:rPr>
        <w:t>kog</w:t>
      </w:r>
      <w:r>
        <w:rPr>
          <w:rFonts w:ascii="Arial" w:hAnsi="Arial" w:cs="Arial"/>
          <w:sz w:val="20"/>
          <w:szCs w:val="20"/>
          <w:lang w:eastAsia="de-DE"/>
        </w:rPr>
        <w:t xml:space="preserve"> razvoj</w:t>
      </w:r>
      <w:r w:rsidRPr="003245F2">
        <w:rPr>
          <w:rFonts w:ascii="Arial" w:hAnsi="Arial" w:cs="Arial"/>
          <w:sz w:val="20"/>
          <w:szCs w:val="20"/>
          <w:lang w:eastAsia="de-DE"/>
        </w:rPr>
        <w:t xml:space="preserve"> za sprovođenje nezavisne revizije u završnoj fazi implementacije programa, u svrhu učenja i refleksije o upravlja</w:t>
      </w:r>
      <w:r>
        <w:rPr>
          <w:rFonts w:ascii="Arial" w:hAnsi="Arial" w:cs="Arial"/>
          <w:sz w:val="20"/>
          <w:szCs w:val="20"/>
          <w:lang w:eastAsia="de-DE"/>
        </w:rPr>
        <w:t>čkim mehanizmima</w:t>
      </w:r>
      <w:r w:rsidRPr="003245F2">
        <w:rPr>
          <w:rFonts w:ascii="Arial" w:hAnsi="Arial" w:cs="Arial"/>
          <w:sz w:val="20"/>
          <w:szCs w:val="20"/>
          <w:lang w:eastAsia="de-DE"/>
        </w:rPr>
        <w:t xml:space="preserve"> i rezultatima. Očekuje se da </w:t>
      </w:r>
      <w:proofErr w:type="spellStart"/>
      <w:r w:rsidRPr="003245F2">
        <w:rPr>
          <w:rFonts w:ascii="Arial" w:hAnsi="Arial" w:cs="Arial"/>
          <w:sz w:val="20"/>
          <w:szCs w:val="20"/>
          <w:lang w:eastAsia="de-DE"/>
        </w:rPr>
        <w:t>će</w:t>
      </w:r>
      <w:proofErr w:type="spellEnd"/>
      <w:r w:rsidRPr="003245F2">
        <w:rPr>
          <w:rFonts w:ascii="Arial" w:hAnsi="Arial" w:cs="Arial"/>
          <w:sz w:val="20"/>
          <w:szCs w:val="20"/>
          <w:lang w:eastAsia="de-DE"/>
        </w:rPr>
        <w:t xml:space="preserve"> nalazi i preporuke </w:t>
      </w:r>
      <w:r>
        <w:rPr>
          <w:rFonts w:ascii="Arial" w:hAnsi="Arial" w:cs="Arial"/>
          <w:sz w:val="20"/>
          <w:szCs w:val="20"/>
          <w:lang w:eastAsia="de-DE"/>
        </w:rPr>
        <w:t>finalne evaluacije</w:t>
      </w:r>
      <w:r w:rsidRPr="003245F2">
        <w:rPr>
          <w:rFonts w:ascii="Arial" w:hAnsi="Arial" w:cs="Arial"/>
          <w:sz w:val="20"/>
          <w:szCs w:val="20"/>
          <w:lang w:eastAsia="de-DE"/>
        </w:rPr>
        <w:t xml:space="preserve"> </w:t>
      </w:r>
      <w:proofErr w:type="spellStart"/>
      <w:r w:rsidRPr="003245F2">
        <w:rPr>
          <w:rFonts w:ascii="Arial" w:hAnsi="Arial" w:cs="Arial"/>
          <w:sz w:val="20"/>
          <w:szCs w:val="20"/>
          <w:lang w:eastAsia="de-DE"/>
        </w:rPr>
        <w:t>pomoći</w:t>
      </w:r>
      <w:proofErr w:type="spellEnd"/>
      <w:r w:rsidRPr="003245F2">
        <w:rPr>
          <w:rFonts w:ascii="Arial" w:hAnsi="Arial" w:cs="Arial"/>
          <w:sz w:val="20"/>
          <w:szCs w:val="20"/>
          <w:lang w:eastAsia="de-DE"/>
        </w:rPr>
        <w:t xml:space="preserve"> u identifikaciji potrebnih korekcija u pristupu i aktivnostima upravljanja </w:t>
      </w:r>
      <w:r>
        <w:rPr>
          <w:rFonts w:ascii="Arial" w:hAnsi="Arial" w:cs="Arial"/>
          <w:sz w:val="20"/>
          <w:szCs w:val="20"/>
          <w:lang w:eastAsia="de-DE"/>
        </w:rPr>
        <w:t>Program</w:t>
      </w:r>
      <w:r w:rsidR="00C532FF">
        <w:rPr>
          <w:rFonts w:ascii="Arial" w:hAnsi="Arial" w:cs="Arial"/>
          <w:sz w:val="20"/>
          <w:szCs w:val="20"/>
          <w:lang w:eastAsia="de-DE"/>
        </w:rPr>
        <w:t>om</w:t>
      </w:r>
      <w:r>
        <w:rPr>
          <w:rFonts w:ascii="Arial" w:hAnsi="Arial" w:cs="Arial"/>
          <w:sz w:val="20"/>
          <w:szCs w:val="20"/>
          <w:lang w:eastAsia="de-DE"/>
        </w:rPr>
        <w:t>, te</w:t>
      </w:r>
      <w:r w:rsidRPr="003245F2">
        <w:rPr>
          <w:rFonts w:ascii="Arial" w:hAnsi="Arial" w:cs="Arial"/>
          <w:sz w:val="20"/>
          <w:szCs w:val="20"/>
          <w:lang w:eastAsia="de-DE"/>
        </w:rPr>
        <w:t xml:space="preserve"> doneti vredne eksterne refleksije koje će pomoći u jačanju </w:t>
      </w:r>
      <w:proofErr w:type="spellStart"/>
      <w:r>
        <w:rPr>
          <w:rFonts w:ascii="Arial" w:hAnsi="Arial" w:cs="Arial"/>
          <w:sz w:val="20"/>
          <w:szCs w:val="20"/>
          <w:lang w:eastAsia="de-DE"/>
        </w:rPr>
        <w:t>sprovedbenog</w:t>
      </w:r>
      <w:proofErr w:type="spellEnd"/>
      <w:r>
        <w:rPr>
          <w:rFonts w:ascii="Arial" w:hAnsi="Arial" w:cs="Arial"/>
          <w:sz w:val="20"/>
          <w:szCs w:val="20"/>
          <w:lang w:eastAsia="de-DE"/>
        </w:rPr>
        <w:t xml:space="preserve"> procesa</w:t>
      </w:r>
      <w:r w:rsidRPr="003245F2">
        <w:rPr>
          <w:rFonts w:ascii="Arial" w:hAnsi="Arial" w:cs="Arial"/>
          <w:sz w:val="20"/>
          <w:szCs w:val="20"/>
          <w:lang w:eastAsia="de-DE"/>
        </w:rPr>
        <w:t xml:space="preserve"> i </w:t>
      </w:r>
      <w:r>
        <w:rPr>
          <w:rFonts w:ascii="Arial" w:hAnsi="Arial" w:cs="Arial"/>
          <w:sz w:val="20"/>
          <w:szCs w:val="20"/>
          <w:lang w:eastAsia="de-DE"/>
        </w:rPr>
        <w:t>dati preporuke za nadogradnj</w:t>
      </w:r>
      <w:r w:rsidR="00C532FF">
        <w:rPr>
          <w:rFonts w:ascii="Arial" w:hAnsi="Arial" w:cs="Arial"/>
          <w:sz w:val="20"/>
          <w:szCs w:val="20"/>
          <w:lang w:eastAsia="de-DE"/>
        </w:rPr>
        <w:t>u</w:t>
      </w:r>
      <w:r w:rsidRPr="003245F2">
        <w:rPr>
          <w:rFonts w:ascii="Arial" w:hAnsi="Arial" w:cs="Arial"/>
          <w:sz w:val="20"/>
          <w:szCs w:val="20"/>
          <w:lang w:eastAsia="de-DE"/>
        </w:rPr>
        <w:t xml:space="preserve"> sistem</w:t>
      </w:r>
      <w:r>
        <w:rPr>
          <w:rFonts w:ascii="Arial" w:hAnsi="Arial" w:cs="Arial"/>
          <w:sz w:val="20"/>
          <w:szCs w:val="20"/>
          <w:lang w:eastAsia="de-DE"/>
        </w:rPr>
        <w:t>a za</w:t>
      </w:r>
      <w:r w:rsidRPr="003245F2">
        <w:rPr>
          <w:rFonts w:ascii="Arial" w:hAnsi="Arial" w:cs="Arial"/>
          <w:sz w:val="20"/>
          <w:szCs w:val="20"/>
          <w:lang w:eastAsia="de-DE"/>
        </w:rPr>
        <w:t xml:space="preserve"> </w:t>
      </w:r>
      <w:proofErr w:type="spellStart"/>
      <w:r w:rsidRPr="003245F2">
        <w:rPr>
          <w:rFonts w:ascii="Arial" w:hAnsi="Arial" w:cs="Arial"/>
          <w:sz w:val="20"/>
          <w:szCs w:val="20"/>
          <w:lang w:eastAsia="de-DE"/>
        </w:rPr>
        <w:t>praćenja</w:t>
      </w:r>
      <w:proofErr w:type="spellEnd"/>
      <w:r w:rsidRPr="003245F2">
        <w:rPr>
          <w:rFonts w:ascii="Arial" w:hAnsi="Arial" w:cs="Arial"/>
          <w:sz w:val="20"/>
          <w:szCs w:val="20"/>
          <w:lang w:eastAsia="de-DE"/>
        </w:rPr>
        <w:t>, evaluacije i učenj</w:t>
      </w:r>
      <w:r>
        <w:rPr>
          <w:rFonts w:ascii="Arial" w:hAnsi="Arial" w:cs="Arial"/>
          <w:sz w:val="20"/>
          <w:szCs w:val="20"/>
          <w:lang w:eastAsia="de-DE"/>
        </w:rPr>
        <w:t>e</w:t>
      </w:r>
      <w:r w:rsidRPr="003245F2">
        <w:rPr>
          <w:rFonts w:ascii="Arial" w:hAnsi="Arial" w:cs="Arial"/>
          <w:sz w:val="20"/>
          <w:szCs w:val="20"/>
          <w:lang w:eastAsia="de-DE"/>
        </w:rPr>
        <w:t xml:space="preserve"> (</w:t>
      </w:r>
      <w:proofErr w:type="spellStart"/>
      <w:r>
        <w:rPr>
          <w:rFonts w:ascii="Arial" w:hAnsi="Arial" w:cs="Arial"/>
          <w:sz w:val="20"/>
          <w:szCs w:val="20"/>
          <w:lang w:eastAsia="de-DE"/>
        </w:rPr>
        <w:t>eng</w:t>
      </w:r>
      <w:proofErr w:type="spellEnd"/>
      <w:r>
        <w:rPr>
          <w:rFonts w:ascii="Arial" w:hAnsi="Arial" w:cs="Arial"/>
          <w:sz w:val="20"/>
          <w:szCs w:val="20"/>
          <w:lang w:eastAsia="de-DE"/>
        </w:rPr>
        <w:t xml:space="preserve">. </w:t>
      </w:r>
      <w:r w:rsidRPr="003245F2">
        <w:rPr>
          <w:rFonts w:ascii="Arial" w:hAnsi="Arial" w:cs="Arial"/>
          <w:sz w:val="20"/>
          <w:szCs w:val="20"/>
          <w:lang w:eastAsia="de-DE"/>
        </w:rPr>
        <w:t>M</w:t>
      </w:r>
      <w:r>
        <w:rPr>
          <w:rFonts w:ascii="Arial" w:hAnsi="Arial" w:cs="Arial"/>
          <w:sz w:val="20"/>
          <w:szCs w:val="20"/>
          <w:lang w:eastAsia="de-DE"/>
        </w:rPr>
        <w:t xml:space="preserve">onitoring, </w:t>
      </w:r>
      <w:proofErr w:type="spellStart"/>
      <w:r w:rsidRPr="003245F2">
        <w:rPr>
          <w:rFonts w:ascii="Arial" w:hAnsi="Arial" w:cs="Arial"/>
          <w:sz w:val="20"/>
          <w:szCs w:val="20"/>
          <w:lang w:eastAsia="de-DE"/>
        </w:rPr>
        <w:t>E</w:t>
      </w:r>
      <w:r>
        <w:rPr>
          <w:rFonts w:ascii="Arial" w:hAnsi="Arial" w:cs="Arial"/>
          <w:sz w:val="20"/>
          <w:szCs w:val="20"/>
          <w:lang w:eastAsia="de-DE"/>
        </w:rPr>
        <w:t>valuation</w:t>
      </w:r>
      <w:proofErr w:type="spellEnd"/>
      <w:r>
        <w:rPr>
          <w:rFonts w:ascii="Arial" w:hAnsi="Arial" w:cs="Arial"/>
          <w:sz w:val="20"/>
          <w:szCs w:val="20"/>
          <w:lang w:eastAsia="de-DE"/>
        </w:rPr>
        <w:t xml:space="preserve"> </w:t>
      </w:r>
      <w:proofErr w:type="spellStart"/>
      <w:r>
        <w:rPr>
          <w:rFonts w:ascii="Arial" w:hAnsi="Arial" w:cs="Arial"/>
          <w:sz w:val="20"/>
          <w:szCs w:val="20"/>
          <w:lang w:eastAsia="de-DE"/>
        </w:rPr>
        <w:t>and</w:t>
      </w:r>
      <w:proofErr w:type="spellEnd"/>
      <w:r>
        <w:rPr>
          <w:rFonts w:ascii="Arial" w:hAnsi="Arial" w:cs="Arial"/>
          <w:sz w:val="20"/>
          <w:szCs w:val="20"/>
          <w:lang w:eastAsia="de-DE"/>
        </w:rPr>
        <w:t xml:space="preserve"> </w:t>
      </w:r>
      <w:proofErr w:type="spellStart"/>
      <w:r w:rsidRPr="003245F2">
        <w:rPr>
          <w:rFonts w:ascii="Arial" w:hAnsi="Arial" w:cs="Arial"/>
          <w:sz w:val="20"/>
          <w:szCs w:val="20"/>
          <w:lang w:eastAsia="de-DE"/>
        </w:rPr>
        <w:t>L</w:t>
      </w:r>
      <w:r>
        <w:rPr>
          <w:rFonts w:ascii="Arial" w:hAnsi="Arial" w:cs="Arial"/>
          <w:sz w:val="20"/>
          <w:szCs w:val="20"/>
          <w:lang w:eastAsia="de-DE"/>
        </w:rPr>
        <w:t>earning</w:t>
      </w:r>
      <w:proofErr w:type="spellEnd"/>
      <w:r w:rsidRPr="003245F2">
        <w:rPr>
          <w:rFonts w:ascii="Arial" w:hAnsi="Arial" w:cs="Arial"/>
          <w:sz w:val="20"/>
          <w:szCs w:val="20"/>
          <w:lang w:eastAsia="de-DE"/>
        </w:rPr>
        <w:t>) kroz adaptivni modalitet upravljanja.</w:t>
      </w:r>
    </w:p>
    <w:p w14:paraId="47BB8B9C" w14:textId="30693A11" w:rsidR="00C532FF" w:rsidRDefault="00C532FF" w:rsidP="002F3354">
      <w:pPr>
        <w:jc w:val="both"/>
        <w:rPr>
          <w:rFonts w:ascii="Arial" w:hAnsi="Arial" w:cs="Arial"/>
          <w:sz w:val="20"/>
          <w:szCs w:val="20"/>
          <w:lang w:eastAsia="de-DE"/>
        </w:rPr>
      </w:pPr>
      <w:r>
        <w:rPr>
          <w:rFonts w:ascii="Arial" w:hAnsi="Arial" w:cs="Arial"/>
          <w:sz w:val="20"/>
          <w:szCs w:val="20"/>
          <w:lang w:eastAsia="de-DE"/>
        </w:rPr>
        <w:t xml:space="preserve">U skladu sa zahtevima, zaključci finalne evaluacije su predstavljeni u odnosu na </w:t>
      </w:r>
      <w:proofErr w:type="spellStart"/>
      <w:r>
        <w:rPr>
          <w:rFonts w:ascii="Arial" w:hAnsi="Arial" w:cs="Arial"/>
          <w:sz w:val="20"/>
          <w:szCs w:val="20"/>
          <w:lang w:eastAsia="de-DE"/>
        </w:rPr>
        <w:t>evaluacione</w:t>
      </w:r>
      <w:proofErr w:type="spellEnd"/>
      <w:r>
        <w:rPr>
          <w:rFonts w:ascii="Arial" w:hAnsi="Arial" w:cs="Arial"/>
          <w:sz w:val="20"/>
          <w:szCs w:val="20"/>
          <w:lang w:eastAsia="de-DE"/>
        </w:rPr>
        <w:t xml:space="preserve"> kriterijume: relevantnost, efektivnost, rezultati, efikasnost i koherentnost. Imajući u vidu OECD DAC kriterijume za kvalitetnu evaluaciju, takođe je u okviru kriterijuma istraživanja održivost Programa, odnosno na koji način se obezbeđuje </w:t>
      </w:r>
      <w:proofErr w:type="spellStart"/>
      <w:r>
        <w:rPr>
          <w:rFonts w:ascii="Arial" w:hAnsi="Arial" w:cs="Arial"/>
          <w:sz w:val="20"/>
          <w:szCs w:val="20"/>
          <w:lang w:eastAsia="de-DE"/>
        </w:rPr>
        <w:t>dugoročnost</w:t>
      </w:r>
      <w:proofErr w:type="spellEnd"/>
      <w:r>
        <w:rPr>
          <w:rFonts w:ascii="Arial" w:hAnsi="Arial" w:cs="Arial"/>
          <w:sz w:val="20"/>
          <w:szCs w:val="20"/>
          <w:lang w:eastAsia="de-DE"/>
        </w:rPr>
        <w:t xml:space="preserve"> rezultata programa, te maksimiraju efekti učinjenog. </w:t>
      </w:r>
      <w:r w:rsidR="00CE43BE">
        <w:rPr>
          <w:rFonts w:ascii="Arial" w:hAnsi="Arial" w:cs="Arial"/>
          <w:sz w:val="20"/>
          <w:szCs w:val="20"/>
          <w:lang w:eastAsia="de-DE"/>
        </w:rPr>
        <w:t xml:space="preserve">Za potrebe finalne evaluacije definisana ključna </w:t>
      </w:r>
      <w:proofErr w:type="spellStart"/>
      <w:r w:rsidR="00CE43BE">
        <w:rPr>
          <w:rFonts w:ascii="Arial" w:hAnsi="Arial" w:cs="Arial"/>
          <w:sz w:val="20"/>
          <w:szCs w:val="20"/>
          <w:lang w:eastAsia="de-DE"/>
        </w:rPr>
        <w:t>evaluaciona</w:t>
      </w:r>
      <w:proofErr w:type="spellEnd"/>
      <w:r w:rsidR="00CE43BE">
        <w:rPr>
          <w:rFonts w:ascii="Arial" w:hAnsi="Arial" w:cs="Arial"/>
          <w:sz w:val="20"/>
          <w:szCs w:val="20"/>
          <w:lang w:eastAsia="de-DE"/>
        </w:rPr>
        <w:t xml:space="preserve"> pitanja u sklopu svakog razmatranog </w:t>
      </w:r>
      <w:proofErr w:type="spellStart"/>
      <w:r w:rsidR="00CE43BE">
        <w:rPr>
          <w:rFonts w:ascii="Arial" w:hAnsi="Arial" w:cs="Arial"/>
          <w:sz w:val="20"/>
          <w:szCs w:val="20"/>
          <w:lang w:eastAsia="de-DE"/>
        </w:rPr>
        <w:t>evaluacionog</w:t>
      </w:r>
      <w:proofErr w:type="spellEnd"/>
      <w:r w:rsidR="00CE43BE">
        <w:rPr>
          <w:rFonts w:ascii="Arial" w:hAnsi="Arial" w:cs="Arial"/>
          <w:sz w:val="20"/>
          <w:szCs w:val="20"/>
          <w:lang w:eastAsia="de-DE"/>
        </w:rPr>
        <w:t xml:space="preserve"> kriterijuma, pri čemu je fokus bio na utvrđivanju direktnih i indirektnih efekata Programa i identifikacije najboljih praksi u toku sprovođenja. Takođe, ključna pitanja su kasnije u toku konsultacija služila za formiranje upitnika koji je korišćen u toku konsultacija sa zainteresovanim stranama. Upitnik je prilagođen potrebama evaluacije i fokusirao se, pre svega, na dobijanje podataka koji nisu sadržani u analiziranim dokumentima ili za dobijanje </w:t>
      </w:r>
      <w:proofErr w:type="spellStart"/>
      <w:r w:rsidR="00CE43BE">
        <w:rPr>
          <w:rFonts w:ascii="Arial" w:hAnsi="Arial" w:cs="Arial"/>
          <w:sz w:val="20"/>
          <w:szCs w:val="20"/>
          <w:lang w:eastAsia="de-DE"/>
        </w:rPr>
        <w:t>validacionih</w:t>
      </w:r>
      <w:proofErr w:type="spellEnd"/>
      <w:r w:rsidR="00CE43BE">
        <w:rPr>
          <w:rFonts w:ascii="Arial" w:hAnsi="Arial" w:cs="Arial"/>
          <w:sz w:val="20"/>
          <w:szCs w:val="20"/>
          <w:lang w:eastAsia="de-DE"/>
        </w:rPr>
        <w:t xml:space="preserve"> podataka, odnosno podataka koji govore u prilog zaključcima dobijenih iz analize dokumenata. </w:t>
      </w:r>
    </w:p>
    <w:p w14:paraId="5A347712" w14:textId="1DAE2C91" w:rsidR="002A0EEA" w:rsidRDefault="002A0EEA" w:rsidP="002F3354">
      <w:pPr>
        <w:jc w:val="both"/>
        <w:rPr>
          <w:rFonts w:ascii="Arial" w:hAnsi="Arial" w:cs="Arial"/>
          <w:sz w:val="20"/>
          <w:szCs w:val="20"/>
          <w:lang w:eastAsia="de-DE"/>
        </w:rPr>
      </w:pPr>
      <w:r>
        <w:rPr>
          <w:rFonts w:ascii="Arial" w:hAnsi="Arial" w:cs="Arial"/>
          <w:sz w:val="20"/>
          <w:szCs w:val="20"/>
          <w:lang w:eastAsia="de-DE"/>
        </w:rPr>
        <w:t xml:space="preserve">Kvalitet samog dokumenta javne politike je razmatran sa stanovišta zadovoljenja nacionalnih metodoloških pravila koja se tiču sadržine programa, te na koji način dokument adresira društveni kontekst u oblasti zaštite potrošača, te da li su na celishodan način definisani strateški i operativni ciljevi, i u kojoj meri je odgovaraju društvenim potrebama. </w:t>
      </w:r>
    </w:p>
    <w:p w14:paraId="4D24D4D2" w14:textId="55406294" w:rsidR="002A0EEA" w:rsidRDefault="002A0EEA" w:rsidP="002F3354">
      <w:pPr>
        <w:jc w:val="both"/>
        <w:rPr>
          <w:rFonts w:ascii="Arial" w:hAnsi="Arial" w:cs="Arial"/>
          <w:sz w:val="20"/>
          <w:szCs w:val="20"/>
          <w:lang w:eastAsia="de-DE"/>
        </w:rPr>
      </w:pPr>
      <w:r>
        <w:rPr>
          <w:rFonts w:ascii="Arial" w:hAnsi="Arial" w:cs="Arial"/>
          <w:sz w:val="20"/>
          <w:szCs w:val="20"/>
          <w:lang w:eastAsia="de-DE"/>
        </w:rPr>
        <w:t>Finalna evaluacija je, stoga, zaključila da Nacionalni program zaštite potrošača postavlja jasnu hijerarhiju ciljeva u vidu osnovnog, strateškog cilja i tri operativna (specifična) cilja. Za potrebe praćenje rezultata programa definisana su šest indikatora</w:t>
      </w:r>
      <w:r w:rsidR="00EC7616">
        <w:rPr>
          <w:rFonts w:ascii="Arial" w:hAnsi="Arial" w:cs="Arial"/>
          <w:sz w:val="20"/>
          <w:szCs w:val="20"/>
          <w:lang w:eastAsia="de-DE"/>
        </w:rPr>
        <w:t xml:space="preserve"> sa početnim vrednostima, kao i </w:t>
      </w:r>
      <w:proofErr w:type="spellStart"/>
      <w:r w:rsidR="00EC7616">
        <w:rPr>
          <w:rFonts w:ascii="Arial" w:hAnsi="Arial" w:cs="Arial"/>
          <w:sz w:val="20"/>
          <w:szCs w:val="20"/>
          <w:lang w:eastAsia="de-DE"/>
        </w:rPr>
        <w:t>targetiranim</w:t>
      </w:r>
      <w:proofErr w:type="spellEnd"/>
      <w:r w:rsidR="00EC7616">
        <w:rPr>
          <w:rFonts w:ascii="Arial" w:hAnsi="Arial" w:cs="Arial"/>
          <w:sz w:val="20"/>
          <w:szCs w:val="20"/>
          <w:lang w:eastAsia="de-DE"/>
        </w:rPr>
        <w:t xml:space="preserve"> vrednosnima nakon prve godine realizacije programa i konačnim vrednostima nakon okončanja važenja Programa. Utvrđeno je, da je u skladu sa zahtevima Programa, na godišnjem nivou izveštavano o realizaciji Programa, pri čemu su u datim izveštajima pružena narativna obrazloženja o postizanju ciljeva, dok je o indikatorima izveštavamo na analitički način, odnosno kroz pružanja numeričkih vrednosti koje govore u prilog ili protiv postizanja očekivanih rezultata. </w:t>
      </w:r>
    </w:p>
    <w:p w14:paraId="35224EAB" w14:textId="316F3352" w:rsidR="006A4DE0" w:rsidRDefault="006A4DE0" w:rsidP="002F3354">
      <w:pPr>
        <w:jc w:val="both"/>
        <w:rPr>
          <w:rFonts w:ascii="Arial" w:hAnsi="Arial" w:cs="Arial"/>
          <w:sz w:val="20"/>
          <w:szCs w:val="20"/>
          <w:lang w:eastAsia="de-DE"/>
        </w:rPr>
      </w:pPr>
      <w:r>
        <w:rPr>
          <w:rFonts w:ascii="Arial" w:hAnsi="Arial" w:cs="Arial"/>
          <w:sz w:val="20"/>
          <w:szCs w:val="20"/>
          <w:lang w:eastAsia="de-DE"/>
        </w:rPr>
        <w:t>U odgovaranju na pitanje k</w:t>
      </w:r>
      <w:r w:rsidRPr="006A4DE0">
        <w:rPr>
          <w:rFonts w:ascii="Arial" w:hAnsi="Arial" w:cs="Arial"/>
          <w:sz w:val="20"/>
          <w:szCs w:val="20"/>
          <w:lang w:eastAsia="de-DE"/>
        </w:rPr>
        <w:t xml:space="preserve">oliko je pristup i logika intervencije </w:t>
      </w:r>
      <w:r>
        <w:rPr>
          <w:rFonts w:ascii="Arial" w:hAnsi="Arial" w:cs="Arial"/>
          <w:sz w:val="20"/>
          <w:szCs w:val="20"/>
          <w:lang w:eastAsia="de-DE"/>
        </w:rPr>
        <w:t>Programa</w:t>
      </w:r>
      <w:r w:rsidRPr="006A4DE0">
        <w:rPr>
          <w:rFonts w:ascii="Arial" w:hAnsi="Arial" w:cs="Arial"/>
          <w:sz w:val="20"/>
          <w:szCs w:val="20"/>
          <w:lang w:eastAsia="de-DE"/>
        </w:rPr>
        <w:t xml:space="preserve"> bi</w:t>
      </w:r>
      <w:r>
        <w:rPr>
          <w:rFonts w:ascii="Arial" w:hAnsi="Arial" w:cs="Arial"/>
          <w:sz w:val="20"/>
          <w:szCs w:val="20"/>
          <w:lang w:eastAsia="de-DE"/>
        </w:rPr>
        <w:t>la</w:t>
      </w:r>
      <w:r w:rsidRPr="006A4DE0">
        <w:rPr>
          <w:rFonts w:ascii="Arial" w:hAnsi="Arial" w:cs="Arial"/>
          <w:sz w:val="20"/>
          <w:szCs w:val="20"/>
          <w:lang w:eastAsia="de-DE"/>
        </w:rPr>
        <w:t xml:space="preserve"> priklad</w:t>
      </w:r>
      <w:r>
        <w:rPr>
          <w:rFonts w:ascii="Arial" w:hAnsi="Arial" w:cs="Arial"/>
          <w:sz w:val="20"/>
          <w:szCs w:val="20"/>
          <w:lang w:eastAsia="de-DE"/>
        </w:rPr>
        <w:t>na</w:t>
      </w:r>
      <w:r w:rsidRPr="006A4DE0">
        <w:rPr>
          <w:rFonts w:ascii="Arial" w:hAnsi="Arial" w:cs="Arial"/>
          <w:sz w:val="20"/>
          <w:szCs w:val="20"/>
          <w:lang w:eastAsia="de-DE"/>
        </w:rPr>
        <w:t xml:space="preserve"> i relevant</w:t>
      </w:r>
      <w:r>
        <w:rPr>
          <w:rFonts w:ascii="Arial" w:hAnsi="Arial" w:cs="Arial"/>
          <w:sz w:val="20"/>
          <w:szCs w:val="20"/>
          <w:lang w:eastAsia="de-DE"/>
        </w:rPr>
        <w:t>na</w:t>
      </w:r>
      <w:r w:rsidRPr="006A4DE0">
        <w:rPr>
          <w:rFonts w:ascii="Arial" w:hAnsi="Arial" w:cs="Arial"/>
          <w:sz w:val="20"/>
          <w:szCs w:val="20"/>
          <w:lang w:eastAsia="de-DE"/>
        </w:rPr>
        <w:t xml:space="preserve"> u smislu njegovih ciljeva i u kontekstu Crne Gore</w:t>
      </w:r>
      <w:r>
        <w:rPr>
          <w:rFonts w:ascii="Arial" w:hAnsi="Arial" w:cs="Arial"/>
          <w:sz w:val="20"/>
          <w:szCs w:val="20"/>
          <w:lang w:eastAsia="de-DE"/>
        </w:rPr>
        <w:t xml:space="preserve">, finalna evaluacija je zaključila da je Program bio </w:t>
      </w:r>
      <w:r>
        <w:rPr>
          <w:rFonts w:ascii="Arial" w:hAnsi="Arial" w:cs="Arial"/>
          <w:b/>
          <w:bCs/>
          <w:sz w:val="20"/>
          <w:szCs w:val="20"/>
          <w:lang w:eastAsia="de-DE"/>
        </w:rPr>
        <w:t>veoma relevantan</w:t>
      </w:r>
      <w:r>
        <w:rPr>
          <w:rFonts w:ascii="Arial" w:hAnsi="Arial" w:cs="Arial"/>
          <w:sz w:val="20"/>
          <w:szCs w:val="20"/>
          <w:lang w:eastAsia="de-DE"/>
        </w:rPr>
        <w:t xml:space="preserve">. </w:t>
      </w:r>
      <w:r w:rsidRPr="006A4DE0">
        <w:rPr>
          <w:rFonts w:ascii="Arial" w:hAnsi="Arial" w:cs="Arial"/>
          <w:sz w:val="20"/>
          <w:szCs w:val="20"/>
          <w:lang w:eastAsia="de-DE"/>
        </w:rPr>
        <w:t xml:space="preserve">Pristup i </w:t>
      </w:r>
      <w:r>
        <w:rPr>
          <w:rFonts w:ascii="Arial" w:hAnsi="Arial" w:cs="Arial"/>
          <w:sz w:val="20"/>
          <w:szCs w:val="20"/>
          <w:lang w:eastAsia="de-DE"/>
        </w:rPr>
        <w:t xml:space="preserve">svrsishodnost </w:t>
      </w:r>
      <w:r w:rsidRPr="006A4DE0">
        <w:rPr>
          <w:rFonts w:ascii="Arial" w:hAnsi="Arial" w:cs="Arial"/>
          <w:sz w:val="20"/>
          <w:szCs w:val="20"/>
          <w:lang w:eastAsia="de-DE"/>
        </w:rPr>
        <w:t xml:space="preserve">Nacionalnog plana zaštite potrošača utvrđeni su kao relevantni za celokupni strateški okvir Crne Gore, dok je hijerarhija strateških ciljeva uspostavljena u odnosu na potrebe ekonomije u oblasti zaštite potrošača. Odgovori u intervjuima su </w:t>
      </w:r>
      <w:r>
        <w:rPr>
          <w:rFonts w:ascii="Arial" w:hAnsi="Arial" w:cs="Arial"/>
          <w:sz w:val="20"/>
          <w:szCs w:val="20"/>
          <w:lang w:eastAsia="de-DE"/>
        </w:rPr>
        <w:t>potvrdili ovu izjavu</w:t>
      </w:r>
      <w:r w:rsidRPr="006A4DE0">
        <w:rPr>
          <w:rFonts w:ascii="Arial" w:hAnsi="Arial" w:cs="Arial"/>
          <w:sz w:val="20"/>
          <w:szCs w:val="20"/>
          <w:lang w:eastAsia="de-DE"/>
        </w:rPr>
        <w:t xml:space="preserve">, dok su učesnici istakli horizontalnu prirodu zaštite potrošača, usko povezanu sa različitim oblastima politike, kao što su zdravstvena zaštita, osiguranje, elektronski mediji, bankarstvo, onlajn i tradicionalna trgovina </w:t>
      </w:r>
      <w:r w:rsidRPr="006A4DE0">
        <w:rPr>
          <w:rFonts w:ascii="Arial" w:hAnsi="Arial" w:cs="Arial"/>
          <w:sz w:val="20"/>
          <w:szCs w:val="20"/>
          <w:lang w:eastAsia="de-DE"/>
        </w:rPr>
        <w:lastRenderedPageBreak/>
        <w:t xml:space="preserve">i turizam, između ostalog. U tom smislu, </w:t>
      </w:r>
      <w:r>
        <w:rPr>
          <w:rFonts w:ascii="Arial" w:hAnsi="Arial" w:cs="Arial"/>
          <w:sz w:val="20"/>
          <w:szCs w:val="20"/>
          <w:lang w:eastAsia="de-DE"/>
        </w:rPr>
        <w:t>zaključeno je da je Program</w:t>
      </w:r>
      <w:r w:rsidRPr="006A4DE0">
        <w:rPr>
          <w:rFonts w:ascii="Arial" w:hAnsi="Arial" w:cs="Arial"/>
          <w:sz w:val="20"/>
          <w:szCs w:val="20"/>
          <w:lang w:eastAsia="de-DE"/>
        </w:rPr>
        <w:t xml:space="preserve"> veoma relevantan u </w:t>
      </w:r>
      <w:r>
        <w:rPr>
          <w:rFonts w:ascii="Arial" w:hAnsi="Arial" w:cs="Arial"/>
          <w:sz w:val="20"/>
          <w:szCs w:val="20"/>
          <w:lang w:eastAsia="de-DE"/>
        </w:rPr>
        <w:t xml:space="preserve">smislu </w:t>
      </w:r>
      <w:proofErr w:type="spellStart"/>
      <w:r>
        <w:rPr>
          <w:rFonts w:ascii="Arial" w:hAnsi="Arial" w:cs="Arial"/>
          <w:sz w:val="20"/>
          <w:szCs w:val="20"/>
          <w:lang w:eastAsia="de-DE"/>
        </w:rPr>
        <w:t>targetiranja</w:t>
      </w:r>
      <w:proofErr w:type="spellEnd"/>
      <w:r w:rsidRPr="006A4DE0">
        <w:rPr>
          <w:rFonts w:ascii="Arial" w:hAnsi="Arial" w:cs="Arial"/>
          <w:sz w:val="20"/>
          <w:szCs w:val="20"/>
          <w:lang w:eastAsia="de-DE"/>
        </w:rPr>
        <w:t xml:space="preserve"> </w:t>
      </w:r>
      <w:r>
        <w:rPr>
          <w:rFonts w:ascii="Arial" w:hAnsi="Arial" w:cs="Arial"/>
          <w:sz w:val="20"/>
          <w:szCs w:val="20"/>
          <w:lang w:eastAsia="de-DE"/>
        </w:rPr>
        <w:t>ključnih</w:t>
      </w:r>
      <w:r w:rsidRPr="006A4DE0">
        <w:rPr>
          <w:rFonts w:ascii="Arial" w:hAnsi="Arial" w:cs="Arial"/>
          <w:sz w:val="20"/>
          <w:szCs w:val="20"/>
          <w:lang w:eastAsia="de-DE"/>
        </w:rPr>
        <w:t xml:space="preserve"> oblasti politike, odnosno onih koj</w:t>
      </w:r>
      <w:r>
        <w:rPr>
          <w:rFonts w:ascii="Arial" w:hAnsi="Arial" w:cs="Arial"/>
          <w:sz w:val="20"/>
          <w:szCs w:val="20"/>
          <w:lang w:eastAsia="de-DE"/>
        </w:rPr>
        <w:t xml:space="preserve">i imaju najveći značaj za </w:t>
      </w:r>
      <w:r w:rsidRPr="006A4DE0">
        <w:rPr>
          <w:rFonts w:ascii="Arial" w:hAnsi="Arial" w:cs="Arial"/>
          <w:sz w:val="20"/>
          <w:szCs w:val="20"/>
          <w:lang w:eastAsia="de-DE"/>
        </w:rPr>
        <w:t>zaštiti potrošača.</w:t>
      </w:r>
      <w:r>
        <w:rPr>
          <w:rFonts w:ascii="Arial" w:hAnsi="Arial" w:cs="Arial"/>
          <w:sz w:val="20"/>
          <w:szCs w:val="20"/>
          <w:lang w:eastAsia="de-DE"/>
        </w:rPr>
        <w:t xml:space="preserve"> </w:t>
      </w:r>
    </w:p>
    <w:p w14:paraId="6340E8ED" w14:textId="578C91E2" w:rsidR="006A4DE0" w:rsidRDefault="006A4DE0" w:rsidP="002F3354">
      <w:pPr>
        <w:jc w:val="both"/>
        <w:rPr>
          <w:rFonts w:ascii="Arial" w:hAnsi="Arial" w:cs="Arial"/>
          <w:sz w:val="20"/>
          <w:szCs w:val="20"/>
          <w:lang w:eastAsia="de-DE"/>
        </w:rPr>
      </w:pPr>
      <w:r>
        <w:rPr>
          <w:rFonts w:ascii="Arial" w:hAnsi="Arial" w:cs="Arial"/>
          <w:sz w:val="20"/>
          <w:szCs w:val="20"/>
          <w:lang w:eastAsia="de-DE"/>
        </w:rPr>
        <w:t>Program</w:t>
      </w:r>
      <w:r w:rsidRPr="006A4DE0">
        <w:rPr>
          <w:rFonts w:ascii="Arial" w:hAnsi="Arial" w:cs="Arial"/>
          <w:sz w:val="20"/>
          <w:szCs w:val="20"/>
          <w:lang w:eastAsia="de-DE"/>
        </w:rPr>
        <w:t xml:space="preserve"> prepoznaje važnost lokalne administracije i identifikuje probleme koji mogu ometati mere zaštite potrošača. Postoji očigledan nedostatak kapaciteta na lokalnom nivou za sprovođenje politika zaštite potrošača</w:t>
      </w:r>
      <w:r>
        <w:rPr>
          <w:rFonts w:ascii="Arial" w:hAnsi="Arial" w:cs="Arial"/>
          <w:sz w:val="20"/>
          <w:szCs w:val="20"/>
          <w:lang w:eastAsia="de-DE"/>
        </w:rPr>
        <w:t xml:space="preserve">, pri čemu je Program </w:t>
      </w:r>
      <w:r w:rsidRPr="006A4DE0">
        <w:rPr>
          <w:rFonts w:ascii="Arial" w:hAnsi="Arial" w:cs="Arial"/>
          <w:sz w:val="20"/>
          <w:szCs w:val="20"/>
          <w:lang w:eastAsia="de-DE"/>
        </w:rPr>
        <w:t xml:space="preserve">predvideo niz aktivnosti u okviru Operativnog cilja 3 Uspostavljanje efikasnog sistema saradnje i koordinacije sa različitim </w:t>
      </w:r>
      <w:proofErr w:type="spellStart"/>
      <w:r w:rsidRPr="006A4DE0">
        <w:rPr>
          <w:rFonts w:ascii="Arial" w:hAnsi="Arial" w:cs="Arial"/>
          <w:sz w:val="20"/>
          <w:szCs w:val="20"/>
          <w:lang w:eastAsia="de-DE"/>
        </w:rPr>
        <w:t>stejkholderima</w:t>
      </w:r>
      <w:proofErr w:type="spellEnd"/>
      <w:r w:rsidRPr="006A4DE0">
        <w:rPr>
          <w:rFonts w:ascii="Arial" w:hAnsi="Arial" w:cs="Arial"/>
          <w:sz w:val="20"/>
          <w:szCs w:val="20"/>
          <w:lang w:eastAsia="de-DE"/>
        </w:rPr>
        <w:t xml:space="preserve"> značajnim za implementaciju politike zaštite potrošača, ali se domet navedenih aktivnosti procenjuje kao prilično ograničen, </w:t>
      </w:r>
      <w:r>
        <w:rPr>
          <w:rFonts w:ascii="Arial" w:hAnsi="Arial" w:cs="Arial"/>
          <w:sz w:val="20"/>
          <w:szCs w:val="20"/>
          <w:lang w:eastAsia="de-DE"/>
        </w:rPr>
        <w:t>te</w:t>
      </w:r>
      <w:r w:rsidRPr="006A4DE0">
        <w:rPr>
          <w:rFonts w:ascii="Arial" w:hAnsi="Arial" w:cs="Arial"/>
          <w:sz w:val="20"/>
          <w:szCs w:val="20"/>
          <w:lang w:eastAsia="de-DE"/>
        </w:rPr>
        <w:t xml:space="preserve"> nizak nivo aktivnosti lokalnih samouprava ostaje stalni izazov.</w:t>
      </w:r>
      <w:r>
        <w:rPr>
          <w:rFonts w:ascii="Arial" w:hAnsi="Arial" w:cs="Arial"/>
          <w:sz w:val="20"/>
          <w:szCs w:val="20"/>
          <w:lang w:eastAsia="de-DE"/>
        </w:rPr>
        <w:t xml:space="preserve"> U skladu sa desk analizom i konsultacijama, razlozi za nisku aktivnost lokalne administracije se mogu pripisati ograničenim kapacitetima na lokalu za sprovođenje politike zaštite potrošača</w:t>
      </w:r>
      <w:r w:rsidR="00047BE0">
        <w:rPr>
          <w:rFonts w:ascii="Arial" w:hAnsi="Arial" w:cs="Arial"/>
          <w:sz w:val="20"/>
          <w:szCs w:val="20"/>
          <w:lang w:eastAsia="de-DE"/>
        </w:rPr>
        <w:t xml:space="preserve"> i slabom aktivnošću civilnog sektora koji je u skladu sa zakonskim okvirom smatran vrednim partnerom upravo za sprovođenje tih politika. </w:t>
      </w:r>
    </w:p>
    <w:p w14:paraId="2002E91A" w14:textId="58700B16" w:rsidR="00047BE0" w:rsidRDefault="00047BE0" w:rsidP="002F3354">
      <w:pPr>
        <w:jc w:val="both"/>
        <w:rPr>
          <w:rFonts w:ascii="Arial" w:hAnsi="Arial" w:cs="Arial"/>
          <w:sz w:val="20"/>
          <w:szCs w:val="20"/>
          <w:lang w:eastAsia="de-DE"/>
        </w:rPr>
      </w:pPr>
      <w:r>
        <w:rPr>
          <w:rFonts w:ascii="Arial" w:hAnsi="Arial" w:cs="Arial"/>
          <w:sz w:val="20"/>
          <w:szCs w:val="20"/>
          <w:lang w:eastAsia="de-DE"/>
        </w:rPr>
        <w:t>U analizi relevantnosti Programa, finalna evaluacija je takođe istraživala činjenice koje su mogle usloviti niži nivo relevantnosti programa, a u konačnosti i efektivnosti u procesu sprovođenja. U tom smislu, bitno je istaći da su konsultacije istakle problem političke nestabilnosti</w:t>
      </w:r>
      <w:r w:rsidRPr="00047BE0">
        <w:rPr>
          <w:rFonts w:ascii="Arial" w:hAnsi="Arial" w:cs="Arial"/>
          <w:sz w:val="20"/>
          <w:szCs w:val="20"/>
          <w:lang w:eastAsia="de-DE"/>
        </w:rPr>
        <w:t xml:space="preserve">. </w:t>
      </w:r>
      <w:r>
        <w:rPr>
          <w:rFonts w:ascii="Arial" w:hAnsi="Arial" w:cs="Arial"/>
          <w:sz w:val="20"/>
          <w:szCs w:val="20"/>
          <w:lang w:eastAsia="de-DE"/>
        </w:rPr>
        <w:t>Ova pojava je ocenjena da stvara</w:t>
      </w:r>
      <w:r w:rsidRPr="00047BE0">
        <w:rPr>
          <w:rFonts w:ascii="Arial" w:hAnsi="Arial" w:cs="Arial"/>
          <w:sz w:val="20"/>
          <w:szCs w:val="20"/>
          <w:lang w:eastAsia="de-DE"/>
        </w:rPr>
        <w:t xml:space="preserve"> </w:t>
      </w:r>
      <w:r>
        <w:rPr>
          <w:rFonts w:ascii="Arial" w:hAnsi="Arial" w:cs="Arial"/>
          <w:sz w:val="20"/>
          <w:szCs w:val="20"/>
          <w:lang w:eastAsia="de-DE"/>
        </w:rPr>
        <w:t>značajne</w:t>
      </w:r>
      <w:r w:rsidRPr="00047BE0">
        <w:rPr>
          <w:rFonts w:ascii="Arial" w:hAnsi="Arial" w:cs="Arial"/>
          <w:sz w:val="20"/>
          <w:szCs w:val="20"/>
          <w:lang w:eastAsia="de-DE"/>
        </w:rPr>
        <w:t xml:space="preserve"> administrativnim posledic</w:t>
      </w:r>
      <w:r>
        <w:rPr>
          <w:rFonts w:ascii="Arial" w:hAnsi="Arial" w:cs="Arial"/>
          <w:sz w:val="20"/>
          <w:szCs w:val="20"/>
          <w:lang w:eastAsia="de-DE"/>
        </w:rPr>
        <w:t>e</w:t>
      </w:r>
      <w:r w:rsidRPr="00047BE0">
        <w:rPr>
          <w:rFonts w:ascii="Arial" w:hAnsi="Arial" w:cs="Arial"/>
          <w:sz w:val="20"/>
          <w:szCs w:val="20"/>
          <w:lang w:eastAsia="de-DE"/>
        </w:rPr>
        <w:t xml:space="preserve">, jer se sastav i nadležnosti ministarstava i drugih javnih tela koja učestvuju u politikama zaštite potrošača značajno menjaju u različitim političkim ciklusima koji se dešavaju prilično često. </w:t>
      </w:r>
      <w:r>
        <w:rPr>
          <w:rFonts w:ascii="Arial" w:hAnsi="Arial" w:cs="Arial"/>
          <w:sz w:val="20"/>
          <w:szCs w:val="20"/>
          <w:lang w:eastAsia="de-DE"/>
        </w:rPr>
        <w:t xml:space="preserve">Posledično, kapaciteti vodećih ministarstava i agencija se često menjaju usled promena organizacionih oblika i sistematizacija radnih mesta što dovodi do nestabilnosti upravljačke strukture za sprovođenje politike u oblasti zaštite potrošača. </w:t>
      </w:r>
    </w:p>
    <w:p w14:paraId="4F227B8D" w14:textId="42008389" w:rsidR="00B82226" w:rsidRPr="00B82226" w:rsidRDefault="00047BE0" w:rsidP="00B82226">
      <w:pPr>
        <w:jc w:val="both"/>
        <w:rPr>
          <w:rFonts w:ascii="Arial" w:hAnsi="Arial" w:cs="Arial"/>
          <w:sz w:val="20"/>
          <w:szCs w:val="20"/>
          <w:lang w:eastAsia="de-DE"/>
        </w:rPr>
      </w:pPr>
      <w:r>
        <w:rPr>
          <w:rFonts w:ascii="Arial" w:hAnsi="Arial" w:cs="Arial"/>
          <w:sz w:val="20"/>
          <w:szCs w:val="20"/>
          <w:lang w:eastAsia="de-DE"/>
        </w:rPr>
        <w:t xml:space="preserve">Sa stanovišta efektivnosti, odnosno postizanja očekivanih efekata, finalna evaluacija je pokazala da je Program bio </w:t>
      </w:r>
      <w:r>
        <w:rPr>
          <w:rFonts w:ascii="Arial" w:hAnsi="Arial" w:cs="Arial"/>
          <w:b/>
          <w:bCs/>
          <w:sz w:val="20"/>
          <w:szCs w:val="20"/>
          <w:lang w:eastAsia="de-DE"/>
        </w:rPr>
        <w:t>veoma efektivan</w:t>
      </w:r>
      <w:r>
        <w:rPr>
          <w:rFonts w:ascii="Arial" w:hAnsi="Arial" w:cs="Arial"/>
          <w:sz w:val="20"/>
          <w:szCs w:val="20"/>
          <w:lang w:eastAsia="de-DE"/>
        </w:rPr>
        <w:t xml:space="preserve">, pri čemu su u toku konsultacija određeni akteri ocenili da je Program čak i izuzetno efektivan u postizanju željenih ciljeva. </w:t>
      </w:r>
      <w:r w:rsidR="00B82226">
        <w:rPr>
          <w:rFonts w:ascii="Arial" w:hAnsi="Arial" w:cs="Arial"/>
          <w:sz w:val="20"/>
          <w:szCs w:val="20"/>
          <w:lang w:eastAsia="de-DE"/>
        </w:rPr>
        <w:t>Analizirajući ostvarenost operativnih ciljeva, zaključeno je da je n</w:t>
      </w:r>
      <w:r w:rsidR="00B82226" w:rsidRPr="00B82226">
        <w:rPr>
          <w:rFonts w:ascii="Arial" w:hAnsi="Arial" w:cs="Arial"/>
          <w:sz w:val="20"/>
          <w:szCs w:val="20"/>
          <w:lang w:eastAsia="de-DE"/>
        </w:rPr>
        <w:t>ajveći</w:t>
      </w:r>
      <w:r w:rsidR="00B82226">
        <w:rPr>
          <w:rFonts w:ascii="Arial" w:hAnsi="Arial" w:cs="Arial"/>
          <w:sz w:val="20"/>
          <w:szCs w:val="20"/>
          <w:lang w:eastAsia="de-DE"/>
        </w:rPr>
        <w:t xml:space="preserve"> </w:t>
      </w:r>
      <w:r w:rsidR="00B82226" w:rsidRPr="00B82226">
        <w:rPr>
          <w:rFonts w:ascii="Arial" w:hAnsi="Arial" w:cs="Arial"/>
          <w:sz w:val="20"/>
          <w:szCs w:val="20"/>
          <w:lang w:eastAsia="de-DE"/>
        </w:rPr>
        <w:t xml:space="preserve">napredak postignut u </w:t>
      </w:r>
      <w:r w:rsidR="00B82226">
        <w:rPr>
          <w:rFonts w:ascii="Arial" w:hAnsi="Arial" w:cs="Arial"/>
          <w:sz w:val="20"/>
          <w:szCs w:val="20"/>
          <w:lang w:eastAsia="de-DE"/>
        </w:rPr>
        <w:t xml:space="preserve">ostvarenju </w:t>
      </w:r>
      <w:r w:rsidR="00B82226" w:rsidRPr="00B82226">
        <w:rPr>
          <w:rFonts w:ascii="Arial" w:hAnsi="Arial" w:cs="Arial"/>
          <w:sz w:val="20"/>
          <w:szCs w:val="20"/>
          <w:lang w:eastAsia="de-DE"/>
        </w:rPr>
        <w:t>prvo</w:t>
      </w:r>
      <w:r w:rsidR="00B82226">
        <w:rPr>
          <w:rFonts w:ascii="Arial" w:hAnsi="Arial" w:cs="Arial"/>
          <w:sz w:val="20"/>
          <w:szCs w:val="20"/>
          <w:lang w:eastAsia="de-DE"/>
        </w:rPr>
        <w:t>g</w:t>
      </w:r>
      <w:r w:rsidR="00B82226" w:rsidRPr="00B82226">
        <w:rPr>
          <w:rFonts w:ascii="Arial" w:hAnsi="Arial" w:cs="Arial"/>
          <w:sz w:val="20"/>
          <w:szCs w:val="20"/>
          <w:lang w:eastAsia="de-DE"/>
        </w:rPr>
        <w:t xml:space="preserve"> operativno</w:t>
      </w:r>
      <w:r w:rsidR="00B82226">
        <w:rPr>
          <w:rFonts w:ascii="Arial" w:hAnsi="Arial" w:cs="Arial"/>
          <w:sz w:val="20"/>
          <w:szCs w:val="20"/>
          <w:lang w:eastAsia="de-DE"/>
        </w:rPr>
        <w:t>g</w:t>
      </w:r>
      <w:r w:rsidR="00B82226" w:rsidRPr="00B82226">
        <w:rPr>
          <w:rFonts w:ascii="Arial" w:hAnsi="Arial" w:cs="Arial"/>
          <w:sz w:val="20"/>
          <w:szCs w:val="20"/>
          <w:lang w:eastAsia="de-DE"/>
        </w:rPr>
        <w:t xml:space="preserve"> cilj</w:t>
      </w:r>
      <w:r w:rsidR="00B82226">
        <w:rPr>
          <w:rFonts w:ascii="Arial" w:hAnsi="Arial" w:cs="Arial"/>
          <w:sz w:val="20"/>
          <w:szCs w:val="20"/>
          <w:lang w:eastAsia="de-DE"/>
        </w:rPr>
        <w:t>a (</w:t>
      </w:r>
      <w:r w:rsidR="00B82226" w:rsidRPr="00B82226">
        <w:rPr>
          <w:rFonts w:ascii="Arial" w:hAnsi="Arial" w:cs="Arial"/>
          <w:sz w:val="20"/>
          <w:szCs w:val="20"/>
          <w:lang w:eastAsia="de-DE"/>
        </w:rPr>
        <w:t xml:space="preserve">Obezbeđen veći stepen zaštite potrošačkih prava i interesa kroz dalje unapređenje zakonodavnog okvira i bolju </w:t>
      </w:r>
      <w:proofErr w:type="spellStart"/>
      <w:r w:rsidR="00B82226" w:rsidRPr="00B82226">
        <w:rPr>
          <w:rFonts w:ascii="Arial" w:hAnsi="Arial" w:cs="Arial"/>
          <w:sz w:val="20"/>
          <w:szCs w:val="20"/>
          <w:lang w:eastAsia="de-DE"/>
        </w:rPr>
        <w:t>primjenu</w:t>
      </w:r>
      <w:proofErr w:type="spellEnd"/>
      <w:r w:rsidR="00B82226" w:rsidRPr="00B82226">
        <w:rPr>
          <w:rFonts w:ascii="Arial" w:hAnsi="Arial" w:cs="Arial"/>
          <w:sz w:val="20"/>
          <w:szCs w:val="20"/>
          <w:lang w:eastAsia="de-DE"/>
        </w:rPr>
        <w:t xml:space="preserve"> važećih instituta zaštite potrošačkih prava</w:t>
      </w:r>
      <w:r w:rsidR="00B82226">
        <w:rPr>
          <w:rFonts w:ascii="Arial" w:hAnsi="Arial" w:cs="Arial"/>
          <w:sz w:val="20"/>
          <w:szCs w:val="20"/>
          <w:lang w:eastAsia="de-DE"/>
        </w:rPr>
        <w:t>)</w:t>
      </w:r>
      <w:r w:rsidR="00B82226" w:rsidRPr="00B82226">
        <w:rPr>
          <w:rFonts w:ascii="Arial" w:hAnsi="Arial" w:cs="Arial"/>
          <w:sz w:val="20"/>
          <w:szCs w:val="20"/>
          <w:lang w:eastAsia="de-DE"/>
        </w:rPr>
        <w:t>, jer je cilj</w:t>
      </w:r>
      <w:r w:rsidR="00B82226">
        <w:rPr>
          <w:rFonts w:ascii="Arial" w:hAnsi="Arial" w:cs="Arial"/>
          <w:sz w:val="20"/>
          <w:szCs w:val="20"/>
          <w:lang w:eastAsia="de-DE"/>
        </w:rPr>
        <w:t>a</w:t>
      </w:r>
      <w:r w:rsidR="00B82226" w:rsidRPr="00B82226">
        <w:rPr>
          <w:rFonts w:ascii="Arial" w:hAnsi="Arial" w:cs="Arial"/>
          <w:sz w:val="20"/>
          <w:szCs w:val="20"/>
          <w:lang w:eastAsia="de-DE"/>
        </w:rPr>
        <w:t xml:space="preserve">na vrednost za 2024. godinu u povećanju pozitivnih rešenja po žalbama potrošača u ukupnom broju žalbi postignuta </w:t>
      </w:r>
      <w:r w:rsidR="00B82226">
        <w:rPr>
          <w:rFonts w:ascii="Arial" w:hAnsi="Arial" w:cs="Arial"/>
          <w:sz w:val="20"/>
          <w:szCs w:val="20"/>
          <w:lang w:eastAsia="de-DE"/>
        </w:rPr>
        <w:t xml:space="preserve">već </w:t>
      </w:r>
      <w:r w:rsidR="00B82226" w:rsidRPr="00B82226">
        <w:rPr>
          <w:rFonts w:ascii="Arial" w:hAnsi="Arial" w:cs="Arial"/>
          <w:sz w:val="20"/>
          <w:szCs w:val="20"/>
          <w:lang w:eastAsia="de-DE"/>
        </w:rPr>
        <w:t>2023. godine. Stoga je željeni rezultat postignut godinu dana ranije nego što je bilo predviđeno.</w:t>
      </w:r>
    </w:p>
    <w:p w14:paraId="34AAF984" w14:textId="15851AA6" w:rsidR="00047BE0" w:rsidRDefault="00B82226" w:rsidP="00B82226">
      <w:pPr>
        <w:jc w:val="both"/>
        <w:rPr>
          <w:rFonts w:ascii="Arial" w:hAnsi="Arial" w:cs="Arial"/>
          <w:sz w:val="20"/>
          <w:szCs w:val="20"/>
          <w:lang w:eastAsia="de-DE"/>
        </w:rPr>
      </w:pPr>
      <w:r>
        <w:rPr>
          <w:rFonts w:ascii="Arial" w:hAnsi="Arial" w:cs="Arial"/>
          <w:sz w:val="20"/>
          <w:szCs w:val="20"/>
          <w:lang w:eastAsia="de-DE"/>
        </w:rPr>
        <w:t>Finalna evaluacija</w:t>
      </w:r>
      <w:r w:rsidRPr="00B82226">
        <w:rPr>
          <w:rFonts w:ascii="Arial" w:hAnsi="Arial" w:cs="Arial"/>
          <w:sz w:val="20"/>
          <w:szCs w:val="20"/>
          <w:lang w:eastAsia="de-DE"/>
        </w:rPr>
        <w:t xml:space="preserve"> je u ranim fazama identifikova</w:t>
      </w:r>
      <w:r>
        <w:rPr>
          <w:rFonts w:ascii="Arial" w:hAnsi="Arial" w:cs="Arial"/>
          <w:sz w:val="20"/>
          <w:szCs w:val="20"/>
          <w:lang w:eastAsia="de-DE"/>
        </w:rPr>
        <w:t>la</w:t>
      </w:r>
      <w:r w:rsidRPr="00B82226">
        <w:rPr>
          <w:rFonts w:ascii="Arial" w:hAnsi="Arial" w:cs="Arial"/>
          <w:sz w:val="20"/>
          <w:szCs w:val="20"/>
          <w:lang w:eastAsia="de-DE"/>
        </w:rPr>
        <w:t xml:space="preserve"> objektivan problem kada je u pitanju praćenje i evaluacija indikatora </w:t>
      </w:r>
      <w:r>
        <w:rPr>
          <w:rFonts w:ascii="Arial" w:hAnsi="Arial" w:cs="Arial"/>
          <w:sz w:val="20"/>
          <w:szCs w:val="20"/>
          <w:lang w:eastAsia="de-DE"/>
        </w:rPr>
        <w:t>drugog</w:t>
      </w:r>
      <w:r w:rsidRPr="00B82226">
        <w:rPr>
          <w:rFonts w:ascii="Arial" w:hAnsi="Arial" w:cs="Arial"/>
          <w:sz w:val="20"/>
          <w:szCs w:val="20"/>
          <w:lang w:eastAsia="de-DE"/>
        </w:rPr>
        <w:t xml:space="preserve"> operativno</w:t>
      </w:r>
      <w:r>
        <w:rPr>
          <w:rFonts w:ascii="Arial" w:hAnsi="Arial" w:cs="Arial"/>
          <w:sz w:val="20"/>
          <w:szCs w:val="20"/>
          <w:lang w:eastAsia="de-DE"/>
        </w:rPr>
        <w:t>g</w:t>
      </w:r>
      <w:r w:rsidRPr="00B82226">
        <w:rPr>
          <w:rFonts w:ascii="Arial" w:hAnsi="Arial" w:cs="Arial"/>
          <w:sz w:val="20"/>
          <w:szCs w:val="20"/>
          <w:lang w:eastAsia="de-DE"/>
        </w:rPr>
        <w:t xml:space="preserve"> cilj</w:t>
      </w:r>
      <w:r>
        <w:rPr>
          <w:rFonts w:ascii="Arial" w:hAnsi="Arial" w:cs="Arial"/>
          <w:sz w:val="20"/>
          <w:szCs w:val="20"/>
          <w:lang w:eastAsia="de-DE"/>
        </w:rPr>
        <w:t>a (</w:t>
      </w:r>
      <w:proofErr w:type="spellStart"/>
      <w:r w:rsidRPr="00B82226">
        <w:rPr>
          <w:rFonts w:ascii="Arial" w:hAnsi="Arial" w:cs="Arial"/>
          <w:sz w:val="20"/>
          <w:szCs w:val="20"/>
          <w:lang w:eastAsia="de-DE"/>
        </w:rPr>
        <w:t>Unaprijeđeno</w:t>
      </w:r>
      <w:proofErr w:type="spellEnd"/>
      <w:r w:rsidRPr="00B82226">
        <w:rPr>
          <w:rFonts w:ascii="Arial" w:hAnsi="Arial" w:cs="Arial"/>
          <w:sz w:val="20"/>
          <w:szCs w:val="20"/>
          <w:lang w:eastAsia="de-DE"/>
        </w:rPr>
        <w:t xml:space="preserve"> znanje i informisanost potrošača i trgovaca o njihovim pravima i obavezama kroz informativno edukativne aktivnosti</w:t>
      </w:r>
      <w:r>
        <w:rPr>
          <w:rFonts w:ascii="Arial" w:hAnsi="Arial" w:cs="Arial"/>
          <w:sz w:val="20"/>
          <w:szCs w:val="20"/>
          <w:lang w:eastAsia="de-DE"/>
        </w:rPr>
        <w:t>)</w:t>
      </w:r>
      <w:r w:rsidRPr="00B82226">
        <w:rPr>
          <w:rFonts w:ascii="Arial" w:hAnsi="Arial" w:cs="Arial"/>
          <w:sz w:val="20"/>
          <w:szCs w:val="20"/>
          <w:lang w:eastAsia="de-DE"/>
        </w:rPr>
        <w:t xml:space="preserve">. Imajući u vidu da se indikatori učinka za cilj </w:t>
      </w:r>
      <w:r>
        <w:rPr>
          <w:rFonts w:ascii="Arial" w:hAnsi="Arial" w:cs="Arial"/>
          <w:sz w:val="20"/>
          <w:szCs w:val="20"/>
          <w:lang w:eastAsia="de-DE"/>
        </w:rPr>
        <w:t>dva</w:t>
      </w:r>
      <w:r w:rsidRPr="00B82226">
        <w:rPr>
          <w:rFonts w:ascii="Arial" w:hAnsi="Arial" w:cs="Arial"/>
          <w:sz w:val="20"/>
          <w:szCs w:val="20"/>
          <w:lang w:eastAsia="de-DE"/>
        </w:rPr>
        <w:t xml:space="preserve"> </w:t>
      </w:r>
      <w:r>
        <w:rPr>
          <w:rFonts w:ascii="Arial" w:hAnsi="Arial" w:cs="Arial"/>
          <w:sz w:val="20"/>
          <w:szCs w:val="20"/>
          <w:lang w:eastAsia="de-DE"/>
        </w:rPr>
        <w:t xml:space="preserve">obračunavaju </w:t>
      </w:r>
      <w:proofErr w:type="spellStart"/>
      <w:r w:rsidRPr="00B82226">
        <w:rPr>
          <w:rFonts w:ascii="Arial" w:hAnsi="Arial" w:cs="Arial"/>
          <w:sz w:val="20"/>
          <w:szCs w:val="20"/>
          <w:lang w:eastAsia="de-DE"/>
        </w:rPr>
        <w:t>participativnim</w:t>
      </w:r>
      <w:proofErr w:type="spellEnd"/>
      <w:r w:rsidRPr="00B82226">
        <w:rPr>
          <w:rFonts w:ascii="Arial" w:hAnsi="Arial" w:cs="Arial"/>
          <w:sz w:val="20"/>
          <w:szCs w:val="20"/>
          <w:lang w:eastAsia="de-DE"/>
        </w:rPr>
        <w:t xml:space="preserve"> istraživanjem javnog mnjenja, praćenje takvih indikatora zahteva da se detaljno istraživanje sprovodi svake godine izveštavanja. Iako su takva istraživanja bila predviđena akcionim planovima za 2022. i 2023. godinu, ona nisu sprovedena zbog nedovoljnih kapaciteta Ministarstva </w:t>
      </w:r>
      <w:r>
        <w:rPr>
          <w:rFonts w:ascii="Arial" w:hAnsi="Arial" w:cs="Arial"/>
          <w:sz w:val="20"/>
          <w:szCs w:val="20"/>
          <w:lang w:eastAsia="de-DE"/>
        </w:rPr>
        <w:t>ekonomskog razvoja</w:t>
      </w:r>
      <w:r w:rsidRPr="00B82226">
        <w:rPr>
          <w:rFonts w:ascii="Arial" w:hAnsi="Arial" w:cs="Arial"/>
          <w:sz w:val="20"/>
          <w:szCs w:val="20"/>
          <w:lang w:eastAsia="de-DE"/>
        </w:rPr>
        <w:t xml:space="preserve"> (prema </w:t>
      </w:r>
      <w:r>
        <w:rPr>
          <w:rFonts w:ascii="Arial" w:hAnsi="Arial" w:cs="Arial"/>
          <w:sz w:val="20"/>
          <w:szCs w:val="20"/>
          <w:lang w:eastAsia="de-DE"/>
        </w:rPr>
        <w:t xml:space="preserve">podacima </w:t>
      </w:r>
      <w:r w:rsidRPr="00B82226">
        <w:rPr>
          <w:rFonts w:ascii="Arial" w:hAnsi="Arial" w:cs="Arial"/>
          <w:sz w:val="20"/>
          <w:szCs w:val="20"/>
          <w:lang w:eastAsia="de-DE"/>
        </w:rPr>
        <w:t>godišnjim izveštajima o implementaciji). Oba godišnja izveštaja jasno navode da je osoblje Ministarstva u Direkciji za zaštitu potrošača veoma preopterećeno i da je postupak zapošljavanja dodatnog osoblja planiran, ali nije realizovan. U te svrh</w:t>
      </w:r>
      <w:r>
        <w:rPr>
          <w:rFonts w:ascii="Arial" w:hAnsi="Arial" w:cs="Arial"/>
          <w:sz w:val="20"/>
          <w:szCs w:val="20"/>
          <w:lang w:eastAsia="de-DE"/>
        </w:rPr>
        <w:t xml:space="preserve">e je istaknuto da je </w:t>
      </w:r>
      <w:r w:rsidRPr="00B82226">
        <w:rPr>
          <w:rFonts w:ascii="Arial" w:hAnsi="Arial" w:cs="Arial"/>
          <w:sz w:val="20"/>
          <w:szCs w:val="20"/>
          <w:lang w:eastAsia="de-DE"/>
        </w:rPr>
        <w:t>primena člana 156. Zakona o zaštiti potrošača potrebno sprovesti u delu gde se realizacija aktivnosti iz Akcionog plana može delegirati drugim pravnim ili privatnim licima.</w:t>
      </w:r>
      <w:r>
        <w:rPr>
          <w:rFonts w:ascii="Arial" w:hAnsi="Arial" w:cs="Arial"/>
          <w:sz w:val="20"/>
          <w:szCs w:val="20"/>
          <w:lang w:eastAsia="de-DE"/>
        </w:rPr>
        <w:t xml:space="preserve"> U konačnici, nemogućnost praćenja efekata celokupnog operativnog cilja predstavlja značajan izazov u oceni ukupne efektivnosti Programa, te su zaključci evaluacije bazirani, pre svega, na kvalitativnim izvorima. </w:t>
      </w:r>
    </w:p>
    <w:p w14:paraId="4E720C6D" w14:textId="4AA103D0" w:rsidR="008A16F3" w:rsidRDefault="008A16F3" w:rsidP="00B82226">
      <w:pPr>
        <w:jc w:val="both"/>
        <w:rPr>
          <w:rFonts w:ascii="Arial" w:hAnsi="Arial" w:cs="Arial"/>
          <w:sz w:val="20"/>
          <w:szCs w:val="20"/>
          <w:lang w:eastAsia="de-DE"/>
        </w:rPr>
      </w:pPr>
      <w:r w:rsidRPr="008A16F3">
        <w:rPr>
          <w:rFonts w:ascii="Arial" w:hAnsi="Arial" w:cs="Arial"/>
          <w:sz w:val="20"/>
          <w:szCs w:val="20"/>
          <w:lang w:eastAsia="de-DE"/>
        </w:rPr>
        <w:t xml:space="preserve">Prema izveštajima o sprovođenju, za 2022. godinu, od 28 aktivnosti, 12 je u potpunosti sprovedeno, 5 je delimično sprovedeno, dok 11 aktivnosti nije sprovedeno. U 2022. godini, procenat aktivnosti koje su u potpunosti ili delimično sprovedene bio je najveći za operativni cilj 3 (57%), dok je najmanji napredak postignut za operativni cilj </w:t>
      </w:r>
      <w:r>
        <w:rPr>
          <w:rFonts w:ascii="Arial" w:hAnsi="Arial" w:cs="Arial"/>
          <w:sz w:val="20"/>
          <w:szCs w:val="20"/>
          <w:lang w:eastAsia="de-DE"/>
        </w:rPr>
        <w:t>jedan</w:t>
      </w:r>
      <w:r w:rsidRPr="008A16F3">
        <w:rPr>
          <w:rFonts w:ascii="Arial" w:hAnsi="Arial" w:cs="Arial"/>
          <w:sz w:val="20"/>
          <w:szCs w:val="20"/>
          <w:lang w:eastAsia="de-DE"/>
        </w:rPr>
        <w:t xml:space="preserve">, gde je prijavljeno da je sprovedeno samo 33% aktivnosti. U 2023. godini, od 29 aktivnosti, 17 je u potpunosti sprovedeno, 8 je delimično sprovedeno, dok 8 nije sprovedeno. U 2023. godini, najviše aktivnosti je sprovedeno u okviru operativnog cilja </w:t>
      </w:r>
      <w:r>
        <w:rPr>
          <w:rFonts w:ascii="Arial" w:hAnsi="Arial" w:cs="Arial"/>
          <w:sz w:val="20"/>
          <w:szCs w:val="20"/>
          <w:lang w:eastAsia="de-DE"/>
        </w:rPr>
        <w:t>dva</w:t>
      </w:r>
      <w:r w:rsidRPr="008A16F3">
        <w:rPr>
          <w:rFonts w:ascii="Arial" w:hAnsi="Arial" w:cs="Arial"/>
          <w:sz w:val="20"/>
          <w:szCs w:val="20"/>
          <w:lang w:eastAsia="de-DE"/>
        </w:rPr>
        <w:t xml:space="preserve">, dok je, kao i za 2022. godinu, najmanje aktivnosti sprovedeno za operativni cilj </w:t>
      </w:r>
      <w:r>
        <w:rPr>
          <w:rFonts w:ascii="Arial" w:hAnsi="Arial" w:cs="Arial"/>
          <w:sz w:val="20"/>
          <w:szCs w:val="20"/>
          <w:lang w:eastAsia="de-DE"/>
        </w:rPr>
        <w:t>jedan</w:t>
      </w:r>
      <w:r w:rsidRPr="008A16F3">
        <w:rPr>
          <w:rFonts w:ascii="Arial" w:hAnsi="Arial" w:cs="Arial"/>
          <w:sz w:val="20"/>
          <w:szCs w:val="20"/>
          <w:lang w:eastAsia="de-DE"/>
        </w:rPr>
        <w:t>, što ilustruje da su i za 2022. i za 2023. godinu postignuti najmanji rezultati u poboljšanju regulatornog okvira za zaštitu potrošača i boljoj primeni prava potrošača.</w:t>
      </w:r>
    </w:p>
    <w:p w14:paraId="6428E8E7" w14:textId="4693078B" w:rsidR="008A16F3" w:rsidRDefault="008A16F3" w:rsidP="00B82226">
      <w:pPr>
        <w:jc w:val="both"/>
        <w:rPr>
          <w:rFonts w:ascii="Arial" w:hAnsi="Arial" w:cs="Arial"/>
          <w:sz w:val="20"/>
          <w:szCs w:val="20"/>
          <w:lang w:eastAsia="de-DE"/>
        </w:rPr>
      </w:pPr>
      <w:r w:rsidRPr="008A16F3">
        <w:rPr>
          <w:rFonts w:ascii="Arial" w:hAnsi="Arial" w:cs="Arial"/>
          <w:sz w:val="20"/>
          <w:szCs w:val="20"/>
          <w:lang w:eastAsia="de-DE"/>
        </w:rPr>
        <w:t xml:space="preserve">Ispitanici su ocenili da je </w:t>
      </w:r>
      <w:r>
        <w:rPr>
          <w:rFonts w:ascii="Arial" w:hAnsi="Arial" w:cs="Arial"/>
          <w:sz w:val="20"/>
          <w:szCs w:val="20"/>
          <w:lang w:eastAsia="de-DE"/>
        </w:rPr>
        <w:t>Proseku</w:t>
      </w:r>
      <w:r w:rsidRPr="008A16F3">
        <w:rPr>
          <w:rFonts w:ascii="Arial" w:hAnsi="Arial" w:cs="Arial"/>
          <w:sz w:val="20"/>
          <w:szCs w:val="20"/>
          <w:lang w:eastAsia="de-DE"/>
        </w:rPr>
        <w:t xml:space="preserve"> u proseku imao </w:t>
      </w:r>
      <w:r w:rsidRPr="008A16F3">
        <w:rPr>
          <w:rFonts w:ascii="Arial" w:hAnsi="Arial" w:cs="Arial"/>
          <w:b/>
          <w:bCs/>
          <w:sz w:val="20"/>
          <w:szCs w:val="20"/>
          <w:lang w:eastAsia="de-DE"/>
        </w:rPr>
        <w:t>veoma dobre rezultate</w:t>
      </w:r>
      <w:r w:rsidRPr="008A16F3">
        <w:rPr>
          <w:rFonts w:ascii="Arial" w:hAnsi="Arial" w:cs="Arial"/>
          <w:sz w:val="20"/>
          <w:szCs w:val="20"/>
          <w:lang w:eastAsia="de-DE"/>
        </w:rPr>
        <w:t>. Ov</w:t>
      </w:r>
      <w:r>
        <w:rPr>
          <w:rFonts w:ascii="Arial" w:hAnsi="Arial" w:cs="Arial"/>
          <w:sz w:val="20"/>
          <w:szCs w:val="20"/>
          <w:lang w:eastAsia="de-DE"/>
        </w:rPr>
        <w:t xml:space="preserve">a izjava je u određenoj meri </w:t>
      </w:r>
      <w:r w:rsidRPr="008A16F3">
        <w:rPr>
          <w:rFonts w:ascii="Arial" w:hAnsi="Arial" w:cs="Arial"/>
          <w:sz w:val="20"/>
          <w:szCs w:val="20"/>
          <w:lang w:eastAsia="de-DE"/>
        </w:rPr>
        <w:t xml:space="preserve">je u suprotnosti sa stvarnim nalazima o statusu realizacije prijavljenih aktivnosti, što implicira da su ispitanici pridali veći značaj aktivnostima koje su u potpunosti ili delimično sprovedene, u poređenju sa </w:t>
      </w:r>
      <w:r w:rsidRPr="008A16F3">
        <w:rPr>
          <w:rFonts w:ascii="Arial" w:hAnsi="Arial" w:cs="Arial"/>
          <w:sz w:val="20"/>
          <w:szCs w:val="20"/>
          <w:lang w:eastAsia="de-DE"/>
        </w:rPr>
        <w:lastRenderedPageBreak/>
        <w:t>onima koje nisu</w:t>
      </w:r>
      <w:r>
        <w:rPr>
          <w:rFonts w:ascii="Arial" w:hAnsi="Arial" w:cs="Arial"/>
          <w:sz w:val="20"/>
          <w:szCs w:val="20"/>
          <w:lang w:eastAsia="de-DE"/>
        </w:rPr>
        <w:t>. U konačnici, rezultati sprovedenih aktivnosti su ocenjeni kao značajni, te da su u velikoj meri doprineli ostvarivanju strateškog cilja Programa.</w:t>
      </w:r>
    </w:p>
    <w:p w14:paraId="2541045B" w14:textId="4D9F3BD7" w:rsidR="008A16F3" w:rsidRDefault="008A16F3" w:rsidP="00B82226">
      <w:pPr>
        <w:jc w:val="both"/>
        <w:rPr>
          <w:rFonts w:ascii="Arial" w:hAnsi="Arial" w:cs="Arial"/>
          <w:sz w:val="20"/>
          <w:szCs w:val="20"/>
          <w:lang w:eastAsia="de-DE"/>
        </w:rPr>
      </w:pPr>
      <w:r>
        <w:rPr>
          <w:rFonts w:ascii="Arial" w:hAnsi="Arial" w:cs="Arial"/>
          <w:sz w:val="20"/>
          <w:szCs w:val="20"/>
          <w:lang w:eastAsia="de-DE"/>
        </w:rPr>
        <w:t xml:space="preserve">Ostvarenost rezultata Programa je u toku evaluacije istraživana i strane ograničavajućih faktora, pri čemu je istaknuto da su ograničeni administrativni kapaciteti za sprovođenje Programa značajni faktor nesigurnosti koji posledično rezultira velikom broju nerealizovanih aktivnosti. Dodatno, nedostatak finansijskih sredstava je takođe istaknut kao značajan, imajući u vidu da je u više ciklusa istraživanja istaknuto da je potrebno </w:t>
      </w:r>
      <w:proofErr w:type="spellStart"/>
      <w:r>
        <w:rPr>
          <w:rFonts w:ascii="Arial" w:hAnsi="Arial" w:cs="Arial"/>
          <w:sz w:val="20"/>
          <w:szCs w:val="20"/>
          <w:lang w:eastAsia="de-DE"/>
        </w:rPr>
        <w:t>alocirati</w:t>
      </w:r>
      <w:proofErr w:type="spellEnd"/>
      <w:r>
        <w:rPr>
          <w:rFonts w:ascii="Arial" w:hAnsi="Arial" w:cs="Arial"/>
          <w:sz w:val="20"/>
          <w:szCs w:val="20"/>
          <w:lang w:eastAsia="de-DE"/>
        </w:rPr>
        <w:t xml:space="preserve"> značajnija sredstva, te podstaći </w:t>
      </w:r>
      <w:proofErr w:type="spellStart"/>
      <w:r>
        <w:rPr>
          <w:rFonts w:ascii="Arial" w:hAnsi="Arial" w:cs="Arial"/>
          <w:sz w:val="20"/>
          <w:szCs w:val="20"/>
          <w:lang w:eastAsia="de-DE"/>
        </w:rPr>
        <w:t>donorsku</w:t>
      </w:r>
      <w:proofErr w:type="spellEnd"/>
      <w:r>
        <w:rPr>
          <w:rFonts w:ascii="Arial" w:hAnsi="Arial" w:cs="Arial"/>
          <w:sz w:val="20"/>
          <w:szCs w:val="20"/>
          <w:lang w:eastAsia="de-DE"/>
        </w:rPr>
        <w:t xml:space="preserve"> zajednicu da se više uključi u realizaciju aktivnosti u oblasti zaštite potrošača.</w:t>
      </w:r>
    </w:p>
    <w:p w14:paraId="2F600476" w14:textId="5AA187B0" w:rsidR="00874FE3" w:rsidRDefault="00874FE3" w:rsidP="00B82226">
      <w:pPr>
        <w:jc w:val="both"/>
        <w:rPr>
          <w:rFonts w:ascii="Arial" w:hAnsi="Arial" w:cs="Arial"/>
          <w:sz w:val="20"/>
          <w:szCs w:val="20"/>
          <w:lang w:eastAsia="de-DE"/>
        </w:rPr>
      </w:pPr>
      <w:r w:rsidRPr="00874FE3">
        <w:rPr>
          <w:rFonts w:ascii="Arial" w:hAnsi="Arial" w:cs="Arial"/>
          <w:sz w:val="20"/>
          <w:szCs w:val="20"/>
          <w:lang w:eastAsia="de-DE"/>
        </w:rPr>
        <w:t xml:space="preserve">Upravljanje </w:t>
      </w:r>
      <w:r>
        <w:rPr>
          <w:rFonts w:ascii="Arial" w:hAnsi="Arial" w:cs="Arial"/>
          <w:sz w:val="20"/>
          <w:szCs w:val="20"/>
          <w:lang w:eastAsia="de-DE"/>
        </w:rPr>
        <w:t>prosecima vezanim za Program su ocenjeni</w:t>
      </w:r>
      <w:r w:rsidRPr="00874FE3">
        <w:rPr>
          <w:rFonts w:ascii="Arial" w:hAnsi="Arial" w:cs="Arial"/>
          <w:sz w:val="20"/>
          <w:szCs w:val="20"/>
          <w:lang w:eastAsia="de-DE"/>
        </w:rPr>
        <w:t xml:space="preserve"> </w:t>
      </w:r>
      <w:r>
        <w:rPr>
          <w:rFonts w:ascii="Arial" w:hAnsi="Arial" w:cs="Arial"/>
          <w:sz w:val="20"/>
          <w:szCs w:val="20"/>
          <w:lang w:eastAsia="de-DE"/>
        </w:rPr>
        <w:t>kao</w:t>
      </w:r>
      <w:r w:rsidRPr="00874FE3">
        <w:rPr>
          <w:rFonts w:ascii="Arial" w:hAnsi="Arial" w:cs="Arial"/>
          <w:sz w:val="20"/>
          <w:szCs w:val="20"/>
          <w:lang w:eastAsia="de-DE"/>
        </w:rPr>
        <w:t xml:space="preserve"> </w:t>
      </w:r>
      <w:r>
        <w:rPr>
          <w:rFonts w:ascii="Arial" w:hAnsi="Arial" w:cs="Arial"/>
          <w:sz w:val="20"/>
          <w:szCs w:val="20"/>
          <w:lang w:eastAsia="de-DE"/>
        </w:rPr>
        <w:t>relativno</w:t>
      </w:r>
      <w:r w:rsidRPr="00874FE3">
        <w:rPr>
          <w:rFonts w:ascii="Arial" w:hAnsi="Arial" w:cs="Arial"/>
          <w:sz w:val="20"/>
          <w:szCs w:val="20"/>
          <w:lang w:eastAsia="de-DE"/>
        </w:rPr>
        <w:t xml:space="preserve"> složeni i omogućavaju višestruke nivoe nadzora i kontrole, efikasnu koordinaciju između različitih institucionalnih komponenti i jedinica, kao i visok nivo transparentnosti preduzetih akcija i odgovornosti uključenih partnera. Upravljanje budžetom se </w:t>
      </w:r>
      <w:r>
        <w:rPr>
          <w:rFonts w:ascii="Arial" w:hAnsi="Arial" w:cs="Arial"/>
          <w:sz w:val="20"/>
          <w:szCs w:val="20"/>
          <w:lang w:eastAsia="de-DE"/>
        </w:rPr>
        <w:t xml:space="preserve">takođe </w:t>
      </w:r>
      <w:r w:rsidRPr="00874FE3">
        <w:rPr>
          <w:rFonts w:ascii="Arial" w:hAnsi="Arial" w:cs="Arial"/>
          <w:sz w:val="20"/>
          <w:szCs w:val="20"/>
          <w:lang w:eastAsia="de-DE"/>
        </w:rPr>
        <w:t>smatra adekvatnim, jer se redovno izveštava o rashodima i oni su uključeni u godišnje izveštaje o sprovođenju.</w:t>
      </w:r>
      <w:r>
        <w:rPr>
          <w:rFonts w:ascii="Arial" w:hAnsi="Arial" w:cs="Arial"/>
          <w:sz w:val="20"/>
          <w:szCs w:val="20"/>
          <w:lang w:eastAsia="de-DE"/>
        </w:rPr>
        <w:t xml:space="preserve"> Posmatrajući </w:t>
      </w:r>
      <w:proofErr w:type="spellStart"/>
      <w:r>
        <w:rPr>
          <w:rFonts w:ascii="Arial" w:hAnsi="Arial" w:cs="Arial"/>
          <w:sz w:val="20"/>
          <w:szCs w:val="20"/>
          <w:lang w:eastAsia="de-DE"/>
        </w:rPr>
        <w:t>rashodnu</w:t>
      </w:r>
      <w:proofErr w:type="spellEnd"/>
      <w:r>
        <w:rPr>
          <w:rFonts w:ascii="Arial" w:hAnsi="Arial" w:cs="Arial"/>
          <w:sz w:val="20"/>
          <w:szCs w:val="20"/>
          <w:lang w:eastAsia="de-DE"/>
        </w:rPr>
        <w:t xml:space="preserve"> stranu budžeta</w:t>
      </w:r>
      <w:r w:rsidRPr="00874FE3">
        <w:rPr>
          <w:rFonts w:ascii="Arial" w:hAnsi="Arial" w:cs="Arial"/>
          <w:sz w:val="20"/>
          <w:szCs w:val="20"/>
          <w:lang w:eastAsia="de-DE"/>
        </w:rPr>
        <w:t xml:space="preserve">, </w:t>
      </w:r>
      <w:r>
        <w:rPr>
          <w:rFonts w:ascii="Arial" w:hAnsi="Arial" w:cs="Arial"/>
          <w:sz w:val="20"/>
          <w:szCs w:val="20"/>
          <w:lang w:eastAsia="de-DE"/>
        </w:rPr>
        <w:t>finalna evaluacija</w:t>
      </w:r>
      <w:r w:rsidRPr="00874FE3">
        <w:rPr>
          <w:rFonts w:ascii="Arial" w:hAnsi="Arial" w:cs="Arial"/>
          <w:sz w:val="20"/>
          <w:szCs w:val="20"/>
          <w:lang w:eastAsia="de-DE"/>
        </w:rPr>
        <w:t xml:space="preserve"> zaključuje da planirani budžet </w:t>
      </w:r>
      <w:r>
        <w:rPr>
          <w:rFonts w:ascii="Arial" w:hAnsi="Arial" w:cs="Arial"/>
          <w:sz w:val="20"/>
          <w:szCs w:val="20"/>
          <w:lang w:eastAsia="de-DE"/>
        </w:rPr>
        <w:t>Programa</w:t>
      </w:r>
      <w:r w:rsidRPr="00874FE3">
        <w:rPr>
          <w:rFonts w:ascii="Arial" w:hAnsi="Arial" w:cs="Arial"/>
          <w:sz w:val="20"/>
          <w:szCs w:val="20"/>
          <w:lang w:eastAsia="de-DE"/>
        </w:rPr>
        <w:t xml:space="preserve"> nije u potpunosti iskorišćen, odnosno 70% planiranih budžetskih sredstava je potrošeno i u 2022. i u 2023. godini, što pokazuje da javna sredstva nisu u potpunosti potrošena, uglavnom za operativne ciljeve </w:t>
      </w:r>
      <w:r>
        <w:rPr>
          <w:rFonts w:ascii="Arial" w:hAnsi="Arial" w:cs="Arial"/>
          <w:sz w:val="20"/>
          <w:szCs w:val="20"/>
          <w:lang w:eastAsia="de-DE"/>
        </w:rPr>
        <w:t>dva i tri</w:t>
      </w:r>
      <w:r w:rsidRPr="00874FE3">
        <w:rPr>
          <w:rFonts w:ascii="Arial" w:hAnsi="Arial" w:cs="Arial"/>
          <w:sz w:val="20"/>
          <w:szCs w:val="20"/>
          <w:lang w:eastAsia="de-DE"/>
        </w:rPr>
        <w:t xml:space="preserve">. Mnogo neiskorišćenih sredstava potiče iz budžeta </w:t>
      </w:r>
      <w:r>
        <w:rPr>
          <w:rFonts w:ascii="Arial" w:hAnsi="Arial" w:cs="Arial"/>
          <w:sz w:val="20"/>
          <w:szCs w:val="20"/>
          <w:lang w:eastAsia="de-DE"/>
        </w:rPr>
        <w:t>ključnog ministarstva</w:t>
      </w:r>
      <w:r w:rsidRPr="00874FE3">
        <w:rPr>
          <w:rFonts w:ascii="Arial" w:hAnsi="Arial" w:cs="Arial"/>
          <w:sz w:val="20"/>
          <w:szCs w:val="20"/>
          <w:lang w:eastAsia="de-DE"/>
        </w:rPr>
        <w:t>, što odgovara nerealizovanim aktivnostima.</w:t>
      </w:r>
    </w:p>
    <w:p w14:paraId="71D9445C" w14:textId="68D78908" w:rsidR="00874FE3" w:rsidRDefault="00874FE3" w:rsidP="00B82226">
      <w:pPr>
        <w:jc w:val="both"/>
        <w:rPr>
          <w:rFonts w:ascii="Arial" w:hAnsi="Arial" w:cs="Arial"/>
          <w:sz w:val="20"/>
          <w:szCs w:val="20"/>
          <w:lang w:eastAsia="de-DE"/>
        </w:rPr>
      </w:pPr>
      <w:r>
        <w:rPr>
          <w:rFonts w:ascii="Arial" w:hAnsi="Arial" w:cs="Arial"/>
          <w:sz w:val="20"/>
          <w:szCs w:val="20"/>
          <w:lang w:eastAsia="de-DE"/>
        </w:rPr>
        <w:t xml:space="preserve">Imajući u vidu podatke o budžetu i podatke prikupljene u toku konsultacija, ocenjeno je da je Program </w:t>
      </w:r>
      <w:r>
        <w:rPr>
          <w:rFonts w:ascii="Arial" w:hAnsi="Arial" w:cs="Arial"/>
          <w:b/>
          <w:bCs/>
          <w:sz w:val="20"/>
          <w:szCs w:val="20"/>
          <w:lang w:eastAsia="de-DE"/>
        </w:rPr>
        <w:t>osrednje efikasan</w:t>
      </w:r>
      <w:r>
        <w:rPr>
          <w:rFonts w:ascii="Arial" w:hAnsi="Arial" w:cs="Arial"/>
          <w:sz w:val="20"/>
          <w:szCs w:val="20"/>
          <w:lang w:eastAsia="de-DE"/>
        </w:rPr>
        <w:t xml:space="preserve">, ističući potrebu za reorganizaciju upravljačke strukture za implementaciju Programa, kao i bolju komunikaciju sa </w:t>
      </w:r>
      <w:proofErr w:type="spellStart"/>
      <w:r>
        <w:rPr>
          <w:rFonts w:ascii="Arial" w:hAnsi="Arial" w:cs="Arial"/>
          <w:sz w:val="20"/>
          <w:szCs w:val="20"/>
          <w:lang w:eastAsia="de-DE"/>
        </w:rPr>
        <w:t>donorskom</w:t>
      </w:r>
      <w:proofErr w:type="spellEnd"/>
      <w:r>
        <w:rPr>
          <w:rFonts w:ascii="Arial" w:hAnsi="Arial" w:cs="Arial"/>
          <w:sz w:val="20"/>
          <w:szCs w:val="20"/>
          <w:lang w:eastAsia="de-DE"/>
        </w:rPr>
        <w:t xml:space="preserve"> zajednicom.</w:t>
      </w:r>
    </w:p>
    <w:p w14:paraId="3813604F" w14:textId="58D92822" w:rsidR="00874FE3" w:rsidRDefault="00874FE3" w:rsidP="00874FE3">
      <w:pPr>
        <w:jc w:val="both"/>
        <w:rPr>
          <w:rFonts w:ascii="Arial" w:hAnsi="Arial" w:cs="Arial"/>
          <w:sz w:val="20"/>
          <w:szCs w:val="20"/>
          <w:lang w:eastAsia="de-DE"/>
        </w:rPr>
      </w:pPr>
      <w:r w:rsidRPr="00874FE3">
        <w:rPr>
          <w:rFonts w:ascii="Arial" w:hAnsi="Arial" w:cs="Arial"/>
          <w:sz w:val="20"/>
          <w:szCs w:val="20"/>
          <w:lang w:eastAsia="de-DE"/>
        </w:rPr>
        <w:t xml:space="preserve">Prema analizi dokumenta, </w:t>
      </w:r>
      <w:r>
        <w:rPr>
          <w:rFonts w:ascii="Arial" w:hAnsi="Arial" w:cs="Arial"/>
          <w:sz w:val="20"/>
          <w:szCs w:val="20"/>
          <w:lang w:eastAsia="de-DE"/>
        </w:rPr>
        <w:t>Program</w:t>
      </w:r>
      <w:r w:rsidRPr="00874FE3">
        <w:rPr>
          <w:rFonts w:ascii="Arial" w:hAnsi="Arial" w:cs="Arial"/>
          <w:sz w:val="20"/>
          <w:szCs w:val="20"/>
          <w:lang w:eastAsia="de-DE"/>
        </w:rPr>
        <w:t xml:space="preserve"> je prepoznao mogućnosti za saradnju sa relevantnim zainteresovanim stranama, te se angažovao u umrežavanju sa tematski relevantnim inicijativama. U tom smislu, M</w:t>
      </w:r>
      <w:r>
        <w:rPr>
          <w:rFonts w:ascii="Arial" w:hAnsi="Arial" w:cs="Arial"/>
          <w:sz w:val="20"/>
          <w:szCs w:val="20"/>
          <w:lang w:eastAsia="de-DE"/>
        </w:rPr>
        <w:t xml:space="preserve">inistarstvo ekonomskog razvoja </w:t>
      </w:r>
      <w:r w:rsidRPr="00874FE3">
        <w:rPr>
          <w:rFonts w:ascii="Arial" w:hAnsi="Arial" w:cs="Arial"/>
          <w:sz w:val="20"/>
          <w:szCs w:val="20"/>
          <w:lang w:eastAsia="de-DE"/>
        </w:rPr>
        <w:t xml:space="preserve"> i partneri u implementaciji su uspešno sarađivali sa brojnim globalnim, regionalnim i nacionalnim organizacijama/inicijativama kako bi otvorili dijalog ka sprovođenju </w:t>
      </w:r>
      <w:r>
        <w:rPr>
          <w:rFonts w:ascii="Arial" w:hAnsi="Arial" w:cs="Arial"/>
          <w:sz w:val="20"/>
          <w:szCs w:val="20"/>
          <w:lang w:eastAsia="de-DE"/>
        </w:rPr>
        <w:t>Programa</w:t>
      </w:r>
      <w:r w:rsidRPr="00874FE3">
        <w:rPr>
          <w:rFonts w:ascii="Arial" w:hAnsi="Arial" w:cs="Arial"/>
          <w:sz w:val="20"/>
          <w:szCs w:val="20"/>
          <w:lang w:eastAsia="de-DE"/>
        </w:rPr>
        <w:t xml:space="preserve"> i osigurali minimalna preklapanja sa </w:t>
      </w:r>
      <w:r>
        <w:rPr>
          <w:rFonts w:ascii="Arial" w:hAnsi="Arial" w:cs="Arial"/>
          <w:sz w:val="20"/>
          <w:szCs w:val="20"/>
          <w:lang w:eastAsia="de-DE"/>
        </w:rPr>
        <w:t xml:space="preserve">drugim </w:t>
      </w:r>
      <w:r w:rsidRPr="00874FE3">
        <w:rPr>
          <w:rFonts w:ascii="Arial" w:hAnsi="Arial" w:cs="Arial"/>
          <w:sz w:val="20"/>
          <w:szCs w:val="20"/>
          <w:lang w:eastAsia="de-DE"/>
        </w:rPr>
        <w:t>tekućim projektima.</w:t>
      </w:r>
      <w:r>
        <w:rPr>
          <w:rFonts w:ascii="Arial" w:hAnsi="Arial" w:cs="Arial"/>
          <w:sz w:val="20"/>
          <w:szCs w:val="20"/>
          <w:lang w:eastAsia="de-DE"/>
        </w:rPr>
        <w:t xml:space="preserve"> </w:t>
      </w:r>
      <w:proofErr w:type="spellStart"/>
      <w:r>
        <w:rPr>
          <w:rFonts w:ascii="Arial" w:hAnsi="Arial" w:cs="Arial"/>
          <w:sz w:val="20"/>
          <w:szCs w:val="20"/>
          <w:lang w:eastAsia="de-DE"/>
        </w:rPr>
        <w:t>Progam</w:t>
      </w:r>
      <w:proofErr w:type="spellEnd"/>
      <w:r w:rsidRPr="00874FE3">
        <w:rPr>
          <w:rFonts w:ascii="Arial" w:hAnsi="Arial" w:cs="Arial"/>
          <w:sz w:val="20"/>
          <w:szCs w:val="20"/>
          <w:lang w:eastAsia="de-DE"/>
        </w:rPr>
        <w:t xml:space="preserve"> jasno identifikuje zakonodavni i strateški okvir za zaštitu potrošača, pružajući detaljan spisak zakona i strategija koji utiču na sistem zaštite potrošača u Crnoj Gori. </w:t>
      </w:r>
      <w:r>
        <w:rPr>
          <w:rFonts w:ascii="Arial" w:hAnsi="Arial" w:cs="Arial"/>
          <w:sz w:val="20"/>
          <w:szCs w:val="20"/>
          <w:lang w:eastAsia="de-DE"/>
        </w:rPr>
        <w:t>Finalna evaluacija</w:t>
      </w:r>
      <w:r w:rsidRPr="00874FE3">
        <w:rPr>
          <w:rFonts w:ascii="Arial" w:hAnsi="Arial" w:cs="Arial"/>
          <w:sz w:val="20"/>
          <w:szCs w:val="20"/>
          <w:lang w:eastAsia="de-DE"/>
        </w:rPr>
        <w:t xml:space="preserve"> je dalje istraži</w:t>
      </w:r>
      <w:r>
        <w:rPr>
          <w:rFonts w:ascii="Arial" w:hAnsi="Arial" w:cs="Arial"/>
          <w:sz w:val="20"/>
          <w:szCs w:val="20"/>
          <w:lang w:eastAsia="de-DE"/>
        </w:rPr>
        <w:t>vala</w:t>
      </w:r>
      <w:r w:rsidRPr="00874FE3">
        <w:rPr>
          <w:rFonts w:ascii="Arial" w:hAnsi="Arial" w:cs="Arial"/>
          <w:sz w:val="20"/>
          <w:szCs w:val="20"/>
          <w:lang w:eastAsia="de-DE"/>
        </w:rPr>
        <w:t xml:space="preserve"> koherentnost </w:t>
      </w:r>
      <w:r>
        <w:rPr>
          <w:rFonts w:ascii="Arial" w:hAnsi="Arial" w:cs="Arial"/>
          <w:sz w:val="20"/>
          <w:szCs w:val="20"/>
          <w:lang w:eastAsia="de-DE"/>
        </w:rPr>
        <w:t>Programa</w:t>
      </w:r>
      <w:r w:rsidRPr="00874FE3">
        <w:rPr>
          <w:rFonts w:ascii="Arial" w:hAnsi="Arial" w:cs="Arial"/>
          <w:sz w:val="20"/>
          <w:szCs w:val="20"/>
          <w:lang w:eastAsia="de-DE"/>
        </w:rPr>
        <w:t xml:space="preserve"> i doš</w:t>
      </w:r>
      <w:r>
        <w:rPr>
          <w:rFonts w:ascii="Arial" w:hAnsi="Arial" w:cs="Arial"/>
          <w:sz w:val="20"/>
          <w:szCs w:val="20"/>
          <w:lang w:eastAsia="de-DE"/>
        </w:rPr>
        <w:t>la</w:t>
      </w:r>
      <w:r w:rsidRPr="00874FE3">
        <w:rPr>
          <w:rFonts w:ascii="Arial" w:hAnsi="Arial" w:cs="Arial"/>
          <w:sz w:val="20"/>
          <w:szCs w:val="20"/>
          <w:lang w:eastAsia="de-DE"/>
        </w:rPr>
        <w:t xml:space="preserve"> do zaključka da nema značajnih uskih grla ili problema.</w:t>
      </w:r>
      <w:r>
        <w:rPr>
          <w:rFonts w:ascii="Arial" w:hAnsi="Arial" w:cs="Arial"/>
          <w:sz w:val="20"/>
          <w:szCs w:val="20"/>
          <w:lang w:eastAsia="de-DE"/>
        </w:rPr>
        <w:t xml:space="preserve"> </w:t>
      </w:r>
      <w:r w:rsidRPr="00874FE3">
        <w:rPr>
          <w:rFonts w:ascii="Arial" w:hAnsi="Arial" w:cs="Arial"/>
          <w:sz w:val="20"/>
          <w:szCs w:val="20"/>
          <w:lang w:eastAsia="de-DE"/>
        </w:rPr>
        <w:t xml:space="preserve">Tokom intervjua, učesnici su istakli da je </w:t>
      </w:r>
      <w:r>
        <w:rPr>
          <w:rFonts w:ascii="Arial" w:hAnsi="Arial" w:cs="Arial"/>
          <w:sz w:val="20"/>
          <w:szCs w:val="20"/>
          <w:lang w:eastAsia="de-DE"/>
        </w:rPr>
        <w:t>Program</w:t>
      </w:r>
      <w:r w:rsidRPr="00874FE3">
        <w:rPr>
          <w:rFonts w:ascii="Arial" w:hAnsi="Arial" w:cs="Arial"/>
          <w:sz w:val="20"/>
          <w:szCs w:val="20"/>
          <w:lang w:eastAsia="de-DE"/>
        </w:rPr>
        <w:t xml:space="preserve"> </w:t>
      </w:r>
      <w:r w:rsidRPr="00874FE3">
        <w:rPr>
          <w:rFonts w:ascii="Arial" w:hAnsi="Arial" w:cs="Arial"/>
          <w:b/>
          <w:bCs/>
          <w:sz w:val="20"/>
          <w:szCs w:val="20"/>
          <w:lang w:eastAsia="de-DE"/>
        </w:rPr>
        <w:t>veoma koherentan</w:t>
      </w:r>
      <w:r w:rsidRPr="00874FE3">
        <w:rPr>
          <w:rFonts w:ascii="Arial" w:hAnsi="Arial" w:cs="Arial"/>
          <w:sz w:val="20"/>
          <w:szCs w:val="20"/>
          <w:lang w:eastAsia="de-DE"/>
        </w:rPr>
        <w:t xml:space="preserve"> sa drugim politikama i inicijativama koje preduzima </w:t>
      </w:r>
      <w:r>
        <w:rPr>
          <w:rFonts w:ascii="Arial" w:hAnsi="Arial" w:cs="Arial"/>
          <w:sz w:val="20"/>
          <w:szCs w:val="20"/>
          <w:lang w:eastAsia="de-DE"/>
        </w:rPr>
        <w:t>C</w:t>
      </w:r>
      <w:r w:rsidRPr="00874FE3">
        <w:rPr>
          <w:rFonts w:ascii="Arial" w:hAnsi="Arial" w:cs="Arial"/>
          <w:sz w:val="20"/>
          <w:szCs w:val="20"/>
          <w:lang w:eastAsia="de-DE"/>
        </w:rPr>
        <w:t xml:space="preserve">rnogorska </w:t>
      </w:r>
      <w:r>
        <w:rPr>
          <w:rFonts w:ascii="Arial" w:hAnsi="Arial" w:cs="Arial"/>
          <w:sz w:val="20"/>
          <w:szCs w:val="20"/>
          <w:lang w:eastAsia="de-DE"/>
        </w:rPr>
        <w:t>V</w:t>
      </w:r>
      <w:r w:rsidRPr="00874FE3">
        <w:rPr>
          <w:rFonts w:ascii="Arial" w:hAnsi="Arial" w:cs="Arial"/>
          <w:sz w:val="20"/>
          <w:szCs w:val="20"/>
          <w:lang w:eastAsia="de-DE"/>
        </w:rPr>
        <w:t>lada</w:t>
      </w:r>
      <w:r>
        <w:rPr>
          <w:rFonts w:ascii="Arial" w:hAnsi="Arial" w:cs="Arial"/>
          <w:sz w:val="20"/>
          <w:szCs w:val="20"/>
          <w:lang w:eastAsia="de-DE"/>
        </w:rPr>
        <w:t>.</w:t>
      </w:r>
    </w:p>
    <w:p w14:paraId="0742BED7" w14:textId="10DA67CC" w:rsidR="00874FE3" w:rsidRDefault="00874FE3" w:rsidP="00874FE3">
      <w:pPr>
        <w:jc w:val="both"/>
        <w:rPr>
          <w:rFonts w:ascii="Arial" w:hAnsi="Arial" w:cs="Arial"/>
          <w:sz w:val="20"/>
          <w:szCs w:val="20"/>
          <w:lang w:eastAsia="de-DE"/>
        </w:rPr>
      </w:pPr>
      <w:r>
        <w:rPr>
          <w:rFonts w:ascii="Arial" w:hAnsi="Arial" w:cs="Arial"/>
          <w:sz w:val="20"/>
          <w:szCs w:val="20"/>
          <w:lang w:eastAsia="de-DE"/>
        </w:rPr>
        <w:t xml:space="preserve">Kao refleksija na zaključke evaluacije u skladu sa definisanim </w:t>
      </w:r>
      <w:proofErr w:type="spellStart"/>
      <w:r>
        <w:rPr>
          <w:rFonts w:ascii="Arial" w:hAnsi="Arial" w:cs="Arial"/>
          <w:sz w:val="20"/>
          <w:szCs w:val="20"/>
          <w:lang w:eastAsia="de-DE"/>
        </w:rPr>
        <w:t>evaluacionim</w:t>
      </w:r>
      <w:proofErr w:type="spellEnd"/>
      <w:r>
        <w:rPr>
          <w:rFonts w:ascii="Arial" w:hAnsi="Arial" w:cs="Arial"/>
          <w:sz w:val="20"/>
          <w:szCs w:val="20"/>
          <w:lang w:eastAsia="de-DE"/>
        </w:rPr>
        <w:t xml:space="preserve"> kriterijumima, finalna evaluacija pruža preporuke za unapređenje </w:t>
      </w:r>
      <w:r w:rsidR="00B213CF">
        <w:rPr>
          <w:rFonts w:ascii="Arial" w:hAnsi="Arial" w:cs="Arial"/>
          <w:sz w:val="20"/>
          <w:szCs w:val="20"/>
          <w:lang w:eastAsia="de-DE"/>
        </w:rPr>
        <w:t>budućeg dokumenta javnih politika u oblasti zaštite potrošača. Izveštaj prepoznaje sledeće preporuke:</w:t>
      </w:r>
    </w:p>
    <w:p w14:paraId="3BAFF8DC" w14:textId="5F9A0A46" w:rsidR="00B213CF" w:rsidRPr="00B213CF" w:rsidRDefault="00B213CF" w:rsidP="00B213CF">
      <w:pPr>
        <w:jc w:val="both"/>
        <w:rPr>
          <w:rFonts w:ascii="Arial" w:hAnsi="Arial" w:cs="Arial"/>
          <w:b/>
          <w:bCs/>
          <w:sz w:val="20"/>
          <w:szCs w:val="20"/>
          <w:lang w:eastAsia="de-DE"/>
        </w:rPr>
      </w:pPr>
      <w:r w:rsidRPr="00B213CF">
        <w:rPr>
          <w:rFonts w:ascii="Arial" w:hAnsi="Arial" w:cs="Arial"/>
          <w:b/>
          <w:bCs/>
          <w:sz w:val="20"/>
          <w:szCs w:val="20"/>
          <w:lang w:eastAsia="de-DE"/>
        </w:rPr>
        <w:t>Preporuka 1. Uključivanje dodatnih indikatora učinka</w:t>
      </w:r>
    </w:p>
    <w:p w14:paraId="1FBAA511" w14:textId="0AD2E710" w:rsidR="00B213CF" w:rsidRDefault="00B213CF" w:rsidP="00B213CF">
      <w:pPr>
        <w:jc w:val="both"/>
        <w:rPr>
          <w:rFonts w:ascii="Arial" w:hAnsi="Arial" w:cs="Arial"/>
          <w:sz w:val="20"/>
          <w:szCs w:val="20"/>
          <w:lang w:eastAsia="de-DE"/>
        </w:rPr>
      </w:pPr>
      <w:r>
        <w:rPr>
          <w:rFonts w:ascii="Arial" w:hAnsi="Arial" w:cs="Arial"/>
          <w:sz w:val="20"/>
          <w:szCs w:val="20"/>
          <w:lang w:eastAsia="de-DE"/>
        </w:rPr>
        <w:t>Zaključeno je</w:t>
      </w:r>
      <w:r w:rsidRPr="00B213CF">
        <w:rPr>
          <w:rFonts w:ascii="Arial" w:hAnsi="Arial" w:cs="Arial"/>
          <w:sz w:val="20"/>
          <w:szCs w:val="20"/>
          <w:lang w:eastAsia="de-DE"/>
        </w:rPr>
        <w:t xml:space="preserve"> da su indikatori učinka adekvatno postavljeni u </w:t>
      </w:r>
      <w:r>
        <w:rPr>
          <w:rFonts w:ascii="Arial" w:hAnsi="Arial" w:cs="Arial"/>
          <w:sz w:val="20"/>
          <w:szCs w:val="20"/>
          <w:lang w:eastAsia="de-DE"/>
        </w:rPr>
        <w:t>Programu.</w:t>
      </w:r>
      <w:r w:rsidRPr="00B213CF">
        <w:rPr>
          <w:rFonts w:ascii="Arial" w:hAnsi="Arial" w:cs="Arial"/>
          <w:sz w:val="20"/>
          <w:szCs w:val="20"/>
          <w:lang w:eastAsia="de-DE"/>
        </w:rPr>
        <w:t xml:space="preserve"> Međutim, za obim javne politike u oblasti zaštite potrošača, uključivanje dodatnih indikatora učinka na nivou ishoda bi koristilo ukupnom praćenju i evaluaciji navedene javne politike. Pored toga, </w:t>
      </w:r>
      <w:r>
        <w:rPr>
          <w:rFonts w:ascii="Arial" w:hAnsi="Arial" w:cs="Arial"/>
          <w:sz w:val="20"/>
          <w:szCs w:val="20"/>
          <w:lang w:eastAsia="de-DE"/>
        </w:rPr>
        <w:t>zaključeno</w:t>
      </w:r>
      <w:r w:rsidRPr="00B213CF">
        <w:rPr>
          <w:rFonts w:ascii="Arial" w:hAnsi="Arial" w:cs="Arial"/>
          <w:sz w:val="20"/>
          <w:szCs w:val="20"/>
          <w:lang w:eastAsia="de-DE"/>
        </w:rPr>
        <w:t xml:space="preserve"> da je </w:t>
      </w:r>
      <w:r>
        <w:rPr>
          <w:rFonts w:ascii="Arial" w:hAnsi="Arial" w:cs="Arial"/>
          <w:sz w:val="20"/>
          <w:szCs w:val="20"/>
          <w:lang w:eastAsia="de-DE"/>
        </w:rPr>
        <w:t>da je za</w:t>
      </w:r>
      <w:r w:rsidRPr="00B213CF">
        <w:rPr>
          <w:rFonts w:ascii="Arial" w:hAnsi="Arial" w:cs="Arial"/>
          <w:sz w:val="20"/>
          <w:szCs w:val="20"/>
          <w:lang w:eastAsia="de-DE"/>
        </w:rPr>
        <w:t xml:space="preserve"> neke indikatore (uglavnom za operativni cilj </w:t>
      </w:r>
      <w:r>
        <w:rPr>
          <w:rFonts w:ascii="Arial" w:hAnsi="Arial" w:cs="Arial"/>
          <w:sz w:val="20"/>
          <w:szCs w:val="20"/>
          <w:lang w:eastAsia="de-DE"/>
        </w:rPr>
        <w:t>dva</w:t>
      </w:r>
      <w:r w:rsidRPr="00B213CF">
        <w:rPr>
          <w:rFonts w:ascii="Arial" w:hAnsi="Arial" w:cs="Arial"/>
          <w:sz w:val="20"/>
          <w:szCs w:val="20"/>
          <w:lang w:eastAsia="de-DE"/>
        </w:rPr>
        <w:t>) došlo do problema u praćenju zbog nedostatka kapaciteta za blagovremeno sprovođenje istraživanja. Stoga je preporuka da se indikatori formulišu korišćenjem fiša indikatora</w:t>
      </w:r>
      <w:r>
        <w:rPr>
          <w:rFonts w:ascii="Arial" w:hAnsi="Arial" w:cs="Arial"/>
          <w:sz w:val="20"/>
          <w:szCs w:val="20"/>
          <w:lang w:eastAsia="de-DE"/>
        </w:rPr>
        <w:t xml:space="preserve"> (</w:t>
      </w:r>
      <w:proofErr w:type="spellStart"/>
      <w:r>
        <w:rPr>
          <w:rFonts w:ascii="Arial" w:hAnsi="Arial" w:cs="Arial"/>
          <w:sz w:val="20"/>
          <w:szCs w:val="20"/>
          <w:lang w:eastAsia="de-DE"/>
        </w:rPr>
        <w:t>eng</w:t>
      </w:r>
      <w:proofErr w:type="spellEnd"/>
      <w:r>
        <w:rPr>
          <w:rFonts w:ascii="Arial" w:hAnsi="Arial" w:cs="Arial"/>
          <w:sz w:val="20"/>
          <w:szCs w:val="20"/>
          <w:lang w:eastAsia="de-DE"/>
        </w:rPr>
        <w:t xml:space="preserve">. </w:t>
      </w:r>
      <w:proofErr w:type="spellStart"/>
      <w:r>
        <w:rPr>
          <w:rFonts w:ascii="Arial" w:hAnsi="Arial" w:cs="Arial"/>
          <w:sz w:val="20"/>
          <w:szCs w:val="20"/>
          <w:lang w:eastAsia="de-DE"/>
        </w:rPr>
        <w:t>Indicator</w:t>
      </w:r>
      <w:proofErr w:type="spellEnd"/>
      <w:r>
        <w:rPr>
          <w:rFonts w:ascii="Arial" w:hAnsi="Arial" w:cs="Arial"/>
          <w:sz w:val="20"/>
          <w:szCs w:val="20"/>
          <w:lang w:eastAsia="de-DE"/>
        </w:rPr>
        <w:t xml:space="preserve"> </w:t>
      </w:r>
      <w:proofErr w:type="spellStart"/>
      <w:r>
        <w:rPr>
          <w:rFonts w:ascii="Arial" w:hAnsi="Arial" w:cs="Arial"/>
          <w:sz w:val="20"/>
          <w:szCs w:val="20"/>
          <w:lang w:eastAsia="de-DE"/>
        </w:rPr>
        <w:t>fiche</w:t>
      </w:r>
      <w:proofErr w:type="spellEnd"/>
      <w:r>
        <w:rPr>
          <w:rFonts w:ascii="Arial" w:hAnsi="Arial" w:cs="Arial"/>
          <w:sz w:val="20"/>
          <w:szCs w:val="20"/>
          <w:lang w:eastAsia="de-DE"/>
        </w:rPr>
        <w:t>)</w:t>
      </w:r>
      <w:r w:rsidRPr="00B213CF">
        <w:rPr>
          <w:rFonts w:ascii="Arial" w:hAnsi="Arial" w:cs="Arial"/>
          <w:sz w:val="20"/>
          <w:szCs w:val="20"/>
          <w:lang w:eastAsia="de-DE"/>
        </w:rPr>
        <w:t xml:space="preserve"> koji bi jasno naveo mere ublažavanja</w:t>
      </w:r>
      <w:r>
        <w:rPr>
          <w:rFonts w:ascii="Arial" w:hAnsi="Arial" w:cs="Arial"/>
          <w:sz w:val="20"/>
          <w:szCs w:val="20"/>
          <w:lang w:eastAsia="de-DE"/>
        </w:rPr>
        <w:t>, odnosno alternativne mere</w:t>
      </w:r>
      <w:r w:rsidRPr="00B213CF">
        <w:rPr>
          <w:rFonts w:ascii="Arial" w:hAnsi="Arial" w:cs="Arial"/>
          <w:sz w:val="20"/>
          <w:szCs w:val="20"/>
          <w:lang w:eastAsia="de-DE"/>
        </w:rPr>
        <w:t xml:space="preserve"> koje treba preduzeti u slučajevima kada se indikator ne može pravilno pratiti. Ovo bi osiguralo da čak i ako se ne može sagledati puni obim indikatora učinka, postoji rezervni mehanizam koji bi obezbedio barem delimičnu procenu postignutih rezultata u korelaciji sa ciljevima operativnih ciljeva.</w:t>
      </w:r>
      <w:r>
        <w:rPr>
          <w:rFonts w:ascii="Arial" w:hAnsi="Arial" w:cs="Arial"/>
          <w:sz w:val="20"/>
          <w:szCs w:val="20"/>
          <w:lang w:eastAsia="de-DE"/>
        </w:rPr>
        <w:t xml:space="preserve"> Dodatno se predlaže inkluzija sledećih indikatora:</w:t>
      </w:r>
    </w:p>
    <w:p w14:paraId="6C90678F" w14:textId="5805345C" w:rsidR="00B213CF" w:rsidRPr="00B213CF" w:rsidRDefault="00B213CF" w:rsidP="00B213CF">
      <w:pPr>
        <w:pStyle w:val="ListParagraph"/>
        <w:numPr>
          <w:ilvl w:val="0"/>
          <w:numId w:val="47"/>
        </w:numPr>
        <w:jc w:val="both"/>
        <w:rPr>
          <w:rFonts w:ascii="Arial" w:hAnsi="Arial" w:cs="Arial"/>
          <w:sz w:val="20"/>
          <w:szCs w:val="20"/>
          <w:lang w:eastAsia="de-DE"/>
        </w:rPr>
      </w:pPr>
      <w:r w:rsidRPr="00B213CF">
        <w:rPr>
          <w:rFonts w:ascii="Arial" w:hAnsi="Arial" w:cs="Arial"/>
          <w:sz w:val="20"/>
          <w:szCs w:val="20"/>
          <w:lang w:eastAsia="de-DE"/>
        </w:rPr>
        <w:t>Broj preventivnih savetodavnih poseta u skladu sa Zakonom o zaštiti potrošača</w:t>
      </w:r>
    </w:p>
    <w:p w14:paraId="7AE1DB2C" w14:textId="5AB693C6" w:rsidR="00B213CF" w:rsidRPr="00B213CF" w:rsidRDefault="00B213CF" w:rsidP="00B213CF">
      <w:pPr>
        <w:pStyle w:val="ListParagraph"/>
        <w:numPr>
          <w:ilvl w:val="0"/>
          <w:numId w:val="47"/>
        </w:numPr>
        <w:jc w:val="both"/>
        <w:rPr>
          <w:rFonts w:ascii="Arial" w:hAnsi="Arial" w:cs="Arial"/>
          <w:sz w:val="20"/>
          <w:szCs w:val="20"/>
          <w:lang w:eastAsia="de-DE"/>
        </w:rPr>
      </w:pPr>
      <w:r w:rsidRPr="00B213CF">
        <w:rPr>
          <w:rFonts w:ascii="Arial" w:hAnsi="Arial" w:cs="Arial"/>
          <w:sz w:val="20"/>
          <w:szCs w:val="20"/>
          <w:lang w:eastAsia="de-DE"/>
        </w:rPr>
        <w:t>Broj uspešno rešenih vansudskih postupaka</w:t>
      </w:r>
    </w:p>
    <w:p w14:paraId="45A21B59" w14:textId="294FF16A" w:rsidR="00B213CF" w:rsidRPr="00B213CF" w:rsidRDefault="00B213CF" w:rsidP="00B213CF">
      <w:pPr>
        <w:pStyle w:val="ListParagraph"/>
        <w:numPr>
          <w:ilvl w:val="0"/>
          <w:numId w:val="47"/>
        </w:numPr>
        <w:jc w:val="both"/>
        <w:rPr>
          <w:rFonts w:ascii="Arial" w:hAnsi="Arial" w:cs="Arial"/>
          <w:sz w:val="20"/>
          <w:szCs w:val="20"/>
          <w:lang w:eastAsia="de-DE"/>
        </w:rPr>
      </w:pPr>
      <w:r w:rsidRPr="00B213CF">
        <w:rPr>
          <w:rFonts w:ascii="Arial" w:hAnsi="Arial" w:cs="Arial"/>
          <w:sz w:val="20"/>
          <w:szCs w:val="20"/>
          <w:lang w:eastAsia="de-DE"/>
        </w:rPr>
        <w:t>Broj obučenih državnih službenika za primenu standarda zaštite potrošača, na lokalnom nivou vlasti</w:t>
      </w:r>
    </w:p>
    <w:p w14:paraId="7700029D" w14:textId="5E02CB07" w:rsidR="00B213CF" w:rsidRPr="00B213CF" w:rsidRDefault="00B213CF" w:rsidP="00B213CF">
      <w:pPr>
        <w:pStyle w:val="ListParagraph"/>
        <w:numPr>
          <w:ilvl w:val="0"/>
          <w:numId w:val="47"/>
        </w:numPr>
        <w:jc w:val="both"/>
        <w:rPr>
          <w:rFonts w:ascii="Arial" w:hAnsi="Arial" w:cs="Arial"/>
          <w:sz w:val="20"/>
          <w:szCs w:val="20"/>
          <w:lang w:eastAsia="de-DE"/>
        </w:rPr>
      </w:pPr>
      <w:r w:rsidRPr="00B213CF">
        <w:rPr>
          <w:rFonts w:ascii="Arial" w:hAnsi="Arial" w:cs="Arial"/>
          <w:sz w:val="20"/>
          <w:szCs w:val="20"/>
          <w:lang w:eastAsia="de-DE"/>
        </w:rPr>
        <w:t>Broj civilnih društava (NVO) koja su uspostavila saradnju sa nacionalnim i lokalnim vlastima, u vezi sa zaštitom potrošača</w:t>
      </w:r>
    </w:p>
    <w:p w14:paraId="567146B5" w14:textId="2F54A9CC" w:rsidR="00B213CF" w:rsidRPr="00B213CF" w:rsidRDefault="00B213CF" w:rsidP="00B213CF">
      <w:pPr>
        <w:pStyle w:val="ListParagraph"/>
        <w:numPr>
          <w:ilvl w:val="0"/>
          <w:numId w:val="47"/>
        </w:numPr>
        <w:jc w:val="both"/>
        <w:rPr>
          <w:rFonts w:ascii="Arial" w:hAnsi="Arial" w:cs="Arial"/>
          <w:sz w:val="20"/>
          <w:szCs w:val="20"/>
          <w:lang w:eastAsia="de-DE"/>
        </w:rPr>
      </w:pPr>
      <w:r w:rsidRPr="00B213CF">
        <w:rPr>
          <w:rFonts w:ascii="Arial" w:hAnsi="Arial" w:cs="Arial"/>
          <w:sz w:val="20"/>
          <w:szCs w:val="20"/>
          <w:lang w:eastAsia="de-DE"/>
        </w:rPr>
        <w:t>Broj unosa u centralni IT sistem za zaštitu potrošača</w:t>
      </w:r>
    </w:p>
    <w:p w14:paraId="3CDB8699" w14:textId="56F033EF" w:rsidR="00B213CF" w:rsidRPr="00B213CF" w:rsidRDefault="00B213CF" w:rsidP="00B213CF">
      <w:pPr>
        <w:pStyle w:val="ListParagraph"/>
        <w:numPr>
          <w:ilvl w:val="0"/>
          <w:numId w:val="47"/>
        </w:numPr>
        <w:jc w:val="both"/>
        <w:rPr>
          <w:rFonts w:ascii="Arial" w:hAnsi="Arial" w:cs="Arial"/>
          <w:sz w:val="20"/>
          <w:szCs w:val="20"/>
          <w:lang w:eastAsia="de-DE"/>
        </w:rPr>
      </w:pPr>
      <w:r w:rsidRPr="00B213CF">
        <w:rPr>
          <w:rFonts w:ascii="Arial" w:hAnsi="Arial" w:cs="Arial"/>
          <w:sz w:val="20"/>
          <w:szCs w:val="20"/>
          <w:lang w:eastAsia="de-DE"/>
        </w:rPr>
        <w:lastRenderedPageBreak/>
        <w:t>Broj građana obuhvaćenih informativnim kampanjama o zaštiti potrošača</w:t>
      </w:r>
    </w:p>
    <w:p w14:paraId="3ABFB8CE" w14:textId="77777777" w:rsidR="00B213CF" w:rsidRDefault="00B213CF" w:rsidP="00B213CF">
      <w:pPr>
        <w:jc w:val="both"/>
        <w:rPr>
          <w:rFonts w:ascii="Arial" w:hAnsi="Arial" w:cs="Arial"/>
          <w:sz w:val="20"/>
          <w:szCs w:val="20"/>
          <w:lang w:eastAsia="de-DE"/>
        </w:rPr>
      </w:pPr>
    </w:p>
    <w:p w14:paraId="7F4EC049" w14:textId="77777777" w:rsidR="00B213CF" w:rsidRPr="00B213CF" w:rsidRDefault="00B213CF" w:rsidP="00B213CF">
      <w:pPr>
        <w:jc w:val="both"/>
        <w:rPr>
          <w:rFonts w:ascii="Arial" w:hAnsi="Arial" w:cs="Arial"/>
          <w:b/>
          <w:bCs/>
          <w:sz w:val="20"/>
          <w:szCs w:val="20"/>
          <w:lang w:eastAsia="de-DE"/>
        </w:rPr>
      </w:pPr>
      <w:r w:rsidRPr="00B213CF">
        <w:rPr>
          <w:rFonts w:ascii="Arial" w:hAnsi="Arial" w:cs="Arial"/>
          <w:b/>
          <w:bCs/>
          <w:sz w:val="20"/>
          <w:szCs w:val="20"/>
          <w:lang w:eastAsia="de-DE"/>
        </w:rPr>
        <w:t>Preporuka 2. Razvoj komunikacione strategije</w:t>
      </w:r>
    </w:p>
    <w:p w14:paraId="3A0F1EFE" w14:textId="3126694D" w:rsidR="00B213CF" w:rsidRPr="00B213CF" w:rsidRDefault="00B213CF" w:rsidP="00B213CF">
      <w:pPr>
        <w:jc w:val="both"/>
        <w:rPr>
          <w:rFonts w:ascii="Arial" w:hAnsi="Arial" w:cs="Arial"/>
          <w:sz w:val="20"/>
          <w:szCs w:val="20"/>
          <w:lang w:eastAsia="de-DE"/>
        </w:rPr>
      </w:pPr>
      <w:r>
        <w:rPr>
          <w:rFonts w:ascii="Arial" w:hAnsi="Arial" w:cs="Arial"/>
          <w:sz w:val="20"/>
          <w:szCs w:val="20"/>
          <w:lang w:eastAsia="de-DE"/>
        </w:rPr>
        <w:t>Evaluacija je zaključila</w:t>
      </w:r>
      <w:r w:rsidRPr="00B213CF">
        <w:rPr>
          <w:rFonts w:ascii="Arial" w:hAnsi="Arial" w:cs="Arial"/>
          <w:sz w:val="20"/>
          <w:szCs w:val="20"/>
          <w:lang w:eastAsia="de-DE"/>
        </w:rPr>
        <w:t xml:space="preserve"> da je komunikacija između različitih </w:t>
      </w:r>
      <w:proofErr w:type="spellStart"/>
      <w:r w:rsidRPr="00B213CF">
        <w:rPr>
          <w:rFonts w:ascii="Arial" w:hAnsi="Arial" w:cs="Arial"/>
          <w:sz w:val="20"/>
          <w:szCs w:val="20"/>
          <w:lang w:eastAsia="de-DE"/>
        </w:rPr>
        <w:t>implementacionih</w:t>
      </w:r>
      <w:proofErr w:type="spellEnd"/>
      <w:r w:rsidRPr="00B213CF">
        <w:rPr>
          <w:rFonts w:ascii="Arial" w:hAnsi="Arial" w:cs="Arial"/>
          <w:sz w:val="20"/>
          <w:szCs w:val="20"/>
          <w:lang w:eastAsia="de-DE"/>
        </w:rPr>
        <w:t xml:space="preserve"> partnera bila više nego adekvatna i da je </w:t>
      </w:r>
      <w:proofErr w:type="spellStart"/>
      <w:r>
        <w:rPr>
          <w:rFonts w:ascii="Arial" w:hAnsi="Arial" w:cs="Arial"/>
          <w:sz w:val="20"/>
          <w:szCs w:val="20"/>
          <w:lang w:eastAsia="de-DE"/>
        </w:rPr>
        <w:t>Savjet</w:t>
      </w:r>
      <w:proofErr w:type="spellEnd"/>
      <w:r>
        <w:rPr>
          <w:rFonts w:ascii="Arial" w:hAnsi="Arial" w:cs="Arial"/>
          <w:sz w:val="20"/>
          <w:szCs w:val="20"/>
          <w:lang w:eastAsia="de-DE"/>
        </w:rPr>
        <w:t xml:space="preserve"> za zaštitu </w:t>
      </w:r>
      <w:r w:rsidR="007C3CD4">
        <w:rPr>
          <w:rFonts w:ascii="Arial" w:hAnsi="Arial" w:cs="Arial"/>
          <w:sz w:val="20"/>
          <w:szCs w:val="20"/>
          <w:lang w:eastAsia="de-DE"/>
        </w:rPr>
        <w:t>potrošača</w:t>
      </w:r>
      <w:r w:rsidRPr="00B213CF">
        <w:rPr>
          <w:rFonts w:ascii="Arial" w:hAnsi="Arial" w:cs="Arial"/>
          <w:sz w:val="20"/>
          <w:szCs w:val="20"/>
          <w:lang w:eastAsia="de-DE"/>
        </w:rPr>
        <w:t xml:space="preserve"> imao ključnu ulogu u koordinaciji </w:t>
      </w:r>
      <w:r>
        <w:rPr>
          <w:rFonts w:ascii="Arial" w:hAnsi="Arial" w:cs="Arial"/>
          <w:sz w:val="20"/>
          <w:szCs w:val="20"/>
          <w:lang w:eastAsia="de-DE"/>
        </w:rPr>
        <w:t>Programa</w:t>
      </w:r>
      <w:r w:rsidRPr="00B213CF">
        <w:rPr>
          <w:rFonts w:ascii="Arial" w:hAnsi="Arial" w:cs="Arial"/>
          <w:sz w:val="20"/>
          <w:szCs w:val="20"/>
          <w:lang w:eastAsia="de-DE"/>
        </w:rPr>
        <w:t>. S</w:t>
      </w:r>
      <w:r>
        <w:rPr>
          <w:rFonts w:ascii="Arial" w:hAnsi="Arial" w:cs="Arial"/>
          <w:sz w:val="20"/>
          <w:szCs w:val="20"/>
          <w:lang w:eastAsia="de-DE"/>
        </w:rPr>
        <w:t>a</w:t>
      </w:r>
      <w:r w:rsidRPr="00B213CF">
        <w:rPr>
          <w:rFonts w:ascii="Arial" w:hAnsi="Arial" w:cs="Arial"/>
          <w:sz w:val="20"/>
          <w:szCs w:val="20"/>
          <w:lang w:eastAsia="de-DE"/>
        </w:rPr>
        <w:t xml:space="preserve"> druge strane, </w:t>
      </w:r>
      <w:r>
        <w:rPr>
          <w:rFonts w:ascii="Arial" w:hAnsi="Arial" w:cs="Arial"/>
          <w:sz w:val="20"/>
          <w:szCs w:val="20"/>
          <w:lang w:eastAsia="de-DE"/>
        </w:rPr>
        <w:t>takođe je zaključeno</w:t>
      </w:r>
      <w:r w:rsidRPr="00B213CF">
        <w:rPr>
          <w:rFonts w:ascii="Arial" w:hAnsi="Arial" w:cs="Arial"/>
          <w:sz w:val="20"/>
          <w:szCs w:val="20"/>
          <w:lang w:eastAsia="de-DE"/>
        </w:rPr>
        <w:t xml:space="preserve"> da postoji praznina u komunikaciji sa drugim zainteresovanim stranama, uključujući lokalne samouprave, civilno društvo, donatorsku zajednicu i građane, dok je zbog tekućih problema učinak </w:t>
      </w:r>
      <w:proofErr w:type="spellStart"/>
      <w:r>
        <w:rPr>
          <w:rFonts w:ascii="Arial" w:hAnsi="Arial" w:cs="Arial"/>
          <w:sz w:val="20"/>
          <w:szCs w:val="20"/>
          <w:lang w:eastAsia="de-DE"/>
        </w:rPr>
        <w:t>Savjeta</w:t>
      </w:r>
      <w:proofErr w:type="spellEnd"/>
      <w:r w:rsidRPr="00B213CF">
        <w:rPr>
          <w:rFonts w:ascii="Arial" w:hAnsi="Arial" w:cs="Arial"/>
          <w:sz w:val="20"/>
          <w:szCs w:val="20"/>
          <w:lang w:eastAsia="de-DE"/>
        </w:rPr>
        <w:t xml:space="preserve"> pod značajnim rizikom.</w:t>
      </w:r>
    </w:p>
    <w:p w14:paraId="7124CBD7" w14:textId="6D464C90" w:rsidR="00B213CF" w:rsidRPr="00B213CF" w:rsidRDefault="00B213CF" w:rsidP="00B213CF">
      <w:pPr>
        <w:jc w:val="both"/>
        <w:rPr>
          <w:rFonts w:ascii="Arial" w:hAnsi="Arial" w:cs="Arial"/>
          <w:sz w:val="20"/>
          <w:szCs w:val="20"/>
          <w:lang w:eastAsia="de-DE"/>
        </w:rPr>
      </w:pPr>
      <w:r w:rsidRPr="00B213CF">
        <w:rPr>
          <w:rFonts w:ascii="Arial" w:hAnsi="Arial" w:cs="Arial"/>
          <w:sz w:val="20"/>
          <w:szCs w:val="20"/>
          <w:lang w:eastAsia="de-DE"/>
        </w:rPr>
        <w:t xml:space="preserve">Razvojem komunikacione strategije kao sastavnog dela budućeg </w:t>
      </w:r>
      <w:r>
        <w:rPr>
          <w:rFonts w:ascii="Arial" w:hAnsi="Arial" w:cs="Arial"/>
          <w:sz w:val="20"/>
          <w:szCs w:val="20"/>
          <w:lang w:eastAsia="de-DE"/>
        </w:rPr>
        <w:t>Programa</w:t>
      </w:r>
      <w:r w:rsidRPr="00B213CF">
        <w:rPr>
          <w:rFonts w:ascii="Arial" w:hAnsi="Arial" w:cs="Arial"/>
          <w:sz w:val="20"/>
          <w:szCs w:val="20"/>
          <w:lang w:eastAsia="de-DE"/>
        </w:rPr>
        <w:t xml:space="preserve">, kreatori politika bi se posvetili kontinuiranim naporima komunikacije potreba i aktivnosti širem krugu zainteresovanih strana, uključujući donatorsku zajednicu, kao sredstvo za dobijanje dodatnih sredstava za sprovođenje </w:t>
      </w:r>
      <w:r>
        <w:rPr>
          <w:rFonts w:ascii="Arial" w:hAnsi="Arial" w:cs="Arial"/>
          <w:sz w:val="20"/>
          <w:szCs w:val="20"/>
          <w:lang w:eastAsia="de-DE"/>
        </w:rPr>
        <w:t>Programa</w:t>
      </w:r>
      <w:r w:rsidRPr="00B213CF">
        <w:rPr>
          <w:rFonts w:ascii="Arial" w:hAnsi="Arial" w:cs="Arial"/>
          <w:sz w:val="20"/>
          <w:szCs w:val="20"/>
          <w:lang w:eastAsia="de-DE"/>
        </w:rPr>
        <w:t>. Komunikaciona strategija je osmišljena u obliku akcionog plana, sa komunikacionim aktivnostima, odgovornim akterima, namenskim budžetom, indikatorima rezultata i vremenskim okvirom. Komunikaciona strategija treba da sadrži:</w:t>
      </w:r>
    </w:p>
    <w:p w14:paraId="2BACE195" w14:textId="2E68CA99" w:rsidR="00B213CF" w:rsidRPr="009B64EB" w:rsidRDefault="00B213CF" w:rsidP="009B64EB">
      <w:pPr>
        <w:pStyle w:val="ListParagraph"/>
        <w:numPr>
          <w:ilvl w:val="0"/>
          <w:numId w:val="48"/>
        </w:numPr>
        <w:jc w:val="both"/>
        <w:rPr>
          <w:rFonts w:ascii="Arial" w:hAnsi="Arial" w:cs="Arial"/>
          <w:sz w:val="20"/>
          <w:szCs w:val="20"/>
          <w:lang w:val="sr-Latn-RS" w:eastAsia="de-DE"/>
        </w:rPr>
      </w:pPr>
      <w:r w:rsidRPr="009B64EB">
        <w:rPr>
          <w:rFonts w:ascii="Arial" w:hAnsi="Arial" w:cs="Arial"/>
          <w:sz w:val="20"/>
          <w:szCs w:val="20"/>
          <w:lang w:val="sr-Latn-RS" w:eastAsia="de-DE"/>
        </w:rPr>
        <w:t>Interne komunikacione aktivnosti</w:t>
      </w:r>
    </w:p>
    <w:p w14:paraId="2256C8F4" w14:textId="00CDE54D" w:rsidR="00B213CF" w:rsidRPr="009B64EB" w:rsidRDefault="00B213CF" w:rsidP="009B64EB">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Zadatke koje treba da obavljaju glavni </w:t>
      </w:r>
      <w:proofErr w:type="spellStart"/>
      <w:r w:rsidR="009B64EB" w:rsidRPr="009B64EB">
        <w:rPr>
          <w:rFonts w:ascii="Arial" w:hAnsi="Arial" w:cs="Arial"/>
          <w:sz w:val="20"/>
          <w:szCs w:val="20"/>
          <w:lang w:val="sr-Latn-RS" w:eastAsia="de-DE"/>
        </w:rPr>
        <w:t>sprovedbeni</w:t>
      </w:r>
      <w:proofErr w:type="spellEnd"/>
      <w:r w:rsidR="009B64EB" w:rsidRPr="009B64EB">
        <w:rPr>
          <w:rFonts w:ascii="Arial" w:hAnsi="Arial" w:cs="Arial"/>
          <w:sz w:val="20"/>
          <w:szCs w:val="20"/>
          <w:lang w:val="sr-Latn-RS" w:eastAsia="de-DE"/>
        </w:rPr>
        <w:t xml:space="preserve"> akteri Programa</w:t>
      </w:r>
      <w:r w:rsidRPr="009B64EB">
        <w:rPr>
          <w:rFonts w:ascii="Arial" w:hAnsi="Arial" w:cs="Arial"/>
          <w:sz w:val="20"/>
          <w:szCs w:val="20"/>
          <w:lang w:val="sr-Latn-RS" w:eastAsia="de-DE"/>
        </w:rPr>
        <w:t xml:space="preserve">, </w:t>
      </w:r>
      <w:r w:rsidR="009B64EB" w:rsidRPr="009B64EB">
        <w:rPr>
          <w:rFonts w:ascii="Arial" w:hAnsi="Arial" w:cs="Arial"/>
          <w:sz w:val="20"/>
          <w:szCs w:val="20"/>
          <w:lang w:val="sr-Latn-RS" w:eastAsia="de-DE"/>
        </w:rPr>
        <w:t>uključujući</w:t>
      </w:r>
      <w:r w:rsidRPr="009B64EB">
        <w:rPr>
          <w:rFonts w:ascii="Arial" w:hAnsi="Arial" w:cs="Arial"/>
          <w:sz w:val="20"/>
          <w:szCs w:val="20"/>
          <w:lang w:val="sr-Latn-RS" w:eastAsia="de-DE"/>
        </w:rPr>
        <w:t xml:space="preserve"> M</w:t>
      </w:r>
      <w:r w:rsidR="009B64EB">
        <w:rPr>
          <w:rFonts w:ascii="Arial" w:hAnsi="Arial" w:cs="Arial"/>
          <w:sz w:val="20"/>
          <w:szCs w:val="20"/>
          <w:lang w:val="sr-Latn-RS" w:eastAsia="de-DE"/>
        </w:rPr>
        <w:t>inistarstvo ekonomskog razvoja</w:t>
      </w:r>
      <w:r w:rsidRPr="009B64EB">
        <w:rPr>
          <w:rFonts w:ascii="Arial" w:hAnsi="Arial" w:cs="Arial"/>
          <w:sz w:val="20"/>
          <w:szCs w:val="20"/>
          <w:lang w:val="sr-Latn-RS" w:eastAsia="de-DE"/>
        </w:rPr>
        <w:t xml:space="preserve"> i </w:t>
      </w:r>
      <w:r w:rsidR="009B64EB">
        <w:rPr>
          <w:rFonts w:ascii="Arial" w:hAnsi="Arial" w:cs="Arial"/>
          <w:sz w:val="20"/>
          <w:szCs w:val="20"/>
          <w:lang w:val="sr-Latn-RS" w:eastAsia="de-DE"/>
        </w:rPr>
        <w:t xml:space="preserve">članovi </w:t>
      </w:r>
      <w:proofErr w:type="spellStart"/>
      <w:r w:rsidR="009B64EB">
        <w:rPr>
          <w:rFonts w:ascii="Arial" w:hAnsi="Arial" w:cs="Arial"/>
          <w:sz w:val="20"/>
          <w:szCs w:val="20"/>
          <w:lang w:val="sr-Latn-RS" w:eastAsia="de-DE"/>
        </w:rPr>
        <w:t>Savjeta</w:t>
      </w:r>
      <w:proofErr w:type="spellEnd"/>
      <w:r w:rsidRPr="009B64EB">
        <w:rPr>
          <w:rFonts w:ascii="Arial" w:hAnsi="Arial" w:cs="Arial"/>
          <w:sz w:val="20"/>
          <w:szCs w:val="20"/>
          <w:lang w:val="sr-Latn-RS" w:eastAsia="de-DE"/>
        </w:rPr>
        <w:t>,</w:t>
      </w:r>
      <w:r w:rsidR="009B64EB">
        <w:rPr>
          <w:rFonts w:ascii="Arial" w:hAnsi="Arial" w:cs="Arial"/>
          <w:sz w:val="20"/>
          <w:szCs w:val="20"/>
          <w:lang w:val="sr-Latn-RS" w:eastAsia="de-DE"/>
        </w:rPr>
        <w:t xml:space="preserve"> a</w:t>
      </w:r>
      <w:r w:rsidRPr="009B64EB">
        <w:rPr>
          <w:rFonts w:ascii="Arial" w:hAnsi="Arial" w:cs="Arial"/>
          <w:sz w:val="20"/>
          <w:szCs w:val="20"/>
          <w:lang w:val="sr-Latn-RS" w:eastAsia="de-DE"/>
        </w:rPr>
        <w:t xml:space="preserve"> u vezi sa informisanjem, koordinacijom i </w:t>
      </w:r>
      <w:r w:rsidR="009B64EB" w:rsidRPr="009B64EB">
        <w:rPr>
          <w:rFonts w:ascii="Arial" w:hAnsi="Arial" w:cs="Arial"/>
          <w:sz w:val="20"/>
          <w:szCs w:val="20"/>
          <w:lang w:val="sr-Latn-RS" w:eastAsia="de-DE"/>
        </w:rPr>
        <w:t>praćenjem</w:t>
      </w:r>
      <w:r w:rsidRPr="009B64EB">
        <w:rPr>
          <w:rFonts w:ascii="Arial" w:hAnsi="Arial" w:cs="Arial"/>
          <w:sz w:val="20"/>
          <w:szCs w:val="20"/>
          <w:lang w:val="sr-Latn-RS" w:eastAsia="de-DE"/>
        </w:rPr>
        <w:t xml:space="preserve"> </w:t>
      </w:r>
      <w:r w:rsidR="009B64EB">
        <w:rPr>
          <w:rFonts w:ascii="Arial" w:hAnsi="Arial" w:cs="Arial"/>
          <w:sz w:val="20"/>
          <w:szCs w:val="20"/>
          <w:lang w:val="sr-Latn-RS" w:eastAsia="de-DE"/>
        </w:rPr>
        <w:t>Programa.</w:t>
      </w:r>
    </w:p>
    <w:p w14:paraId="7667F87A" w14:textId="532A039F" w:rsidR="00B213CF" w:rsidRPr="009B64EB" w:rsidRDefault="00B213CF" w:rsidP="009B64EB">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Aktivnosti </w:t>
      </w:r>
      <w:proofErr w:type="spellStart"/>
      <w:r w:rsidRPr="009B64EB">
        <w:rPr>
          <w:rFonts w:ascii="Arial" w:hAnsi="Arial" w:cs="Arial"/>
          <w:sz w:val="20"/>
          <w:szCs w:val="20"/>
          <w:lang w:val="sr-Latn-RS" w:eastAsia="de-DE"/>
        </w:rPr>
        <w:t>će</w:t>
      </w:r>
      <w:proofErr w:type="spellEnd"/>
      <w:r w:rsidRPr="009B64EB">
        <w:rPr>
          <w:rFonts w:ascii="Arial" w:hAnsi="Arial" w:cs="Arial"/>
          <w:sz w:val="20"/>
          <w:szCs w:val="20"/>
          <w:lang w:val="sr-Latn-RS" w:eastAsia="de-DE"/>
        </w:rPr>
        <w:t xml:space="preserve"> morati da uključuju zadatke prema </w:t>
      </w:r>
      <w:proofErr w:type="spellStart"/>
      <w:r w:rsidRPr="009B64EB">
        <w:rPr>
          <w:rFonts w:ascii="Arial" w:hAnsi="Arial" w:cs="Arial"/>
          <w:sz w:val="20"/>
          <w:szCs w:val="20"/>
          <w:lang w:val="sr-Latn-RS" w:eastAsia="de-DE"/>
        </w:rPr>
        <w:t>predviđenom</w:t>
      </w:r>
      <w:proofErr w:type="spellEnd"/>
      <w:r w:rsidRPr="009B64EB">
        <w:rPr>
          <w:rFonts w:ascii="Arial" w:hAnsi="Arial" w:cs="Arial"/>
          <w:sz w:val="20"/>
          <w:szCs w:val="20"/>
          <w:lang w:val="sr-Latn-RS" w:eastAsia="de-DE"/>
        </w:rPr>
        <w:t xml:space="preserve"> vremenskom okviru za </w:t>
      </w:r>
      <w:proofErr w:type="spellStart"/>
      <w:r w:rsidRPr="009B64EB">
        <w:rPr>
          <w:rFonts w:ascii="Arial" w:hAnsi="Arial" w:cs="Arial"/>
          <w:sz w:val="20"/>
          <w:szCs w:val="20"/>
          <w:lang w:val="sr-Latn-RS" w:eastAsia="de-DE"/>
        </w:rPr>
        <w:t>praćenje</w:t>
      </w:r>
      <w:proofErr w:type="spellEnd"/>
      <w:r w:rsidRPr="009B64EB">
        <w:rPr>
          <w:rFonts w:ascii="Arial" w:hAnsi="Arial" w:cs="Arial"/>
          <w:sz w:val="20"/>
          <w:szCs w:val="20"/>
          <w:lang w:val="sr-Latn-RS" w:eastAsia="de-DE"/>
        </w:rPr>
        <w:t xml:space="preserve"> i evaluaciju</w:t>
      </w:r>
      <w:r w:rsidR="009B64EB">
        <w:rPr>
          <w:rFonts w:ascii="Arial" w:hAnsi="Arial" w:cs="Arial"/>
          <w:sz w:val="20"/>
          <w:szCs w:val="20"/>
          <w:lang w:val="sr-Latn-RS" w:eastAsia="de-DE"/>
        </w:rPr>
        <w:t>, a u skladu sa okvirom za monitoring i evaluaciju</w:t>
      </w:r>
      <w:r w:rsidRPr="009B64EB">
        <w:rPr>
          <w:rFonts w:ascii="Arial" w:hAnsi="Arial" w:cs="Arial"/>
          <w:sz w:val="20"/>
          <w:szCs w:val="20"/>
          <w:lang w:val="sr-Latn-RS" w:eastAsia="de-DE"/>
        </w:rPr>
        <w:t>.</w:t>
      </w:r>
    </w:p>
    <w:p w14:paraId="0DB4573C" w14:textId="0D8C18DA" w:rsidR="00B213CF" w:rsidRPr="009B64EB" w:rsidRDefault="00B213CF" w:rsidP="009B64EB">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Aktivnosti mogu da uključuju sastanke sa relevantnim javnim akterima, fokus grupe, izveštavanje ili druge aktivnosti sa ciljem bolje koordinacije i komunikacije, u skladu sa ciljevima </w:t>
      </w:r>
      <w:r w:rsidR="009B64EB">
        <w:rPr>
          <w:rFonts w:ascii="Arial" w:hAnsi="Arial" w:cs="Arial"/>
          <w:sz w:val="20"/>
          <w:szCs w:val="20"/>
          <w:lang w:val="sr-Latn-RS" w:eastAsia="de-DE"/>
        </w:rPr>
        <w:t>Programa</w:t>
      </w:r>
      <w:r w:rsidRPr="009B64EB">
        <w:rPr>
          <w:rFonts w:ascii="Arial" w:hAnsi="Arial" w:cs="Arial"/>
          <w:sz w:val="20"/>
          <w:szCs w:val="20"/>
          <w:lang w:val="sr-Latn-RS" w:eastAsia="de-DE"/>
        </w:rPr>
        <w:t>.</w:t>
      </w:r>
    </w:p>
    <w:p w14:paraId="0856A064" w14:textId="77777777" w:rsidR="009B64EB" w:rsidRDefault="009B64EB" w:rsidP="00B213CF">
      <w:pPr>
        <w:jc w:val="both"/>
        <w:rPr>
          <w:rFonts w:ascii="Arial" w:hAnsi="Arial" w:cs="Arial"/>
          <w:sz w:val="20"/>
          <w:szCs w:val="20"/>
          <w:lang w:eastAsia="de-DE"/>
        </w:rPr>
      </w:pPr>
    </w:p>
    <w:p w14:paraId="5A835676" w14:textId="731BB0B2" w:rsidR="00B213CF" w:rsidRPr="009B64EB" w:rsidRDefault="00B213CF" w:rsidP="009B64EB">
      <w:pPr>
        <w:pStyle w:val="ListParagraph"/>
        <w:numPr>
          <w:ilvl w:val="0"/>
          <w:numId w:val="48"/>
        </w:numPr>
        <w:jc w:val="both"/>
        <w:rPr>
          <w:rFonts w:ascii="Arial" w:hAnsi="Arial" w:cs="Arial"/>
          <w:sz w:val="20"/>
          <w:szCs w:val="20"/>
          <w:lang w:eastAsia="de-DE"/>
        </w:rPr>
      </w:pPr>
      <w:r w:rsidRPr="009B64EB">
        <w:rPr>
          <w:rFonts w:ascii="Arial" w:hAnsi="Arial" w:cs="Arial"/>
          <w:sz w:val="20"/>
          <w:szCs w:val="20"/>
          <w:lang w:eastAsia="de-DE"/>
        </w:rPr>
        <w:t>Aktivnosti eksterne komunikacije</w:t>
      </w:r>
    </w:p>
    <w:p w14:paraId="7B98D983" w14:textId="1C438515" w:rsidR="00B213CF" w:rsidRPr="009B64EB" w:rsidRDefault="009B64EB" w:rsidP="009B64EB">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Zadatke koje treba da obavljaju glavni </w:t>
      </w:r>
      <w:proofErr w:type="spellStart"/>
      <w:r w:rsidRPr="009B64EB">
        <w:rPr>
          <w:rFonts w:ascii="Arial" w:hAnsi="Arial" w:cs="Arial"/>
          <w:sz w:val="20"/>
          <w:szCs w:val="20"/>
          <w:lang w:val="sr-Latn-RS" w:eastAsia="de-DE"/>
        </w:rPr>
        <w:t>sprovedbeni</w:t>
      </w:r>
      <w:proofErr w:type="spellEnd"/>
      <w:r w:rsidRPr="009B64EB">
        <w:rPr>
          <w:rFonts w:ascii="Arial" w:hAnsi="Arial" w:cs="Arial"/>
          <w:sz w:val="20"/>
          <w:szCs w:val="20"/>
          <w:lang w:val="sr-Latn-RS" w:eastAsia="de-DE"/>
        </w:rPr>
        <w:t xml:space="preserve"> akteri Programa, uključujući Ministarstvo ekonomskog razvoja i članovi </w:t>
      </w:r>
      <w:proofErr w:type="spellStart"/>
      <w:r w:rsidRPr="009B64EB">
        <w:rPr>
          <w:rFonts w:ascii="Arial" w:hAnsi="Arial" w:cs="Arial"/>
          <w:sz w:val="20"/>
          <w:szCs w:val="20"/>
          <w:lang w:val="sr-Latn-RS" w:eastAsia="de-DE"/>
        </w:rPr>
        <w:t>Savjeta</w:t>
      </w:r>
      <w:proofErr w:type="spellEnd"/>
      <w:r w:rsidRPr="009B64EB">
        <w:rPr>
          <w:rFonts w:ascii="Arial" w:hAnsi="Arial" w:cs="Arial"/>
          <w:sz w:val="20"/>
          <w:szCs w:val="20"/>
          <w:lang w:val="sr-Latn-RS" w:eastAsia="de-DE"/>
        </w:rPr>
        <w:t>,</w:t>
      </w:r>
      <w:r w:rsidR="00B213CF" w:rsidRPr="009B64EB">
        <w:rPr>
          <w:rFonts w:ascii="Arial" w:hAnsi="Arial" w:cs="Arial"/>
          <w:sz w:val="20"/>
          <w:szCs w:val="20"/>
          <w:lang w:val="sr-Latn-RS" w:eastAsia="de-DE"/>
        </w:rPr>
        <w:t xml:space="preserve"> </w:t>
      </w:r>
      <w:r w:rsidRPr="009B64EB">
        <w:rPr>
          <w:rFonts w:ascii="Arial" w:hAnsi="Arial" w:cs="Arial"/>
          <w:sz w:val="20"/>
          <w:szCs w:val="20"/>
          <w:lang w:val="sr-Latn-RS" w:eastAsia="de-DE"/>
        </w:rPr>
        <w:t xml:space="preserve">a </w:t>
      </w:r>
      <w:r w:rsidR="00B213CF" w:rsidRPr="009B64EB">
        <w:rPr>
          <w:rFonts w:ascii="Arial" w:hAnsi="Arial" w:cs="Arial"/>
          <w:sz w:val="20"/>
          <w:szCs w:val="20"/>
          <w:lang w:val="sr-Latn-RS" w:eastAsia="de-DE"/>
        </w:rPr>
        <w:t xml:space="preserve">u vezi sa informisanjem, koordinacijom i </w:t>
      </w:r>
      <w:proofErr w:type="spellStart"/>
      <w:r w:rsidR="00B213CF" w:rsidRPr="009B64EB">
        <w:rPr>
          <w:rFonts w:ascii="Arial" w:hAnsi="Arial" w:cs="Arial"/>
          <w:sz w:val="20"/>
          <w:szCs w:val="20"/>
          <w:lang w:val="sr-Latn-RS" w:eastAsia="de-DE"/>
        </w:rPr>
        <w:t>praćenjem</w:t>
      </w:r>
      <w:proofErr w:type="spellEnd"/>
      <w:r w:rsidR="00B213CF" w:rsidRPr="009B64EB">
        <w:rPr>
          <w:rFonts w:ascii="Arial" w:hAnsi="Arial" w:cs="Arial"/>
          <w:sz w:val="20"/>
          <w:szCs w:val="20"/>
          <w:lang w:val="sr-Latn-RS" w:eastAsia="de-DE"/>
        </w:rPr>
        <w:t xml:space="preserve"> </w:t>
      </w:r>
      <w:r w:rsidRPr="009B64EB">
        <w:rPr>
          <w:rFonts w:ascii="Arial" w:hAnsi="Arial" w:cs="Arial"/>
          <w:sz w:val="20"/>
          <w:szCs w:val="20"/>
          <w:lang w:val="sr-Latn-RS" w:eastAsia="de-DE"/>
        </w:rPr>
        <w:t>Programa</w:t>
      </w:r>
      <w:r w:rsidR="00B213CF" w:rsidRPr="009B64EB">
        <w:rPr>
          <w:rFonts w:ascii="Arial" w:hAnsi="Arial" w:cs="Arial"/>
          <w:sz w:val="20"/>
          <w:szCs w:val="20"/>
          <w:lang w:val="sr-Latn-RS" w:eastAsia="de-DE"/>
        </w:rPr>
        <w:t xml:space="preserve"> sa eksternim zainteresovanim stranama (lokalnim zajednicama, nevladinim organizacijama, donatorima itd.)</w:t>
      </w:r>
    </w:p>
    <w:p w14:paraId="31DD5EF7" w14:textId="5A6F3C5B" w:rsidR="00B213CF" w:rsidRPr="009B64EB" w:rsidRDefault="00B213CF" w:rsidP="009B64EB">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Zadaci se mogu delegirati drugim javnim i </w:t>
      </w:r>
      <w:proofErr w:type="spellStart"/>
      <w:r w:rsidRPr="009B64EB">
        <w:rPr>
          <w:rFonts w:ascii="Arial" w:hAnsi="Arial" w:cs="Arial"/>
          <w:sz w:val="20"/>
          <w:szCs w:val="20"/>
          <w:lang w:val="sr-Latn-RS" w:eastAsia="de-DE"/>
        </w:rPr>
        <w:t>nejavnim</w:t>
      </w:r>
      <w:proofErr w:type="spellEnd"/>
      <w:r w:rsidRPr="009B64EB">
        <w:rPr>
          <w:rFonts w:ascii="Arial" w:hAnsi="Arial" w:cs="Arial"/>
          <w:sz w:val="20"/>
          <w:szCs w:val="20"/>
          <w:lang w:val="sr-Latn-RS" w:eastAsia="de-DE"/>
        </w:rPr>
        <w:t xml:space="preserve"> akterima, u skladu sa Zakonom o zaštiti potrošača.</w:t>
      </w:r>
    </w:p>
    <w:p w14:paraId="7B2C3BD2" w14:textId="7EA7533C" w:rsidR="00B213CF" w:rsidRDefault="00B213CF" w:rsidP="009B64EB">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Ove aktivnosti mogu da uključuju onlajn promocije, panel diskusije, informativne medijske kampanje, događaje za prikupljanje sredstava, vežbe prikupljanja podataka (</w:t>
      </w:r>
      <w:r w:rsidR="009B64EB" w:rsidRPr="009B64EB">
        <w:rPr>
          <w:rFonts w:ascii="Arial" w:hAnsi="Arial" w:cs="Arial"/>
          <w:sz w:val="20"/>
          <w:szCs w:val="20"/>
          <w:lang w:val="sr-Latn-RS" w:eastAsia="de-DE"/>
        </w:rPr>
        <w:t>uključujući</w:t>
      </w:r>
      <w:r w:rsidRPr="009B64EB">
        <w:rPr>
          <w:rFonts w:ascii="Arial" w:hAnsi="Arial" w:cs="Arial"/>
          <w:sz w:val="20"/>
          <w:szCs w:val="20"/>
          <w:lang w:val="sr-Latn-RS" w:eastAsia="de-DE"/>
        </w:rPr>
        <w:t xml:space="preserve"> ankete i fokus grupe) i druge aktivnosti koje bi trebalo da podignu svest o </w:t>
      </w:r>
      <w:r w:rsidR="009B64EB">
        <w:rPr>
          <w:rFonts w:ascii="Arial" w:hAnsi="Arial" w:cs="Arial"/>
          <w:sz w:val="20"/>
          <w:szCs w:val="20"/>
          <w:lang w:val="sr-Latn-RS" w:eastAsia="de-DE"/>
        </w:rPr>
        <w:t>Programu</w:t>
      </w:r>
      <w:r w:rsidRPr="009B64EB">
        <w:rPr>
          <w:rFonts w:ascii="Arial" w:hAnsi="Arial" w:cs="Arial"/>
          <w:sz w:val="20"/>
          <w:szCs w:val="20"/>
          <w:lang w:val="sr-Latn-RS" w:eastAsia="de-DE"/>
        </w:rPr>
        <w:t xml:space="preserve"> i politici zaštite potrošača Crne Gore.</w:t>
      </w:r>
    </w:p>
    <w:p w14:paraId="2F31B04E" w14:textId="77777777" w:rsidR="009B64EB" w:rsidRDefault="009B64EB" w:rsidP="009B64EB">
      <w:pPr>
        <w:jc w:val="both"/>
        <w:rPr>
          <w:rFonts w:ascii="Arial" w:hAnsi="Arial" w:cs="Arial"/>
          <w:sz w:val="20"/>
          <w:szCs w:val="20"/>
          <w:lang w:eastAsia="de-DE"/>
        </w:rPr>
      </w:pPr>
    </w:p>
    <w:p w14:paraId="031A63A2" w14:textId="1B19106F" w:rsidR="009B64EB" w:rsidRPr="009B64EB" w:rsidRDefault="009B64EB" w:rsidP="009B64EB">
      <w:pPr>
        <w:jc w:val="both"/>
        <w:rPr>
          <w:rFonts w:ascii="Arial" w:hAnsi="Arial" w:cs="Arial"/>
          <w:b/>
          <w:bCs/>
          <w:sz w:val="20"/>
          <w:szCs w:val="20"/>
          <w:lang w:eastAsia="de-DE"/>
        </w:rPr>
      </w:pPr>
      <w:r>
        <w:rPr>
          <w:rFonts w:ascii="Arial" w:hAnsi="Arial" w:cs="Arial"/>
          <w:b/>
          <w:bCs/>
          <w:sz w:val="20"/>
          <w:szCs w:val="20"/>
          <w:lang w:eastAsia="de-DE"/>
        </w:rPr>
        <w:t xml:space="preserve">Preporuka 3. </w:t>
      </w:r>
      <w:r w:rsidRPr="009B64EB">
        <w:rPr>
          <w:rFonts w:ascii="Arial" w:hAnsi="Arial" w:cs="Arial"/>
          <w:b/>
          <w:bCs/>
          <w:sz w:val="20"/>
          <w:szCs w:val="20"/>
          <w:lang w:eastAsia="de-DE"/>
        </w:rPr>
        <w:t>Uključivanje nerealizovanih aktivnosti i novih aktivnosti</w:t>
      </w:r>
      <w:r>
        <w:rPr>
          <w:rFonts w:ascii="Arial" w:hAnsi="Arial" w:cs="Arial"/>
          <w:b/>
          <w:bCs/>
          <w:sz w:val="20"/>
          <w:szCs w:val="20"/>
          <w:lang w:eastAsia="de-DE"/>
        </w:rPr>
        <w:t xml:space="preserve"> u buduće planove</w:t>
      </w:r>
    </w:p>
    <w:p w14:paraId="3852EB0B" w14:textId="4A3BA273" w:rsidR="009B64EB" w:rsidRPr="009B64EB" w:rsidRDefault="009B64EB" w:rsidP="009B64EB">
      <w:pPr>
        <w:jc w:val="both"/>
        <w:rPr>
          <w:rFonts w:ascii="Arial" w:hAnsi="Arial" w:cs="Arial"/>
          <w:sz w:val="20"/>
          <w:szCs w:val="20"/>
          <w:lang w:eastAsia="de-DE"/>
        </w:rPr>
      </w:pPr>
      <w:r w:rsidRPr="009B64EB">
        <w:rPr>
          <w:rFonts w:ascii="Arial" w:hAnsi="Arial" w:cs="Arial"/>
          <w:sz w:val="20"/>
          <w:szCs w:val="20"/>
          <w:lang w:eastAsia="de-DE"/>
        </w:rPr>
        <w:t xml:space="preserve">Prema rezultatima Nacionalnog plana zaštite potrošača budući </w:t>
      </w:r>
      <w:r>
        <w:rPr>
          <w:rFonts w:ascii="Arial" w:hAnsi="Arial" w:cs="Arial"/>
          <w:sz w:val="20"/>
          <w:szCs w:val="20"/>
          <w:lang w:eastAsia="de-DE"/>
        </w:rPr>
        <w:t>Program bi</w:t>
      </w:r>
      <w:r w:rsidRPr="009B64EB">
        <w:rPr>
          <w:rFonts w:ascii="Arial" w:hAnsi="Arial" w:cs="Arial"/>
          <w:sz w:val="20"/>
          <w:szCs w:val="20"/>
          <w:lang w:eastAsia="de-DE"/>
        </w:rPr>
        <w:t xml:space="preserve"> treba</w:t>
      </w:r>
      <w:r>
        <w:rPr>
          <w:rFonts w:ascii="Arial" w:hAnsi="Arial" w:cs="Arial"/>
          <w:sz w:val="20"/>
          <w:szCs w:val="20"/>
          <w:lang w:eastAsia="de-DE"/>
        </w:rPr>
        <w:t>lo</w:t>
      </w:r>
      <w:r w:rsidRPr="009B64EB">
        <w:rPr>
          <w:rFonts w:ascii="Arial" w:hAnsi="Arial" w:cs="Arial"/>
          <w:sz w:val="20"/>
          <w:szCs w:val="20"/>
          <w:lang w:eastAsia="de-DE"/>
        </w:rPr>
        <w:t xml:space="preserve"> da bude osmišljen uz priznavanje aktivnosti koje nisu sprovedene i da pruži dokaze o tome koje aktivnosti treba uključiti u budući dokument politike u oblasti zaštite potrošača. Pored uključivanja nerealizovanih aktivnosti, M</w:t>
      </w:r>
      <w:r>
        <w:rPr>
          <w:rFonts w:ascii="Arial" w:hAnsi="Arial" w:cs="Arial"/>
          <w:sz w:val="20"/>
          <w:szCs w:val="20"/>
          <w:lang w:eastAsia="de-DE"/>
        </w:rPr>
        <w:t>inistarstvo</w:t>
      </w:r>
      <w:r w:rsidRPr="009B64EB">
        <w:rPr>
          <w:rFonts w:ascii="Arial" w:hAnsi="Arial" w:cs="Arial"/>
          <w:sz w:val="20"/>
          <w:szCs w:val="20"/>
          <w:lang w:eastAsia="de-DE"/>
        </w:rPr>
        <w:t xml:space="preserve"> i drugi </w:t>
      </w:r>
      <w:proofErr w:type="spellStart"/>
      <w:r>
        <w:rPr>
          <w:rFonts w:ascii="Arial" w:hAnsi="Arial" w:cs="Arial"/>
          <w:sz w:val="20"/>
          <w:szCs w:val="20"/>
          <w:lang w:eastAsia="de-DE"/>
        </w:rPr>
        <w:t>implementacioni</w:t>
      </w:r>
      <w:proofErr w:type="spellEnd"/>
      <w:r>
        <w:rPr>
          <w:rFonts w:ascii="Arial" w:hAnsi="Arial" w:cs="Arial"/>
          <w:sz w:val="20"/>
          <w:szCs w:val="20"/>
          <w:lang w:eastAsia="de-DE"/>
        </w:rPr>
        <w:t xml:space="preserve"> partneri bi</w:t>
      </w:r>
      <w:r w:rsidRPr="009B64EB">
        <w:rPr>
          <w:rFonts w:ascii="Arial" w:hAnsi="Arial" w:cs="Arial"/>
          <w:sz w:val="20"/>
          <w:szCs w:val="20"/>
          <w:lang w:eastAsia="de-DE"/>
        </w:rPr>
        <w:t xml:space="preserve"> trebalo da delegiraju nove aktivnosti, u skladu sa analizom potreba, i da </w:t>
      </w:r>
      <w:r>
        <w:rPr>
          <w:rFonts w:ascii="Arial" w:hAnsi="Arial" w:cs="Arial"/>
          <w:sz w:val="20"/>
          <w:szCs w:val="20"/>
          <w:lang w:eastAsia="de-DE"/>
        </w:rPr>
        <w:t xml:space="preserve">odrede </w:t>
      </w:r>
      <w:r w:rsidRPr="009B64EB">
        <w:rPr>
          <w:rFonts w:ascii="Arial" w:hAnsi="Arial" w:cs="Arial"/>
          <w:sz w:val="20"/>
          <w:szCs w:val="20"/>
          <w:lang w:eastAsia="de-DE"/>
        </w:rPr>
        <w:t>vremenske rokove i budžet navedenim aktivnostima.</w:t>
      </w:r>
    </w:p>
    <w:p w14:paraId="600FE760" w14:textId="54A68AE9" w:rsidR="009B64EB" w:rsidRPr="009B64EB" w:rsidRDefault="009B64EB" w:rsidP="009B64EB">
      <w:pPr>
        <w:jc w:val="both"/>
        <w:rPr>
          <w:rFonts w:ascii="Arial" w:hAnsi="Arial" w:cs="Arial"/>
          <w:sz w:val="20"/>
          <w:szCs w:val="20"/>
          <w:lang w:eastAsia="de-DE"/>
        </w:rPr>
      </w:pPr>
      <w:r>
        <w:rPr>
          <w:rFonts w:ascii="Arial" w:hAnsi="Arial" w:cs="Arial"/>
          <w:sz w:val="20"/>
          <w:szCs w:val="20"/>
          <w:lang w:eastAsia="de-DE"/>
        </w:rPr>
        <w:t>Evaluacija</w:t>
      </w:r>
      <w:r w:rsidRPr="009B64EB">
        <w:rPr>
          <w:rFonts w:ascii="Arial" w:hAnsi="Arial" w:cs="Arial"/>
          <w:sz w:val="20"/>
          <w:szCs w:val="20"/>
          <w:lang w:eastAsia="de-DE"/>
        </w:rPr>
        <w:t xml:space="preserve"> snažno naglašava potrebu uključivanja aktivnosti koje su direktno povezane sa procesom pristupanja Crne Gore</w:t>
      </w:r>
      <w:r>
        <w:rPr>
          <w:rFonts w:ascii="Arial" w:hAnsi="Arial" w:cs="Arial"/>
          <w:sz w:val="20"/>
          <w:szCs w:val="20"/>
          <w:lang w:eastAsia="de-DE"/>
        </w:rPr>
        <w:t xml:space="preserve"> u</w:t>
      </w:r>
      <w:r w:rsidRPr="009B64EB">
        <w:rPr>
          <w:rFonts w:ascii="Arial" w:hAnsi="Arial" w:cs="Arial"/>
          <w:sz w:val="20"/>
          <w:szCs w:val="20"/>
          <w:lang w:eastAsia="de-DE"/>
        </w:rPr>
        <w:t xml:space="preserve"> EU i harmonizacijom nacionalnog zakonodavnog okvira. Stoga, preporučuje da se sledeće aktivnosti uključe u novu politiku zaštite potrošača:</w:t>
      </w:r>
    </w:p>
    <w:p w14:paraId="5D2C3AAB" w14:textId="475050EE" w:rsidR="009B64EB" w:rsidRPr="009B64EB" w:rsidRDefault="009B64EB" w:rsidP="009B64EB">
      <w:pPr>
        <w:pStyle w:val="ListParagraph"/>
        <w:numPr>
          <w:ilvl w:val="0"/>
          <w:numId w:val="49"/>
        </w:numPr>
        <w:jc w:val="both"/>
        <w:rPr>
          <w:rFonts w:ascii="Arial" w:hAnsi="Arial" w:cs="Arial"/>
          <w:sz w:val="20"/>
          <w:szCs w:val="20"/>
          <w:lang w:eastAsia="de-DE"/>
        </w:rPr>
      </w:pPr>
      <w:r w:rsidRPr="009B64EB">
        <w:rPr>
          <w:rFonts w:ascii="Arial" w:hAnsi="Arial" w:cs="Arial"/>
          <w:sz w:val="20"/>
          <w:szCs w:val="20"/>
          <w:lang w:eastAsia="de-DE"/>
        </w:rPr>
        <w:t>Usvajanje opštih programa nadzora proizvoda na tržištu za 2025, 2026. i 2027. godinu</w:t>
      </w:r>
    </w:p>
    <w:p w14:paraId="04D3A870" w14:textId="29C53042" w:rsidR="009B64EB" w:rsidRPr="009B64EB" w:rsidRDefault="009B64EB" w:rsidP="009B64EB">
      <w:pPr>
        <w:pStyle w:val="ListParagraph"/>
        <w:numPr>
          <w:ilvl w:val="0"/>
          <w:numId w:val="49"/>
        </w:numPr>
        <w:jc w:val="both"/>
        <w:rPr>
          <w:rFonts w:ascii="Arial" w:hAnsi="Arial" w:cs="Arial"/>
          <w:sz w:val="20"/>
          <w:szCs w:val="20"/>
          <w:lang w:eastAsia="de-DE"/>
        </w:rPr>
      </w:pPr>
      <w:r w:rsidRPr="009B64EB">
        <w:rPr>
          <w:rFonts w:ascii="Arial" w:hAnsi="Arial" w:cs="Arial"/>
          <w:sz w:val="20"/>
          <w:szCs w:val="20"/>
          <w:lang w:eastAsia="de-DE"/>
        </w:rPr>
        <w:t>Usvajanje Zakona o izmenama i dopunama Zakona o nadzoru proizvoda na tržištu,</w:t>
      </w:r>
    </w:p>
    <w:p w14:paraId="46F17CE5" w14:textId="7E30711A" w:rsidR="009B64EB" w:rsidRPr="009B64EB" w:rsidRDefault="009B64EB" w:rsidP="009B64EB">
      <w:pPr>
        <w:pStyle w:val="ListParagraph"/>
        <w:numPr>
          <w:ilvl w:val="0"/>
          <w:numId w:val="49"/>
        </w:numPr>
        <w:jc w:val="both"/>
        <w:rPr>
          <w:rFonts w:ascii="Arial" w:hAnsi="Arial" w:cs="Arial"/>
          <w:sz w:val="20"/>
          <w:szCs w:val="20"/>
          <w:lang w:eastAsia="de-DE"/>
        </w:rPr>
      </w:pPr>
      <w:r w:rsidRPr="009B64EB">
        <w:rPr>
          <w:rFonts w:ascii="Arial" w:hAnsi="Arial" w:cs="Arial"/>
          <w:sz w:val="20"/>
          <w:szCs w:val="20"/>
          <w:lang w:eastAsia="de-DE"/>
        </w:rPr>
        <w:t>Usvajanje Zakona o turizmu i ugostiteljstvu</w:t>
      </w:r>
    </w:p>
    <w:p w14:paraId="4A290724" w14:textId="77777777" w:rsidR="009B64EB" w:rsidRPr="009B64EB" w:rsidRDefault="009B64EB" w:rsidP="009B64EB">
      <w:pPr>
        <w:pStyle w:val="ListParagraph"/>
        <w:numPr>
          <w:ilvl w:val="0"/>
          <w:numId w:val="49"/>
        </w:numPr>
        <w:jc w:val="both"/>
        <w:rPr>
          <w:rFonts w:ascii="Arial" w:hAnsi="Arial" w:cs="Arial"/>
          <w:sz w:val="20"/>
          <w:szCs w:val="20"/>
          <w:lang w:eastAsia="de-DE"/>
        </w:rPr>
      </w:pPr>
      <w:r w:rsidRPr="009B64EB">
        <w:rPr>
          <w:rFonts w:ascii="Arial" w:hAnsi="Arial" w:cs="Arial"/>
          <w:sz w:val="20"/>
          <w:szCs w:val="20"/>
          <w:lang w:eastAsia="de-DE"/>
        </w:rPr>
        <w:t>Usvajanje Zakona o potrošačkim kreditima</w:t>
      </w:r>
    </w:p>
    <w:p w14:paraId="7CB03474" w14:textId="0C3AE327" w:rsidR="009B64EB" w:rsidRPr="009B64EB" w:rsidRDefault="009B64EB" w:rsidP="009B64EB">
      <w:pPr>
        <w:pStyle w:val="ListParagraph"/>
        <w:numPr>
          <w:ilvl w:val="0"/>
          <w:numId w:val="49"/>
        </w:numPr>
        <w:jc w:val="both"/>
        <w:rPr>
          <w:rFonts w:ascii="Arial" w:hAnsi="Arial" w:cs="Arial"/>
          <w:sz w:val="20"/>
          <w:szCs w:val="20"/>
          <w:lang w:eastAsia="de-DE"/>
        </w:rPr>
      </w:pPr>
      <w:r w:rsidRPr="009B64EB">
        <w:rPr>
          <w:rFonts w:ascii="Arial" w:hAnsi="Arial" w:cs="Arial"/>
          <w:sz w:val="20"/>
          <w:szCs w:val="20"/>
          <w:lang w:eastAsia="de-DE"/>
        </w:rPr>
        <w:t>Usvajanje novog Zakona o zaštiti potrošača</w:t>
      </w:r>
    </w:p>
    <w:p w14:paraId="0ED93CC1" w14:textId="619742DD" w:rsidR="009B64EB" w:rsidRPr="009B64EB" w:rsidRDefault="009B64EB" w:rsidP="009B64EB">
      <w:pPr>
        <w:pStyle w:val="ListParagraph"/>
        <w:numPr>
          <w:ilvl w:val="0"/>
          <w:numId w:val="49"/>
        </w:numPr>
        <w:jc w:val="both"/>
        <w:rPr>
          <w:rFonts w:ascii="Arial" w:hAnsi="Arial" w:cs="Arial"/>
          <w:sz w:val="20"/>
          <w:szCs w:val="20"/>
          <w:lang w:eastAsia="de-DE"/>
        </w:rPr>
      </w:pPr>
      <w:r w:rsidRPr="009B64EB">
        <w:rPr>
          <w:rFonts w:ascii="Arial" w:hAnsi="Arial" w:cs="Arial"/>
          <w:sz w:val="20"/>
          <w:szCs w:val="20"/>
          <w:lang w:eastAsia="de-DE"/>
        </w:rPr>
        <w:t>Usvajanje Zakona o kolektivnim tužbama</w:t>
      </w:r>
    </w:p>
    <w:p w14:paraId="3EFC8045" w14:textId="58B2548B" w:rsidR="009B64EB" w:rsidRPr="00905010" w:rsidRDefault="009B64EB" w:rsidP="009B64EB">
      <w:pPr>
        <w:pStyle w:val="ListParagraph"/>
        <w:numPr>
          <w:ilvl w:val="0"/>
          <w:numId w:val="49"/>
        </w:numPr>
        <w:jc w:val="both"/>
        <w:rPr>
          <w:rFonts w:ascii="Arial" w:hAnsi="Arial" w:cs="Arial"/>
          <w:sz w:val="20"/>
          <w:szCs w:val="20"/>
          <w:lang w:val="sr-Latn-RS" w:eastAsia="de-DE"/>
        </w:rPr>
      </w:pPr>
      <w:r w:rsidRPr="00905010">
        <w:rPr>
          <w:rFonts w:ascii="Arial" w:hAnsi="Arial" w:cs="Arial"/>
          <w:sz w:val="20"/>
          <w:szCs w:val="20"/>
          <w:lang w:val="sr-Latn-RS" w:eastAsia="de-DE"/>
        </w:rPr>
        <w:t>Usvajanje Zakona o opštoj bezbednosti proizvoda</w:t>
      </w:r>
    </w:p>
    <w:p w14:paraId="77C1CBEF" w14:textId="77777777" w:rsidR="009B64EB" w:rsidRPr="009B64EB" w:rsidRDefault="009B64EB" w:rsidP="009B64EB">
      <w:pPr>
        <w:pStyle w:val="ListParagraph"/>
        <w:numPr>
          <w:ilvl w:val="0"/>
          <w:numId w:val="49"/>
        </w:numPr>
        <w:jc w:val="both"/>
        <w:rPr>
          <w:rFonts w:ascii="Arial" w:hAnsi="Arial" w:cs="Arial"/>
          <w:sz w:val="20"/>
          <w:szCs w:val="20"/>
          <w:lang w:eastAsia="de-DE"/>
        </w:rPr>
      </w:pPr>
    </w:p>
    <w:p w14:paraId="4206AB41" w14:textId="6034E52E" w:rsidR="009B64EB" w:rsidRDefault="009B64EB" w:rsidP="009B64EB">
      <w:pPr>
        <w:jc w:val="both"/>
        <w:rPr>
          <w:rFonts w:ascii="Arial" w:hAnsi="Arial" w:cs="Arial"/>
          <w:sz w:val="20"/>
          <w:szCs w:val="20"/>
          <w:lang w:eastAsia="de-DE"/>
        </w:rPr>
      </w:pPr>
      <w:r w:rsidRPr="009B64EB">
        <w:rPr>
          <w:rFonts w:ascii="Arial" w:hAnsi="Arial" w:cs="Arial"/>
          <w:sz w:val="20"/>
          <w:szCs w:val="20"/>
          <w:lang w:eastAsia="de-DE"/>
        </w:rPr>
        <w:t xml:space="preserve">Konsultacije sa </w:t>
      </w:r>
      <w:r>
        <w:rPr>
          <w:rFonts w:ascii="Arial" w:hAnsi="Arial" w:cs="Arial"/>
          <w:sz w:val="20"/>
          <w:szCs w:val="20"/>
          <w:lang w:eastAsia="de-DE"/>
        </w:rPr>
        <w:t>Ministarstvom</w:t>
      </w:r>
      <w:r w:rsidRPr="009B64EB">
        <w:rPr>
          <w:rFonts w:ascii="Arial" w:hAnsi="Arial" w:cs="Arial"/>
          <w:sz w:val="20"/>
          <w:szCs w:val="20"/>
          <w:lang w:eastAsia="de-DE"/>
        </w:rPr>
        <w:t xml:space="preserve"> su potvrdile da je usvajanje navedenih zakona planirano krajem 2025. godine i da se, po pravilu, usvajanje zakona neće dodati na spisak aktivnosti u akcionim planovima. Stoga je preporuka da se </w:t>
      </w:r>
      <w:r>
        <w:rPr>
          <w:rFonts w:ascii="Arial" w:hAnsi="Arial" w:cs="Arial"/>
          <w:sz w:val="20"/>
          <w:szCs w:val="20"/>
          <w:lang w:eastAsia="de-DE"/>
        </w:rPr>
        <w:t xml:space="preserve">u </w:t>
      </w:r>
      <w:r w:rsidRPr="009B64EB">
        <w:rPr>
          <w:rFonts w:ascii="Arial" w:hAnsi="Arial" w:cs="Arial"/>
          <w:sz w:val="20"/>
          <w:szCs w:val="20"/>
          <w:lang w:eastAsia="de-DE"/>
        </w:rPr>
        <w:t xml:space="preserve">akcionim planovima </w:t>
      </w:r>
      <w:r>
        <w:rPr>
          <w:rFonts w:ascii="Arial" w:hAnsi="Arial" w:cs="Arial"/>
          <w:sz w:val="20"/>
          <w:szCs w:val="20"/>
          <w:lang w:eastAsia="de-DE"/>
        </w:rPr>
        <w:t>navedu</w:t>
      </w:r>
      <w:r w:rsidRPr="009B64EB">
        <w:rPr>
          <w:rFonts w:ascii="Arial" w:hAnsi="Arial" w:cs="Arial"/>
          <w:sz w:val="20"/>
          <w:szCs w:val="20"/>
          <w:lang w:eastAsia="de-DE"/>
        </w:rPr>
        <w:t xml:space="preserve"> aktivnosti koje su komplementarne i neophodne za zakonodavne promene, kao što su </w:t>
      </w:r>
      <w:proofErr w:type="spellStart"/>
      <w:r w:rsidRPr="009B64EB">
        <w:rPr>
          <w:rFonts w:ascii="Arial" w:hAnsi="Arial" w:cs="Arial"/>
          <w:sz w:val="20"/>
          <w:szCs w:val="20"/>
          <w:lang w:eastAsia="de-DE"/>
        </w:rPr>
        <w:t>ex</w:t>
      </w:r>
      <w:proofErr w:type="spellEnd"/>
      <w:r w:rsidRPr="009B64EB">
        <w:rPr>
          <w:rFonts w:ascii="Arial" w:hAnsi="Arial" w:cs="Arial"/>
          <w:sz w:val="20"/>
          <w:szCs w:val="20"/>
          <w:lang w:eastAsia="de-DE"/>
        </w:rPr>
        <w:t xml:space="preserve">-post i </w:t>
      </w:r>
      <w:proofErr w:type="spellStart"/>
      <w:r w:rsidRPr="009B64EB">
        <w:rPr>
          <w:rFonts w:ascii="Arial" w:hAnsi="Arial" w:cs="Arial"/>
          <w:sz w:val="20"/>
          <w:szCs w:val="20"/>
          <w:lang w:eastAsia="de-DE"/>
        </w:rPr>
        <w:t>ex-ante</w:t>
      </w:r>
      <w:proofErr w:type="spellEnd"/>
      <w:r w:rsidRPr="009B64EB">
        <w:rPr>
          <w:rFonts w:ascii="Arial" w:hAnsi="Arial" w:cs="Arial"/>
          <w:sz w:val="20"/>
          <w:szCs w:val="20"/>
          <w:lang w:eastAsia="de-DE"/>
        </w:rPr>
        <w:t xml:space="preserve"> procena uticaja, aktivnosti izgradnje kapaciteta, konsultacije sa zainteresovanim stranama (</w:t>
      </w:r>
      <w:proofErr w:type="spellStart"/>
      <w:r>
        <w:rPr>
          <w:rFonts w:ascii="Arial" w:hAnsi="Arial" w:cs="Arial"/>
          <w:sz w:val="20"/>
          <w:szCs w:val="20"/>
          <w:lang w:eastAsia="de-DE"/>
        </w:rPr>
        <w:t>stejkholderima</w:t>
      </w:r>
      <w:proofErr w:type="spellEnd"/>
      <w:r w:rsidRPr="009B64EB">
        <w:rPr>
          <w:rFonts w:ascii="Arial" w:hAnsi="Arial" w:cs="Arial"/>
          <w:sz w:val="20"/>
          <w:szCs w:val="20"/>
          <w:lang w:eastAsia="de-DE"/>
        </w:rPr>
        <w:t>), razvoj alata e-uprave i kampanje za podizanje javne svesti, između ostalog.</w:t>
      </w:r>
    </w:p>
    <w:p w14:paraId="2DC29A20" w14:textId="5E5C7A61" w:rsidR="006C399B" w:rsidRPr="006C399B" w:rsidRDefault="009B64EB" w:rsidP="006C399B">
      <w:pPr>
        <w:jc w:val="both"/>
        <w:rPr>
          <w:rFonts w:ascii="Arial" w:hAnsi="Arial" w:cs="Arial"/>
          <w:b/>
          <w:bCs/>
          <w:sz w:val="20"/>
          <w:szCs w:val="20"/>
          <w:lang w:eastAsia="de-DE"/>
        </w:rPr>
      </w:pPr>
      <w:r w:rsidRPr="006C399B">
        <w:rPr>
          <w:rFonts w:ascii="Arial" w:hAnsi="Arial" w:cs="Arial"/>
          <w:b/>
          <w:bCs/>
          <w:sz w:val="20"/>
          <w:szCs w:val="20"/>
          <w:lang w:eastAsia="de-DE"/>
        </w:rPr>
        <w:t xml:space="preserve">Preporuka 4. </w:t>
      </w:r>
      <w:r w:rsidR="006C399B" w:rsidRPr="006C399B">
        <w:rPr>
          <w:rFonts w:ascii="Arial" w:hAnsi="Arial" w:cs="Arial"/>
          <w:b/>
          <w:bCs/>
          <w:sz w:val="20"/>
          <w:szCs w:val="20"/>
          <w:lang w:eastAsia="de-DE"/>
        </w:rPr>
        <w:t>Unapređenje organizacione strukture za sprovođenje Programa, uključujući unapređeni MEL sistem</w:t>
      </w:r>
    </w:p>
    <w:p w14:paraId="1D9F97C4" w14:textId="3CB7B0D5" w:rsidR="006C399B" w:rsidRPr="006C399B" w:rsidRDefault="006C399B" w:rsidP="006C399B">
      <w:pPr>
        <w:jc w:val="both"/>
        <w:rPr>
          <w:rFonts w:ascii="Arial" w:hAnsi="Arial" w:cs="Arial"/>
          <w:sz w:val="20"/>
          <w:szCs w:val="20"/>
          <w:lang w:eastAsia="de-DE"/>
        </w:rPr>
      </w:pPr>
      <w:r>
        <w:rPr>
          <w:rFonts w:ascii="Arial" w:hAnsi="Arial" w:cs="Arial"/>
          <w:sz w:val="20"/>
          <w:szCs w:val="20"/>
          <w:lang w:eastAsia="de-DE"/>
        </w:rPr>
        <w:t>Finalna evaluacija</w:t>
      </w:r>
      <w:r w:rsidRPr="006C399B">
        <w:rPr>
          <w:rFonts w:ascii="Arial" w:hAnsi="Arial" w:cs="Arial"/>
          <w:sz w:val="20"/>
          <w:szCs w:val="20"/>
          <w:lang w:eastAsia="de-DE"/>
        </w:rPr>
        <w:t xml:space="preserve"> je zaključi</w:t>
      </w:r>
      <w:r>
        <w:rPr>
          <w:rFonts w:ascii="Arial" w:hAnsi="Arial" w:cs="Arial"/>
          <w:sz w:val="20"/>
          <w:szCs w:val="20"/>
          <w:lang w:eastAsia="de-DE"/>
        </w:rPr>
        <w:t>la</w:t>
      </w:r>
      <w:r w:rsidRPr="006C399B">
        <w:rPr>
          <w:rFonts w:ascii="Arial" w:hAnsi="Arial" w:cs="Arial"/>
          <w:sz w:val="20"/>
          <w:szCs w:val="20"/>
          <w:lang w:eastAsia="de-DE"/>
        </w:rPr>
        <w:t xml:space="preserve"> da je trenutna upravljačka i organizaciona struktura za sprovođenje </w:t>
      </w:r>
      <w:r>
        <w:rPr>
          <w:rFonts w:ascii="Arial" w:hAnsi="Arial" w:cs="Arial"/>
          <w:sz w:val="20"/>
          <w:szCs w:val="20"/>
          <w:lang w:eastAsia="de-DE"/>
        </w:rPr>
        <w:t>Programa</w:t>
      </w:r>
      <w:r w:rsidRPr="006C399B">
        <w:rPr>
          <w:rFonts w:ascii="Arial" w:hAnsi="Arial" w:cs="Arial"/>
          <w:sz w:val="20"/>
          <w:szCs w:val="20"/>
          <w:lang w:eastAsia="de-DE"/>
        </w:rPr>
        <w:t xml:space="preserve"> bila adekvatna, ali u velikoj meri zavisna od funkcionalnosti </w:t>
      </w:r>
      <w:r>
        <w:rPr>
          <w:rFonts w:ascii="Arial" w:hAnsi="Arial" w:cs="Arial"/>
          <w:sz w:val="20"/>
          <w:szCs w:val="20"/>
          <w:lang w:eastAsia="de-DE"/>
        </w:rPr>
        <w:t>Ministarstva ekonomskog razvoja</w:t>
      </w:r>
      <w:r w:rsidRPr="006C399B">
        <w:rPr>
          <w:rFonts w:ascii="Arial" w:hAnsi="Arial" w:cs="Arial"/>
          <w:sz w:val="20"/>
          <w:szCs w:val="20"/>
          <w:lang w:eastAsia="de-DE"/>
        </w:rPr>
        <w:t xml:space="preserve"> kao vodeće institucije za politiku zaštite potrošača u Crnoj Gori. Ova funkcionalnost je često bila opterećena nedostatkom kvalifikovanog osoblja, što je dovelo do toga da su kapaciteti </w:t>
      </w:r>
      <w:r>
        <w:rPr>
          <w:rFonts w:ascii="Arial" w:hAnsi="Arial" w:cs="Arial"/>
          <w:sz w:val="20"/>
          <w:szCs w:val="20"/>
          <w:lang w:eastAsia="de-DE"/>
        </w:rPr>
        <w:t>Ministarstva</w:t>
      </w:r>
      <w:r w:rsidRPr="006C399B">
        <w:rPr>
          <w:rFonts w:ascii="Arial" w:hAnsi="Arial" w:cs="Arial"/>
          <w:sz w:val="20"/>
          <w:szCs w:val="20"/>
          <w:lang w:eastAsia="de-DE"/>
        </w:rPr>
        <w:t xml:space="preserve"> bili rastegnuti na različite aktivnosti, povremeno </w:t>
      </w:r>
      <w:proofErr w:type="spellStart"/>
      <w:r w:rsidRPr="006C399B">
        <w:rPr>
          <w:rFonts w:ascii="Arial" w:hAnsi="Arial" w:cs="Arial"/>
          <w:sz w:val="20"/>
          <w:szCs w:val="20"/>
          <w:lang w:eastAsia="de-DE"/>
        </w:rPr>
        <w:t>neuspevajući</w:t>
      </w:r>
      <w:proofErr w:type="spellEnd"/>
      <w:r w:rsidRPr="006C399B">
        <w:rPr>
          <w:rFonts w:ascii="Arial" w:hAnsi="Arial" w:cs="Arial"/>
          <w:sz w:val="20"/>
          <w:szCs w:val="20"/>
          <w:lang w:eastAsia="de-DE"/>
        </w:rPr>
        <w:t xml:space="preserve"> da </w:t>
      </w:r>
      <w:r>
        <w:rPr>
          <w:rFonts w:ascii="Arial" w:hAnsi="Arial" w:cs="Arial"/>
          <w:sz w:val="20"/>
          <w:szCs w:val="20"/>
          <w:lang w:eastAsia="de-DE"/>
        </w:rPr>
        <w:t>sprovode</w:t>
      </w:r>
      <w:r w:rsidRPr="006C399B">
        <w:rPr>
          <w:rFonts w:ascii="Arial" w:hAnsi="Arial" w:cs="Arial"/>
          <w:sz w:val="20"/>
          <w:szCs w:val="20"/>
          <w:lang w:eastAsia="de-DE"/>
        </w:rPr>
        <w:t xml:space="preserve"> aktivnosti iz </w:t>
      </w:r>
      <w:r>
        <w:rPr>
          <w:rFonts w:ascii="Arial" w:hAnsi="Arial" w:cs="Arial"/>
          <w:sz w:val="20"/>
          <w:szCs w:val="20"/>
          <w:lang w:eastAsia="de-DE"/>
        </w:rPr>
        <w:t>Programa</w:t>
      </w:r>
      <w:r w:rsidRPr="006C399B">
        <w:rPr>
          <w:rFonts w:ascii="Arial" w:hAnsi="Arial" w:cs="Arial"/>
          <w:sz w:val="20"/>
          <w:szCs w:val="20"/>
          <w:lang w:eastAsia="de-DE"/>
        </w:rPr>
        <w:t xml:space="preserve">. </w:t>
      </w:r>
      <w:proofErr w:type="spellStart"/>
      <w:r>
        <w:rPr>
          <w:rFonts w:ascii="Arial" w:hAnsi="Arial" w:cs="Arial"/>
          <w:sz w:val="20"/>
          <w:szCs w:val="20"/>
          <w:lang w:eastAsia="de-DE"/>
        </w:rPr>
        <w:t>Savjet</w:t>
      </w:r>
      <w:proofErr w:type="spellEnd"/>
      <w:r>
        <w:rPr>
          <w:rFonts w:ascii="Arial" w:hAnsi="Arial" w:cs="Arial"/>
          <w:sz w:val="20"/>
          <w:szCs w:val="20"/>
          <w:lang w:eastAsia="de-DE"/>
        </w:rPr>
        <w:t xml:space="preserve"> za zaštitu potrošača</w:t>
      </w:r>
      <w:r w:rsidRPr="006C399B">
        <w:rPr>
          <w:rFonts w:ascii="Arial" w:hAnsi="Arial" w:cs="Arial"/>
          <w:sz w:val="20"/>
          <w:szCs w:val="20"/>
          <w:lang w:eastAsia="de-DE"/>
        </w:rPr>
        <w:t xml:space="preserve"> se takođe pokazao veoma aktivnim u sprovođenju </w:t>
      </w:r>
      <w:r>
        <w:rPr>
          <w:rFonts w:ascii="Arial" w:hAnsi="Arial" w:cs="Arial"/>
          <w:sz w:val="20"/>
          <w:szCs w:val="20"/>
          <w:lang w:eastAsia="de-DE"/>
        </w:rPr>
        <w:t>Programa</w:t>
      </w:r>
      <w:r w:rsidRPr="006C399B">
        <w:rPr>
          <w:rFonts w:ascii="Arial" w:hAnsi="Arial" w:cs="Arial"/>
          <w:sz w:val="20"/>
          <w:szCs w:val="20"/>
          <w:lang w:eastAsia="de-DE"/>
        </w:rPr>
        <w:t xml:space="preserve">, često se doživljavajući više kao operativno telo, nego kao koordinaciono telo. </w:t>
      </w:r>
      <w:proofErr w:type="spellStart"/>
      <w:r>
        <w:rPr>
          <w:rFonts w:ascii="Arial" w:hAnsi="Arial" w:cs="Arial"/>
          <w:sz w:val="20"/>
          <w:szCs w:val="20"/>
          <w:lang w:eastAsia="de-DE"/>
        </w:rPr>
        <w:t>Savjet</w:t>
      </w:r>
      <w:proofErr w:type="spellEnd"/>
      <w:r w:rsidRPr="006C399B">
        <w:rPr>
          <w:rFonts w:ascii="Arial" w:hAnsi="Arial" w:cs="Arial"/>
          <w:sz w:val="20"/>
          <w:szCs w:val="20"/>
          <w:lang w:eastAsia="de-DE"/>
        </w:rPr>
        <w:t xml:space="preserve"> je tokom vremena prošao kroz niz kadrovskih promena, ali se ipak </w:t>
      </w:r>
      <w:r>
        <w:rPr>
          <w:rFonts w:ascii="Arial" w:hAnsi="Arial" w:cs="Arial"/>
          <w:sz w:val="20"/>
          <w:szCs w:val="20"/>
          <w:lang w:eastAsia="de-DE"/>
        </w:rPr>
        <w:t xml:space="preserve">smatra </w:t>
      </w:r>
      <w:r w:rsidRPr="006C399B">
        <w:rPr>
          <w:rFonts w:ascii="Arial" w:hAnsi="Arial" w:cs="Arial"/>
          <w:sz w:val="20"/>
          <w:szCs w:val="20"/>
          <w:lang w:eastAsia="de-DE"/>
        </w:rPr>
        <w:t>da ima adekvatnu strukturu članova. S</w:t>
      </w:r>
      <w:r>
        <w:rPr>
          <w:rFonts w:ascii="Arial" w:hAnsi="Arial" w:cs="Arial"/>
          <w:sz w:val="20"/>
          <w:szCs w:val="20"/>
          <w:lang w:eastAsia="de-DE"/>
        </w:rPr>
        <w:t>a</w:t>
      </w:r>
      <w:r w:rsidRPr="006C399B">
        <w:rPr>
          <w:rFonts w:ascii="Arial" w:hAnsi="Arial" w:cs="Arial"/>
          <w:sz w:val="20"/>
          <w:szCs w:val="20"/>
          <w:lang w:eastAsia="de-DE"/>
        </w:rPr>
        <w:t xml:space="preserve"> obzirom na to da je </w:t>
      </w:r>
      <w:r w:rsidR="003E638F">
        <w:rPr>
          <w:rFonts w:ascii="Arial" w:hAnsi="Arial" w:cs="Arial"/>
          <w:sz w:val="20"/>
          <w:szCs w:val="20"/>
          <w:lang w:eastAsia="de-DE"/>
        </w:rPr>
        <w:t>Ministarstvo</w:t>
      </w:r>
      <w:r w:rsidRPr="006C399B">
        <w:rPr>
          <w:rFonts w:ascii="Arial" w:hAnsi="Arial" w:cs="Arial"/>
          <w:sz w:val="20"/>
          <w:szCs w:val="20"/>
          <w:lang w:eastAsia="de-DE"/>
        </w:rPr>
        <w:t xml:space="preserve"> takođe administrativno telo za </w:t>
      </w:r>
      <w:proofErr w:type="spellStart"/>
      <w:r>
        <w:rPr>
          <w:rFonts w:ascii="Arial" w:hAnsi="Arial" w:cs="Arial"/>
          <w:sz w:val="20"/>
          <w:szCs w:val="20"/>
          <w:lang w:eastAsia="de-DE"/>
        </w:rPr>
        <w:t>Savjet</w:t>
      </w:r>
      <w:proofErr w:type="spellEnd"/>
      <w:r w:rsidRPr="006C399B">
        <w:rPr>
          <w:rFonts w:ascii="Arial" w:hAnsi="Arial" w:cs="Arial"/>
          <w:sz w:val="20"/>
          <w:szCs w:val="20"/>
          <w:lang w:eastAsia="de-DE"/>
        </w:rPr>
        <w:t xml:space="preserve">, zaključeno je da funkcionisanje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takođe u velikoj meri zavisi od funkcionalnosti </w:t>
      </w:r>
      <w:r>
        <w:rPr>
          <w:rFonts w:ascii="Arial" w:hAnsi="Arial" w:cs="Arial"/>
          <w:sz w:val="20"/>
          <w:szCs w:val="20"/>
          <w:lang w:eastAsia="de-DE"/>
        </w:rPr>
        <w:t>Ministarstva</w:t>
      </w:r>
      <w:r w:rsidRPr="006C399B">
        <w:rPr>
          <w:rFonts w:ascii="Arial" w:hAnsi="Arial" w:cs="Arial"/>
          <w:sz w:val="20"/>
          <w:szCs w:val="20"/>
          <w:lang w:eastAsia="de-DE"/>
        </w:rPr>
        <w:t xml:space="preserve">. Da bi se uspostavila fleksibilnija i održivija struktura za sprovođenje </w:t>
      </w:r>
      <w:r>
        <w:rPr>
          <w:rFonts w:ascii="Arial" w:hAnsi="Arial" w:cs="Arial"/>
          <w:sz w:val="20"/>
          <w:szCs w:val="20"/>
          <w:lang w:eastAsia="de-DE"/>
        </w:rPr>
        <w:t>Program</w:t>
      </w:r>
      <w:r w:rsidRPr="006C399B">
        <w:rPr>
          <w:rFonts w:ascii="Arial" w:hAnsi="Arial" w:cs="Arial"/>
          <w:sz w:val="20"/>
          <w:szCs w:val="20"/>
          <w:lang w:eastAsia="de-DE"/>
        </w:rPr>
        <w:t xml:space="preserve">, preporučuje </w:t>
      </w:r>
      <w:r>
        <w:rPr>
          <w:rFonts w:ascii="Arial" w:hAnsi="Arial" w:cs="Arial"/>
          <w:sz w:val="20"/>
          <w:szCs w:val="20"/>
          <w:lang w:eastAsia="de-DE"/>
        </w:rPr>
        <w:t xml:space="preserve">se </w:t>
      </w:r>
      <w:r w:rsidRPr="006C399B">
        <w:rPr>
          <w:rFonts w:ascii="Arial" w:hAnsi="Arial" w:cs="Arial"/>
          <w:sz w:val="20"/>
          <w:szCs w:val="20"/>
          <w:lang w:eastAsia="de-DE"/>
        </w:rPr>
        <w:t xml:space="preserve">uvođenje organizacione strukture koja bi delegirala više odgovornosti drugim relevantnim akterima, uz očuvanje koordinacione strukture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U tom smislu,  preporučuje </w:t>
      </w:r>
      <w:r>
        <w:rPr>
          <w:rFonts w:ascii="Arial" w:hAnsi="Arial" w:cs="Arial"/>
          <w:sz w:val="20"/>
          <w:szCs w:val="20"/>
          <w:lang w:eastAsia="de-DE"/>
        </w:rPr>
        <w:t xml:space="preserve">se </w:t>
      </w:r>
      <w:r w:rsidRPr="006C399B">
        <w:rPr>
          <w:rFonts w:ascii="Arial" w:hAnsi="Arial" w:cs="Arial"/>
          <w:sz w:val="20"/>
          <w:szCs w:val="20"/>
          <w:lang w:eastAsia="de-DE"/>
        </w:rPr>
        <w:t xml:space="preserve">formiranje Operativnog tima, koji bi činili predstavnici </w:t>
      </w:r>
      <w:r>
        <w:rPr>
          <w:rFonts w:ascii="Arial" w:hAnsi="Arial" w:cs="Arial"/>
          <w:sz w:val="20"/>
          <w:szCs w:val="20"/>
          <w:lang w:eastAsia="de-DE"/>
        </w:rPr>
        <w:t>Ministarstva</w:t>
      </w:r>
      <w:r w:rsidRPr="006C399B">
        <w:rPr>
          <w:rFonts w:ascii="Arial" w:hAnsi="Arial" w:cs="Arial"/>
          <w:sz w:val="20"/>
          <w:szCs w:val="20"/>
          <w:lang w:eastAsia="de-DE"/>
        </w:rPr>
        <w:t xml:space="preserve"> i drugih javnih tela koja imaju najviše aktivnosti u okviru </w:t>
      </w:r>
      <w:r>
        <w:rPr>
          <w:rFonts w:ascii="Arial" w:hAnsi="Arial" w:cs="Arial"/>
          <w:sz w:val="20"/>
          <w:szCs w:val="20"/>
          <w:lang w:eastAsia="de-DE"/>
        </w:rPr>
        <w:t>Programa</w:t>
      </w:r>
      <w:r w:rsidRPr="006C399B">
        <w:rPr>
          <w:rFonts w:ascii="Arial" w:hAnsi="Arial" w:cs="Arial"/>
          <w:sz w:val="20"/>
          <w:szCs w:val="20"/>
          <w:lang w:eastAsia="de-DE"/>
        </w:rPr>
        <w:t xml:space="preserve">. Uloga </w:t>
      </w:r>
      <w:r>
        <w:rPr>
          <w:rFonts w:ascii="Arial" w:hAnsi="Arial" w:cs="Arial"/>
          <w:sz w:val="20"/>
          <w:szCs w:val="20"/>
          <w:lang w:eastAsia="de-DE"/>
        </w:rPr>
        <w:t>operativnog tima</w:t>
      </w:r>
      <w:r w:rsidRPr="006C399B">
        <w:rPr>
          <w:rFonts w:ascii="Arial" w:hAnsi="Arial" w:cs="Arial"/>
          <w:sz w:val="20"/>
          <w:szCs w:val="20"/>
          <w:lang w:eastAsia="de-DE"/>
        </w:rPr>
        <w:t xml:space="preserve"> bi bila da operativno vodi sprovođenje </w:t>
      </w:r>
      <w:r>
        <w:rPr>
          <w:rFonts w:ascii="Arial" w:hAnsi="Arial" w:cs="Arial"/>
          <w:sz w:val="20"/>
          <w:szCs w:val="20"/>
          <w:lang w:eastAsia="de-DE"/>
        </w:rPr>
        <w:t>Programa</w:t>
      </w:r>
      <w:r w:rsidRPr="006C399B">
        <w:rPr>
          <w:rFonts w:ascii="Arial" w:hAnsi="Arial" w:cs="Arial"/>
          <w:sz w:val="20"/>
          <w:szCs w:val="20"/>
          <w:lang w:eastAsia="de-DE"/>
        </w:rPr>
        <w:t xml:space="preserve">, osiguravajući blagovremeno korišćenje resursa, pojednostavljujući aktivnosti praćenja i </w:t>
      </w:r>
      <w:proofErr w:type="spellStart"/>
      <w:r w:rsidRPr="006C399B">
        <w:rPr>
          <w:rFonts w:ascii="Arial" w:hAnsi="Arial" w:cs="Arial"/>
          <w:sz w:val="20"/>
          <w:szCs w:val="20"/>
          <w:lang w:eastAsia="de-DE"/>
        </w:rPr>
        <w:t>pripremajući</w:t>
      </w:r>
      <w:proofErr w:type="spellEnd"/>
      <w:r w:rsidRPr="006C399B">
        <w:rPr>
          <w:rFonts w:ascii="Arial" w:hAnsi="Arial" w:cs="Arial"/>
          <w:sz w:val="20"/>
          <w:szCs w:val="20"/>
          <w:lang w:eastAsia="de-DE"/>
        </w:rPr>
        <w:t xml:space="preserve"> dokumenta za sednice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w:t>
      </w:r>
      <w:r>
        <w:rPr>
          <w:rFonts w:ascii="Arial" w:hAnsi="Arial" w:cs="Arial"/>
          <w:sz w:val="20"/>
          <w:szCs w:val="20"/>
          <w:lang w:eastAsia="de-DE"/>
        </w:rPr>
        <w:t>Timom</w:t>
      </w:r>
      <w:r w:rsidRPr="006C399B">
        <w:rPr>
          <w:rFonts w:ascii="Arial" w:hAnsi="Arial" w:cs="Arial"/>
          <w:sz w:val="20"/>
          <w:szCs w:val="20"/>
          <w:lang w:eastAsia="de-DE"/>
        </w:rPr>
        <w:t xml:space="preserve"> bi predsedavao predstavnik </w:t>
      </w:r>
      <w:r>
        <w:rPr>
          <w:rFonts w:ascii="Arial" w:hAnsi="Arial" w:cs="Arial"/>
          <w:sz w:val="20"/>
          <w:szCs w:val="20"/>
          <w:lang w:eastAsia="de-DE"/>
        </w:rPr>
        <w:t>Ministarstva</w:t>
      </w:r>
      <w:r w:rsidRPr="006C399B">
        <w:rPr>
          <w:rFonts w:ascii="Arial" w:hAnsi="Arial" w:cs="Arial"/>
          <w:sz w:val="20"/>
          <w:szCs w:val="20"/>
          <w:lang w:eastAsia="de-DE"/>
        </w:rPr>
        <w:t xml:space="preserve">, </w:t>
      </w:r>
      <w:r>
        <w:rPr>
          <w:rFonts w:ascii="Arial" w:hAnsi="Arial" w:cs="Arial"/>
          <w:sz w:val="20"/>
          <w:szCs w:val="20"/>
          <w:lang w:eastAsia="de-DE"/>
        </w:rPr>
        <w:t xml:space="preserve">pri čemu bi se uspostavio </w:t>
      </w:r>
      <w:r w:rsidRPr="006C399B">
        <w:rPr>
          <w:rFonts w:ascii="Arial" w:hAnsi="Arial" w:cs="Arial"/>
          <w:sz w:val="20"/>
          <w:szCs w:val="20"/>
          <w:lang w:eastAsia="de-DE"/>
        </w:rPr>
        <w:t xml:space="preserve">sistem zamenika iz drugih ministarstava/agencija, osiguravajući da </w:t>
      </w:r>
      <w:r>
        <w:rPr>
          <w:rFonts w:ascii="Arial" w:hAnsi="Arial" w:cs="Arial"/>
          <w:sz w:val="20"/>
          <w:szCs w:val="20"/>
          <w:lang w:eastAsia="de-DE"/>
        </w:rPr>
        <w:t>tim</w:t>
      </w:r>
      <w:r w:rsidRPr="006C399B">
        <w:rPr>
          <w:rFonts w:ascii="Arial" w:hAnsi="Arial" w:cs="Arial"/>
          <w:sz w:val="20"/>
          <w:szCs w:val="20"/>
          <w:lang w:eastAsia="de-DE"/>
        </w:rPr>
        <w:t xml:space="preserve"> ne zavisi u potpunosti od kapaciteta jedne institucije. Struktura zamenika bi morala biti određena tokom dizajniranja </w:t>
      </w:r>
      <w:r>
        <w:rPr>
          <w:rFonts w:ascii="Arial" w:hAnsi="Arial" w:cs="Arial"/>
          <w:sz w:val="20"/>
          <w:szCs w:val="20"/>
          <w:lang w:eastAsia="de-DE"/>
        </w:rPr>
        <w:t>Programa</w:t>
      </w:r>
      <w:r w:rsidRPr="006C399B">
        <w:rPr>
          <w:rFonts w:ascii="Arial" w:hAnsi="Arial" w:cs="Arial"/>
          <w:sz w:val="20"/>
          <w:szCs w:val="20"/>
          <w:lang w:eastAsia="de-DE"/>
        </w:rPr>
        <w:t xml:space="preserve"> i pratećeg akcionog plana, kao i komunikacione strategije, </w:t>
      </w:r>
      <w:r>
        <w:rPr>
          <w:rFonts w:ascii="Arial" w:hAnsi="Arial" w:cs="Arial"/>
          <w:sz w:val="20"/>
          <w:szCs w:val="20"/>
          <w:lang w:eastAsia="de-DE"/>
        </w:rPr>
        <w:t xml:space="preserve">imajući u vidu </w:t>
      </w:r>
      <w:r w:rsidRPr="006C399B">
        <w:rPr>
          <w:rFonts w:ascii="Arial" w:hAnsi="Arial" w:cs="Arial"/>
          <w:sz w:val="20"/>
          <w:szCs w:val="20"/>
          <w:lang w:eastAsia="de-DE"/>
        </w:rPr>
        <w:t xml:space="preserve">da tela sa najviše aktivnosti </w:t>
      </w:r>
      <w:r>
        <w:rPr>
          <w:rFonts w:ascii="Arial" w:hAnsi="Arial" w:cs="Arial"/>
          <w:sz w:val="20"/>
          <w:szCs w:val="20"/>
          <w:lang w:eastAsia="de-DE"/>
        </w:rPr>
        <w:t>s</w:t>
      </w:r>
      <w:r w:rsidRPr="006C399B">
        <w:rPr>
          <w:rFonts w:ascii="Arial" w:hAnsi="Arial" w:cs="Arial"/>
          <w:sz w:val="20"/>
          <w:szCs w:val="20"/>
          <w:lang w:eastAsia="de-DE"/>
        </w:rPr>
        <w:t xml:space="preserve">nose najveću odgovornost u radu </w:t>
      </w:r>
      <w:r>
        <w:rPr>
          <w:rFonts w:ascii="Arial" w:hAnsi="Arial" w:cs="Arial"/>
          <w:sz w:val="20"/>
          <w:szCs w:val="20"/>
          <w:lang w:eastAsia="de-DE"/>
        </w:rPr>
        <w:t>operativnog tima.</w:t>
      </w:r>
    </w:p>
    <w:p w14:paraId="78D7FBDE" w14:textId="3A07A846" w:rsidR="006C399B" w:rsidRPr="006C399B" w:rsidRDefault="006C399B" w:rsidP="006C399B">
      <w:pPr>
        <w:jc w:val="both"/>
        <w:rPr>
          <w:rFonts w:ascii="Arial" w:hAnsi="Arial" w:cs="Arial"/>
          <w:sz w:val="20"/>
          <w:szCs w:val="20"/>
          <w:lang w:eastAsia="de-DE"/>
        </w:rPr>
      </w:pPr>
      <w:r w:rsidRPr="006C399B">
        <w:rPr>
          <w:rFonts w:ascii="Arial" w:hAnsi="Arial" w:cs="Arial"/>
          <w:sz w:val="20"/>
          <w:szCs w:val="20"/>
          <w:lang w:eastAsia="de-DE"/>
        </w:rPr>
        <w:t xml:space="preserve">U konsultacijama sa </w:t>
      </w:r>
      <w:r>
        <w:rPr>
          <w:rFonts w:ascii="Arial" w:hAnsi="Arial" w:cs="Arial"/>
          <w:sz w:val="20"/>
          <w:szCs w:val="20"/>
          <w:lang w:eastAsia="de-DE"/>
        </w:rPr>
        <w:t>Ministarstvom je</w:t>
      </w:r>
      <w:r w:rsidRPr="006C399B">
        <w:rPr>
          <w:rFonts w:ascii="Arial" w:hAnsi="Arial" w:cs="Arial"/>
          <w:sz w:val="20"/>
          <w:szCs w:val="20"/>
          <w:lang w:eastAsia="de-DE"/>
        </w:rPr>
        <w:t xml:space="preserve"> zaključeno je da bi osnivanje </w:t>
      </w:r>
      <w:r>
        <w:rPr>
          <w:rFonts w:ascii="Arial" w:hAnsi="Arial" w:cs="Arial"/>
          <w:sz w:val="20"/>
          <w:szCs w:val="20"/>
          <w:lang w:eastAsia="de-DE"/>
        </w:rPr>
        <w:t>operativnog tima</w:t>
      </w:r>
      <w:r w:rsidRPr="006C399B">
        <w:rPr>
          <w:rFonts w:ascii="Arial" w:hAnsi="Arial" w:cs="Arial"/>
          <w:sz w:val="20"/>
          <w:szCs w:val="20"/>
          <w:lang w:eastAsia="de-DE"/>
        </w:rPr>
        <w:t xml:space="preserve"> bilo </w:t>
      </w:r>
      <w:r>
        <w:rPr>
          <w:rFonts w:ascii="Arial" w:hAnsi="Arial" w:cs="Arial"/>
          <w:sz w:val="20"/>
          <w:szCs w:val="20"/>
          <w:lang w:eastAsia="de-DE"/>
        </w:rPr>
        <w:t>nepoželjno sa</w:t>
      </w:r>
      <w:r w:rsidRPr="006C399B">
        <w:rPr>
          <w:rFonts w:ascii="Arial" w:hAnsi="Arial" w:cs="Arial"/>
          <w:sz w:val="20"/>
          <w:szCs w:val="20"/>
          <w:lang w:eastAsia="de-DE"/>
        </w:rPr>
        <w:t xml:space="preserve"> obzirom na funkcionalnost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kao koordinacionog i operativnog tela. Međutim, takođe je zaključeno da kapacitete </w:t>
      </w:r>
      <w:r w:rsidR="003E638F">
        <w:rPr>
          <w:rFonts w:ascii="Arial" w:hAnsi="Arial" w:cs="Arial"/>
          <w:sz w:val="20"/>
          <w:szCs w:val="20"/>
          <w:lang w:eastAsia="de-DE"/>
        </w:rPr>
        <w:t>Ministarstva</w:t>
      </w:r>
      <w:r w:rsidRPr="006C399B">
        <w:rPr>
          <w:rFonts w:ascii="Arial" w:hAnsi="Arial" w:cs="Arial"/>
          <w:sz w:val="20"/>
          <w:szCs w:val="20"/>
          <w:lang w:eastAsia="de-DE"/>
        </w:rPr>
        <w:t xml:space="preserve"> treba dalje razvijati kako bi se politike zaštite potrošača sprovodile blagovremeno, efikasno i delotvorno. U tom smislu, kao alternativa uspostavljanju operativnog tima kao  </w:t>
      </w:r>
      <w:proofErr w:type="spellStart"/>
      <w:r>
        <w:rPr>
          <w:rFonts w:ascii="Arial" w:hAnsi="Arial" w:cs="Arial"/>
          <w:sz w:val="20"/>
          <w:szCs w:val="20"/>
          <w:lang w:eastAsia="de-DE"/>
        </w:rPr>
        <w:t>međuresorsnog</w:t>
      </w:r>
      <w:proofErr w:type="spellEnd"/>
      <w:r>
        <w:rPr>
          <w:rFonts w:ascii="Arial" w:hAnsi="Arial" w:cs="Arial"/>
          <w:sz w:val="20"/>
          <w:szCs w:val="20"/>
          <w:lang w:eastAsia="de-DE"/>
        </w:rPr>
        <w:t xml:space="preserve"> tela</w:t>
      </w:r>
      <w:r w:rsidRPr="006C399B">
        <w:rPr>
          <w:rFonts w:ascii="Arial" w:hAnsi="Arial" w:cs="Arial"/>
          <w:sz w:val="20"/>
          <w:szCs w:val="20"/>
          <w:lang w:eastAsia="de-DE"/>
        </w:rPr>
        <w:t xml:space="preserve">, alternativa bi predvidela reorganizaciju Ministarstva </w:t>
      </w:r>
      <w:r>
        <w:rPr>
          <w:rFonts w:ascii="Arial" w:hAnsi="Arial" w:cs="Arial"/>
          <w:sz w:val="20"/>
          <w:szCs w:val="20"/>
          <w:lang w:eastAsia="de-DE"/>
        </w:rPr>
        <w:t>ekonomskog razvoja</w:t>
      </w:r>
      <w:r w:rsidRPr="006C399B">
        <w:rPr>
          <w:rFonts w:ascii="Arial" w:hAnsi="Arial" w:cs="Arial"/>
          <w:sz w:val="20"/>
          <w:szCs w:val="20"/>
          <w:lang w:eastAsia="de-DE"/>
        </w:rPr>
        <w:t xml:space="preserve"> dodavanjem još jedne organizacione jedinice koja bi pomagala postojećem </w:t>
      </w:r>
      <w:proofErr w:type="spellStart"/>
      <w:r w:rsidRPr="006C399B">
        <w:rPr>
          <w:rFonts w:ascii="Arial" w:hAnsi="Arial" w:cs="Arial"/>
          <w:sz w:val="20"/>
          <w:szCs w:val="20"/>
          <w:lang w:eastAsia="de-DE"/>
        </w:rPr>
        <w:t>Direktoratu</w:t>
      </w:r>
      <w:proofErr w:type="spellEnd"/>
      <w:r w:rsidRPr="006C399B">
        <w:rPr>
          <w:rFonts w:ascii="Arial" w:hAnsi="Arial" w:cs="Arial"/>
          <w:sz w:val="20"/>
          <w:szCs w:val="20"/>
          <w:lang w:eastAsia="de-DE"/>
        </w:rPr>
        <w:t xml:space="preserve"> za zaštitu potrošača. Stoga bi </w:t>
      </w:r>
      <w:r>
        <w:rPr>
          <w:rFonts w:ascii="Arial" w:hAnsi="Arial" w:cs="Arial"/>
          <w:sz w:val="20"/>
          <w:szCs w:val="20"/>
          <w:lang w:eastAsia="de-DE"/>
        </w:rPr>
        <w:t>Ministarstvo</w:t>
      </w:r>
      <w:r w:rsidRPr="006C399B">
        <w:rPr>
          <w:rFonts w:ascii="Arial" w:hAnsi="Arial" w:cs="Arial"/>
          <w:sz w:val="20"/>
          <w:szCs w:val="20"/>
          <w:lang w:eastAsia="de-DE"/>
        </w:rPr>
        <w:t xml:space="preserve"> ima</w:t>
      </w:r>
      <w:r>
        <w:rPr>
          <w:rFonts w:ascii="Arial" w:hAnsi="Arial" w:cs="Arial"/>
          <w:sz w:val="20"/>
          <w:szCs w:val="20"/>
          <w:lang w:eastAsia="de-DE"/>
        </w:rPr>
        <w:t>lo</w:t>
      </w:r>
      <w:r w:rsidRPr="006C399B">
        <w:rPr>
          <w:rFonts w:ascii="Arial" w:hAnsi="Arial" w:cs="Arial"/>
          <w:sz w:val="20"/>
          <w:szCs w:val="20"/>
          <w:lang w:eastAsia="de-DE"/>
        </w:rPr>
        <w:t xml:space="preserve"> dve različite jedinice, od kojih bi jedna bila nadležna za sprovođenje regulatornih aktivnosti u okviru agende zaštite potrošača, a druga za sprovođenje strateških aktivnosti, u skladu sa novim </w:t>
      </w:r>
      <w:r>
        <w:rPr>
          <w:rFonts w:ascii="Arial" w:hAnsi="Arial" w:cs="Arial"/>
          <w:sz w:val="20"/>
          <w:szCs w:val="20"/>
          <w:lang w:eastAsia="de-DE"/>
        </w:rPr>
        <w:t>Programom i drugim strateškim dokumentima</w:t>
      </w:r>
      <w:r w:rsidRPr="006C399B">
        <w:rPr>
          <w:rFonts w:ascii="Arial" w:hAnsi="Arial" w:cs="Arial"/>
          <w:sz w:val="20"/>
          <w:szCs w:val="20"/>
          <w:lang w:eastAsia="de-DE"/>
        </w:rPr>
        <w:t>.</w:t>
      </w:r>
    </w:p>
    <w:p w14:paraId="73FA375C" w14:textId="3E55A4A6" w:rsidR="006C399B" w:rsidRPr="009B64EB" w:rsidRDefault="006C399B" w:rsidP="006C399B">
      <w:pPr>
        <w:jc w:val="both"/>
        <w:rPr>
          <w:rFonts w:ascii="Arial" w:hAnsi="Arial" w:cs="Arial"/>
          <w:sz w:val="20"/>
          <w:szCs w:val="20"/>
          <w:lang w:eastAsia="de-DE"/>
        </w:rPr>
      </w:pPr>
      <w:r w:rsidRPr="006C399B">
        <w:rPr>
          <w:rFonts w:ascii="Arial" w:hAnsi="Arial" w:cs="Arial"/>
          <w:sz w:val="20"/>
          <w:szCs w:val="20"/>
          <w:lang w:eastAsia="de-DE"/>
        </w:rPr>
        <w:t xml:space="preserve">Sistem </w:t>
      </w:r>
      <w:r>
        <w:rPr>
          <w:rFonts w:ascii="Arial" w:hAnsi="Arial" w:cs="Arial"/>
          <w:sz w:val="20"/>
          <w:szCs w:val="20"/>
          <w:lang w:eastAsia="de-DE"/>
        </w:rPr>
        <w:t>za monitoring i evaluaciju</w:t>
      </w:r>
      <w:r w:rsidRPr="006C399B">
        <w:rPr>
          <w:rFonts w:ascii="Arial" w:hAnsi="Arial" w:cs="Arial"/>
          <w:sz w:val="20"/>
          <w:szCs w:val="20"/>
          <w:lang w:eastAsia="de-DE"/>
        </w:rPr>
        <w:t xml:space="preserve"> </w:t>
      </w:r>
      <w:r>
        <w:rPr>
          <w:rFonts w:ascii="Arial" w:hAnsi="Arial" w:cs="Arial"/>
          <w:sz w:val="20"/>
          <w:szCs w:val="20"/>
          <w:lang w:eastAsia="de-DE"/>
        </w:rPr>
        <w:t>Programa</w:t>
      </w:r>
      <w:r w:rsidRPr="006C399B">
        <w:rPr>
          <w:rFonts w:ascii="Arial" w:hAnsi="Arial" w:cs="Arial"/>
          <w:sz w:val="20"/>
          <w:szCs w:val="20"/>
          <w:lang w:eastAsia="de-DE"/>
        </w:rPr>
        <w:t xml:space="preserve"> ocenjen je kao efikasan i blagovremen u izradi godišnjih izveštaja o implementaciji. S</w:t>
      </w:r>
      <w:r>
        <w:rPr>
          <w:rFonts w:ascii="Arial" w:hAnsi="Arial" w:cs="Arial"/>
          <w:sz w:val="20"/>
          <w:szCs w:val="20"/>
          <w:lang w:eastAsia="de-DE"/>
        </w:rPr>
        <w:t>a</w:t>
      </w:r>
      <w:r w:rsidRPr="006C399B">
        <w:rPr>
          <w:rFonts w:ascii="Arial" w:hAnsi="Arial" w:cs="Arial"/>
          <w:sz w:val="20"/>
          <w:szCs w:val="20"/>
          <w:lang w:eastAsia="de-DE"/>
        </w:rPr>
        <w:t xml:space="preserve"> druge strane, </w:t>
      </w:r>
      <w:r>
        <w:rPr>
          <w:rFonts w:ascii="Arial" w:hAnsi="Arial" w:cs="Arial"/>
          <w:sz w:val="20"/>
          <w:szCs w:val="20"/>
          <w:lang w:eastAsia="de-DE"/>
        </w:rPr>
        <w:t>zaključci evaluacije govore da</w:t>
      </w:r>
      <w:r w:rsidRPr="006C399B">
        <w:rPr>
          <w:rFonts w:ascii="Arial" w:hAnsi="Arial" w:cs="Arial"/>
          <w:sz w:val="20"/>
          <w:szCs w:val="20"/>
          <w:lang w:eastAsia="de-DE"/>
        </w:rPr>
        <w:t xml:space="preserve"> je bio fokusiran </w:t>
      </w:r>
      <w:r>
        <w:rPr>
          <w:rFonts w:ascii="Arial" w:hAnsi="Arial" w:cs="Arial"/>
          <w:sz w:val="20"/>
          <w:szCs w:val="20"/>
          <w:lang w:eastAsia="de-DE"/>
        </w:rPr>
        <w:t xml:space="preserve">u velikoj meri </w:t>
      </w:r>
      <w:r w:rsidRPr="006C399B">
        <w:rPr>
          <w:rFonts w:ascii="Arial" w:hAnsi="Arial" w:cs="Arial"/>
          <w:sz w:val="20"/>
          <w:szCs w:val="20"/>
          <w:lang w:eastAsia="de-DE"/>
        </w:rPr>
        <w:t xml:space="preserve">na administrativno izveštavanje, dok je komponenta učenja nedostajala. Stoga, poboljšani MEL sistem treba da predvidi i adaptivne mere koje </w:t>
      </w:r>
      <w:r>
        <w:rPr>
          <w:rFonts w:ascii="Arial" w:hAnsi="Arial" w:cs="Arial"/>
          <w:sz w:val="20"/>
          <w:szCs w:val="20"/>
          <w:lang w:eastAsia="de-DE"/>
        </w:rPr>
        <w:t>bi</w:t>
      </w:r>
      <w:r w:rsidRPr="006C399B">
        <w:rPr>
          <w:rFonts w:ascii="Arial" w:hAnsi="Arial" w:cs="Arial"/>
          <w:sz w:val="20"/>
          <w:szCs w:val="20"/>
          <w:lang w:eastAsia="de-DE"/>
        </w:rPr>
        <w:t xml:space="preserve"> se primen</w:t>
      </w:r>
      <w:r>
        <w:rPr>
          <w:rFonts w:ascii="Arial" w:hAnsi="Arial" w:cs="Arial"/>
          <w:sz w:val="20"/>
          <w:szCs w:val="20"/>
          <w:lang w:eastAsia="de-DE"/>
        </w:rPr>
        <w:t>jivale</w:t>
      </w:r>
      <w:r w:rsidRPr="006C399B">
        <w:rPr>
          <w:rFonts w:ascii="Arial" w:hAnsi="Arial" w:cs="Arial"/>
          <w:sz w:val="20"/>
          <w:szCs w:val="20"/>
          <w:lang w:eastAsia="de-DE"/>
        </w:rPr>
        <w:t xml:space="preserve"> </w:t>
      </w:r>
      <w:r>
        <w:rPr>
          <w:rFonts w:ascii="Arial" w:hAnsi="Arial" w:cs="Arial"/>
          <w:sz w:val="20"/>
          <w:szCs w:val="20"/>
          <w:lang w:eastAsia="de-DE"/>
        </w:rPr>
        <w:t xml:space="preserve">u slučajevima kada bi se utvrdilo da Program </w:t>
      </w:r>
      <w:r w:rsidRPr="006C399B">
        <w:rPr>
          <w:rFonts w:ascii="Arial" w:hAnsi="Arial" w:cs="Arial"/>
          <w:sz w:val="20"/>
          <w:szCs w:val="20"/>
          <w:lang w:eastAsia="de-DE"/>
        </w:rPr>
        <w:t xml:space="preserve">ne ispunjavaju </w:t>
      </w:r>
      <w:r>
        <w:rPr>
          <w:rFonts w:ascii="Arial" w:hAnsi="Arial" w:cs="Arial"/>
          <w:sz w:val="20"/>
          <w:szCs w:val="20"/>
          <w:lang w:eastAsia="de-DE"/>
        </w:rPr>
        <w:t xml:space="preserve">zacrtane ciljeve </w:t>
      </w:r>
      <w:r w:rsidRPr="006C399B">
        <w:rPr>
          <w:rFonts w:ascii="Arial" w:hAnsi="Arial" w:cs="Arial"/>
          <w:sz w:val="20"/>
          <w:szCs w:val="20"/>
          <w:lang w:eastAsia="de-DE"/>
        </w:rPr>
        <w:t xml:space="preserve">iz različitih razloga (političke promene, </w:t>
      </w:r>
      <w:proofErr w:type="spellStart"/>
      <w:r w:rsidRPr="006C399B">
        <w:rPr>
          <w:rFonts w:ascii="Arial" w:hAnsi="Arial" w:cs="Arial"/>
          <w:sz w:val="20"/>
          <w:szCs w:val="20"/>
          <w:lang w:eastAsia="de-DE"/>
        </w:rPr>
        <w:t>socio</w:t>
      </w:r>
      <w:proofErr w:type="spellEnd"/>
      <w:r w:rsidRPr="006C399B">
        <w:rPr>
          <w:rFonts w:ascii="Arial" w:hAnsi="Arial" w:cs="Arial"/>
          <w:sz w:val="20"/>
          <w:szCs w:val="20"/>
          <w:lang w:eastAsia="de-DE"/>
        </w:rPr>
        <w:t xml:space="preserve">-ekonomske okolnosti, institucionalni problemi itd.). Ove mere treba da budu uključene u sam Program i da predviđaju mogućnost da se tokom implementacije novog </w:t>
      </w:r>
      <w:r>
        <w:rPr>
          <w:rFonts w:ascii="Arial" w:hAnsi="Arial" w:cs="Arial"/>
          <w:sz w:val="20"/>
          <w:szCs w:val="20"/>
          <w:lang w:eastAsia="de-DE"/>
        </w:rPr>
        <w:t>Programa</w:t>
      </w:r>
      <w:r w:rsidRPr="006C399B">
        <w:rPr>
          <w:rFonts w:ascii="Arial" w:hAnsi="Arial" w:cs="Arial"/>
          <w:sz w:val="20"/>
          <w:szCs w:val="20"/>
          <w:lang w:eastAsia="de-DE"/>
        </w:rPr>
        <w:t xml:space="preserve"> mogu izvršiti izmene </w:t>
      </w:r>
      <w:r>
        <w:rPr>
          <w:rFonts w:ascii="Arial" w:hAnsi="Arial" w:cs="Arial"/>
          <w:sz w:val="20"/>
          <w:szCs w:val="20"/>
          <w:lang w:eastAsia="de-DE"/>
        </w:rPr>
        <w:t>Programa</w:t>
      </w:r>
      <w:r w:rsidRPr="006C399B">
        <w:rPr>
          <w:rFonts w:ascii="Arial" w:hAnsi="Arial" w:cs="Arial"/>
          <w:sz w:val="20"/>
          <w:szCs w:val="20"/>
          <w:lang w:eastAsia="de-DE"/>
        </w:rPr>
        <w:t xml:space="preserve"> nakon pružanja dokaza koji govore u prilog takvim promenama. </w:t>
      </w:r>
      <w:r>
        <w:rPr>
          <w:rFonts w:ascii="Arial" w:hAnsi="Arial" w:cs="Arial"/>
          <w:sz w:val="20"/>
          <w:szCs w:val="20"/>
          <w:lang w:eastAsia="de-DE"/>
        </w:rPr>
        <w:t>Program</w:t>
      </w:r>
      <w:r w:rsidRPr="006C399B">
        <w:rPr>
          <w:rFonts w:ascii="Arial" w:hAnsi="Arial" w:cs="Arial"/>
          <w:sz w:val="20"/>
          <w:szCs w:val="20"/>
          <w:lang w:eastAsia="de-DE"/>
        </w:rPr>
        <w:t xml:space="preserve"> se može menjati u smislu strateških i operativnih ciljeva, operativne strukture ili drugih aspekata koji bi odražavali potrebe i dostignuća na realniji način. Stoga bi godišnji akcioni planovi trebalo da budu dizajnirani nakon integracije takvih promena.</w:t>
      </w:r>
    </w:p>
    <w:p w14:paraId="3A040FDD" w14:textId="0AC01DF5" w:rsidR="008A16F3" w:rsidRDefault="008A16F3" w:rsidP="009B64EB">
      <w:pPr>
        <w:jc w:val="both"/>
        <w:rPr>
          <w:rFonts w:ascii="Arial" w:hAnsi="Arial" w:cs="Arial"/>
          <w:sz w:val="20"/>
          <w:szCs w:val="20"/>
          <w:lang w:eastAsia="de-DE"/>
        </w:rPr>
      </w:pPr>
    </w:p>
    <w:p w14:paraId="1E5EB86A" w14:textId="77777777" w:rsidR="00B82226" w:rsidRPr="00047BE0" w:rsidRDefault="00B82226" w:rsidP="00B82226">
      <w:pPr>
        <w:jc w:val="both"/>
        <w:rPr>
          <w:rFonts w:ascii="Arial" w:hAnsi="Arial" w:cs="Arial"/>
          <w:sz w:val="20"/>
          <w:szCs w:val="20"/>
          <w:lang w:eastAsia="de-DE"/>
        </w:rPr>
      </w:pPr>
    </w:p>
    <w:p w14:paraId="2B6846D7" w14:textId="3E1C403A" w:rsidR="00C43234" w:rsidRPr="002F3354" w:rsidRDefault="003B3838" w:rsidP="002F3354">
      <w:pPr>
        <w:pStyle w:val="Heading1"/>
        <w:rPr>
          <w:rFonts w:ascii="Arial" w:hAnsi="Arial"/>
          <w:b/>
          <w:bCs/>
          <w:i/>
          <w:iCs/>
          <w:szCs w:val="18"/>
        </w:rPr>
      </w:pPr>
      <w:bookmarkStart w:id="1" w:name="_Toc199479345"/>
      <w:proofErr w:type="spellStart"/>
      <w:r>
        <w:rPr>
          <w:rFonts w:ascii="Arial" w:hAnsi="Arial"/>
          <w:b/>
          <w:bCs/>
          <w:i/>
          <w:iCs/>
          <w:szCs w:val="18"/>
        </w:rPr>
        <w:lastRenderedPageBreak/>
        <w:t>Uvod</w:t>
      </w:r>
      <w:bookmarkEnd w:id="1"/>
      <w:proofErr w:type="spellEnd"/>
    </w:p>
    <w:p w14:paraId="74959D91" w14:textId="7D39967C" w:rsidR="00264ACD" w:rsidRPr="00A20BF1" w:rsidRDefault="003B3838" w:rsidP="00D21821">
      <w:pPr>
        <w:pStyle w:val="Heading2"/>
        <w:rPr>
          <w:rFonts w:ascii="Arial" w:hAnsi="Arial" w:cs="Arial"/>
          <w:b/>
          <w:bCs/>
          <w:i/>
          <w:iCs/>
          <w:szCs w:val="18"/>
        </w:rPr>
      </w:pPr>
      <w:bookmarkStart w:id="2" w:name="_Toc199479346"/>
      <w:proofErr w:type="spellStart"/>
      <w:r>
        <w:rPr>
          <w:rFonts w:ascii="Arial" w:hAnsi="Arial" w:cs="Arial"/>
          <w:b/>
          <w:bCs/>
          <w:i/>
          <w:iCs/>
          <w:szCs w:val="18"/>
        </w:rPr>
        <w:t>Osnovna</w:t>
      </w:r>
      <w:proofErr w:type="spellEnd"/>
      <w:r>
        <w:rPr>
          <w:rFonts w:ascii="Arial" w:hAnsi="Arial" w:cs="Arial"/>
          <w:b/>
          <w:bCs/>
          <w:i/>
          <w:iCs/>
          <w:szCs w:val="18"/>
        </w:rPr>
        <w:t xml:space="preserve"> </w:t>
      </w:r>
      <w:proofErr w:type="spellStart"/>
      <w:r>
        <w:rPr>
          <w:rFonts w:ascii="Arial" w:hAnsi="Arial" w:cs="Arial"/>
          <w:b/>
          <w:bCs/>
          <w:i/>
          <w:iCs/>
          <w:szCs w:val="18"/>
        </w:rPr>
        <w:t>razmatranja</w:t>
      </w:r>
      <w:bookmarkEnd w:id="2"/>
      <w:proofErr w:type="spellEnd"/>
    </w:p>
    <w:p w14:paraId="08A1292B" w14:textId="706B4041" w:rsidR="003B3838" w:rsidRDefault="003B3838" w:rsidP="00067F75">
      <w:pPr>
        <w:autoSpaceDE w:val="0"/>
        <w:autoSpaceDN w:val="0"/>
        <w:adjustRightInd w:val="0"/>
        <w:jc w:val="both"/>
        <w:rPr>
          <w:rFonts w:ascii="Arial" w:hAnsi="Arial" w:cs="Arial"/>
          <w:bCs/>
          <w:iCs/>
          <w:color w:val="212121"/>
          <w:sz w:val="20"/>
          <w:szCs w:val="20"/>
        </w:rPr>
      </w:pPr>
      <w:r w:rsidRPr="003B3838">
        <w:rPr>
          <w:rFonts w:ascii="Arial" w:hAnsi="Arial" w:cs="Arial"/>
          <w:bCs/>
          <w:iCs/>
          <w:color w:val="212121"/>
          <w:sz w:val="20"/>
          <w:szCs w:val="20"/>
        </w:rPr>
        <w:t xml:space="preserve">Svrha ovog zadataka je Finalna Evaluacija (FE) </w:t>
      </w:r>
      <w:r w:rsidRPr="003B3838">
        <w:rPr>
          <w:rFonts w:ascii="Arial" w:hAnsi="Arial" w:cs="Arial"/>
          <w:b/>
          <w:iCs/>
          <w:color w:val="212121"/>
          <w:sz w:val="20"/>
          <w:szCs w:val="20"/>
        </w:rPr>
        <w:t>Nacionaln</w:t>
      </w:r>
      <w:r>
        <w:rPr>
          <w:rFonts w:ascii="Arial" w:hAnsi="Arial" w:cs="Arial"/>
          <w:b/>
          <w:iCs/>
          <w:color w:val="212121"/>
          <w:sz w:val="20"/>
          <w:szCs w:val="20"/>
        </w:rPr>
        <w:t>og</w:t>
      </w:r>
      <w:r w:rsidRPr="003B3838">
        <w:rPr>
          <w:rFonts w:ascii="Arial" w:hAnsi="Arial" w:cs="Arial"/>
          <w:b/>
          <w:iCs/>
          <w:color w:val="212121"/>
          <w:sz w:val="20"/>
          <w:szCs w:val="20"/>
        </w:rPr>
        <w:t xml:space="preserve"> programa zaštite potrošača (NPZP)</w:t>
      </w:r>
      <w:r w:rsidRPr="003B3838">
        <w:rPr>
          <w:rFonts w:ascii="Arial" w:hAnsi="Arial" w:cs="Arial"/>
          <w:bCs/>
          <w:iCs/>
          <w:color w:val="212121"/>
          <w:sz w:val="20"/>
          <w:szCs w:val="20"/>
        </w:rPr>
        <w:t xml:space="preserve"> koji je Vlada Crna Gore usvoji</w:t>
      </w:r>
      <w:r>
        <w:rPr>
          <w:rFonts w:ascii="Arial" w:hAnsi="Arial" w:cs="Arial"/>
          <w:bCs/>
          <w:iCs/>
          <w:color w:val="212121"/>
          <w:sz w:val="20"/>
          <w:szCs w:val="20"/>
        </w:rPr>
        <w:t>l</w:t>
      </w:r>
      <w:r w:rsidRPr="003B3838">
        <w:rPr>
          <w:rFonts w:ascii="Arial" w:hAnsi="Arial" w:cs="Arial"/>
          <w:bCs/>
          <w:iCs/>
          <w:color w:val="212121"/>
          <w:sz w:val="20"/>
          <w:szCs w:val="20"/>
        </w:rPr>
        <w:t xml:space="preserve">a u decembru </w:t>
      </w:r>
      <w:r>
        <w:rPr>
          <w:rFonts w:ascii="Arial" w:hAnsi="Arial" w:cs="Arial"/>
          <w:bCs/>
          <w:iCs/>
          <w:color w:val="212121"/>
          <w:sz w:val="20"/>
          <w:szCs w:val="20"/>
        </w:rPr>
        <w:t xml:space="preserve">2021. godine na period od tri godine (2022 – 2024). U sklopu dela V Programa koji se odnosi na monitoring i evaluaciju, nezavisna, eksterna </w:t>
      </w:r>
      <w:proofErr w:type="spellStart"/>
      <w:r>
        <w:rPr>
          <w:rFonts w:ascii="Arial" w:hAnsi="Arial" w:cs="Arial"/>
          <w:bCs/>
          <w:iCs/>
          <w:color w:val="212121"/>
          <w:sz w:val="20"/>
          <w:szCs w:val="20"/>
        </w:rPr>
        <w:t>ex</w:t>
      </w:r>
      <w:proofErr w:type="spellEnd"/>
      <w:r>
        <w:rPr>
          <w:rFonts w:ascii="Arial" w:hAnsi="Arial" w:cs="Arial"/>
          <w:bCs/>
          <w:iCs/>
          <w:color w:val="212121"/>
          <w:sz w:val="20"/>
          <w:szCs w:val="20"/>
        </w:rPr>
        <w:t xml:space="preserve">-post evaluacija Programa se sprovodi i njeni zaključci se uključujući u konačni </w:t>
      </w:r>
      <w:proofErr w:type="spellStart"/>
      <w:r>
        <w:rPr>
          <w:rFonts w:ascii="Arial" w:hAnsi="Arial" w:cs="Arial"/>
          <w:bCs/>
          <w:iCs/>
          <w:color w:val="212121"/>
          <w:sz w:val="20"/>
          <w:szCs w:val="20"/>
        </w:rPr>
        <w:t>implementacioni</w:t>
      </w:r>
      <w:proofErr w:type="spellEnd"/>
      <w:r>
        <w:rPr>
          <w:rFonts w:ascii="Arial" w:hAnsi="Arial" w:cs="Arial"/>
          <w:bCs/>
          <w:iCs/>
          <w:color w:val="212121"/>
          <w:sz w:val="20"/>
          <w:szCs w:val="20"/>
        </w:rPr>
        <w:t xml:space="preserve"> izveštaj. Zaključci finalnog izveštaja će koristiti kao osnova za dalji razvoj strategija zaštite potrošača i mogu se koristiti kao osnovne smernice za dizajn novog dokumenta javne politike u oblasti zaštite potrošača u Crnoj Gori.</w:t>
      </w:r>
    </w:p>
    <w:p w14:paraId="0151AD4D" w14:textId="730DD322" w:rsidR="003B3838" w:rsidRPr="003B3838" w:rsidRDefault="003B3838" w:rsidP="00067F75">
      <w:pPr>
        <w:autoSpaceDE w:val="0"/>
        <w:autoSpaceDN w:val="0"/>
        <w:adjustRightInd w:val="0"/>
        <w:jc w:val="both"/>
        <w:rPr>
          <w:rFonts w:ascii="Arial" w:hAnsi="Arial" w:cs="Arial"/>
          <w:bCs/>
          <w:iCs/>
          <w:color w:val="212121"/>
          <w:sz w:val="20"/>
          <w:szCs w:val="20"/>
        </w:rPr>
      </w:pPr>
      <w:r>
        <w:rPr>
          <w:rFonts w:ascii="Arial" w:hAnsi="Arial" w:cs="Arial"/>
          <w:bCs/>
          <w:iCs/>
          <w:color w:val="212121"/>
          <w:sz w:val="20"/>
          <w:szCs w:val="20"/>
        </w:rPr>
        <w:t>NPZP postavlja jasnu hijerarhiju ciljeva sa jednim strateškim (osnovnim) ciljem, tri operativna (specifična) cilja i šest ključnih indikatora učinka. Ciljevi odgovaraju identifikovanim konceptualnim izazovima koji ističu institucionalne probleme, okarakterisane u nedostatke efektivnih mehanizama primene prava potrošača</w:t>
      </w:r>
      <w:r w:rsidR="003D1340">
        <w:rPr>
          <w:rFonts w:ascii="Arial" w:hAnsi="Arial" w:cs="Arial"/>
          <w:bCs/>
          <w:iCs/>
          <w:color w:val="212121"/>
          <w:sz w:val="20"/>
          <w:szCs w:val="20"/>
        </w:rPr>
        <w:t xml:space="preserve">, </w:t>
      </w:r>
      <w:r w:rsidR="003D1340" w:rsidRPr="003D1340">
        <w:rPr>
          <w:rFonts w:ascii="Arial" w:hAnsi="Arial" w:cs="Arial"/>
          <w:bCs/>
          <w:iCs/>
          <w:color w:val="212121"/>
          <w:sz w:val="20"/>
          <w:szCs w:val="20"/>
        </w:rPr>
        <w:t>nedoslednosti u postupcima nadzora tržišta</w:t>
      </w:r>
      <w:r w:rsidR="003D1340">
        <w:rPr>
          <w:rFonts w:ascii="Arial" w:hAnsi="Arial" w:cs="Arial"/>
          <w:bCs/>
          <w:iCs/>
          <w:color w:val="212121"/>
          <w:sz w:val="20"/>
          <w:szCs w:val="20"/>
        </w:rPr>
        <w:t xml:space="preserve"> i nedovoljne koordinacije između institucija u sistemi zaštite potrošača. NPZP takođe identifikuje probleme koji se odnose na nekonzistentni regulatorni okvir koji može stvoriti pravnu nesigurnost i negativne posledice u vidu nepravednih ugovornih uslova, </w:t>
      </w:r>
      <w:r w:rsidR="003D1340" w:rsidRPr="003D1340">
        <w:rPr>
          <w:rFonts w:ascii="Arial" w:hAnsi="Arial" w:cs="Arial"/>
          <w:bCs/>
          <w:iCs/>
          <w:color w:val="212121"/>
          <w:sz w:val="20"/>
          <w:szCs w:val="20"/>
        </w:rPr>
        <w:t xml:space="preserve">obmanjujućeg oglašavanje i </w:t>
      </w:r>
      <w:r w:rsidR="003D1340">
        <w:rPr>
          <w:rFonts w:ascii="Arial" w:hAnsi="Arial" w:cs="Arial"/>
          <w:bCs/>
          <w:iCs/>
          <w:color w:val="212121"/>
          <w:sz w:val="20"/>
          <w:szCs w:val="20"/>
        </w:rPr>
        <w:t xml:space="preserve">nekonzistentnih </w:t>
      </w:r>
      <w:r w:rsidR="003D1340" w:rsidRPr="003D1340">
        <w:rPr>
          <w:rFonts w:ascii="Arial" w:hAnsi="Arial" w:cs="Arial"/>
          <w:bCs/>
          <w:iCs/>
          <w:color w:val="212121"/>
          <w:sz w:val="20"/>
          <w:szCs w:val="20"/>
        </w:rPr>
        <w:t>postup</w:t>
      </w:r>
      <w:r w:rsidR="003D1340">
        <w:rPr>
          <w:rFonts w:ascii="Arial" w:hAnsi="Arial" w:cs="Arial"/>
          <w:bCs/>
          <w:iCs/>
          <w:color w:val="212121"/>
          <w:sz w:val="20"/>
          <w:szCs w:val="20"/>
        </w:rPr>
        <w:t>aka</w:t>
      </w:r>
      <w:r w:rsidR="003D1340" w:rsidRPr="003D1340">
        <w:rPr>
          <w:rFonts w:ascii="Arial" w:hAnsi="Arial" w:cs="Arial"/>
          <w:bCs/>
          <w:iCs/>
          <w:color w:val="212121"/>
          <w:sz w:val="20"/>
          <w:szCs w:val="20"/>
        </w:rPr>
        <w:t xml:space="preserve"> rešavanja sporova</w:t>
      </w:r>
      <w:r w:rsidR="003D1340">
        <w:rPr>
          <w:rFonts w:ascii="Arial" w:hAnsi="Arial" w:cs="Arial"/>
          <w:bCs/>
          <w:iCs/>
          <w:color w:val="212121"/>
          <w:sz w:val="20"/>
          <w:szCs w:val="20"/>
        </w:rPr>
        <w:t xml:space="preserve">. Stoga, NPZP adresira svaki od utvrđenih problema, postavljajući strukturu ciljeva i </w:t>
      </w:r>
      <w:proofErr w:type="spellStart"/>
      <w:r w:rsidR="003D1340">
        <w:rPr>
          <w:rFonts w:ascii="Arial" w:hAnsi="Arial" w:cs="Arial"/>
          <w:bCs/>
          <w:iCs/>
          <w:color w:val="212121"/>
          <w:sz w:val="20"/>
          <w:szCs w:val="20"/>
        </w:rPr>
        <w:t>sprovedbenih</w:t>
      </w:r>
      <w:proofErr w:type="spellEnd"/>
      <w:r w:rsidR="003D1340">
        <w:rPr>
          <w:rFonts w:ascii="Arial" w:hAnsi="Arial" w:cs="Arial"/>
          <w:bCs/>
          <w:iCs/>
          <w:color w:val="212121"/>
          <w:sz w:val="20"/>
          <w:szCs w:val="20"/>
        </w:rPr>
        <w:t xml:space="preserve"> aktivnosti zamišljenih za ublažavanje negativnih efekata i povećanja opšteg nivoa mehanizama za zaštitu potrošača u Crnoj Gori. NPZP jasno iskazuje značaj EU standarda i kako se oni odnose na strateške ciljeve zaštite potrošača u Crnoj Gori. </w:t>
      </w:r>
    </w:p>
    <w:p w14:paraId="572DB9D2" w14:textId="345D79CB" w:rsidR="00C7053D" w:rsidRPr="003D1340" w:rsidRDefault="003D1340" w:rsidP="0028407B">
      <w:pPr>
        <w:autoSpaceDE w:val="0"/>
        <w:autoSpaceDN w:val="0"/>
        <w:adjustRightInd w:val="0"/>
        <w:jc w:val="both"/>
        <w:rPr>
          <w:rFonts w:ascii="Arial" w:hAnsi="Arial" w:cs="Arial"/>
          <w:color w:val="212121"/>
          <w:sz w:val="20"/>
          <w:szCs w:val="20"/>
        </w:rPr>
      </w:pPr>
      <w:r w:rsidRPr="003D1340">
        <w:rPr>
          <w:rFonts w:ascii="Arial" w:hAnsi="Arial" w:cs="Arial"/>
          <w:color w:val="212121"/>
          <w:sz w:val="20"/>
          <w:szCs w:val="20"/>
        </w:rPr>
        <w:t xml:space="preserve">Tabela 1. Ilustruje </w:t>
      </w:r>
      <w:r>
        <w:rPr>
          <w:rFonts w:ascii="Arial" w:hAnsi="Arial" w:cs="Arial"/>
          <w:color w:val="212121"/>
          <w:sz w:val="20"/>
          <w:szCs w:val="20"/>
        </w:rPr>
        <w:t>hijerarhiju ciljeva</w:t>
      </w:r>
    </w:p>
    <w:p w14:paraId="06436674" w14:textId="3ADB6733" w:rsidR="0028407B" w:rsidRPr="003D1340" w:rsidRDefault="0028407B" w:rsidP="00B50C21">
      <w:pPr>
        <w:autoSpaceDE w:val="0"/>
        <w:autoSpaceDN w:val="0"/>
        <w:adjustRightInd w:val="0"/>
        <w:spacing w:after="0"/>
        <w:jc w:val="both"/>
        <w:rPr>
          <w:rFonts w:ascii="Arial" w:hAnsi="Arial" w:cs="Arial"/>
          <w:color w:val="212121"/>
          <w:sz w:val="18"/>
          <w:szCs w:val="18"/>
        </w:rPr>
      </w:pPr>
      <w:r w:rsidRPr="003D1340">
        <w:rPr>
          <w:rFonts w:ascii="Arial" w:hAnsi="Arial" w:cs="Arial"/>
          <w:color w:val="212121"/>
          <w:sz w:val="18"/>
          <w:szCs w:val="18"/>
        </w:rPr>
        <w:t>Tab</w:t>
      </w:r>
      <w:r w:rsidR="003D1340" w:rsidRPr="003D1340">
        <w:rPr>
          <w:rFonts w:ascii="Arial" w:hAnsi="Arial" w:cs="Arial"/>
          <w:color w:val="212121"/>
          <w:sz w:val="18"/>
          <w:szCs w:val="18"/>
        </w:rPr>
        <w:t>ela</w:t>
      </w:r>
      <w:r w:rsidRPr="003D1340">
        <w:rPr>
          <w:rFonts w:ascii="Arial" w:hAnsi="Arial" w:cs="Arial"/>
          <w:color w:val="212121"/>
          <w:sz w:val="18"/>
          <w:szCs w:val="18"/>
        </w:rPr>
        <w:t xml:space="preserve"> 1. </w:t>
      </w:r>
      <w:r w:rsidR="003D1340" w:rsidRPr="003D1340">
        <w:rPr>
          <w:rFonts w:ascii="Arial" w:hAnsi="Arial" w:cs="Arial"/>
          <w:color w:val="212121"/>
          <w:sz w:val="18"/>
          <w:szCs w:val="18"/>
        </w:rPr>
        <w:t>Hijerarhija ciljeva NPZP</w:t>
      </w:r>
      <w:r w:rsidR="00B50C21" w:rsidRPr="003D1340">
        <w:rPr>
          <w:rFonts w:ascii="Arial" w:hAnsi="Arial" w:cs="Arial"/>
          <w:color w:val="212121"/>
          <w:sz w:val="18"/>
          <w:szCs w:val="18"/>
        </w:rPr>
        <w:tab/>
      </w:r>
    </w:p>
    <w:tbl>
      <w:tblPr>
        <w:tblStyle w:val="TableGrid"/>
        <w:tblW w:w="0" w:type="auto"/>
        <w:tblLook w:val="04A0" w:firstRow="1" w:lastRow="0" w:firstColumn="1" w:lastColumn="0" w:noHBand="0" w:noVBand="1"/>
      </w:tblPr>
      <w:tblGrid>
        <w:gridCol w:w="2405"/>
        <w:gridCol w:w="3686"/>
        <w:gridCol w:w="1559"/>
        <w:gridCol w:w="1412"/>
      </w:tblGrid>
      <w:tr w:rsidR="0028407B" w:rsidRPr="003D1340" w14:paraId="340660DE" w14:textId="77777777" w:rsidTr="0028407B">
        <w:tc>
          <w:tcPr>
            <w:tcW w:w="9062" w:type="dxa"/>
            <w:gridSpan w:val="4"/>
            <w:shd w:val="clear" w:color="auto" w:fill="D9E2F3" w:themeFill="accent1" w:themeFillTint="33"/>
          </w:tcPr>
          <w:p w14:paraId="7838BF0D" w14:textId="1DBA93BF" w:rsidR="0028407B" w:rsidRPr="003D1340" w:rsidRDefault="003D1340" w:rsidP="0028407B">
            <w:pPr>
              <w:autoSpaceDE w:val="0"/>
              <w:autoSpaceDN w:val="0"/>
              <w:adjustRightInd w:val="0"/>
              <w:jc w:val="both"/>
              <w:rPr>
                <w:rFonts w:ascii="Arial" w:hAnsi="Arial" w:cs="Arial"/>
                <w:b/>
                <w:bCs/>
                <w:i/>
                <w:iCs/>
                <w:color w:val="212121"/>
                <w:sz w:val="18"/>
                <w:szCs w:val="18"/>
              </w:rPr>
            </w:pPr>
            <w:r>
              <w:rPr>
                <w:rFonts w:ascii="Arial" w:hAnsi="Arial" w:cs="Arial"/>
                <w:b/>
                <w:bCs/>
                <w:i/>
                <w:iCs/>
                <w:color w:val="212121"/>
                <w:sz w:val="18"/>
                <w:szCs w:val="18"/>
              </w:rPr>
              <w:t>Strateški cilj</w:t>
            </w:r>
          </w:p>
        </w:tc>
      </w:tr>
      <w:tr w:rsidR="0028407B" w:rsidRPr="003D1340" w14:paraId="7D3C40DC" w14:textId="77777777" w:rsidTr="0028407B">
        <w:tc>
          <w:tcPr>
            <w:tcW w:w="9062" w:type="dxa"/>
            <w:gridSpan w:val="4"/>
          </w:tcPr>
          <w:p w14:paraId="73BEE3F6" w14:textId="617D8F16" w:rsidR="0028407B" w:rsidRPr="003D1340" w:rsidRDefault="003D1340" w:rsidP="0028407B">
            <w:pPr>
              <w:autoSpaceDE w:val="0"/>
              <w:autoSpaceDN w:val="0"/>
              <w:adjustRightInd w:val="0"/>
              <w:jc w:val="both"/>
              <w:rPr>
                <w:rFonts w:ascii="Arial" w:hAnsi="Arial" w:cs="Arial"/>
                <w:color w:val="212121"/>
                <w:sz w:val="18"/>
                <w:szCs w:val="18"/>
              </w:rPr>
            </w:pPr>
            <w:proofErr w:type="spellStart"/>
            <w:r w:rsidRPr="003D1340">
              <w:rPr>
                <w:rFonts w:ascii="Arial" w:hAnsi="Arial" w:cs="Arial"/>
                <w:color w:val="212121"/>
                <w:sz w:val="18"/>
                <w:szCs w:val="18"/>
              </w:rPr>
              <w:t>Unaprjeđenje</w:t>
            </w:r>
            <w:proofErr w:type="spellEnd"/>
            <w:r w:rsidRPr="003D1340">
              <w:rPr>
                <w:rFonts w:ascii="Arial" w:hAnsi="Arial" w:cs="Arial"/>
                <w:color w:val="212121"/>
                <w:sz w:val="18"/>
                <w:szCs w:val="18"/>
              </w:rPr>
              <w:t xml:space="preserve"> sistema zaštite potrošača u Crnoj Gori u skladu sa novim izazovima na </w:t>
            </w:r>
            <w:proofErr w:type="spellStart"/>
            <w:r w:rsidRPr="003D1340">
              <w:rPr>
                <w:rFonts w:ascii="Arial" w:hAnsi="Arial" w:cs="Arial"/>
                <w:color w:val="212121"/>
                <w:sz w:val="18"/>
                <w:szCs w:val="18"/>
              </w:rPr>
              <w:t>svjetskom</w:t>
            </w:r>
            <w:proofErr w:type="spellEnd"/>
            <w:r w:rsidRPr="003D1340">
              <w:rPr>
                <w:rFonts w:ascii="Arial" w:hAnsi="Arial" w:cs="Arial"/>
                <w:color w:val="212121"/>
                <w:sz w:val="18"/>
                <w:szCs w:val="18"/>
              </w:rPr>
              <w:t xml:space="preserve"> tržištu radi </w:t>
            </w:r>
            <w:proofErr w:type="spellStart"/>
            <w:r w:rsidRPr="003D1340">
              <w:rPr>
                <w:rFonts w:ascii="Arial" w:hAnsi="Arial" w:cs="Arial"/>
                <w:color w:val="212121"/>
                <w:sz w:val="18"/>
                <w:szCs w:val="18"/>
              </w:rPr>
              <w:t>obezbjeđivanja</w:t>
            </w:r>
            <w:proofErr w:type="spellEnd"/>
            <w:r w:rsidRPr="003D1340">
              <w:rPr>
                <w:rFonts w:ascii="Arial" w:hAnsi="Arial" w:cs="Arial"/>
                <w:color w:val="212121"/>
                <w:sz w:val="18"/>
                <w:szCs w:val="18"/>
              </w:rPr>
              <w:t xml:space="preserve"> potpunije zaštite potrošača u skladu sa najboljim praksama Evropske Unije</w:t>
            </w:r>
          </w:p>
        </w:tc>
      </w:tr>
      <w:tr w:rsidR="0028407B" w:rsidRPr="003D1340" w14:paraId="5D39F456" w14:textId="77777777" w:rsidTr="0028407B">
        <w:tc>
          <w:tcPr>
            <w:tcW w:w="9062" w:type="dxa"/>
            <w:gridSpan w:val="4"/>
            <w:shd w:val="clear" w:color="auto" w:fill="D9E2F3" w:themeFill="accent1" w:themeFillTint="33"/>
          </w:tcPr>
          <w:p w14:paraId="0B9138BA" w14:textId="42F9AFF2" w:rsidR="0028407B" w:rsidRPr="003D1340" w:rsidRDefault="0028407B" w:rsidP="0028407B">
            <w:pPr>
              <w:autoSpaceDE w:val="0"/>
              <w:autoSpaceDN w:val="0"/>
              <w:adjustRightInd w:val="0"/>
              <w:jc w:val="both"/>
              <w:rPr>
                <w:rFonts w:ascii="Arial" w:hAnsi="Arial" w:cs="Arial"/>
                <w:b/>
                <w:bCs/>
                <w:i/>
                <w:iCs/>
                <w:color w:val="212121"/>
                <w:sz w:val="18"/>
                <w:szCs w:val="18"/>
              </w:rPr>
            </w:pPr>
            <w:proofErr w:type="spellStart"/>
            <w:r w:rsidRPr="003D1340">
              <w:rPr>
                <w:rFonts w:ascii="Arial" w:hAnsi="Arial" w:cs="Arial"/>
                <w:b/>
                <w:bCs/>
                <w:i/>
                <w:iCs/>
                <w:color w:val="212121"/>
                <w:sz w:val="18"/>
                <w:szCs w:val="18"/>
              </w:rPr>
              <w:t>Operational</w:t>
            </w:r>
            <w:proofErr w:type="spellEnd"/>
            <w:r w:rsidRPr="003D1340">
              <w:rPr>
                <w:rFonts w:ascii="Arial" w:hAnsi="Arial" w:cs="Arial"/>
                <w:b/>
                <w:bCs/>
                <w:i/>
                <w:iCs/>
                <w:color w:val="212121"/>
                <w:sz w:val="18"/>
                <w:szCs w:val="18"/>
              </w:rPr>
              <w:t xml:space="preserve"> </w:t>
            </w:r>
            <w:proofErr w:type="spellStart"/>
            <w:r w:rsidRPr="003D1340">
              <w:rPr>
                <w:rFonts w:ascii="Arial" w:hAnsi="Arial" w:cs="Arial"/>
                <w:b/>
                <w:bCs/>
                <w:i/>
                <w:iCs/>
                <w:color w:val="212121"/>
                <w:sz w:val="18"/>
                <w:szCs w:val="18"/>
              </w:rPr>
              <w:t>Objectives</w:t>
            </w:r>
            <w:proofErr w:type="spellEnd"/>
          </w:p>
        </w:tc>
      </w:tr>
      <w:tr w:rsidR="0028407B" w:rsidRPr="003D1340" w14:paraId="4EE53FBD" w14:textId="77777777" w:rsidTr="0028407B">
        <w:tc>
          <w:tcPr>
            <w:tcW w:w="9062" w:type="dxa"/>
            <w:gridSpan w:val="4"/>
          </w:tcPr>
          <w:p w14:paraId="1EDDAAE5" w14:textId="77777777" w:rsidR="003D1340" w:rsidRDefault="0028407B"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1. </w:t>
            </w:r>
            <w:proofErr w:type="spellStart"/>
            <w:r w:rsidR="003D1340" w:rsidRPr="003D1340">
              <w:rPr>
                <w:rFonts w:ascii="Arial" w:hAnsi="Arial" w:cs="Arial"/>
                <w:color w:val="212121"/>
                <w:sz w:val="18"/>
                <w:szCs w:val="18"/>
              </w:rPr>
              <w:t>Obezbjeđen</w:t>
            </w:r>
            <w:proofErr w:type="spellEnd"/>
            <w:r w:rsidR="003D1340" w:rsidRPr="003D1340">
              <w:rPr>
                <w:rFonts w:ascii="Arial" w:hAnsi="Arial" w:cs="Arial"/>
                <w:color w:val="212121"/>
                <w:sz w:val="18"/>
                <w:szCs w:val="18"/>
              </w:rPr>
              <w:t xml:space="preserve"> veći stepen zaštite potrošačkih prava i interesa kroz dalje unapređenje zakonodavnog okvira i bolju </w:t>
            </w:r>
            <w:proofErr w:type="spellStart"/>
            <w:r w:rsidR="003D1340" w:rsidRPr="003D1340">
              <w:rPr>
                <w:rFonts w:ascii="Arial" w:hAnsi="Arial" w:cs="Arial"/>
                <w:color w:val="212121"/>
                <w:sz w:val="18"/>
                <w:szCs w:val="18"/>
              </w:rPr>
              <w:t>primjenu</w:t>
            </w:r>
            <w:proofErr w:type="spellEnd"/>
            <w:r w:rsidR="003D1340" w:rsidRPr="003D1340">
              <w:rPr>
                <w:rFonts w:ascii="Arial" w:hAnsi="Arial" w:cs="Arial"/>
                <w:color w:val="212121"/>
                <w:sz w:val="18"/>
                <w:szCs w:val="18"/>
              </w:rPr>
              <w:t xml:space="preserve"> važećih instituta zaštite potrošačkih prava </w:t>
            </w:r>
          </w:p>
          <w:p w14:paraId="32860C95" w14:textId="77777777" w:rsidR="003D1340" w:rsidRDefault="0028407B"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2. </w:t>
            </w:r>
            <w:proofErr w:type="spellStart"/>
            <w:r w:rsidR="003D1340" w:rsidRPr="003D1340">
              <w:rPr>
                <w:rFonts w:ascii="Arial" w:hAnsi="Arial" w:cs="Arial"/>
                <w:color w:val="212121"/>
                <w:sz w:val="18"/>
                <w:szCs w:val="18"/>
              </w:rPr>
              <w:t>Unaprijeđeno</w:t>
            </w:r>
            <w:proofErr w:type="spellEnd"/>
            <w:r w:rsidR="003D1340" w:rsidRPr="003D1340">
              <w:rPr>
                <w:rFonts w:ascii="Arial" w:hAnsi="Arial" w:cs="Arial"/>
                <w:color w:val="212121"/>
                <w:sz w:val="18"/>
                <w:szCs w:val="18"/>
              </w:rPr>
              <w:t xml:space="preserve"> znanje i informisanost potrošača i trgovaca o njihovim pravima i obavezama kroz informativno edukativne aktivnosti </w:t>
            </w:r>
          </w:p>
          <w:p w14:paraId="135F6CFF" w14:textId="06CD6780" w:rsidR="0028407B" w:rsidRPr="003D1340" w:rsidRDefault="0028407B"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3. </w:t>
            </w:r>
            <w:r w:rsidR="003D1340" w:rsidRPr="003D1340">
              <w:rPr>
                <w:rFonts w:ascii="Arial" w:hAnsi="Arial" w:cs="Arial"/>
                <w:color w:val="212121"/>
                <w:sz w:val="18"/>
                <w:szCs w:val="18"/>
              </w:rPr>
              <w:t xml:space="preserve">Uspostavljanje efikasnog sistema saradnje i koordinacije sa različitim </w:t>
            </w:r>
            <w:proofErr w:type="spellStart"/>
            <w:r w:rsidR="003D1340" w:rsidRPr="003D1340">
              <w:rPr>
                <w:rFonts w:ascii="Arial" w:hAnsi="Arial" w:cs="Arial"/>
                <w:color w:val="212121"/>
                <w:sz w:val="18"/>
                <w:szCs w:val="18"/>
              </w:rPr>
              <w:t>stejkholderima</w:t>
            </w:r>
            <w:proofErr w:type="spellEnd"/>
            <w:r w:rsidR="003D1340" w:rsidRPr="003D1340">
              <w:rPr>
                <w:rFonts w:ascii="Arial" w:hAnsi="Arial" w:cs="Arial"/>
                <w:color w:val="212121"/>
                <w:sz w:val="18"/>
                <w:szCs w:val="18"/>
              </w:rPr>
              <w:t xml:space="preserve"> značajnim za implementaciju politike zaštite potrošača</w:t>
            </w:r>
          </w:p>
        </w:tc>
      </w:tr>
      <w:tr w:rsidR="0028407B" w:rsidRPr="003D1340" w14:paraId="0FBA64BB" w14:textId="77777777" w:rsidTr="0028407B">
        <w:tc>
          <w:tcPr>
            <w:tcW w:w="9062" w:type="dxa"/>
            <w:gridSpan w:val="4"/>
            <w:shd w:val="clear" w:color="auto" w:fill="D9E2F3" w:themeFill="accent1" w:themeFillTint="33"/>
          </w:tcPr>
          <w:p w14:paraId="605749E3" w14:textId="24C17E79" w:rsidR="0028407B" w:rsidRPr="003D1340" w:rsidRDefault="0028407B" w:rsidP="0028407B">
            <w:pPr>
              <w:autoSpaceDE w:val="0"/>
              <w:autoSpaceDN w:val="0"/>
              <w:adjustRightInd w:val="0"/>
              <w:jc w:val="both"/>
              <w:rPr>
                <w:rFonts w:ascii="Arial" w:hAnsi="Arial" w:cs="Arial"/>
                <w:b/>
                <w:bCs/>
                <w:i/>
                <w:iCs/>
                <w:color w:val="212121"/>
                <w:sz w:val="18"/>
                <w:szCs w:val="18"/>
              </w:rPr>
            </w:pPr>
            <w:proofErr w:type="spellStart"/>
            <w:r w:rsidRPr="003D1340">
              <w:rPr>
                <w:rFonts w:ascii="Arial" w:hAnsi="Arial" w:cs="Arial"/>
                <w:b/>
                <w:bCs/>
                <w:i/>
                <w:iCs/>
                <w:color w:val="212121"/>
                <w:sz w:val="18"/>
                <w:szCs w:val="18"/>
              </w:rPr>
              <w:t>Key</w:t>
            </w:r>
            <w:proofErr w:type="spellEnd"/>
            <w:r w:rsidRPr="003D1340">
              <w:rPr>
                <w:rFonts w:ascii="Arial" w:hAnsi="Arial" w:cs="Arial"/>
                <w:b/>
                <w:bCs/>
                <w:i/>
                <w:iCs/>
                <w:color w:val="212121"/>
                <w:sz w:val="18"/>
                <w:szCs w:val="18"/>
              </w:rPr>
              <w:t xml:space="preserve"> </w:t>
            </w:r>
            <w:proofErr w:type="spellStart"/>
            <w:r w:rsidRPr="003D1340">
              <w:rPr>
                <w:rFonts w:ascii="Arial" w:hAnsi="Arial" w:cs="Arial"/>
                <w:b/>
                <w:bCs/>
                <w:i/>
                <w:iCs/>
                <w:color w:val="212121"/>
                <w:sz w:val="18"/>
                <w:szCs w:val="18"/>
              </w:rPr>
              <w:t>Performance</w:t>
            </w:r>
            <w:proofErr w:type="spellEnd"/>
            <w:r w:rsidRPr="003D1340">
              <w:rPr>
                <w:rFonts w:ascii="Arial" w:hAnsi="Arial" w:cs="Arial"/>
                <w:b/>
                <w:bCs/>
                <w:i/>
                <w:iCs/>
                <w:color w:val="212121"/>
                <w:sz w:val="18"/>
                <w:szCs w:val="18"/>
              </w:rPr>
              <w:t xml:space="preserve"> </w:t>
            </w:r>
            <w:proofErr w:type="spellStart"/>
            <w:r w:rsidRPr="003D1340">
              <w:rPr>
                <w:rFonts w:ascii="Arial" w:hAnsi="Arial" w:cs="Arial"/>
                <w:b/>
                <w:bCs/>
                <w:i/>
                <w:iCs/>
                <w:color w:val="212121"/>
                <w:sz w:val="18"/>
                <w:szCs w:val="18"/>
              </w:rPr>
              <w:t>Indicators</w:t>
            </w:r>
            <w:proofErr w:type="spellEnd"/>
          </w:p>
        </w:tc>
      </w:tr>
      <w:tr w:rsidR="004C740F" w:rsidRPr="003D1340" w14:paraId="20D5921E" w14:textId="77777777" w:rsidTr="004C740F">
        <w:trPr>
          <w:trHeight w:val="69"/>
        </w:trPr>
        <w:tc>
          <w:tcPr>
            <w:tcW w:w="2405" w:type="dxa"/>
            <w:vMerge w:val="restart"/>
          </w:tcPr>
          <w:p w14:paraId="33C40BED" w14:textId="006CDB04" w:rsidR="004C740F" w:rsidRPr="003D1340" w:rsidRDefault="003D134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Operativni cilj 1</w:t>
            </w:r>
          </w:p>
        </w:tc>
        <w:tc>
          <w:tcPr>
            <w:tcW w:w="3686" w:type="dxa"/>
          </w:tcPr>
          <w:p w14:paraId="2AAAA954" w14:textId="515D4F6A" w:rsidR="004C740F" w:rsidRPr="003D1340" w:rsidRDefault="004C740F" w:rsidP="0028407B">
            <w:pPr>
              <w:autoSpaceDE w:val="0"/>
              <w:autoSpaceDN w:val="0"/>
              <w:adjustRightInd w:val="0"/>
              <w:jc w:val="both"/>
              <w:rPr>
                <w:rFonts w:ascii="Arial" w:hAnsi="Arial" w:cs="Arial"/>
                <w:b/>
                <w:bCs/>
                <w:color w:val="212121"/>
                <w:sz w:val="18"/>
                <w:szCs w:val="18"/>
              </w:rPr>
            </w:pPr>
            <w:r w:rsidRPr="003D1340">
              <w:rPr>
                <w:rFonts w:ascii="Arial" w:hAnsi="Arial" w:cs="Arial"/>
                <w:b/>
                <w:bCs/>
                <w:color w:val="212121"/>
                <w:sz w:val="18"/>
                <w:szCs w:val="18"/>
              </w:rPr>
              <w:t>Indi</w:t>
            </w:r>
            <w:r w:rsidR="003D1340">
              <w:rPr>
                <w:rFonts w:ascii="Arial" w:hAnsi="Arial" w:cs="Arial"/>
                <w:b/>
                <w:bCs/>
                <w:color w:val="212121"/>
                <w:sz w:val="18"/>
                <w:szCs w:val="18"/>
              </w:rPr>
              <w:t>k</w:t>
            </w:r>
            <w:r w:rsidRPr="003D1340">
              <w:rPr>
                <w:rFonts w:ascii="Arial" w:hAnsi="Arial" w:cs="Arial"/>
                <w:b/>
                <w:bCs/>
                <w:color w:val="212121"/>
                <w:sz w:val="18"/>
                <w:szCs w:val="18"/>
              </w:rPr>
              <w:t>ator</w:t>
            </w:r>
          </w:p>
        </w:tc>
        <w:tc>
          <w:tcPr>
            <w:tcW w:w="1559" w:type="dxa"/>
          </w:tcPr>
          <w:p w14:paraId="702ED49A" w14:textId="784A4A58" w:rsidR="004C740F" w:rsidRPr="003D1340" w:rsidRDefault="004C740F" w:rsidP="0028407B">
            <w:pPr>
              <w:autoSpaceDE w:val="0"/>
              <w:autoSpaceDN w:val="0"/>
              <w:adjustRightInd w:val="0"/>
              <w:jc w:val="both"/>
              <w:rPr>
                <w:rFonts w:ascii="Arial" w:hAnsi="Arial" w:cs="Arial"/>
                <w:b/>
                <w:bCs/>
                <w:color w:val="212121"/>
                <w:sz w:val="18"/>
                <w:szCs w:val="18"/>
              </w:rPr>
            </w:pPr>
            <w:r w:rsidRPr="003D1340">
              <w:rPr>
                <w:rFonts w:ascii="Arial" w:hAnsi="Arial" w:cs="Arial"/>
                <w:b/>
                <w:bCs/>
                <w:color w:val="212121"/>
                <w:sz w:val="18"/>
                <w:szCs w:val="18"/>
              </w:rPr>
              <w:t>2023</w:t>
            </w:r>
          </w:p>
        </w:tc>
        <w:tc>
          <w:tcPr>
            <w:tcW w:w="1412" w:type="dxa"/>
          </w:tcPr>
          <w:p w14:paraId="438A0459" w14:textId="551308BB" w:rsidR="004C740F" w:rsidRPr="003D1340" w:rsidRDefault="004C740F" w:rsidP="0028407B">
            <w:pPr>
              <w:autoSpaceDE w:val="0"/>
              <w:autoSpaceDN w:val="0"/>
              <w:adjustRightInd w:val="0"/>
              <w:jc w:val="both"/>
              <w:rPr>
                <w:rFonts w:ascii="Arial" w:hAnsi="Arial" w:cs="Arial"/>
                <w:b/>
                <w:bCs/>
                <w:color w:val="212121"/>
                <w:sz w:val="18"/>
                <w:szCs w:val="18"/>
              </w:rPr>
            </w:pPr>
            <w:r w:rsidRPr="003D1340">
              <w:rPr>
                <w:rFonts w:ascii="Arial" w:hAnsi="Arial" w:cs="Arial"/>
                <w:b/>
                <w:bCs/>
                <w:color w:val="212121"/>
                <w:sz w:val="18"/>
                <w:szCs w:val="18"/>
              </w:rPr>
              <w:t>2024</w:t>
            </w:r>
          </w:p>
        </w:tc>
      </w:tr>
      <w:tr w:rsidR="004C740F" w:rsidRPr="003D1340" w14:paraId="5B789E51" w14:textId="77777777" w:rsidTr="004C740F">
        <w:trPr>
          <w:trHeight w:val="69"/>
        </w:trPr>
        <w:tc>
          <w:tcPr>
            <w:tcW w:w="2405" w:type="dxa"/>
            <w:vMerge/>
          </w:tcPr>
          <w:p w14:paraId="54776CB5" w14:textId="77777777" w:rsidR="004C740F" w:rsidRPr="003D1340" w:rsidRDefault="004C740F" w:rsidP="0028407B">
            <w:pPr>
              <w:autoSpaceDE w:val="0"/>
              <w:autoSpaceDN w:val="0"/>
              <w:adjustRightInd w:val="0"/>
              <w:jc w:val="both"/>
              <w:rPr>
                <w:rFonts w:ascii="Arial" w:hAnsi="Arial" w:cs="Arial"/>
                <w:color w:val="212121"/>
                <w:sz w:val="18"/>
                <w:szCs w:val="18"/>
              </w:rPr>
            </w:pPr>
          </w:p>
        </w:tc>
        <w:tc>
          <w:tcPr>
            <w:tcW w:w="3686" w:type="dxa"/>
          </w:tcPr>
          <w:p w14:paraId="04923226" w14:textId="3DBEE0A1" w:rsidR="004C740F" w:rsidRPr="003D1340" w:rsidRDefault="004C740F"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1. </w:t>
            </w:r>
            <w:r w:rsidR="00F74E80" w:rsidRPr="00F74E80">
              <w:rPr>
                <w:rFonts w:ascii="Arial" w:hAnsi="Arial" w:cs="Arial"/>
                <w:color w:val="212121"/>
                <w:sz w:val="18"/>
                <w:szCs w:val="18"/>
              </w:rPr>
              <w:t xml:space="preserve">Povećanje broja pozitivno </w:t>
            </w:r>
            <w:proofErr w:type="spellStart"/>
            <w:r w:rsidR="00F74E80" w:rsidRPr="00F74E80">
              <w:rPr>
                <w:rFonts w:ascii="Arial" w:hAnsi="Arial" w:cs="Arial"/>
                <w:color w:val="212121"/>
                <w:sz w:val="18"/>
                <w:szCs w:val="18"/>
              </w:rPr>
              <w:t>riješenih</w:t>
            </w:r>
            <w:proofErr w:type="spellEnd"/>
            <w:r w:rsidR="00F74E80" w:rsidRPr="00F74E80">
              <w:rPr>
                <w:rFonts w:ascii="Arial" w:hAnsi="Arial" w:cs="Arial"/>
                <w:color w:val="212121"/>
                <w:sz w:val="18"/>
                <w:szCs w:val="18"/>
              </w:rPr>
              <w:t xml:space="preserve"> prigovora potrošača/</w:t>
            </w:r>
            <w:proofErr w:type="spellStart"/>
            <w:r w:rsidR="00F74E80" w:rsidRPr="00F74E80">
              <w:rPr>
                <w:rFonts w:ascii="Arial" w:hAnsi="Arial" w:cs="Arial"/>
                <w:color w:val="212121"/>
                <w:sz w:val="18"/>
                <w:szCs w:val="18"/>
              </w:rPr>
              <w:t>ica</w:t>
            </w:r>
            <w:proofErr w:type="spellEnd"/>
            <w:r w:rsidR="00F74E80" w:rsidRPr="00F74E80">
              <w:rPr>
                <w:rFonts w:ascii="Arial" w:hAnsi="Arial" w:cs="Arial"/>
                <w:color w:val="212121"/>
                <w:sz w:val="18"/>
                <w:szCs w:val="18"/>
              </w:rPr>
              <w:t xml:space="preserve"> u odnosu na broj </w:t>
            </w:r>
            <w:proofErr w:type="spellStart"/>
            <w:r w:rsidR="00F74E80" w:rsidRPr="00F74E80">
              <w:rPr>
                <w:rFonts w:ascii="Arial" w:hAnsi="Arial" w:cs="Arial"/>
                <w:color w:val="212121"/>
                <w:sz w:val="18"/>
                <w:szCs w:val="18"/>
              </w:rPr>
              <w:t>podnijetih</w:t>
            </w:r>
            <w:proofErr w:type="spellEnd"/>
            <w:r w:rsidR="00F74E80" w:rsidRPr="00F74E80">
              <w:rPr>
                <w:rFonts w:ascii="Arial" w:hAnsi="Arial" w:cs="Arial"/>
                <w:color w:val="212121"/>
                <w:sz w:val="18"/>
                <w:szCs w:val="18"/>
              </w:rPr>
              <w:t xml:space="preserve"> prigovora</w:t>
            </w:r>
          </w:p>
        </w:tc>
        <w:tc>
          <w:tcPr>
            <w:tcW w:w="1559" w:type="dxa"/>
          </w:tcPr>
          <w:p w14:paraId="779A9FD6" w14:textId="5B503347" w:rsidR="004C740F" w:rsidRPr="003D1340" w:rsidRDefault="004C740F"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3%</w:t>
            </w:r>
          </w:p>
        </w:tc>
        <w:tc>
          <w:tcPr>
            <w:tcW w:w="1412" w:type="dxa"/>
          </w:tcPr>
          <w:p w14:paraId="01F2D240" w14:textId="650B3ED0" w:rsidR="004C740F" w:rsidRPr="003D1340" w:rsidRDefault="004C740F"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5%</w:t>
            </w:r>
          </w:p>
        </w:tc>
      </w:tr>
      <w:tr w:rsidR="004C740F" w:rsidRPr="003D1340" w14:paraId="3B7DFFBE" w14:textId="77777777" w:rsidTr="004C740F">
        <w:trPr>
          <w:trHeight w:val="69"/>
        </w:trPr>
        <w:tc>
          <w:tcPr>
            <w:tcW w:w="2405" w:type="dxa"/>
            <w:vMerge/>
          </w:tcPr>
          <w:p w14:paraId="1147DF7A" w14:textId="77777777" w:rsidR="004C740F" w:rsidRPr="003D1340" w:rsidRDefault="004C740F" w:rsidP="0028407B">
            <w:pPr>
              <w:autoSpaceDE w:val="0"/>
              <w:autoSpaceDN w:val="0"/>
              <w:adjustRightInd w:val="0"/>
              <w:jc w:val="both"/>
              <w:rPr>
                <w:rFonts w:ascii="Arial" w:hAnsi="Arial" w:cs="Arial"/>
                <w:color w:val="212121"/>
                <w:sz w:val="18"/>
                <w:szCs w:val="18"/>
              </w:rPr>
            </w:pPr>
          </w:p>
        </w:tc>
        <w:tc>
          <w:tcPr>
            <w:tcW w:w="3686" w:type="dxa"/>
          </w:tcPr>
          <w:p w14:paraId="0D550877" w14:textId="7865E68B" w:rsidR="004C740F" w:rsidRPr="003D1340" w:rsidRDefault="004C740F" w:rsidP="00F74E80">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2. </w:t>
            </w:r>
            <w:r w:rsidR="00F74E80" w:rsidRPr="00F74E80">
              <w:rPr>
                <w:rFonts w:ascii="Arial" w:hAnsi="Arial" w:cs="Arial"/>
                <w:color w:val="212121"/>
                <w:sz w:val="18"/>
                <w:szCs w:val="18"/>
              </w:rPr>
              <w:t xml:space="preserve">Povećanje broja </w:t>
            </w:r>
            <w:proofErr w:type="spellStart"/>
            <w:r w:rsidR="00F74E80" w:rsidRPr="00F74E80">
              <w:rPr>
                <w:rFonts w:ascii="Arial" w:hAnsi="Arial" w:cs="Arial"/>
                <w:color w:val="212121"/>
                <w:sz w:val="18"/>
                <w:szCs w:val="18"/>
              </w:rPr>
              <w:t>podnijetih</w:t>
            </w:r>
            <w:proofErr w:type="spellEnd"/>
            <w:r w:rsidR="00F74E80" w:rsidRPr="00F74E80">
              <w:rPr>
                <w:rFonts w:ascii="Arial" w:hAnsi="Arial" w:cs="Arial"/>
                <w:color w:val="212121"/>
                <w:sz w:val="18"/>
                <w:szCs w:val="18"/>
              </w:rPr>
              <w:t xml:space="preserve"> </w:t>
            </w:r>
            <w:proofErr w:type="spellStart"/>
            <w:r w:rsidR="00F74E80" w:rsidRPr="00F74E80">
              <w:rPr>
                <w:rFonts w:ascii="Arial" w:hAnsi="Arial" w:cs="Arial"/>
                <w:color w:val="212121"/>
                <w:sz w:val="18"/>
                <w:szCs w:val="18"/>
              </w:rPr>
              <w:t>zahtjeva</w:t>
            </w:r>
            <w:proofErr w:type="spellEnd"/>
            <w:r w:rsidR="00F74E80" w:rsidRPr="00F74E80">
              <w:rPr>
                <w:rFonts w:ascii="Arial" w:hAnsi="Arial" w:cs="Arial"/>
                <w:color w:val="212121"/>
                <w:sz w:val="18"/>
                <w:szCs w:val="18"/>
              </w:rPr>
              <w:t xml:space="preserve"> za vansudsko </w:t>
            </w:r>
            <w:proofErr w:type="spellStart"/>
            <w:r w:rsidR="00F74E80" w:rsidRPr="00F74E80">
              <w:rPr>
                <w:rFonts w:ascii="Arial" w:hAnsi="Arial" w:cs="Arial"/>
                <w:color w:val="212121"/>
                <w:sz w:val="18"/>
                <w:szCs w:val="18"/>
              </w:rPr>
              <w:t>rješavanje</w:t>
            </w:r>
            <w:proofErr w:type="spellEnd"/>
            <w:r w:rsidR="00F74E80" w:rsidRPr="00F74E80">
              <w:rPr>
                <w:rFonts w:ascii="Arial" w:hAnsi="Arial" w:cs="Arial"/>
                <w:color w:val="212121"/>
                <w:sz w:val="18"/>
                <w:szCs w:val="18"/>
              </w:rPr>
              <w:t xml:space="preserve"> sporova</w:t>
            </w:r>
          </w:p>
        </w:tc>
        <w:tc>
          <w:tcPr>
            <w:tcW w:w="1559" w:type="dxa"/>
          </w:tcPr>
          <w:p w14:paraId="1232791A" w14:textId="7CD82853" w:rsidR="004C740F" w:rsidRPr="003D1340" w:rsidRDefault="00F74E8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za</w:t>
            </w:r>
            <w:r w:rsidR="004C740F" w:rsidRPr="003D1340">
              <w:rPr>
                <w:rFonts w:ascii="Arial" w:hAnsi="Arial" w:cs="Arial"/>
                <w:color w:val="212121"/>
                <w:sz w:val="18"/>
                <w:szCs w:val="18"/>
              </w:rPr>
              <w:t xml:space="preserve"> 2</w:t>
            </w:r>
          </w:p>
        </w:tc>
        <w:tc>
          <w:tcPr>
            <w:tcW w:w="1412" w:type="dxa"/>
          </w:tcPr>
          <w:p w14:paraId="355C92F1" w14:textId="67474E62" w:rsidR="004C740F" w:rsidRPr="003D1340" w:rsidRDefault="00F74E8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za</w:t>
            </w:r>
            <w:r w:rsidR="004C740F" w:rsidRPr="003D1340">
              <w:rPr>
                <w:rFonts w:ascii="Arial" w:hAnsi="Arial" w:cs="Arial"/>
                <w:color w:val="212121"/>
                <w:sz w:val="18"/>
                <w:szCs w:val="18"/>
              </w:rPr>
              <w:t xml:space="preserve"> 5</w:t>
            </w:r>
          </w:p>
        </w:tc>
      </w:tr>
      <w:tr w:rsidR="009E2D00" w:rsidRPr="003D1340" w14:paraId="70E25923" w14:textId="77777777" w:rsidTr="009E2D00">
        <w:tc>
          <w:tcPr>
            <w:tcW w:w="2405" w:type="dxa"/>
            <w:vMerge w:val="restart"/>
          </w:tcPr>
          <w:p w14:paraId="4C83B6DE" w14:textId="5EDE7091" w:rsidR="009E2D00" w:rsidRPr="003D1340" w:rsidRDefault="003D134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Operativni cilj 2</w:t>
            </w:r>
          </w:p>
        </w:tc>
        <w:tc>
          <w:tcPr>
            <w:tcW w:w="3686" w:type="dxa"/>
          </w:tcPr>
          <w:p w14:paraId="261E32BB" w14:textId="659F6043" w:rsidR="009E2D00" w:rsidRPr="003D1340" w:rsidRDefault="009E2D00" w:rsidP="009E2D00">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1. </w:t>
            </w:r>
            <w:r w:rsidR="00F74E80" w:rsidRPr="00F74E80">
              <w:rPr>
                <w:rFonts w:ascii="Arial" w:hAnsi="Arial" w:cs="Arial"/>
                <w:color w:val="212121"/>
                <w:sz w:val="18"/>
                <w:szCs w:val="18"/>
              </w:rPr>
              <w:t>Stepen povećanja informisanosti građana/</w:t>
            </w:r>
            <w:proofErr w:type="spellStart"/>
            <w:r w:rsidR="00F74E80" w:rsidRPr="00F74E80">
              <w:rPr>
                <w:rFonts w:ascii="Arial" w:hAnsi="Arial" w:cs="Arial"/>
                <w:color w:val="212121"/>
                <w:sz w:val="18"/>
                <w:szCs w:val="18"/>
              </w:rPr>
              <w:t>ki</w:t>
            </w:r>
            <w:proofErr w:type="spellEnd"/>
            <w:r w:rsidR="00F74E80" w:rsidRPr="00F74E80">
              <w:rPr>
                <w:rFonts w:ascii="Arial" w:hAnsi="Arial" w:cs="Arial"/>
                <w:color w:val="212121"/>
                <w:sz w:val="18"/>
                <w:szCs w:val="18"/>
              </w:rPr>
              <w:t xml:space="preserve"> o potrošačkim pravima u </w:t>
            </w:r>
            <w:r w:rsidR="00F74E80">
              <w:rPr>
                <w:rFonts w:ascii="Arial" w:hAnsi="Arial" w:cs="Arial"/>
                <w:color w:val="212121"/>
                <w:sz w:val="18"/>
                <w:szCs w:val="18"/>
              </w:rPr>
              <w:t>tradicionalnoj kupovini</w:t>
            </w:r>
          </w:p>
        </w:tc>
        <w:tc>
          <w:tcPr>
            <w:tcW w:w="1559" w:type="dxa"/>
          </w:tcPr>
          <w:p w14:paraId="6F8D0713" w14:textId="52F39AD8" w:rsidR="009E2D00" w:rsidRPr="003D1340" w:rsidRDefault="009E2D00"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15% </w:t>
            </w:r>
            <w:r w:rsidR="00F74E80" w:rsidRPr="00F74E80">
              <w:rPr>
                <w:rFonts w:ascii="Arial" w:hAnsi="Arial" w:cs="Arial"/>
                <w:color w:val="212121"/>
                <w:sz w:val="18"/>
                <w:szCs w:val="18"/>
              </w:rPr>
              <w:t>ispitanika/</w:t>
            </w:r>
            <w:proofErr w:type="spellStart"/>
            <w:r w:rsidR="00F74E80" w:rsidRPr="00F74E80">
              <w:rPr>
                <w:rFonts w:ascii="Arial" w:hAnsi="Arial" w:cs="Arial"/>
                <w:color w:val="212121"/>
                <w:sz w:val="18"/>
                <w:szCs w:val="18"/>
              </w:rPr>
              <w:t>ca</w:t>
            </w:r>
            <w:proofErr w:type="spellEnd"/>
            <w:r w:rsidR="00F74E80" w:rsidRPr="00F74E80">
              <w:rPr>
                <w:rFonts w:ascii="Arial" w:hAnsi="Arial" w:cs="Arial"/>
                <w:color w:val="212121"/>
                <w:sz w:val="18"/>
                <w:szCs w:val="18"/>
              </w:rPr>
              <w:t xml:space="preserve"> je upoznato da potrošač/</w:t>
            </w:r>
            <w:proofErr w:type="spellStart"/>
            <w:r w:rsidR="00F74E80" w:rsidRPr="00F74E80">
              <w:rPr>
                <w:rFonts w:ascii="Arial" w:hAnsi="Arial" w:cs="Arial"/>
                <w:color w:val="212121"/>
                <w:sz w:val="18"/>
                <w:szCs w:val="18"/>
              </w:rPr>
              <w:t>ica</w:t>
            </w:r>
            <w:proofErr w:type="spellEnd"/>
            <w:r w:rsidR="00F74E80" w:rsidRPr="00F74E80">
              <w:rPr>
                <w:rFonts w:ascii="Arial" w:hAnsi="Arial" w:cs="Arial"/>
                <w:color w:val="212121"/>
                <w:sz w:val="18"/>
                <w:szCs w:val="18"/>
              </w:rPr>
              <w:t xml:space="preserve"> nije dužan/na da uz prigovor podnese i račun</w:t>
            </w:r>
          </w:p>
        </w:tc>
        <w:tc>
          <w:tcPr>
            <w:tcW w:w="1412" w:type="dxa"/>
          </w:tcPr>
          <w:p w14:paraId="740B4EFE" w14:textId="5040E1D5" w:rsidR="009E2D00" w:rsidRPr="003D1340" w:rsidRDefault="009E2D00"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18%</w:t>
            </w:r>
          </w:p>
        </w:tc>
      </w:tr>
      <w:tr w:rsidR="009E2D00" w:rsidRPr="003D1340" w14:paraId="1D295322" w14:textId="77777777" w:rsidTr="009E2D00">
        <w:tc>
          <w:tcPr>
            <w:tcW w:w="2405" w:type="dxa"/>
            <w:vMerge/>
          </w:tcPr>
          <w:p w14:paraId="724E00AD" w14:textId="77777777" w:rsidR="009E2D00" w:rsidRPr="003D1340" w:rsidRDefault="009E2D00" w:rsidP="0028407B">
            <w:pPr>
              <w:autoSpaceDE w:val="0"/>
              <w:autoSpaceDN w:val="0"/>
              <w:adjustRightInd w:val="0"/>
              <w:jc w:val="both"/>
              <w:rPr>
                <w:rFonts w:ascii="Arial" w:hAnsi="Arial" w:cs="Arial"/>
                <w:color w:val="212121"/>
                <w:sz w:val="18"/>
                <w:szCs w:val="18"/>
              </w:rPr>
            </w:pPr>
          </w:p>
        </w:tc>
        <w:tc>
          <w:tcPr>
            <w:tcW w:w="3686" w:type="dxa"/>
          </w:tcPr>
          <w:p w14:paraId="357CD706" w14:textId="5F220458" w:rsidR="009E2D00" w:rsidRPr="003D1340" w:rsidRDefault="009E2D00" w:rsidP="009E2D00">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2. </w:t>
            </w:r>
            <w:r w:rsidR="00F74E80" w:rsidRPr="00F74E80">
              <w:rPr>
                <w:rFonts w:ascii="Arial" w:hAnsi="Arial" w:cs="Arial"/>
                <w:color w:val="212121"/>
                <w:sz w:val="18"/>
                <w:szCs w:val="18"/>
              </w:rPr>
              <w:t>Stepen povećanja informisanosti građana/</w:t>
            </w:r>
            <w:proofErr w:type="spellStart"/>
            <w:r w:rsidR="00F74E80" w:rsidRPr="00F74E80">
              <w:rPr>
                <w:rFonts w:ascii="Arial" w:hAnsi="Arial" w:cs="Arial"/>
                <w:color w:val="212121"/>
                <w:sz w:val="18"/>
                <w:szCs w:val="18"/>
              </w:rPr>
              <w:t>ki</w:t>
            </w:r>
            <w:proofErr w:type="spellEnd"/>
            <w:r w:rsidR="00F74E80" w:rsidRPr="00F74E80">
              <w:rPr>
                <w:rFonts w:ascii="Arial" w:hAnsi="Arial" w:cs="Arial"/>
                <w:color w:val="212121"/>
                <w:sz w:val="18"/>
                <w:szCs w:val="18"/>
              </w:rPr>
              <w:t xml:space="preserve"> o potrošačkim pravima u elektronskoj kupovini</w:t>
            </w:r>
          </w:p>
        </w:tc>
        <w:tc>
          <w:tcPr>
            <w:tcW w:w="1559" w:type="dxa"/>
          </w:tcPr>
          <w:p w14:paraId="1151C37F" w14:textId="5BA8A4F0" w:rsidR="009E2D00" w:rsidRPr="003D1340" w:rsidRDefault="009E2D00"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15% </w:t>
            </w:r>
            <w:r w:rsidR="00F74E80" w:rsidRPr="00F74E80">
              <w:rPr>
                <w:rFonts w:ascii="Arial" w:hAnsi="Arial" w:cs="Arial"/>
                <w:color w:val="212121"/>
                <w:sz w:val="18"/>
                <w:szCs w:val="18"/>
              </w:rPr>
              <w:t>ispitanik/</w:t>
            </w:r>
            <w:proofErr w:type="spellStart"/>
            <w:r w:rsidR="00F74E80" w:rsidRPr="00F74E80">
              <w:rPr>
                <w:rFonts w:ascii="Arial" w:hAnsi="Arial" w:cs="Arial"/>
                <w:color w:val="212121"/>
                <w:sz w:val="18"/>
                <w:szCs w:val="18"/>
              </w:rPr>
              <w:t>ca</w:t>
            </w:r>
            <w:proofErr w:type="spellEnd"/>
            <w:r w:rsidR="00F74E80" w:rsidRPr="00F74E80">
              <w:rPr>
                <w:rFonts w:ascii="Arial" w:hAnsi="Arial" w:cs="Arial"/>
                <w:color w:val="212121"/>
                <w:sz w:val="18"/>
                <w:szCs w:val="18"/>
              </w:rPr>
              <w:t xml:space="preserve"> upoznato sa tačnim rokom u kom potrošač/</w:t>
            </w:r>
            <w:proofErr w:type="spellStart"/>
            <w:r w:rsidR="00F74E80" w:rsidRPr="00F74E80">
              <w:rPr>
                <w:rFonts w:ascii="Arial" w:hAnsi="Arial" w:cs="Arial"/>
                <w:color w:val="212121"/>
                <w:sz w:val="18"/>
                <w:szCs w:val="18"/>
              </w:rPr>
              <w:t>ica</w:t>
            </w:r>
            <w:proofErr w:type="spellEnd"/>
            <w:r w:rsidR="00F74E80" w:rsidRPr="00F74E80">
              <w:rPr>
                <w:rFonts w:ascii="Arial" w:hAnsi="Arial" w:cs="Arial"/>
                <w:color w:val="212121"/>
                <w:sz w:val="18"/>
                <w:szCs w:val="18"/>
              </w:rPr>
              <w:t xml:space="preserve"> može da raskine ugovor sklopljen na daljinu (</w:t>
            </w:r>
            <w:proofErr w:type="spellStart"/>
            <w:r w:rsidR="00F74E80" w:rsidRPr="00F74E80">
              <w:rPr>
                <w:rFonts w:ascii="Arial" w:hAnsi="Arial" w:cs="Arial"/>
                <w:color w:val="212121"/>
                <w:sz w:val="18"/>
                <w:szCs w:val="18"/>
              </w:rPr>
              <w:t>online</w:t>
            </w:r>
            <w:proofErr w:type="spellEnd"/>
            <w:r w:rsidR="00F74E80" w:rsidRPr="00F74E80">
              <w:rPr>
                <w:rFonts w:ascii="Arial" w:hAnsi="Arial" w:cs="Arial"/>
                <w:color w:val="212121"/>
                <w:sz w:val="18"/>
                <w:szCs w:val="18"/>
              </w:rPr>
              <w:t>) ili van prostorija trgovca</w:t>
            </w:r>
          </w:p>
        </w:tc>
        <w:tc>
          <w:tcPr>
            <w:tcW w:w="1412" w:type="dxa"/>
          </w:tcPr>
          <w:p w14:paraId="08C5891A" w14:textId="51750AD4" w:rsidR="009E2D00" w:rsidRPr="003D1340" w:rsidRDefault="009E2D00"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18%</w:t>
            </w:r>
          </w:p>
        </w:tc>
      </w:tr>
      <w:tr w:rsidR="009E2D00" w:rsidRPr="003D1340" w14:paraId="61B14516" w14:textId="77777777" w:rsidTr="009E2D00">
        <w:tc>
          <w:tcPr>
            <w:tcW w:w="2405" w:type="dxa"/>
            <w:vMerge w:val="restart"/>
          </w:tcPr>
          <w:p w14:paraId="40E7129F" w14:textId="61626691" w:rsidR="009E2D00" w:rsidRPr="003D1340" w:rsidRDefault="003D134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lastRenderedPageBreak/>
              <w:t>Operativni cilj 3</w:t>
            </w:r>
          </w:p>
        </w:tc>
        <w:tc>
          <w:tcPr>
            <w:tcW w:w="3686" w:type="dxa"/>
          </w:tcPr>
          <w:p w14:paraId="36EE1B61" w14:textId="2E3CCC1F" w:rsidR="009E2D00" w:rsidRPr="003D1340" w:rsidRDefault="009E2D00"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1. </w:t>
            </w:r>
            <w:r w:rsidR="00F74E80" w:rsidRPr="00F74E80">
              <w:rPr>
                <w:rFonts w:ascii="Arial" w:hAnsi="Arial" w:cs="Arial"/>
                <w:color w:val="212121"/>
                <w:sz w:val="18"/>
                <w:szCs w:val="18"/>
              </w:rPr>
              <w:t xml:space="preserve">Povećanje broja lokalnih samouprava koje su uspostavile saradnju sa udruženjem potrošača </w:t>
            </w:r>
          </w:p>
        </w:tc>
        <w:tc>
          <w:tcPr>
            <w:tcW w:w="1559" w:type="dxa"/>
          </w:tcPr>
          <w:p w14:paraId="679D3286" w14:textId="7F6002D3" w:rsidR="009E2D00" w:rsidRPr="003D1340" w:rsidRDefault="00CC5D1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Za</w:t>
            </w:r>
            <w:r w:rsidR="009E2D00" w:rsidRPr="003D1340">
              <w:rPr>
                <w:rFonts w:ascii="Arial" w:hAnsi="Arial" w:cs="Arial"/>
                <w:color w:val="212121"/>
                <w:sz w:val="18"/>
                <w:szCs w:val="18"/>
              </w:rPr>
              <w:t xml:space="preserve"> 1</w:t>
            </w:r>
          </w:p>
        </w:tc>
        <w:tc>
          <w:tcPr>
            <w:tcW w:w="1412" w:type="dxa"/>
          </w:tcPr>
          <w:p w14:paraId="7BC22278" w14:textId="69DA97CF" w:rsidR="009E2D00" w:rsidRPr="003D1340" w:rsidRDefault="00CC5D1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Za</w:t>
            </w:r>
            <w:r w:rsidR="009E2D00" w:rsidRPr="003D1340">
              <w:rPr>
                <w:rFonts w:ascii="Arial" w:hAnsi="Arial" w:cs="Arial"/>
                <w:color w:val="212121"/>
                <w:sz w:val="18"/>
                <w:szCs w:val="18"/>
              </w:rPr>
              <w:t xml:space="preserve"> 1</w:t>
            </w:r>
          </w:p>
        </w:tc>
      </w:tr>
      <w:tr w:rsidR="009E2D00" w:rsidRPr="003D1340" w14:paraId="741E6941" w14:textId="77777777" w:rsidTr="009E2D00">
        <w:tc>
          <w:tcPr>
            <w:tcW w:w="2405" w:type="dxa"/>
            <w:vMerge/>
          </w:tcPr>
          <w:p w14:paraId="317147AF" w14:textId="77777777" w:rsidR="009E2D00" w:rsidRPr="003D1340" w:rsidRDefault="009E2D00" w:rsidP="0028407B">
            <w:pPr>
              <w:autoSpaceDE w:val="0"/>
              <w:autoSpaceDN w:val="0"/>
              <w:adjustRightInd w:val="0"/>
              <w:jc w:val="both"/>
              <w:rPr>
                <w:rFonts w:ascii="Arial" w:hAnsi="Arial" w:cs="Arial"/>
                <w:color w:val="212121"/>
                <w:sz w:val="18"/>
                <w:szCs w:val="18"/>
              </w:rPr>
            </w:pPr>
          </w:p>
        </w:tc>
        <w:tc>
          <w:tcPr>
            <w:tcW w:w="3686" w:type="dxa"/>
          </w:tcPr>
          <w:p w14:paraId="61D7C2EA" w14:textId="7BB16244" w:rsidR="009E2D00" w:rsidRPr="003D1340" w:rsidRDefault="009E2D00" w:rsidP="0028407B">
            <w:pPr>
              <w:autoSpaceDE w:val="0"/>
              <w:autoSpaceDN w:val="0"/>
              <w:adjustRightInd w:val="0"/>
              <w:jc w:val="both"/>
              <w:rPr>
                <w:rFonts w:ascii="Arial" w:hAnsi="Arial" w:cs="Arial"/>
                <w:color w:val="212121"/>
                <w:sz w:val="18"/>
                <w:szCs w:val="18"/>
              </w:rPr>
            </w:pPr>
            <w:r w:rsidRPr="003D1340">
              <w:rPr>
                <w:rFonts w:ascii="Arial" w:hAnsi="Arial" w:cs="Arial"/>
                <w:color w:val="212121"/>
                <w:sz w:val="18"/>
                <w:szCs w:val="18"/>
              </w:rPr>
              <w:t xml:space="preserve">2. </w:t>
            </w:r>
            <w:r w:rsidR="00F74E80" w:rsidRPr="00F74E80">
              <w:rPr>
                <w:rFonts w:ascii="Arial" w:hAnsi="Arial" w:cs="Arial"/>
                <w:color w:val="212121"/>
                <w:sz w:val="18"/>
                <w:szCs w:val="18"/>
              </w:rPr>
              <w:t>Povećanje broja inicijativa i projekata koji se odnose na zaštitu potrošača/</w:t>
            </w:r>
            <w:proofErr w:type="spellStart"/>
            <w:r w:rsidR="00F74E80" w:rsidRPr="00F74E80">
              <w:rPr>
                <w:rFonts w:ascii="Arial" w:hAnsi="Arial" w:cs="Arial"/>
                <w:color w:val="212121"/>
                <w:sz w:val="18"/>
                <w:szCs w:val="18"/>
              </w:rPr>
              <w:t>ica</w:t>
            </w:r>
            <w:proofErr w:type="spellEnd"/>
            <w:r w:rsidR="00F74E80" w:rsidRPr="00F74E80">
              <w:rPr>
                <w:rFonts w:ascii="Arial" w:hAnsi="Arial" w:cs="Arial"/>
                <w:color w:val="212121"/>
                <w:sz w:val="18"/>
                <w:szCs w:val="18"/>
              </w:rPr>
              <w:t xml:space="preserve"> pokrenutih od strane ostalih </w:t>
            </w:r>
            <w:proofErr w:type="spellStart"/>
            <w:r w:rsidR="00F74E80" w:rsidRPr="00F74E80">
              <w:rPr>
                <w:rFonts w:ascii="Arial" w:hAnsi="Arial" w:cs="Arial"/>
                <w:color w:val="212121"/>
                <w:sz w:val="18"/>
                <w:szCs w:val="18"/>
              </w:rPr>
              <w:t>stejkholdera</w:t>
            </w:r>
            <w:proofErr w:type="spellEnd"/>
          </w:p>
        </w:tc>
        <w:tc>
          <w:tcPr>
            <w:tcW w:w="1559" w:type="dxa"/>
          </w:tcPr>
          <w:p w14:paraId="2D5D69A5" w14:textId="3ABF9CC3" w:rsidR="009E2D00" w:rsidRPr="003D1340" w:rsidRDefault="00CC5D1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Za</w:t>
            </w:r>
            <w:r w:rsidR="009E2D00" w:rsidRPr="003D1340">
              <w:rPr>
                <w:rFonts w:ascii="Arial" w:hAnsi="Arial" w:cs="Arial"/>
                <w:color w:val="212121"/>
                <w:sz w:val="18"/>
                <w:szCs w:val="18"/>
              </w:rPr>
              <w:t xml:space="preserve"> 1</w:t>
            </w:r>
          </w:p>
        </w:tc>
        <w:tc>
          <w:tcPr>
            <w:tcW w:w="1412" w:type="dxa"/>
          </w:tcPr>
          <w:p w14:paraId="73AAA239" w14:textId="4B5FB63C" w:rsidR="009E2D00" w:rsidRPr="003D1340" w:rsidRDefault="00CC5D10" w:rsidP="0028407B">
            <w:pPr>
              <w:autoSpaceDE w:val="0"/>
              <w:autoSpaceDN w:val="0"/>
              <w:adjustRightInd w:val="0"/>
              <w:jc w:val="both"/>
              <w:rPr>
                <w:rFonts w:ascii="Arial" w:hAnsi="Arial" w:cs="Arial"/>
                <w:color w:val="212121"/>
                <w:sz w:val="18"/>
                <w:szCs w:val="18"/>
              </w:rPr>
            </w:pPr>
            <w:r>
              <w:rPr>
                <w:rFonts w:ascii="Arial" w:hAnsi="Arial" w:cs="Arial"/>
                <w:color w:val="212121"/>
                <w:sz w:val="18"/>
                <w:szCs w:val="18"/>
              </w:rPr>
              <w:t xml:space="preserve">Za </w:t>
            </w:r>
            <w:r w:rsidR="009E2D00" w:rsidRPr="003D1340">
              <w:rPr>
                <w:rFonts w:ascii="Arial" w:hAnsi="Arial" w:cs="Arial"/>
                <w:color w:val="212121"/>
                <w:sz w:val="18"/>
                <w:szCs w:val="18"/>
              </w:rPr>
              <w:t>2</w:t>
            </w:r>
          </w:p>
        </w:tc>
      </w:tr>
    </w:tbl>
    <w:p w14:paraId="275773C3" w14:textId="7C6FD6B5" w:rsidR="0028407B" w:rsidRPr="009E2D00" w:rsidRDefault="00F74E80" w:rsidP="0028407B">
      <w:pPr>
        <w:autoSpaceDE w:val="0"/>
        <w:autoSpaceDN w:val="0"/>
        <w:adjustRightInd w:val="0"/>
        <w:jc w:val="both"/>
        <w:rPr>
          <w:rFonts w:ascii="Arial" w:hAnsi="Arial" w:cs="Arial"/>
          <w:color w:val="212121"/>
          <w:sz w:val="16"/>
          <w:szCs w:val="16"/>
          <w:lang w:val="en-GB"/>
        </w:rPr>
      </w:pPr>
      <w:proofErr w:type="spellStart"/>
      <w:r>
        <w:rPr>
          <w:rFonts w:ascii="Arial" w:hAnsi="Arial" w:cs="Arial"/>
          <w:color w:val="212121"/>
          <w:sz w:val="16"/>
          <w:szCs w:val="16"/>
          <w:lang w:val="en-GB"/>
        </w:rPr>
        <w:t>Izvor</w:t>
      </w:r>
      <w:proofErr w:type="spellEnd"/>
      <w:r>
        <w:rPr>
          <w:rFonts w:ascii="Arial" w:hAnsi="Arial" w:cs="Arial"/>
          <w:color w:val="212121"/>
          <w:sz w:val="16"/>
          <w:szCs w:val="16"/>
          <w:lang w:val="en-GB"/>
        </w:rPr>
        <w:t>: Evaluator</w:t>
      </w:r>
    </w:p>
    <w:p w14:paraId="490F5774" w14:textId="52583DDB" w:rsidR="00C7053D" w:rsidRDefault="00F74E80" w:rsidP="00C7053D">
      <w:pPr>
        <w:autoSpaceDE w:val="0"/>
        <w:autoSpaceDN w:val="0"/>
        <w:adjustRightInd w:val="0"/>
        <w:jc w:val="both"/>
        <w:rPr>
          <w:rFonts w:ascii="Arial" w:hAnsi="Arial" w:cs="Arial"/>
          <w:color w:val="212121"/>
          <w:sz w:val="20"/>
          <w:szCs w:val="20"/>
        </w:rPr>
      </w:pPr>
      <w:r w:rsidRPr="00F74E80">
        <w:rPr>
          <w:rFonts w:ascii="Arial" w:hAnsi="Arial" w:cs="Arial"/>
          <w:color w:val="212121"/>
          <w:sz w:val="20"/>
          <w:szCs w:val="20"/>
        </w:rPr>
        <w:t>N</w:t>
      </w:r>
      <w:r>
        <w:rPr>
          <w:rFonts w:ascii="Arial" w:hAnsi="Arial" w:cs="Arial"/>
          <w:color w:val="212121"/>
          <w:sz w:val="20"/>
          <w:szCs w:val="20"/>
        </w:rPr>
        <w:t>PZP</w:t>
      </w:r>
      <w:r w:rsidRPr="00F74E80">
        <w:rPr>
          <w:rFonts w:ascii="Arial" w:hAnsi="Arial" w:cs="Arial"/>
          <w:color w:val="212121"/>
          <w:sz w:val="20"/>
          <w:szCs w:val="20"/>
        </w:rPr>
        <w:t xml:space="preserve"> prepoznaje Potrošačku agendu EU</w:t>
      </w:r>
      <w:r>
        <w:rPr>
          <w:rStyle w:val="FootnoteReference"/>
          <w:rFonts w:cs="Arial"/>
          <w:color w:val="212121"/>
        </w:rPr>
        <w:footnoteReference w:id="1"/>
      </w:r>
      <w:r w:rsidRPr="00F74E80">
        <w:rPr>
          <w:rFonts w:ascii="Arial" w:hAnsi="Arial" w:cs="Arial"/>
          <w:color w:val="212121"/>
          <w:sz w:val="20"/>
          <w:szCs w:val="20"/>
        </w:rPr>
        <w:t xml:space="preserve"> kao osnovni dokument za dizajniranje ciljeva strategije, fokusirajući se na obezbeđivanje</w:t>
      </w:r>
      <w:r>
        <w:rPr>
          <w:rFonts w:ascii="Arial" w:hAnsi="Arial" w:cs="Arial"/>
          <w:color w:val="212121"/>
          <w:sz w:val="20"/>
          <w:szCs w:val="20"/>
        </w:rPr>
        <w:t xml:space="preserve"> višeg</w:t>
      </w:r>
      <w:r w:rsidRPr="00F74E80">
        <w:rPr>
          <w:rFonts w:ascii="Arial" w:hAnsi="Arial" w:cs="Arial"/>
          <w:color w:val="212121"/>
          <w:sz w:val="20"/>
          <w:szCs w:val="20"/>
        </w:rPr>
        <w:t xml:space="preserve"> stepena poštovanja prava potrošača kroz dalje unapređenje zakonodavnog okvira i veći stepen realizacije prava potrošača, potrošača u digitalnom okruženju, ali i posebnih potreba određenih grupa potrošača.</w:t>
      </w:r>
    </w:p>
    <w:p w14:paraId="02C501FA" w14:textId="396825B9" w:rsidR="00F74E80" w:rsidRDefault="00F74E80" w:rsidP="00C7053D">
      <w:pPr>
        <w:autoSpaceDE w:val="0"/>
        <w:autoSpaceDN w:val="0"/>
        <w:adjustRightInd w:val="0"/>
        <w:jc w:val="both"/>
        <w:rPr>
          <w:rFonts w:ascii="Arial" w:hAnsi="Arial" w:cs="Arial"/>
          <w:color w:val="212121"/>
          <w:sz w:val="20"/>
          <w:szCs w:val="20"/>
        </w:rPr>
      </w:pPr>
      <w:r>
        <w:rPr>
          <w:rFonts w:ascii="Arial" w:hAnsi="Arial" w:cs="Arial"/>
          <w:color w:val="212121"/>
          <w:sz w:val="20"/>
          <w:szCs w:val="20"/>
        </w:rPr>
        <w:t xml:space="preserve">U tom smislu, </w:t>
      </w:r>
      <w:r w:rsidR="006917C5" w:rsidRPr="006917C5">
        <w:rPr>
          <w:rFonts w:ascii="Arial" w:hAnsi="Arial" w:cs="Arial"/>
          <w:color w:val="212121"/>
          <w:sz w:val="20"/>
          <w:szCs w:val="20"/>
        </w:rPr>
        <w:t>NPZP</w:t>
      </w:r>
      <w:r w:rsidR="006917C5">
        <w:rPr>
          <w:rFonts w:ascii="Arial" w:hAnsi="Arial" w:cs="Arial"/>
          <w:color w:val="212121"/>
          <w:sz w:val="20"/>
          <w:szCs w:val="20"/>
        </w:rPr>
        <w:t xml:space="preserve"> </w:t>
      </w:r>
      <w:r w:rsidR="006917C5" w:rsidRPr="006917C5">
        <w:rPr>
          <w:rFonts w:ascii="Arial" w:hAnsi="Arial" w:cs="Arial"/>
          <w:color w:val="212121"/>
          <w:sz w:val="20"/>
          <w:szCs w:val="20"/>
        </w:rPr>
        <w:t xml:space="preserve">pruža detaljan pregled regulatornog okvira i okvira dokumenata javne politike koji su relevantni za politiku zaštite potrošača u Crnoj Gori, dok se </w:t>
      </w:r>
      <w:r w:rsidR="006917C5">
        <w:rPr>
          <w:rFonts w:ascii="Arial" w:hAnsi="Arial" w:cs="Arial"/>
          <w:color w:val="212121"/>
          <w:sz w:val="20"/>
          <w:szCs w:val="20"/>
        </w:rPr>
        <w:t>FE</w:t>
      </w:r>
      <w:r w:rsidR="006917C5" w:rsidRPr="006917C5">
        <w:rPr>
          <w:rFonts w:ascii="Arial" w:hAnsi="Arial" w:cs="Arial"/>
          <w:color w:val="212121"/>
          <w:sz w:val="20"/>
          <w:szCs w:val="20"/>
        </w:rPr>
        <w:t xml:space="preserve"> fokusira</w:t>
      </w:r>
      <w:r w:rsidR="006917C5">
        <w:rPr>
          <w:rFonts w:ascii="Arial" w:hAnsi="Arial" w:cs="Arial"/>
          <w:color w:val="212121"/>
          <w:sz w:val="20"/>
          <w:szCs w:val="20"/>
        </w:rPr>
        <w:t>na</w:t>
      </w:r>
      <w:r w:rsidR="006917C5" w:rsidRPr="006917C5">
        <w:rPr>
          <w:rFonts w:ascii="Arial" w:hAnsi="Arial" w:cs="Arial"/>
          <w:color w:val="212121"/>
          <w:sz w:val="20"/>
          <w:szCs w:val="20"/>
        </w:rPr>
        <w:t xml:space="preserve"> na identifikovanje </w:t>
      </w:r>
      <w:r w:rsidR="006917C5">
        <w:rPr>
          <w:rFonts w:ascii="Arial" w:hAnsi="Arial" w:cs="Arial"/>
          <w:color w:val="212121"/>
          <w:sz w:val="20"/>
          <w:szCs w:val="20"/>
        </w:rPr>
        <w:t xml:space="preserve"> uticaja programa </w:t>
      </w:r>
      <w:r w:rsidR="006917C5" w:rsidRPr="006917C5">
        <w:rPr>
          <w:rFonts w:ascii="Arial" w:hAnsi="Arial" w:cs="Arial"/>
          <w:color w:val="212121"/>
          <w:sz w:val="20"/>
          <w:szCs w:val="20"/>
        </w:rPr>
        <w:t xml:space="preserve">na </w:t>
      </w:r>
      <w:r w:rsidR="006917C5">
        <w:rPr>
          <w:rFonts w:ascii="Arial" w:hAnsi="Arial" w:cs="Arial"/>
          <w:color w:val="212121"/>
          <w:sz w:val="20"/>
          <w:szCs w:val="20"/>
        </w:rPr>
        <w:t>date</w:t>
      </w:r>
      <w:r w:rsidR="006917C5" w:rsidRPr="006917C5">
        <w:rPr>
          <w:rFonts w:ascii="Arial" w:hAnsi="Arial" w:cs="Arial"/>
          <w:color w:val="212121"/>
          <w:sz w:val="20"/>
          <w:szCs w:val="20"/>
        </w:rPr>
        <w:t xml:space="preserve"> okvire tokom vremena i koje su značajne promene usvojene kako bi se postigli predviđeni ciljevi. Isto važi i za institucionalni okvir</w:t>
      </w:r>
      <w:r w:rsidR="006917C5">
        <w:rPr>
          <w:rFonts w:ascii="Arial" w:hAnsi="Arial" w:cs="Arial"/>
          <w:color w:val="212121"/>
          <w:sz w:val="20"/>
          <w:szCs w:val="20"/>
        </w:rPr>
        <w:t xml:space="preserve">, te </w:t>
      </w:r>
      <w:r w:rsidR="006917C5" w:rsidRPr="006917C5">
        <w:rPr>
          <w:rFonts w:ascii="Arial" w:hAnsi="Arial" w:cs="Arial"/>
          <w:color w:val="212121"/>
          <w:sz w:val="20"/>
          <w:szCs w:val="20"/>
        </w:rPr>
        <w:t>kako se on odnosi na efikasno upravljanje zakonskim odredbama koje su utvrđene za politiku zaštite potrošača. NPZP pruža detaljnu analizu institucionalnog okvira koji je relevantan za navedenu politiku, ističući ulogu Ministarstva ekonomsk</w:t>
      </w:r>
      <w:r w:rsidR="006917C5">
        <w:rPr>
          <w:rFonts w:ascii="Arial" w:hAnsi="Arial" w:cs="Arial"/>
          <w:color w:val="212121"/>
          <w:sz w:val="20"/>
          <w:szCs w:val="20"/>
        </w:rPr>
        <w:t xml:space="preserve">og </w:t>
      </w:r>
      <w:r w:rsidR="006917C5" w:rsidRPr="006917C5">
        <w:rPr>
          <w:rFonts w:ascii="Arial" w:hAnsi="Arial" w:cs="Arial"/>
          <w:color w:val="212121"/>
          <w:sz w:val="20"/>
          <w:szCs w:val="20"/>
        </w:rPr>
        <w:t>razvoj</w:t>
      </w:r>
      <w:r w:rsidR="006917C5">
        <w:rPr>
          <w:rFonts w:ascii="Arial" w:hAnsi="Arial" w:cs="Arial"/>
          <w:color w:val="212121"/>
          <w:sz w:val="20"/>
          <w:szCs w:val="20"/>
        </w:rPr>
        <w:t>a</w:t>
      </w:r>
      <w:r w:rsidR="006917C5" w:rsidRPr="006917C5">
        <w:rPr>
          <w:rFonts w:ascii="Arial" w:hAnsi="Arial" w:cs="Arial"/>
          <w:color w:val="212121"/>
          <w:sz w:val="20"/>
          <w:szCs w:val="20"/>
        </w:rPr>
        <w:t xml:space="preserve"> (MER) kao ključnog u unapređenju i sprovođenju politike</w:t>
      </w:r>
      <w:r w:rsidR="006917C5">
        <w:rPr>
          <w:rFonts w:ascii="Arial" w:hAnsi="Arial" w:cs="Arial"/>
          <w:color w:val="212121"/>
          <w:sz w:val="20"/>
          <w:szCs w:val="20"/>
        </w:rPr>
        <w:t xml:space="preserve"> i </w:t>
      </w:r>
      <w:r w:rsidR="006917C5" w:rsidRPr="006917C5">
        <w:rPr>
          <w:rFonts w:ascii="Arial" w:hAnsi="Arial" w:cs="Arial"/>
          <w:color w:val="212121"/>
          <w:sz w:val="20"/>
          <w:szCs w:val="20"/>
        </w:rPr>
        <w:t xml:space="preserve">ulogu koordinacionog tela - </w:t>
      </w:r>
      <w:proofErr w:type="spellStart"/>
      <w:r w:rsidR="006917C5" w:rsidRPr="006917C5">
        <w:rPr>
          <w:rFonts w:ascii="Arial" w:hAnsi="Arial" w:cs="Arial"/>
          <w:color w:val="212121"/>
          <w:sz w:val="20"/>
          <w:szCs w:val="20"/>
        </w:rPr>
        <w:t>Sav</w:t>
      </w:r>
      <w:r w:rsidR="006917C5">
        <w:rPr>
          <w:rFonts w:ascii="Arial" w:hAnsi="Arial" w:cs="Arial"/>
          <w:color w:val="212121"/>
          <w:sz w:val="20"/>
          <w:szCs w:val="20"/>
        </w:rPr>
        <w:t>j</w:t>
      </w:r>
      <w:r w:rsidR="006917C5" w:rsidRPr="006917C5">
        <w:rPr>
          <w:rFonts w:ascii="Arial" w:hAnsi="Arial" w:cs="Arial"/>
          <w:color w:val="212121"/>
          <w:sz w:val="20"/>
          <w:szCs w:val="20"/>
        </w:rPr>
        <w:t>eta</w:t>
      </w:r>
      <w:proofErr w:type="spellEnd"/>
      <w:r w:rsidR="006917C5" w:rsidRPr="006917C5">
        <w:rPr>
          <w:rFonts w:ascii="Arial" w:hAnsi="Arial" w:cs="Arial"/>
          <w:color w:val="212121"/>
          <w:sz w:val="20"/>
          <w:szCs w:val="20"/>
        </w:rPr>
        <w:t xml:space="preserve"> za zaštitu potrošača (SZP), između ostalih relevantnih institucija.</w:t>
      </w:r>
    </w:p>
    <w:p w14:paraId="3379B7E9" w14:textId="6D14CD8A" w:rsidR="006917C5" w:rsidRDefault="006917C5" w:rsidP="00C7053D">
      <w:pPr>
        <w:autoSpaceDE w:val="0"/>
        <w:autoSpaceDN w:val="0"/>
        <w:adjustRightInd w:val="0"/>
        <w:jc w:val="both"/>
        <w:rPr>
          <w:rFonts w:ascii="Arial" w:hAnsi="Arial" w:cs="Arial"/>
          <w:color w:val="212121"/>
          <w:sz w:val="20"/>
          <w:szCs w:val="20"/>
        </w:rPr>
      </w:pPr>
      <w:r>
        <w:rPr>
          <w:rFonts w:ascii="Arial" w:hAnsi="Arial" w:cs="Arial"/>
          <w:color w:val="212121"/>
          <w:sz w:val="20"/>
          <w:szCs w:val="20"/>
        </w:rPr>
        <w:t>U</w:t>
      </w:r>
      <w:r w:rsidRPr="006917C5">
        <w:rPr>
          <w:rFonts w:ascii="Arial" w:hAnsi="Arial" w:cs="Arial"/>
          <w:color w:val="212121"/>
          <w:sz w:val="20"/>
          <w:szCs w:val="20"/>
        </w:rPr>
        <w:t xml:space="preserve"> pružanj</w:t>
      </w:r>
      <w:r>
        <w:rPr>
          <w:rFonts w:ascii="Arial" w:hAnsi="Arial" w:cs="Arial"/>
          <w:color w:val="212121"/>
          <w:sz w:val="20"/>
          <w:szCs w:val="20"/>
        </w:rPr>
        <w:t xml:space="preserve">u </w:t>
      </w:r>
      <w:r w:rsidRPr="006917C5">
        <w:rPr>
          <w:rFonts w:ascii="Arial" w:hAnsi="Arial" w:cs="Arial"/>
          <w:color w:val="212121"/>
          <w:sz w:val="20"/>
          <w:szCs w:val="20"/>
        </w:rPr>
        <w:t>analize trenutnog stanja (osnovne analize) relevantnih dokaza o zaštiti potrošača, NPZP se uglavnom fokusira na pre</w:t>
      </w:r>
      <w:r>
        <w:rPr>
          <w:rFonts w:ascii="Arial" w:hAnsi="Arial" w:cs="Arial"/>
          <w:color w:val="212121"/>
          <w:sz w:val="20"/>
          <w:szCs w:val="20"/>
        </w:rPr>
        <w:t>dstavljanje</w:t>
      </w:r>
      <w:r w:rsidRPr="006917C5">
        <w:rPr>
          <w:rFonts w:ascii="Arial" w:hAnsi="Arial" w:cs="Arial"/>
          <w:color w:val="212121"/>
          <w:sz w:val="20"/>
          <w:szCs w:val="20"/>
        </w:rPr>
        <w:t xml:space="preserve"> istraživanja koja su relevantna za ključne indikatore učinka, ističući rezultate prethodnog strateškog dokumenta za period 2019-2021 i predstavljajući nalaze široko rasprostranjene ankete koja </w:t>
      </w:r>
      <w:r>
        <w:rPr>
          <w:rFonts w:ascii="Arial" w:hAnsi="Arial" w:cs="Arial"/>
          <w:color w:val="212121"/>
          <w:sz w:val="20"/>
          <w:szCs w:val="20"/>
        </w:rPr>
        <w:t xml:space="preserve">se </w:t>
      </w:r>
      <w:r w:rsidRPr="006917C5">
        <w:rPr>
          <w:rFonts w:ascii="Arial" w:hAnsi="Arial" w:cs="Arial"/>
          <w:color w:val="212121"/>
          <w:sz w:val="20"/>
          <w:szCs w:val="20"/>
        </w:rPr>
        <w:t>sprovod</w:t>
      </w:r>
      <w:r>
        <w:rPr>
          <w:rFonts w:ascii="Arial" w:hAnsi="Arial" w:cs="Arial"/>
          <w:color w:val="212121"/>
          <w:sz w:val="20"/>
          <w:szCs w:val="20"/>
        </w:rPr>
        <w:t xml:space="preserve">ila </w:t>
      </w:r>
      <w:r w:rsidRPr="006917C5">
        <w:rPr>
          <w:rFonts w:ascii="Arial" w:hAnsi="Arial" w:cs="Arial"/>
          <w:color w:val="212121"/>
          <w:sz w:val="20"/>
          <w:szCs w:val="20"/>
        </w:rPr>
        <w:t xml:space="preserve">u dva navrata (2019. i 2020. godine) pre </w:t>
      </w:r>
      <w:r>
        <w:rPr>
          <w:rFonts w:ascii="Arial" w:hAnsi="Arial" w:cs="Arial"/>
          <w:color w:val="212121"/>
          <w:sz w:val="20"/>
          <w:szCs w:val="20"/>
        </w:rPr>
        <w:t>izrade programa koji je predmet evaluacije</w:t>
      </w:r>
      <w:r w:rsidRPr="006917C5">
        <w:rPr>
          <w:rFonts w:ascii="Arial" w:hAnsi="Arial" w:cs="Arial"/>
          <w:color w:val="212121"/>
          <w:sz w:val="20"/>
          <w:szCs w:val="20"/>
        </w:rPr>
        <w:t>. Rezultati ove osnovne analize identifikuju glavna uska grla u primeni regulatornog okvira za zaštitu potrošača i kakva je percepcija u vezi sa učinkom relevantnih institucija (pretežno inspekcija). Osnovna analiza daje važan zaključak, jer najveći procenat ispitanika (77,4%) smatra da potrošači u Crnoj Gori ne uživaju isti nivo zaštite kao potrošači u EU. S</w:t>
      </w:r>
      <w:r>
        <w:rPr>
          <w:rFonts w:ascii="Arial" w:hAnsi="Arial" w:cs="Arial"/>
          <w:color w:val="212121"/>
          <w:sz w:val="20"/>
          <w:szCs w:val="20"/>
        </w:rPr>
        <w:t>a</w:t>
      </w:r>
      <w:r w:rsidRPr="006917C5">
        <w:rPr>
          <w:rFonts w:ascii="Arial" w:hAnsi="Arial" w:cs="Arial"/>
          <w:color w:val="212121"/>
          <w:sz w:val="20"/>
          <w:szCs w:val="20"/>
        </w:rPr>
        <w:t xml:space="preserve"> obzirom na to, veoma je relevantno utvrditi da li je sprovođenje NPZP-a uticalo na takve rezultate i koje su prakse koje bi se mogle replicirati u budućim politikama. Proces FE duboko se bavi horizontalnom prirodom zaštite potrošača, procenjujući </w:t>
      </w:r>
      <w:r>
        <w:rPr>
          <w:rFonts w:ascii="Arial" w:hAnsi="Arial" w:cs="Arial"/>
          <w:color w:val="212121"/>
          <w:sz w:val="20"/>
          <w:szCs w:val="20"/>
        </w:rPr>
        <w:t>na koje načine se</w:t>
      </w:r>
      <w:r w:rsidRPr="006917C5">
        <w:rPr>
          <w:rFonts w:ascii="Arial" w:hAnsi="Arial" w:cs="Arial"/>
          <w:color w:val="212121"/>
          <w:sz w:val="20"/>
          <w:szCs w:val="20"/>
        </w:rPr>
        <w:t xml:space="preserve"> N</w:t>
      </w:r>
      <w:r>
        <w:rPr>
          <w:rFonts w:ascii="Arial" w:hAnsi="Arial" w:cs="Arial"/>
          <w:color w:val="212121"/>
          <w:sz w:val="20"/>
          <w:szCs w:val="20"/>
        </w:rPr>
        <w:t>PZP</w:t>
      </w:r>
      <w:r w:rsidRPr="006917C5">
        <w:rPr>
          <w:rFonts w:ascii="Arial" w:hAnsi="Arial" w:cs="Arial"/>
          <w:color w:val="212121"/>
          <w:sz w:val="20"/>
          <w:szCs w:val="20"/>
        </w:rPr>
        <w:t xml:space="preserve"> </w:t>
      </w:r>
      <w:r>
        <w:rPr>
          <w:rFonts w:ascii="Arial" w:hAnsi="Arial" w:cs="Arial"/>
          <w:color w:val="212121"/>
          <w:sz w:val="20"/>
          <w:szCs w:val="20"/>
        </w:rPr>
        <w:t>odnosi na</w:t>
      </w:r>
      <w:r w:rsidRPr="006917C5">
        <w:rPr>
          <w:rFonts w:ascii="Arial" w:hAnsi="Arial" w:cs="Arial"/>
          <w:color w:val="212121"/>
          <w:sz w:val="20"/>
          <w:szCs w:val="20"/>
        </w:rPr>
        <w:t xml:space="preserve"> standarde zaštite potrošača u različitim oblastima politike i unutar različitih institucionalnih struktura.</w:t>
      </w:r>
    </w:p>
    <w:p w14:paraId="1D2C0BC4" w14:textId="26DFE164" w:rsidR="006917C5" w:rsidRPr="00F74E80" w:rsidRDefault="006917C5" w:rsidP="00C7053D">
      <w:pPr>
        <w:autoSpaceDE w:val="0"/>
        <w:autoSpaceDN w:val="0"/>
        <w:adjustRightInd w:val="0"/>
        <w:jc w:val="both"/>
        <w:rPr>
          <w:rFonts w:ascii="Arial" w:hAnsi="Arial" w:cs="Arial"/>
          <w:color w:val="212121"/>
          <w:sz w:val="20"/>
          <w:szCs w:val="20"/>
        </w:rPr>
      </w:pPr>
      <w:r w:rsidRPr="006917C5">
        <w:rPr>
          <w:rFonts w:ascii="Arial" w:hAnsi="Arial" w:cs="Arial"/>
          <w:color w:val="212121"/>
          <w:sz w:val="20"/>
          <w:szCs w:val="20"/>
        </w:rPr>
        <w:t xml:space="preserve">Važan aspekt </w:t>
      </w:r>
      <w:r>
        <w:rPr>
          <w:rFonts w:ascii="Arial" w:hAnsi="Arial" w:cs="Arial"/>
          <w:color w:val="212121"/>
          <w:sz w:val="20"/>
          <w:szCs w:val="20"/>
        </w:rPr>
        <w:t>NPZP</w:t>
      </w:r>
      <w:r w:rsidRPr="006917C5">
        <w:rPr>
          <w:rFonts w:ascii="Arial" w:hAnsi="Arial" w:cs="Arial"/>
          <w:color w:val="212121"/>
          <w:sz w:val="20"/>
          <w:szCs w:val="20"/>
        </w:rPr>
        <w:t xml:space="preserve">, u skladu sa strateškim ciljem, jeste usklađivanje nacionalnih </w:t>
      </w:r>
      <w:r>
        <w:rPr>
          <w:rFonts w:ascii="Arial" w:hAnsi="Arial" w:cs="Arial"/>
          <w:color w:val="212121"/>
          <w:sz w:val="20"/>
          <w:szCs w:val="20"/>
        </w:rPr>
        <w:t>zakonskog okvira</w:t>
      </w:r>
      <w:r w:rsidRPr="006917C5">
        <w:rPr>
          <w:rFonts w:ascii="Arial" w:hAnsi="Arial" w:cs="Arial"/>
          <w:color w:val="212121"/>
          <w:sz w:val="20"/>
          <w:szCs w:val="20"/>
        </w:rPr>
        <w:t xml:space="preserve"> sa pravnim tekovinama EU, dok FE procenjuje napredak u usklađivanju zakonodavstva prema utvrđenim potrebama i daje smernice za usklađivanje sa programom pristupanja Crne Gore EU za period 2024-2027.</w:t>
      </w:r>
    </w:p>
    <w:p w14:paraId="19F2E15B" w14:textId="42F90148" w:rsidR="00C43234" w:rsidRPr="006917C5" w:rsidRDefault="006917C5" w:rsidP="00DE468B">
      <w:pPr>
        <w:pStyle w:val="Heading2"/>
        <w:rPr>
          <w:rFonts w:ascii="Arial" w:hAnsi="Arial" w:cs="Arial"/>
          <w:b/>
          <w:bCs/>
          <w:i/>
          <w:iCs/>
          <w:szCs w:val="18"/>
          <w:lang w:val="sr-Latn-RS"/>
        </w:rPr>
      </w:pPr>
      <w:bookmarkStart w:id="3" w:name="_Toc199479347"/>
      <w:r w:rsidRPr="006917C5">
        <w:rPr>
          <w:rFonts w:ascii="Arial" w:hAnsi="Arial" w:cs="Arial"/>
          <w:b/>
          <w:bCs/>
          <w:i/>
          <w:iCs/>
          <w:szCs w:val="18"/>
          <w:lang w:val="sr-Latn-RS"/>
        </w:rPr>
        <w:t>Svrha i opseg FE</w:t>
      </w:r>
      <w:bookmarkEnd w:id="3"/>
    </w:p>
    <w:p w14:paraId="46952D48" w14:textId="3B89EABC" w:rsidR="006917C5" w:rsidRDefault="006917C5" w:rsidP="00AA4998">
      <w:pPr>
        <w:shd w:val="clear" w:color="auto" w:fill="FFFFFF"/>
        <w:jc w:val="both"/>
        <w:rPr>
          <w:rFonts w:ascii="Arial" w:hAnsi="Arial" w:cs="Arial"/>
          <w:color w:val="212121"/>
          <w:sz w:val="20"/>
          <w:szCs w:val="20"/>
        </w:rPr>
      </w:pPr>
      <w:r w:rsidRPr="006917C5">
        <w:rPr>
          <w:rFonts w:ascii="Arial" w:hAnsi="Arial" w:cs="Arial"/>
          <w:color w:val="212121"/>
          <w:sz w:val="20"/>
          <w:szCs w:val="20"/>
        </w:rPr>
        <w:t xml:space="preserve">NPZP je usvojen sa Akcionim planom za period od godinu dana (2022). Akcioni plan definiše zadatke, odgovornosti, obim, </w:t>
      </w:r>
      <w:proofErr w:type="spellStart"/>
      <w:r>
        <w:rPr>
          <w:rFonts w:ascii="Arial" w:hAnsi="Arial" w:cs="Arial"/>
          <w:color w:val="212121"/>
          <w:sz w:val="20"/>
          <w:szCs w:val="20"/>
        </w:rPr>
        <w:t>sprovedbene</w:t>
      </w:r>
      <w:proofErr w:type="spellEnd"/>
      <w:r>
        <w:rPr>
          <w:rFonts w:ascii="Arial" w:hAnsi="Arial" w:cs="Arial"/>
          <w:color w:val="212121"/>
          <w:sz w:val="20"/>
          <w:szCs w:val="20"/>
        </w:rPr>
        <w:t xml:space="preserve"> institucije</w:t>
      </w:r>
      <w:r w:rsidRPr="006917C5">
        <w:rPr>
          <w:rFonts w:ascii="Arial" w:hAnsi="Arial" w:cs="Arial"/>
          <w:color w:val="212121"/>
          <w:sz w:val="20"/>
          <w:szCs w:val="20"/>
        </w:rPr>
        <w:t>, vremenski okvir za izvršenje</w:t>
      </w:r>
      <w:r>
        <w:rPr>
          <w:rFonts w:ascii="Arial" w:hAnsi="Arial" w:cs="Arial"/>
          <w:color w:val="212121"/>
          <w:sz w:val="20"/>
          <w:szCs w:val="20"/>
        </w:rPr>
        <w:t xml:space="preserve"> aktivnosti</w:t>
      </w:r>
      <w:r w:rsidRPr="006917C5">
        <w:rPr>
          <w:rFonts w:ascii="Arial" w:hAnsi="Arial" w:cs="Arial"/>
          <w:color w:val="212121"/>
          <w:sz w:val="20"/>
          <w:szCs w:val="20"/>
        </w:rPr>
        <w:t xml:space="preserve">, potrebna finansijska sredstva i druge uslove neophodne za realizaciju NPZP. Prema odredbama NPZP-a, </w:t>
      </w:r>
      <w:r>
        <w:rPr>
          <w:rFonts w:ascii="Arial" w:hAnsi="Arial" w:cs="Arial"/>
          <w:color w:val="212121"/>
          <w:sz w:val="20"/>
          <w:szCs w:val="20"/>
        </w:rPr>
        <w:t>MER</w:t>
      </w:r>
      <w:r w:rsidRPr="006917C5">
        <w:rPr>
          <w:rFonts w:ascii="Arial" w:hAnsi="Arial" w:cs="Arial"/>
          <w:color w:val="212121"/>
          <w:sz w:val="20"/>
          <w:szCs w:val="20"/>
        </w:rPr>
        <w:t xml:space="preserve"> je odgovorno za pripremu i podnošenje godišnjeg izveštaja Vladi o sprovođenju politika zaštite potrošača navedenih u strateškom dokumentu. Shodno tome, Vlada Crne Gore je usvojila godišnji izveštaj o sprovođenju Akcionog plana za 2022. godinu i izveštaj o sprovođenju Akcionog plana za 2023. godinu.</w:t>
      </w:r>
    </w:p>
    <w:p w14:paraId="06C4A087" w14:textId="2C986A1D" w:rsidR="00DF6D25" w:rsidRDefault="00DF6D25" w:rsidP="00AA4998">
      <w:pPr>
        <w:shd w:val="clear" w:color="auto" w:fill="FFFFFF"/>
        <w:jc w:val="both"/>
        <w:rPr>
          <w:rFonts w:ascii="Arial" w:hAnsi="Arial" w:cs="Arial"/>
          <w:color w:val="212121"/>
          <w:sz w:val="20"/>
          <w:szCs w:val="20"/>
        </w:rPr>
      </w:pPr>
      <w:r>
        <w:rPr>
          <w:rFonts w:ascii="Arial" w:hAnsi="Arial" w:cs="Arial"/>
          <w:color w:val="212121"/>
          <w:sz w:val="20"/>
          <w:szCs w:val="20"/>
        </w:rPr>
        <w:t>FE</w:t>
      </w:r>
      <w:r w:rsidRPr="00DF6D25">
        <w:rPr>
          <w:rFonts w:ascii="Arial" w:hAnsi="Arial" w:cs="Arial"/>
          <w:color w:val="212121"/>
          <w:sz w:val="20"/>
          <w:szCs w:val="20"/>
        </w:rPr>
        <w:t xml:space="preserve"> se sprovodi eksterno, u skladu sa poglavljem V </w:t>
      </w:r>
      <w:r>
        <w:rPr>
          <w:rFonts w:ascii="Arial" w:hAnsi="Arial" w:cs="Arial"/>
          <w:color w:val="212121"/>
          <w:sz w:val="20"/>
          <w:szCs w:val="20"/>
        </w:rPr>
        <w:t>NPZP-a</w:t>
      </w:r>
      <w:r w:rsidRPr="00DF6D25">
        <w:rPr>
          <w:rFonts w:ascii="Arial" w:hAnsi="Arial" w:cs="Arial"/>
          <w:color w:val="212121"/>
          <w:sz w:val="20"/>
          <w:szCs w:val="20"/>
        </w:rPr>
        <w:t xml:space="preserve"> kako bi se postigao viši nivo objektivnosti, </w:t>
      </w:r>
      <w:r>
        <w:rPr>
          <w:rFonts w:ascii="Arial" w:hAnsi="Arial" w:cs="Arial"/>
          <w:color w:val="212121"/>
          <w:sz w:val="20"/>
          <w:szCs w:val="20"/>
        </w:rPr>
        <w:t>pr</w:t>
      </w:r>
      <w:r w:rsidRPr="00DF6D25">
        <w:rPr>
          <w:rFonts w:ascii="Arial" w:hAnsi="Arial" w:cs="Arial"/>
          <w:color w:val="212121"/>
          <w:sz w:val="20"/>
          <w:szCs w:val="20"/>
        </w:rPr>
        <w:t xml:space="preserve">i </w:t>
      </w:r>
      <w:r>
        <w:rPr>
          <w:rFonts w:ascii="Arial" w:hAnsi="Arial" w:cs="Arial"/>
          <w:color w:val="212121"/>
          <w:sz w:val="20"/>
          <w:szCs w:val="20"/>
        </w:rPr>
        <w:t xml:space="preserve">čemu se evaluacija </w:t>
      </w:r>
      <w:r w:rsidRPr="00DF6D25">
        <w:rPr>
          <w:rFonts w:ascii="Arial" w:hAnsi="Arial" w:cs="Arial"/>
          <w:color w:val="212121"/>
          <w:sz w:val="20"/>
          <w:szCs w:val="20"/>
        </w:rPr>
        <w:t xml:space="preserve">fokusira na sprovođenje detaljne </w:t>
      </w:r>
      <w:proofErr w:type="spellStart"/>
      <w:r>
        <w:rPr>
          <w:rFonts w:ascii="Arial" w:hAnsi="Arial" w:cs="Arial"/>
          <w:color w:val="212121"/>
          <w:sz w:val="20"/>
          <w:szCs w:val="20"/>
        </w:rPr>
        <w:t>ex</w:t>
      </w:r>
      <w:proofErr w:type="spellEnd"/>
      <w:r>
        <w:rPr>
          <w:rFonts w:ascii="Arial" w:hAnsi="Arial" w:cs="Arial"/>
          <w:color w:val="212121"/>
          <w:sz w:val="20"/>
          <w:szCs w:val="20"/>
        </w:rPr>
        <w:t>-post analize</w:t>
      </w:r>
      <w:r w:rsidRPr="00DF6D25">
        <w:rPr>
          <w:rFonts w:ascii="Arial" w:hAnsi="Arial" w:cs="Arial"/>
          <w:color w:val="212121"/>
          <w:sz w:val="20"/>
          <w:szCs w:val="20"/>
        </w:rPr>
        <w:t xml:space="preserve"> </w:t>
      </w:r>
      <w:r>
        <w:rPr>
          <w:rFonts w:ascii="Arial" w:hAnsi="Arial" w:cs="Arial"/>
          <w:color w:val="212121"/>
          <w:sz w:val="20"/>
          <w:szCs w:val="20"/>
        </w:rPr>
        <w:t>NPZP</w:t>
      </w:r>
      <w:r w:rsidRPr="00DF6D25">
        <w:rPr>
          <w:rFonts w:ascii="Arial" w:hAnsi="Arial" w:cs="Arial"/>
          <w:color w:val="212121"/>
          <w:sz w:val="20"/>
          <w:szCs w:val="20"/>
        </w:rPr>
        <w:t xml:space="preserve"> koja zaključno identifikuje pozitivne rezultate i probleme koji su se mogli pojaviti tokom faze implementacije. </w:t>
      </w:r>
      <w:r>
        <w:rPr>
          <w:rFonts w:ascii="Arial" w:hAnsi="Arial" w:cs="Arial"/>
          <w:color w:val="212121"/>
          <w:sz w:val="20"/>
          <w:szCs w:val="20"/>
        </w:rPr>
        <w:t>FE primenjuje</w:t>
      </w:r>
      <w:r w:rsidRPr="00DF6D25">
        <w:rPr>
          <w:rFonts w:ascii="Arial" w:hAnsi="Arial" w:cs="Arial"/>
          <w:color w:val="212121"/>
          <w:sz w:val="20"/>
          <w:szCs w:val="20"/>
        </w:rPr>
        <w:t xml:space="preserve"> </w:t>
      </w:r>
      <w:r w:rsidRPr="00DF6D25">
        <w:rPr>
          <w:rFonts w:ascii="Arial" w:hAnsi="Arial" w:cs="Arial"/>
          <w:color w:val="212121"/>
          <w:sz w:val="20"/>
          <w:szCs w:val="20"/>
        </w:rPr>
        <w:lastRenderedPageBreak/>
        <w:t xml:space="preserve">metodološki pristup zasnovan na dokazima i </w:t>
      </w:r>
      <w:proofErr w:type="spellStart"/>
      <w:r w:rsidRPr="00DF6D25">
        <w:rPr>
          <w:rFonts w:ascii="Arial" w:hAnsi="Arial" w:cs="Arial"/>
          <w:color w:val="212121"/>
          <w:sz w:val="20"/>
          <w:szCs w:val="20"/>
        </w:rPr>
        <w:t>participativni</w:t>
      </w:r>
      <w:proofErr w:type="spellEnd"/>
      <w:r w:rsidRPr="00DF6D25">
        <w:rPr>
          <w:rFonts w:ascii="Arial" w:hAnsi="Arial" w:cs="Arial"/>
          <w:color w:val="212121"/>
          <w:sz w:val="20"/>
          <w:szCs w:val="20"/>
        </w:rPr>
        <w:t xml:space="preserve"> model u kojem se prikupljanje podataka zasniva na pregledu literature</w:t>
      </w:r>
      <w:r>
        <w:rPr>
          <w:rFonts w:ascii="Arial" w:hAnsi="Arial" w:cs="Arial"/>
          <w:color w:val="212121"/>
          <w:sz w:val="20"/>
          <w:szCs w:val="20"/>
        </w:rPr>
        <w:t xml:space="preserve"> (desk analiza)</w:t>
      </w:r>
      <w:r w:rsidRPr="00DF6D25">
        <w:rPr>
          <w:rFonts w:ascii="Arial" w:hAnsi="Arial" w:cs="Arial"/>
          <w:color w:val="212121"/>
          <w:sz w:val="20"/>
          <w:szCs w:val="20"/>
        </w:rPr>
        <w:t xml:space="preserve"> i na konsultativnom procesu sa relevantnim zainteresovanim stranama.</w:t>
      </w:r>
    </w:p>
    <w:p w14:paraId="1CB3C40F" w14:textId="7DC1F14E" w:rsidR="00DF6D25" w:rsidRDefault="00DF6D25" w:rsidP="00AA4998">
      <w:pPr>
        <w:shd w:val="clear" w:color="auto" w:fill="FFFFFF"/>
        <w:jc w:val="both"/>
        <w:rPr>
          <w:rFonts w:ascii="Arial" w:hAnsi="Arial" w:cs="Arial"/>
          <w:color w:val="212121"/>
          <w:sz w:val="20"/>
          <w:szCs w:val="20"/>
        </w:rPr>
      </w:pPr>
      <w:r>
        <w:rPr>
          <w:rFonts w:ascii="Arial" w:hAnsi="Arial" w:cs="Arial"/>
          <w:color w:val="212121"/>
          <w:sz w:val="20"/>
          <w:szCs w:val="20"/>
        </w:rPr>
        <w:t xml:space="preserve">Zaključci FE će se navesti u konačnom </w:t>
      </w:r>
      <w:proofErr w:type="spellStart"/>
      <w:r>
        <w:rPr>
          <w:rFonts w:ascii="Arial" w:hAnsi="Arial" w:cs="Arial"/>
          <w:color w:val="212121"/>
          <w:sz w:val="20"/>
          <w:szCs w:val="20"/>
        </w:rPr>
        <w:t>implementacionom</w:t>
      </w:r>
      <w:proofErr w:type="spellEnd"/>
      <w:r>
        <w:rPr>
          <w:rFonts w:ascii="Arial" w:hAnsi="Arial" w:cs="Arial"/>
          <w:color w:val="212121"/>
          <w:sz w:val="20"/>
          <w:szCs w:val="20"/>
        </w:rPr>
        <w:t xml:space="preserve"> izveštaju NPZP i koristiće se kao osnova za dizajn budućih dokumenata javne politike u oblasti zaštite potrošača.</w:t>
      </w:r>
    </w:p>
    <w:p w14:paraId="0D211933" w14:textId="2AF53D5F" w:rsidR="00DF6D25" w:rsidRDefault="00DF6D25" w:rsidP="00AA4998">
      <w:pPr>
        <w:shd w:val="clear" w:color="auto" w:fill="FFFFFF"/>
        <w:jc w:val="both"/>
        <w:rPr>
          <w:rFonts w:ascii="Arial" w:hAnsi="Arial" w:cs="Arial"/>
          <w:color w:val="212121"/>
          <w:sz w:val="20"/>
          <w:szCs w:val="20"/>
        </w:rPr>
      </w:pPr>
      <w:r w:rsidRPr="00DF6D25">
        <w:rPr>
          <w:rFonts w:ascii="Arial" w:hAnsi="Arial" w:cs="Arial"/>
          <w:color w:val="212121"/>
          <w:sz w:val="20"/>
          <w:szCs w:val="20"/>
        </w:rPr>
        <w:t xml:space="preserve">Ova evaluacija ispunjava zahteve UNDP </w:t>
      </w:r>
      <w:r>
        <w:rPr>
          <w:rFonts w:ascii="Arial" w:hAnsi="Arial" w:cs="Arial"/>
          <w:color w:val="212121"/>
          <w:sz w:val="20"/>
          <w:szCs w:val="20"/>
        </w:rPr>
        <w:t>Crna Gora</w:t>
      </w:r>
      <w:r w:rsidRPr="00DF6D25">
        <w:rPr>
          <w:rFonts w:ascii="Arial" w:hAnsi="Arial" w:cs="Arial"/>
          <w:color w:val="212121"/>
          <w:sz w:val="20"/>
          <w:szCs w:val="20"/>
        </w:rPr>
        <w:t xml:space="preserve"> i </w:t>
      </w:r>
      <w:r>
        <w:rPr>
          <w:rFonts w:ascii="Arial" w:hAnsi="Arial" w:cs="Arial"/>
          <w:color w:val="212121"/>
          <w:sz w:val="20"/>
          <w:szCs w:val="20"/>
        </w:rPr>
        <w:t>MER</w:t>
      </w:r>
      <w:r w:rsidRPr="00DF6D25">
        <w:rPr>
          <w:rFonts w:ascii="Arial" w:hAnsi="Arial" w:cs="Arial"/>
          <w:color w:val="212121"/>
          <w:sz w:val="20"/>
          <w:szCs w:val="20"/>
        </w:rPr>
        <w:t xml:space="preserve"> za sprovođenje nezavisn</w:t>
      </w:r>
      <w:r>
        <w:rPr>
          <w:rFonts w:ascii="Arial" w:hAnsi="Arial" w:cs="Arial"/>
          <w:color w:val="212121"/>
          <w:sz w:val="20"/>
          <w:szCs w:val="20"/>
        </w:rPr>
        <w:t xml:space="preserve">e procene </w:t>
      </w:r>
      <w:r w:rsidRPr="00DF6D25">
        <w:rPr>
          <w:rFonts w:ascii="Arial" w:hAnsi="Arial" w:cs="Arial"/>
          <w:color w:val="212121"/>
          <w:sz w:val="20"/>
          <w:szCs w:val="20"/>
        </w:rPr>
        <w:t xml:space="preserve">u završnoj fazi implementacije programa, u svrhu učenja i refleksije o </w:t>
      </w:r>
      <w:r>
        <w:rPr>
          <w:rFonts w:ascii="Arial" w:hAnsi="Arial" w:cs="Arial"/>
          <w:color w:val="212121"/>
          <w:sz w:val="20"/>
          <w:szCs w:val="20"/>
        </w:rPr>
        <w:t>mehanizmima sprovođenja</w:t>
      </w:r>
      <w:r w:rsidRPr="00DF6D25">
        <w:rPr>
          <w:rFonts w:ascii="Arial" w:hAnsi="Arial" w:cs="Arial"/>
          <w:color w:val="212121"/>
          <w:sz w:val="20"/>
          <w:szCs w:val="20"/>
        </w:rPr>
        <w:t xml:space="preserve"> i rezultatima. Očekuje se da će nalazi i preporuke FE pomoći u identifikaciji potrebnih korekcija kursa u pristupu </w:t>
      </w:r>
      <w:r>
        <w:rPr>
          <w:rFonts w:ascii="Arial" w:hAnsi="Arial" w:cs="Arial"/>
          <w:color w:val="212121"/>
          <w:sz w:val="20"/>
          <w:szCs w:val="20"/>
        </w:rPr>
        <w:t>u projektnom menadžmentu</w:t>
      </w:r>
      <w:r w:rsidRPr="00DF6D25">
        <w:rPr>
          <w:rFonts w:ascii="Arial" w:hAnsi="Arial" w:cs="Arial"/>
          <w:color w:val="212121"/>
          <w:sz w:val="20"/>
          <w:szCs w:val="20"/>
        </w:rPr>
        <w:t xml:space="preserve"> i doneti vredne eksterne refleksije kako bi se pomoglo u jačanju </w:t>
      </w:r>
      <w:r>
        <w:rPr>
          <w:rFonts w:ascii="Arial" w:hAnsi="Arial" w:cs="Arial"/>
          <w:color w:val="212121"/>
          <w:sz w:val="20"/>
          <w:szCs w:val="20"/>
        </w:rPr>
        <w:t xml:space="preserve">programa, te unapredio </w:t>
      </w:r>
      <w:r w:rsidRPr="00DF6D25">
        <w:rPr>
          <w:rFonts w:ascii="Arial" w:hAnsi="Arial" w:cs="Arial"/>
          <w:color w:val="212121"/>
          <w:sz w:val="20"/>
          <w:szCs w:val="20"/>
        </w:rPr>
        <w:t xml:space="preserve">sistem </w:t>
      </w:r>
      <w:r>
        <w:rPr>
          <w:rFonts w:ascii="Arial" w:hAnsi="Arial" w:cs="Arial"/>
          <w:color w:val="212121"/>
          <w:sz w:val="20"/>
          <w:szCs w:val="20"/>
        </w:rPr>
        <w:t>monitoringa</w:t>
      </w:r>
      <w:r w:rsidRPr="00DF6D25">
        <w:rPr>
          <w:rFonts w:ascii="Arial" w:hAnsi="Arial" w:cs="Arial"/>
          <w:color w:val="212121"/>
          <w:sz w:val="20"/>
          <w:szCs w:val="20"/>
        </w:rPr>
        <w:t>, evaluacije i učenja (</w:t>
      </w:r>
      <w:r>
        <w:rPr>
          <w:rFonts w:ascii="Arial" w:hAnsi="Arial" w:cs="Arial"/>
          <w:color w:val="212121"/>
          <w:sz w:val="20"/>
          <w:szCs w:val="20"/>
        </w:rPr>
        <w:t xml:space="preserve">eng. Monitoring, </w:t>
      </w:r>
      <w:proofErr w:type="spellStart"/>
      <w:r>
        <w:rPr>
          <w:rFonts w:ascii="Arial" w:hAnsi="Arial" w:cs="Arial"/>
          <w:color w:val="212121"/>
          <w:sz w:val="20"/>
          <w:szCs w:val="20"/>
        </w:rPr>
        <w:t>Evaluation</w:t>
      </w:r>
      <w:proofErr w:type="spellEnd"/>
      <w:r>
        <w:rPr>
          <w:rFonts w:ascii="Arial" w:hAnsi="Arial" w:cs="Arial"/>
          <w:color w:val="212121"/>
          <w:sz w:val="20"/>
          <w:szCs w:val="20"/>
        </w:rPr>
        <w:t xml:space="preserve"> </w:t>
      </w:r>
      <w:proofErr w:type="spellStart"/>
      <w:r>
        <w:rPr>
          <w:rFonts w:ascii="Arial" w:hAnsi="Arial" w:cs="Arial"/>
          <w:color w:val="212121"/>
          <w:sz w:val="20"/>
          <w:szCs w:val="20"/>
        </w:rPr>
        <w:t>and</w:t>
      </w:r>
      <w:proofErr w:type="spellEnd"/>
      <w:r>
        <w:rPr>
          <w:rFonts w:ascii="Arial" w:hAnsi="Arial" w:cs="Arial"/>
          <w:color w:val="212121"/>
          <w:sz w:val="20"/>
          <w:szCs w:val="20"/>
        </w:rPr>
        <w:t xml:space="preserve"> </w:t>
      </w:r>
      <w:proofErr w:type="spellStart"/>
      <w:r>
        <w:rPr>
          <w:rFonts w:ascii="Arial" w:hAnsi="Arial" w:cs="Arial"/>
          <w:color w:val="212121"/>
          <w:sz w:val="20"/>
          <w:szCs w:val="20"/>
        </w:rPr>
        <w:t>Learning</w:t>
      </w:r>
      <w:proofErr w:type="spellEnd"/>
      <w:r>
        <w:rPr>
          <w:rFonts w:ascii="Arial" w:hAnsi="Arial" w:cs="Arial"/>
          <w:color w:val="212121"/>
          <w:sz w:val="20"/>
          <w:szCs w:val="20"/>
        </w:rPr>
        <w:t xml:space="preserve"> - </w:t>
      </w:r>
      <w:r w:rsidRPr="00DF6D25">
        <w:rPr>
          <w:rFonts w:ascii="Arial" w:hAnsi="Arial" w:cs="Arial"/>
          <w:color w:val="212121"/>
          <w:sz w:val="20"/>
          <w:szCs w:val="20"/>
        </w:rPr>
        <w:t>MEL) kroz adaptivni modalitet upravljanja.</w:t>
      </w:r>
    </w:p>
    <w:p w14:paraId="4B8AC7BA" w14:textId="762C2FBA" w:rsidR="00DF6D25" w:rsidRDefault="00DF6D25" w:rsidP="00AA4998">
      <w:pPr>
        <w:shd w:val="clear" w:color="auto" w:fill="FFFFFF"/>
        <w:jc w:val="both"/>
        <w:rPr>
          <w:rFonts w:ascii="Arial" w:hAnsi="Arial" w:cs="Arial"/>
          <w:color w:val="212121"/>
          <w:sz w:val="20"/>
          <w:szCs w:val="20"/>
        </w:rPr>
      </w:pPr>
      <w:r>
        <w:rPr>
          <w:rFonts w:ascii="Arial" w:hAnsi="Arial" w:cs="Arial"/>
          <w:color w:val="212121"/>
          <w:sz w:val="20"/>
          <w:szCs w:val="20"/>
        </w:rPr>
        <w:t xml:space="preserve">U skladu sa ovlašćenjima predstavljenim u </w:t>
      </w:r>
      <w:proofErr w:type="spellStart"/>
      <w:r>
        <w:rPr>
          <w:rFonts w:ascii="Arial" w:hAnsi="Arial" w:cs="Arial"/>
          <w:color w:val="212121"/>
          <w:sz w:val="20"/>
          <w:szCs w:val="20"/>
        </w:rPr>
        <w:t>Terms</w:t>
      </w:r>
      <w:proofErr w:type="spellEnd"/>
      <w:r>
        <w:rPr>
          <w:rFonts w:ascii="Arial" w:hAnsi="Arial" w:cs="Arial"/>
          <w:color w:val="212121"/>
          <w:sz w:val="20"/>
          <w:szCs w:val="20"/>
        </w:rPr>
        <w:t xml:space="preserve"> </w:t>
      </w:r>
      <w:proofErr w:type="spellStart"/>
      <w:r>
        <w:rPr>
          <w:rFonts w:ascii="Arial" w:hAnsi="Arial" w:cs="Arial"/>
          <w:color w:val="212121"/>
          <w:sz w:val="20"/>
          <w:szCs w:val="20"/>
        </w:rPr>
        <w:t>of</w:t>
      </w:r>
      <w:proofErr w:type="spellEnd"/>
      <w:r>
        <w:rPr>
          <w:rFonts w:ascii="Arial" w:hAnsi="Arial" w:cs="Arial"/>
          <w:color w:val="212121"/>
          <w:sz w:val="20"/>
          <w:szCs w:val="20"/>
        </w:rPr>
        <w:t xml:space="preserve"> Reference (</w:t>
      </w:r>
      <w:proofErr w:type="spellStart"/>
      <w:r>
        <w:rPr>
          <w:rFonts w:ascii="Arial" w:hAnsi="Arial" w:cs="Arial"/>
          <w:color w:val="212121"/>
          <w:sz w:val="20"/>
          <w:szCs w:val="20"/>
        </w:rPr>
        <w:t>ToR</w:t>
      </w:r>
      <w:proofErr w:type="spellEnd"/>
      <w:r>
        <w:rPr>
          <w:rFonts w:ascii="Arial" w:hAnsi="Arial" w:cs="Arial"/>
          <w:color w:val="212121"/>
          <w:sz w:val="20"/>
          <w:szCs w:val="20"/>
        </w:rPr>
        <w:t xml:space="preserve">), FE će izvestiti UNDP Crna Gora, MER, </w:t>
      </w:r>
      <w:proofErr w:type="spellStart"/>
      <w:r>
        <w:rPr>
          <w:rFonts w:ascii="Arial" w:hAnsi="Arial" w:cs="Arial"/>
          <w:color w:val="212121"/>
          <w:sz w:val="20"/>
          <w:szCs w:val="20"/>
        </w:rPr>
        <w:t>implementacione</w:t>
      </w:r>
      <w:proofErr w:type="spellEnd"/>
      <w:r>
        <w:rPr>
          <w:rFonts w:ascii="Arial" w:hAnsi="Arial" w:cs="Arial"/>
          <w:color w:val="212121"/>
          <w:sz w:val="20"/>
          <w:szCs w:val="20"/>
        </w:rPr>
        <w:t xml:space="preserve"> partnere i druge </w:t>
      </w:r>
      <w:proofErr w:type="spellStart"/>
      <w:r>
        <w:rPr>
          <w:rFonts w:ascii="Arial" w:hAnsi="Arial" w:cs="Arial"/>
          <w:color w:val="212121"/>
          <w:sz w:val="20"/>
          <w:szCs w:val="20"/>
        </w:rPr>
        <w:t>stejkholdre</w:t>
      </w:r>
      <w:proofErr w:type="spellEnd"/>
      <w:r>
        <w:rPr>
          <w:rFonts w:ascii="Arial" w:hAnsi="Arial" w:cs="Arial"/>
          <w:color w:val="212121"/>
          <w:sz w:val="20"/>
          <w:szCs w:val="20"/>
        </w:rPr>
        <w:t xml:space="preserve"> o efektivnosti u ispunjenu predviđanih strateških ciljeva i ostvarenju rezultata. Konkretno, Evaluator ima zadatak da:</w:t>
      </w:r>
    </w:p>
    <w:p w14:paraId="0328202E" w14:textId="13162E6B" w:rsidR="00DF6D25" w:rsidRPr="001D2297" w:rsidRDefault="00DF6D25" w:rsidP="00AA4998">
      <w:pPr>
        <w:shd w:val="clear" w:color="auto" w:fill="FFFFFF"/>
        <w:jc w:val="both"/>
        <w:rPr>
          <w:rFonts w:ascii="Arial" w:hAnsi="Arial" w:cs="Arial"/>
          <w:color w:val="212121"/>
          <w:sz w:val="20"/>
          <w:szCs w:val="20"/>
        </w:rPr>
      </w:pPr>
      <w:r w:rsidRPr="001D2297">
        <w:rPr>
          <w:rFonts w:ascii="Arial" w:hAnsi="Arial" w:cs="Arial"/>
          <w:color w:val="212121"/>
          <w:sz w:val="20"/>
          <w:szCs w:val="20"/>
        </w:rPr>
        <w:t xml:space="preserve">1. Razvije </w:t>
      </w:r>
      <w:proofErr w:type="spellStart"/>
      <w:r w:rsidRPr="001D2297">
        <w:rPr>
          <w:rFonts w:ascii="Arial" w:hAnsi="Arial" w:cs="Arial"/>
          <w:color w:val="212121"/>
          <w:sz w:val="20"/>
          <w:szCs w:val="20"/>
        </w:rPr>
        <w:t>evaluacionu</w:t>
      </w:r>
      <w:proofErr w:type="spellEnd"/>
      <w:r w:rsidRPr="001D2297">
        <w:rPr>
          <w:rFonts w:ascii="Arial" w:hAnsi="Arial" w:cs="Arial"/>
          <w:color w:val="212121"/>
          <w:sz w:val="20"/>
          <w:szCs w:val="20"/>
        </w:rPr>
        <w:t xml:space="preserve"> </w:t>
      </w:r>
      <w:r w:rsidR="001D2297" w:rsidRPr="001D2297">
        <w:rPr>
          <w:rFonts w:ascii="Arial" w:hAnsi="Arial" w:cs="Arial"/>
          <w:color w:val="212121"/>
          <w:sz w:val="20"/>
          <w:szCs w:val="20"/>
        </w:rPr>
        <w:t>metodologiju</w:t>
      </w:r>
      <w:r w:rsidRPr="001D2297">
        <w:rPr>
          <w:rFonts w:ascii="Arial" w:hAnsi="Arial" w:cs="Arial"/>
          <w:color w:val="212121"/>
          <w:sz w:val="20"/>
          <w:szCs w:val="20"/>
        </w:rPr>
        <w:t>:</w:t>
      </w:r>
    </w:p>
    <w:p w14:paraId="600CD53C" w14:textId="13905245" w:rsidR="001D2297" w:rsidRPr="001D2297" w:rsidRDefault="001D2297" w:rsidP="001D2297">
      <w:pPr>
        <w:pStyle w:val="ListParagraph"/>
        <w:numPr>
          <w:ilvl w:val="0"/>
          <w:numId w:val="51"/>
        </w:numPr>
        <w:shd w:val="clear" w:color="auto" w:fill="FFFFFF"/>
        <w:jc w:val="both"/>
        <w:rPr>
          <w:rFonts w:ascii="Arial" w:hAnsi="Arial" w:cs="Arial"/>
          <w:color w:val="212121"/>
          <w:sz w:val="20"/>
          <w:szCs w:val="20"/>
          <w:lang w:val="sr-Latn-RS"/>
        </w:rPr>
      </w:pPr>
      <w:r w:rsidRPr="001D2297">
        <w:rPr>
          <w:rFonts w:ascii="Arial" w:hAnsi="Arial" w:cs="Arial"/>
          <w:color w:val="212121"/>
          <w:sz w:val="20"/>
          <w:szCs w:val="20"/>
          <w:lang w:val="sr-Latn-RS"/>
        </w:rPr>
        <w:t>Opi</w:t>
      </w:r>
      <w:r>
        <w:rPr>
          <w:rFonts w:ascii="Arial" w:hAnsi="Arial" w:cs="Arial"/>
          <w:color w:val="212121"/>
          <w:sz w:val="20"/>
          <w:szCs w:val="20"/>
          <w:lang w:val="sr-Latn-RS"/>
        </w:rPr>
        <w:t>sati</w:t>
      </w:r>
      <w:r w:rsidRPr="001D2297">
        <w:rPr>
          <w:rFonts w:ascii="Arial" w:hAnsi="Arial" w:cs="Arial"/>
          <w:color w:val="212121"/>
          <w:sz w:val="20"/>
          <w:szCs w:val="20"/>
          <w:lang w:val="sr-Latn-RS"/>
        </w:rPr>
        <w:t xml:space="preserve"> metodološki pristup, pozivajući se na postojeće smernice strateških dokumenata.</w:t>
      </w:r>
    </w:p>
    <w:p w14:paraId="675D5435" w14:textId="63ACE8B6" w:rsidR="001D2297" w:rsidRPr="001D2297" w:rsidRDefault="001D2297" w:rsidP="001D2297">
      <w:pPr>
        <w:pStyle w:val="ListParagraph"/>
        <w:numPr>
          <w:ilvl w:val="0"/>
          <w:numId w:val="51"/>
        </w:numPr>
        <w:shd w:val="clear" w:color="auto" w:fill="FFFFFF"/>
        <w:jc w:val="both"/>
        <w:rPr>
          <w:rFonts w:ascii="Arial" w:hAnsi="Arial" w:cs="Arial"/>
          <w:color w:val="212121"/>
          <w:sz w:val="20"/>
          <w:szCs w:val="20"/>
          <w:lang w:val="sr-Latn-RS"/>
        </w:rPr>
      </w:pPr>
      <w:r w:rsidRPr="001D2297">
        <w:rPr>
          <w:rFonts w:ascii="Arial" w:hAnsi="Arial" w:cs="Arial"/>
          <w:color w:val="212121"/>
          <w:sz w:val="20"/>
          <w:szCs w:val="20"/>
          <w:lang w:val="sr-Latn-RS"/>
        </w:rPr>
        <w:t>Nav</w:t>
      </w:r>
      <w:r>
        <w:rPr>
          <w:rFonts w:ascii="Arial" w:hAnsi="Arial" w:cs="Arial"/>
          <w:color w:val="212121"/>
          <w:sz w:val="20"/>
          <w:szCs w:val="20"/>
          <w:lang w:val="sr-Latn-RS"/>
        </w:rPr>
        <w:t>esti</w:t>
      </w:r>
      <w:r w:rsidRPr="001D2297">
        <w:rPr>
          <w:rFonts w:ascii="Arial" w:hAnsi="Arial" w:cs="Arial"/>
          <w:color w:val="212121"/>
          <w:sz w:val="20"/>
          <w:szCs w:val="20"/>
          <w:lang w:val="sr-Latn-RS"/>
        </w:rPr>
        <w:t xml:space="preserve"> metode prikupljanja podataka (npr. broj intervjua, fokus grupa, onlajn anketa).</w:t>
      </w:r>
    </w:p>
    <w:p w14:paraId="116C4F4F" w14:textId="2D04EFEC" w:rsidR="00DF6D25" w:rsidRDefault="001D2297" w:rsidP="001D2297">
      <w:pPr>
        <w:pStyle w:val="ListParagraph"/>
        <w:numPr>
          <w:ilvl w:val="0"/>
          <w:numId w:val="51"/>
        </w:numPr>
        <w:shd w:val="clear" w:color="auto" w:fill="FFFFFF"/>
        <w:jc w:val="both"/>
        <w:rPr>
          <w:rFonts w:ascii="Arial" w:hAnsi="Arial" w:cs="Arial"/>
          <w:color w:val="212121"/>
          <w:sz w:val="20"/>
          <w:szCs w:val="20"/>
          <w:lang w:val="sr-Latn-RS"/>
        </w:rPr>
      </w:pPr>
      <w:proofErr w:type="spellStart"/>
      <w:r w:rsidRPr="001D2297">
        <w:rPr>
          <w:rFonts w:ascii="Arial" w:hAnsi="Arial" w:cs="Arial"/>
          <w:color w:val="212121"/>
          <w:sz w:val="20"/>
          <w:szCs w:val="20"/>
          <w:lang w:val="sr-Latn-RS"/>
        </w:rPr>
        <w:t>Dostav</w:t>
      </w:r>
      <w:r>
        <w:rPr>
          <w:rFonts w:ascii="Arial" w:hAnsi="Arial" w:cs="Arial"/>
          <w:color w:val="212121"/>
          <w:sz w:val="20"/>
          <w:szCs w:val="20"/>
          <w:lang w:val="sr-Latn-RS"/>
        </w:rPr>
        <w:t>ljaje</w:t>
      </w:r>
      <w:proofErr w:type="spellEnd"/>
      <w:r w:rsidRPr="001D2297">
        <w:rPr>
          <w:rFonts w:ascii="Arial" w:hAnsi="Arial" w:cs="Arial"/>
          <w:color w:val="212121"/>
          <w:sz w:val="20"/>
          <w:szCs w:val="20"/>
          <w:lang w:val="sr-Latn-RS"/>
        </w:rPr>
        <w:t xml:space="preserve"> početn</w:t>
      </w:r>
      <w:r>
        <w:rPr>
          <w:rFonts w:ascii="Arial" w:hAnsi="Arial" w:cs="Arial"/>
          <w:color w:val="212121"/>
          <w:sz w:val="20"/>
          <w:szCs w:val="20"/>
          <w:lang w:val="sr-Latn-RS"/>
        </w:rPr>
        <w:t>og</w:t>
      </w:r>
      <w:r w:rsidRPr="001D2297">
        <w:rPr>
          <w:rFonts w:ascii="Arial" w:hAnsi="Arial" w:cs="Arial"/>
          <w:color w:val="212121"/>
          <w:sz w:val="20"/>
          <w:szCs w:val="20"/>
          <w:lang w:val="sr-Latn-RS"/>
        </w:rPr>
        <w:t xml:space="preserve"> izveštaj</w:t>
      </w:r>
      <w:r>
        <w:rPr>
          <w:rFonts w:ascii="Arial" w:hAnsi="Arial" w:cs="Arial"/>
          <w:color w:val="212121"/>
          <w:sz w:val="20"/>
          <w:szCs w:val="20"/>
          <w:lang w:val="sr-Latn-RS"/>
        </w:rPr>
        <w:t>a</w:t>
      </w:r>
      <w:r w:rsidRPr="001D2297">
        <w:rPr>
          <w:rFonts w:ascii="Arial" w:hAnsi="Arial" w:cs="Arial"/>
          <w:color w:val="212121"/>
          <w:sz w:val="20"/>
          <w:szCs w:val="20"/>
          <w:lang w:val="sr-Latn-RS"/>
        </w:rPr>
        <w:t xml:space="preserve"> kao prvi rezultat, u kojem </w:t>
      </w:r>
      <w:proofErr w:type="spellStart"/>
      <w:r w:rsidRPr="001D2297">
        <w:rPr>
          <w:rFonts w:ascii="Arial" w:hAnsi="Arial" w:cs="Arial"/>
          <w:color w:val="212121"/>
          <w:sz w:val="20"/>
          <w:szCs w:val="20"/>
          <w:lang w:val="sr-Latn-RS"/>
        </w:rPr>
        <w:t>će</w:t>
      </w:r>
      <w:proofErr w:type="spellEnd"/>
      <w:r w:rsidRPr="001D2297">
        <w:rPr>
          <w:rFonts w:ascii="Arial" w:hAnsi="Arial" w:cs="Arial"/>
          <w:color w:val="212121"/>
          <w:sz w:val="20"/>
          <w:szCs w:val="20"/>
          <w:lang w:val="sr-Latn-RS"/>
        </w:rPr>
        <w:t xml:space="preserve"> biti detaljno opisana predložena</w:t>
      </w:r>
      <w:r>
        <w:rPr>
          <w:rFonts w:ascii="Arial" w:hAnsi="Arial" w:cs="Arial"/>
          <w:color w:val="212121"/>
          <w:sz w:val="20"/>
          <w:szCs w:val="20"/>
          <w:lang w:val="sr-Latn-RS"/>
        </w:rPr>
        <w:t xml:space="preserve"> metodologija i plan primene.</w:t>
      </w:r>
    </w:p>
    <w:p w14:paraId="6F6EBA3D" w14:textId="77777777" w:rsidR="001D2297" w:rsidRDefault="001D2297" w:rsidP="001D2297">
      <w:pPr>
        <w:shd w:val="clear" w:color="auto" w:fill="FFFFFF"/>
        <w:jc w:val="both"/>
        <w:rPr>
          <w:rFonts w:ascii="Arial" w:hAnsi="Arial" w:cs="Arial"/>
          <w:color w:val="212121"/>
          <w:sz w:val="20"/>
          <w:szCs w:val="20"/>
        </w:rPr>
      </w:pPr>
    </w:p>
    <w:p w14:paraId="2E3147E1" w14:textId="6E17073C" w:rsidR="001D2297" w:rsidRDefault="001D2297" w:rsidP="001D2297">
      <w:pPr>
        <w:shd w:val="clear" w:color="auto" w:fill="FFFFFF"/>
        <w:jc w:val="both"/>
        <w:rPr>
          <w:rFonts w:ascii="Arial" w:hAnsi="Arial" w:cs="Arial"/>
          <w:color w:val="212121"/>
          <w:sz w:val="20"/>
          <w:szCs w:val="20"/>
        </w:rPr>
      </w:pPr>
      <w:r>
        <w:rPr>
          <w:rFonts w:ascii="Arial" w:hAnsi="Arial" w:cs="Arial"/>
          <w:color w:val="212121"/>
          <w:sz w:val="20"/>
          <w:szCs w:val="20"/>
        </w:rPr>
        <w:t>2. Sprovođenje evaluacije:</w:t>
      </w:r>
    </w:p>
    <w:p w14:paraId="4C015672" w14:textId="77777777" w:rsidR="001D2297" w:rsidRPr="001D2297" w:rsidRDefault="001D2297" w:rsidP="001D2297">
      <w:pPr>
        <w:pStyle w:val="ListParagraph"/>
        <w:numPr>
          <w:ilvl w:val="0"/>
          <w:numId w:val="52"/>
        </w:numPr>
        <w:shd w:val="clear" w:color="auto" w:fill="FFFFFF"/>
        <w:jc w:val="both"/>
        <w:rPr>
          <w:rFonts w:ascii="Arial" w:hAnsi="Arial" w:cs="Arial"/>
          <w:color w:val="212121"/>
          <w:sz w:val="20"/>
          <w:szCs w:val="20"/>
        </w:rPr>
      </w:pPr>
      <w:r w:rsidRPr="001D2297">
        <w:rPr>
          <w:rFonts w:ascii="Arial" w:hAnsi="Arial" w:cs="Arial"/>
          <w:color w:val="212121"/>
          <w:sz w:val="20"/>
          <w:szCs w:val="20"/>
        </w:rPr>
        <w:t xml:space="preserve">Pregledati godišnje izveštaje i konačni izveštaj o sprovođenju Nacionalnog programa zaštite potrošača </w:t>
      </w:r>
    </w:p>
    <w:p w14:paraId="7A58E671" w14:textId="61AD2F6D" w:rsidR="001D2297" w:rsidRPr="001D2297" w:rsidRDefault="001D2297" w:rsidP="001D2297">
      <w:pPr>
        <w:pStyle w:val="ListParagraph"/>
        <w:numPr>
          <w:ilvl w:val="0"/>
          <w:numId w:val="52"/>
        </w:numPr>
        <w:shd w:val="clear" w:color="auto" w:fill="FFFFFF"/>
        <w:jc w:val="both"/>
        <w:rPr>
          <w:rFonts w:ascii="Arial" w:hAnsi="Arial" w:cs="Arial"/>
          <w:color w:val="212121"/>
          <w:sz w:val="20"/>
          <w:szCs w:val="20"/>
        </w:rPr>
      </w:pPr>
      <w:r w:rsidRPr="001D2297">
        <w:rPr>
          <w:rFonts w:ascii="Arial" w:hAnsi="Arial" w:cs="Arial"/>
          <w:color w:val="212121"/>
          <w:sz w:val="20"/>
          <w:szCs w:val="20"/>
        </w:rPr>
        <w:t>Program i akcioni planovi.</w:t>
      </w:r>
    </w:p>
    <w:p w14:paraId="3F8D79A8" w14:textId="69B04F15" w:rsidR="001D2297" w:rsidRPr="001D2297" w:rsidRDefault="001D2297" w:rsidP="001D2297">
      <w:pPr>
        <w:pStyle w:val="ListParagraph"/>
        <w:numPr>
          <w:ilvl w:val="0"/>
          <w:numId w:val="52"/>
        </w:numPr>
        <w:shd w:val="clear" w:color="auto" w:fill="FFFFFF"/>
        <w:jc w:val="both"/>
        <w:rPr>
          <w:rFonts w:ascii="Arial" w:hAnsi="Arial" w:cs="Arial"/>
          <w:color w:val="212121"/>
          <w:sz w:val="20"/>
          <w:szCs w:val="20"/>
        </w:rPr>
      </w:pPr>
      <w:r w:rsidRPr="001D2297">
        <w:rPr>
          <w:rFonts w:ascii="Arial" w:hAnsi="Arial" w:cs="Arial"/>
          <w:color w:val="212121"/>
          <w:sz w:val="20"/>
          <w:szCs w:val="20"/>
        </w:rPr>
        <w:t>Proceniti postignute rezultate u odnosu na definisane indikatore.</w:t>
      </w:r>
    </w:p>
    <w:p w14:paraId="3180FE92" w14:textId="6BF2F8EE" w:rsidR="001D2297" w:rsidRPr="001D2297" w:rsidRDefault="001D2297" w:rsidP="001D2297">
      <w:pPr>
        <w:pStyle w:val="ListParagraph"/>
        <w:numPr>
          <w:ilvl w:val="0"/>
          <w:numId w:val="52"/>
        </w:numPr>
        <w:shd w:val="clear" w:color="auto" w:fill="FFFFFF"/>
        <w:jc w:val="both"/>
        <w:rPr>
          <w:rFonts w:ascii="Arial" w:hAnsi="Arial" w:cs="Arial"/>
          <w:color w:val="212121"/>
          <w:sz w:val="20"/>
          <w:szCs w:val="20"/>
        </w:rPr>
      </w:pPr>
      <w:r w:rsidRPr="001D2297">
        <w:rPr>
          <w:rFonts w:ascii="Arial" w:hAnsi="Arial" w:cs="Arial"/>
          <w:color w:val="212121"/>
          <w:sz w:val="20"/>
          <w:szCs w:val="20"/>
        </w:rPr>
        <w:t>Analizirati razvoj okvira EU za zaštitu potrošača tokom sprovođenja Programa.</w:t>
      </w:r>
    </w:p>
    <w:p w14:paraId="5BC1BBFE" w14:textId="01C4458F" w:rsidR="001D2297" w:rsidRPr="001D2297" w:rsidRDefault="001D2297" w:rsidP="001D2297">
      <w:pPr>
        <w:pStyle w:val="ListParagraph"/>
        <w:numPr>
          <w:ilvl w:val="0"/>
          <w:numId w:val="52"/>
        </w:numPr>
        <w:shd w:val="clear" w:color="auto" w:fill="FFFFFF"/>
        <w:jc w:val="both"/>
        <w:rPr>
          <w:rFonts w:ascii="Arial" w:hAnsi="Arial" w:cs="Arial"/>
          <w:color w:val="212121"/>
          <w:sz w:val="20"/>
          <w:szCs w:val="20"/>
          <w:lang w:val="sr-Latn-RS"/>
        </w:rPr>
      </w:pPr>
      <w:r w:rsidRPr="001D2297">
        <w:rPr>
          <w:rFonts w:ascii="Arial" w:hAnsi="Arial" w:cs="Arial"/>
          <w:color w:val="212121"/>
          <w:sz w:val="20"/>
          <w:szCs w:val="20"/>
        </w:rPr>
        <w:t xml:space="preserve">Proceniti napredak u vezi sa specifičnim indikatorima, </w:t>
      </w:r>
      <w:proofErr w:type="spellStart"/>
      <w:r w:rsidRPr="001D2297">
        <w:rPr>
          <w:rFonts w:ascii="Arial" w:hAnsi="Arial" w:cs="Arial"/>
          <w:color w:val="212121"/>
          <w:sz w:val="20"/>
          <w:szCs w:val="20"/>
        </w:rPr>
        <w:t>kao</w:t>
      </w:r>
      <w:proofErr w:type="spellEnd"/>
      <w:r w:rsidRPr="001D2297">
        <w:rPr>
          <w:rFonts w:ascii="Arial" w:hAnsi="Arial" w:cs="Arial"/>
          <w:color w:val="212121"/>
          <w:sz w:val="20"/>
          <w:szCs w:val="20"/>
        </w:rPr>
        <w:t xml:space="preserve"> </w:t>
      </w:r>
      <w:proofErr w:type="spellStart"/>
      <w:r w:rsidRPr="001D2297">
        <w:rPr>
          <w:rFonts w:ascii="Arial" w:hAnsi="Arial" w:cs="Arial"/>
          <w:color w:val="212121"/>
          <w:sz w:val="20"/>
          <w:szCs w:val="20"/>
        </w:rPr>
        <w:t>što</w:t>
      </w:r>
      <w:proofErr w:type="spellEnd"/>
      <w:r w:rsidRPr="001D2297">
        <w:rPr>
          <w:rFonts w:ascii="Arial" w:hAnsi="Arial" w:cs="Arial"/>
          <w:color w:val="212121"/>
          <w:sz w:val="20"/>
          <w:szCs w:val="20"/>
        </w:rPr>
        <w:t xml:space="preserve"> je </w:t>
      </w:r>
      <w:proofErr w:type="spellStart"/>
      <w:r w:rsidRPr="001D2297">
        <w:rPr>
          <w:rFonts w:ascii="Arial" w:hAnsi="Arial" w:cs="Arial"/>
          <w:color w:val="212121"/>
          <w:sz w:val="20"/>
          <w:szCs w:val="20"/>
        </w:rPr>
        <w:t>povećanje</w:t>
      </w:r>
      <w:proofErr w:type="spellEnd"/>
      <w:r w:rsidRPr="001D2297">
        <w:rPr>
          <w:rFonts w:ascii="Arial" w:hAnsi="Arial" w:cs="Arial"/>
          <w:color w:val="212121"/>
          <w:sz w:val="20"/>
          <w:szCs w:val="20"/>
        </w:rPr>
        <w:t xml:space="preserve"> </w:t>
      </w:r>
      <w:proofErr w:type="spellStart"/>
      <w:r w:rsidRPr="001D2297">
        <w:rPr>
          <w:rFonts w:ascii="Arial" w:hAnsi="Arial" w:cs="Arial"/>
          <w:color w:val="212121"/>
          <w:sz w:val="20"/>
          <w:szCs w:val="20"/>
        </w:rPr>
        <w:t>svesti</w:t>
      </w:r>
      <w:proofErr w:type="spellEnd"/>
      <w:r w:rsidRPr="001D2297">
        <w:rPr>
          <w:rFonts w:ascii="Arial" w:hAnsi="Arial" w:cs="Arial"/>
          <w:color w:val="212121"/>
          <w:sz w:val="20"/>
          <w:szCs w:val="20"/>
        </w:rPr>
        <w:t xml:space="preserve"> </w:t>
      </w:r>
      <w:proofErr w:type="spellStart"/>
      <w:r w:rsidRPr="001D2297">
        <w:rPr>
          <w:rFonts w:ascii="Arial" w:hAnsi="Arial" w:cs="Arial"/>
          <w:color w:val="212121"/>
          <w:sz w:val="20"/>
          <w:szCs w:val="20"/>
        </w:rPr>
        <w:t>potrošača</w:t>
      </w:r>
      <w:proofErr w:type="spellEnd"/>
      <w:r w:rsidRPr="001D2297">
        <w:rPr>
          <w:rFonts w:ascii="Arial" w:hAnsi="Arial" w:cs="Arial"/>
          <w:color w:val="212121"/>
          <w:sz w:val="20"/>
          <w:szCs w:val="20"/>
        </w:rPr>
        <w:t>.</w:t>
      </w:r>
    </w:p>
    <w:p w14:paraId="26A5AC4F" w14:textId="77777777" w:rsidR="001D2297" w:rsidRDefault="001D2297" w:rsidP="001D2297">
      <w:pPr>
        <w:shd w:val="clear" w:color="auto" w:fill="FFFFFF"/>
        <w:jc w:val="both"/>
        <w:rPr>
          <w:rFonts w:ascii="Arial" w:hAnsi="Arial" w:cs="Arial"/>
          <w:color w:val="212121"/>
          <w:sz w:val="20"/>
          <w:szCs w:val="20"/>
        </w:rPr>
      </w:pPr>
    </w:p>
    <w:p w14:paraId="12C55915" w14:textId="742C3FA9" w:rsidR="001D2297" w:rsidRDefault="001D2297" w:rsidP="001D2297">
      <w:pPr>
        <w:shd w:val="clear" w:color="auto" w:fill="FFFFFF"/>
        <w:jc w:val="both"/>
        <w:rPr>
          <w:rFonts w:ascii="Arial" w:hAnsi="Arial" w:cs="Arial"/>
          <w:color w:val="212121"/>
          <w:sz w:val="20"/>
          <w:szCs w:val="20"/>
        </w:rPr>
      </w:pPr>
      <w:r>
        <w:rPr>
          <w:rFonts w:ascii="Arial" w:hAnsi="Arial" w:cs="Arial"/>
          <w:color w:val="212121"/>
          <w:sz w:val="20"/>
          <w:szCs w:val="20"/>
        </w:rPr>
        <w:t xml:space="preserve">3. Nacrt i Finalni </w:t>
      </w:r>
      <w:r w:rsidR="00842EDB">
        <w:rPr>
          <w:rFonts w:ascii="Arial" w:hAnsi="Arial" w:cs="Arial"/>
          <w:color w:val="212121"/>
          <w:sz w:val="20"/>
          <w:szCs w:val="20"/>
        </w:rPr>
        <w:t>izveštaj o evaluaciji</w:t>
      </w:r>
    </w:p>
    <w:p w14:paraId="5DB8E284" w14:textId="77777777" w:rsidR="001D2297" w:rsidRPr="001D2297" w:rsidRDefault="001D2297" w:rsidP="001D2297">
      <w:pPr>
        <w:pStyle w:val="ListParagraph"/>
        <w:numPr>
          <w:ilvl w:val="0"/>
          <w:numId w:val="53"/>
        </w:numPr>
        <w:shd w:val="clear" w:color="auto" w:fill="FFFFFF"/>
        <w:jc w:val="both"/>
        <w:rPr>
          <w:rFonts w:ascii="Arial" w:hAnsi="Arial" w:cs="Arial"/>
          <w:color w:val="212121"/>
          <w:sz w:val="20"/>
          <w:szCs w:val="20"/>
        </w:rPr>
      </w:pPr>
      <w:r w:rsidRPr="001D2297">
        <w:rPr>
          <w:rFonts w:ascii="Arial" w:hAnsi="Arial" w:cs="Arial"/>
          <w:color w:val="212121"/>
          <w:sz w:val="20"/>
          <w:szCs w:val="20"/>
        </w:rPr>
        <w:t>Obezbediti sveobuhvatnu procenu efikasnosti, delotvornosti, relevantnosti, koherentnosti i uticaja politike.</w:t>
      </w:r>
    </w:p>
    <w:p w14:paraId="2C679C4F" w14:textId="0B609034" w:rsidR="001D2297" w:rsidRPr="001D2297" w:rsidRDefault="001D2297" w:rsidP="001D2297">
      <w:pPr>
        <w:pStyle w:val="ListParagraph"/>
        <w:numPr>
          <w:ilvl w:val="0"/>
          <w:numId w:val="53"/>
        </w:numPr>
        <w:shd w:val="clear" w:color="auto" w:fill="FFFFFF"/>
        <w:jc w:val="both"/>
        <w:rPr>
          <w:rFonts w:ascii="Arial" w:hAnsi="Arial" w:cs="Arial"/>
          <w:color w:val="212121"/>
          <w:sz w:val="20"/>
          <w:szCs w:val="20"/>
          <w:lang w:val="sr-Latn-RS"/>
        </w:rPr>
      </w:pPr>
      <w:r w:rsidRPr="001D2297">
        <w:rPr>
          <w:rFonts w:ascii="Arial" w:hAnsi="Arial" w:cs="Arial"/>
          <w:color w:val="212121"/>
          <w:sz w:val="20"/>
          <w:szCs w:val="20"/>
        </w:rPr>
        <w:t xml:space="preserve">Predstaviti </w:t>
      </w:r>
      <w:proofErr w:type="spellStart"/>
      <w:r w:rsidRPr="001D2297">
        <w:rPr>
          <w:rFonts w:ascii="Arial" w:hAnsi="Arial" w:cs="Arial"/>
          <w:color w:val="212121"/>
          <w:sz w:val="20"/>
          <w:szCs w:val="20"/>
        </w:rPr>
        <w:t>jasne</w:t>
      </w:r>
      <w:proofErr w:type="spellEnd"/>
      <w:r w:rsidRPr="001D2297">
        <w:rPr>
          <w:rFonts w:ascii="Arial" w:hAnsi="Arial" w:cs="Arial"/>
          <w:color w:val="212121"/>
          <w:sz w:val="20"/>
          <w:szCs w:val="20"/>
        </w:rPr>
        <w:t xml:space="preserve"> </w:t>
      </w:r>
      <w:proofErr w:type="spellStart"/>
      <w:r w:rsidRPr="001D2297">
        <w:rPr>
          <w:rFonts w:ascii="Arial" w:hAnsi="Arial" w:cs="Arial"/>
          <w:color w:val="212121"/>
          <w:sz w:val="20"/>
          <w:szCs w:val="20"/>
        </w:rPr>
        <w:t>preporuke</w:t>
      </w:r>
      <w:proofErr w:type="spellEnd"/>
      <w:r w:rsidRPr="001D2297">
        <w:rPr>
          <w:rFonts w:ascii="Arial" w:hAnsi="Arial" w:cs="Arial"/>
          <w:color w:val="212121"/>
          <w:sz w:val="20"/>
          <w:szCs w:val="20"/>
        </w:rPr>
        <w:t xml:space="preserve"> za </w:t>
      </w:r>
      <w:proofErr w:type="spellStart"/>
      <w:r w:rsidRPr="001D2297">
        <w:rPr>
          <w:rFonts w:ascii="Arial" w:hAnsi="Arial" w:cs="Arial"/>
          <w:color w:val="212121"/>
          <w:sz w:val="20"/>
          <w:szCs w:val="20"/>
        </w:rPr>
        <w:t>buduće</w:t>
      </w:r>
      <w:proofErr w:type="spellEnd"/>
      <w:r w:rsidRPr="001D2297">
        <w:rPr>
          <w:rFonts w:ascii="Arial" w:hAnsi="Arial" w:cs="Arial"/>
          <w:color w:val="212121"/>
          <w:sz w:val="20"/>
          <w:szCs w:val="20"/>
        </w:rPr>
        <w:t xml:space="preserve"> </w:t>
      </w:r>
      <w:proofErr w:type="spellStart"/>
      <w:r w:rsidRPr="001D2297">
        <w:rPr>
          <w:rFonts w:ascii="Arial" w:hAnsi="Arial" w:cs="Arial"/>
          <w:color w:val="212121"/>
          <w:sz w:val="20"/>
          <w:szCs w:val="20"/>
        </w:rPr>
        <w:t>strategije</w:t>
      </w:r>
      <w:proofErr w:type="spellEnd"/>
      <w:r w:rsidRPr="001D2297">
        <w:rPr>
          <w:rFonts w:ascii="Arial" w:hAnsi="Arial" w:cs="Arial"/>
          <w:color w:val="212121"/>
          <w:sz w:val="20"/>
          <w:szCs w:val="20"/>
        </w:rPr>
        <w:t xml:space="preserve">, </w:t>
      </w:r>
      <w:proofErr w:type="spellStart"/>
      <w:r w:rsidRPr="001D2297">
        <w:rPr>
          <w:rFonts w:ascii="Arial" w:hAnsi="Arial" w:cs="Arial"/>
          <w:color w:val="212121"/>
          <w:sz w:val="20"/>
          <w:szCs w:val="20"/>
        </w:rPr>
        <w:t>fokusirajući</w:t>
      </w:r>
      <w:proofErr w:type="spellEnd"/>
      <w:r w:rsidRPr="001D2297">
        <w:rPr>
          <w:rFonts w:ascii="Arial" w:hAnsi="Arial" w:cs="Arial"/>
          <w:color w:val="212121"/>
          <w:sz w:val="20"/>
          <w:szCs w:val="20"/>
        </w:rPr>
        <w:t xml:space="preserve"> se na održivost i integraciju u EU.</w:t>
      </w:r>
    </w:p>
    <w:p w14:paraId="2A849733" w14:textId="77777777" w:rsidR="008B7B56" w:rsidRPr="008B7B56" w:rsidRDefault="008B7B56" w:rsidP="008B7B56">
      <w:pPr>
        <w:pStyle w:val="ListParagraph"/>
        <w:shd w:val="clear" w:color="auto" w:fill="FFFFFF"/>
        <w:jc w:val="both"/>
        <w:rPr>
          <w:rFonts w:ascii="Arial" w:hAnsi="Arial" w:cs="Arial"/>
          <w:color w:val="212121"/>
          <w:sz w:val="20"/>
          <w:szCs w:val="20"/>
        </w:rPr>
      </w:pPr>
    </w:p>
    <w:p w14:paraId="66252D51" w14:textId="7C9355B3" w:rsidR="001D2297" w:rsidRPr="001D2297" w:rsidRDefault="001D2297" w:rsidP="001D2297">
      <w:pPr>
        <w:jc w:val="both"/>
        <w:rPr>
          <w:rFonts w:ascii="Arial" w:hAnsi="Arial" w:cs="Arial"/>
          <w:color w:val="212121"/>
          <w:sz w:val="20"/>
          <w:szCs w:val="20"/>
        </w:rPr>
      </w:pPr>
      <w:proofErr w:type="spellStart"/>
      <w:r w:rsidRPr="001D2297">
        <w:rPr>
          <w:rFonts w:ascii="Arial" w:hAnsi="Arial" w:cs="Arial"/>
          <w:color w:val="212121"/>
          <w:sz w:val="20"/>
          <w:szCs w:val="20"/>
        </w:rPr>
        <w:t>ToR</w:t>
      </w:r>
      <w:proofErr w:type="spellEnd"/>
      <w:r w:rsidRPr="001D2297">
        <w:rPr>
          <w:rFonts w:ascii="Arial" w:hAnsi="Arial" w:cs="Arial"/>
          <w:color w:val="212121"/>
          <w:sz w:val="20"/>
          <w:szCs w:val="20"/>
        </w:rPr>
        <w:t xml:space="preserve"> jasno navodi očekivane rezultate i njihov očekivani redosled isporuke, počevši od početnog izveštaja, nakon čega sledi analitički rad koji bi trebalo da rezultira blagovremenom isporukom nacrta izveštaja o evaluaciji. Konačno, konačni izveštaj o evaluaciji se priprema i dostavlja nakon prijema komentara na nacrt izveštaja od strane UNDP </w:t>
      </w:r>
      <w:r>
        <w:rPr>
          <w:rFonts w:ascii="Arial" w:hAnsi="Arial" w:cs="Arial"/>
          <w:color w:val="212121"/>
          <w:sz w:val="20"/>
          <w:szCs w:val="20"/>
        </w:rPr>
        <w:t>Crna Gora</w:t>
      </w:r>
      <w:r w:rsidRPr="001D2297">
        <w:rPr>
          <w:rFonts w:ascii="Arial" w:hAnsi="Arial" w:cs="Arial"/>
          <w:color w:val="212121"/>
          <w:sz w:val="20"/>
          <w:szCs w:val="20"/>
        </w:rPr>
        <w:t xml:space="preserve"> i ME</w:t>
      </w:r>
      <w:r>
        <w:rPr>
          <w:rFonts w:ascii="Arial" w:hAnsi="Arial" w:cs="Arial"/>
          <w:color w:val="212121"/>
          <w:sz w:val="20"/>
          <w:szCs w:val="20"/>
        </w:rPr>
        <w:t>R</w:t>
      </w:r>
      <w:r w:rsidRPr="001D2297">
        <w:rPr>
          <w:rFonts w:ascii="Arial" w:hAnsi="Arial" w:cs="Arial"/>
          <w:color w:val="212121"/>
          <w:sz w:val="20"/>
          <w:szCs w:val="20"/>
        </w:rPr>
        <w:t xml:space="preserve"> i usklađivanja sadržaja na osnovu tih komentara. </w:t>
      </w:r>
      <w:proofErr w:type="spellStart"/>
      <w:r>
        <w:rPr>
          <w:rFonts w:ascii="Arial" w:hAnsi="Arial" w:cs="Arial"/>
          <w:color w:val="212121"/>
          <w:sz w:val="20"/>
          <w:szCs w:val="20"/>
        </w:rPr>
        <w:t>ToR</w:t>
      </w:r>
      <w:proofErr w:type="spellEnd"/>
      <w:r w:rsidRPr="001D2297">
        <w:rPr>
          <w:rFonts w:ascii="Arial" w:hAnsi="Arial" w:cs="Arial"/>
          <w:color w:val="212121"/>
          <w:sz w:val="20"/>
          <w:szCs w:val="20"/>
        </w:rPr>
        <w:t xml:space="preserve"> je dostupan kao Aneks IV. </w:t>
      </w:r>
      <w:proofErr w:type="spellStart"/>
      <w:r>
        <w:rPr>
          <w:rFonts w:ascii="Arial" w:hAnsi="Arial" w:cs="Arial"/>
          <w:color w:val="212121"/>
          <w:sz w:val="20"/>
          <w:szCs w:val="20"/>
        </w:rPr>
        <w:t>Terms</w:t>
      </w:r>
      <w:proofErr w:type="spellEnd"/>
      <w:r>
        <w:rPr>
          <w:rFonts w:ascii="Arial" w:hAnsi="Arial" w:cs="Arial"/>
          <w:color w:val="212121"/>
          <w:sz w:val="20"/>
          <w:szCs w:val="20"/>
        </w:rPr>
        <w:t xml:space="preserve"> </w:t>
      </w:r>
      <w:proofErr w:type="spellStart"/>
      <w:r>
        <w:rPr>
          <w:rFonts w:ascii="Arial" w:hAnsi="Arial" w:cs="Arial"/>
          <w:color w:val="212121"/>
          <w:sz w:val="20"/>
          <w:szCs w:val="20"/>
        </w:rPr>
        <w:t>of</w:t>
      </w:r>
      <w:proofErr w:type="spellEnd"/>
      <w:r>
        <w:rPr>
          <w:rFonts w:ascii="Arial" w:hAnsi="Arial" w:cs="Arial"/>
          <w:color w:val="212121"/>
          <w:sz w:val="20"/>
          <w:szCs w:val="20"/>
        </w:rPr>
        <w:t xml:space="preserve"> Reference</w:t>
      </w:r>
      <w:r w:rsidRPr="001D2297">
        <w:rPr>
          <w:rFonts w:ascii="Arial" w:hAnsi="Arial" w:cs="Arial"/>
          <w:color w:val="212121"/>
          <w:sz w:val="20"/>
          <w:szCs w:val="20"/>
        </w:rPr>
        <w:t>.</w:t>
      </w:r>
    </w:p>
    <w:p w14:paraId="5D0E30BF" w14:textId="43065A7D" w:rsidR="00D21816" w:rsidRPr="00905010" w:rsidRDefault="001D2297" w:rsidP="000B4109">
      <w:pPr>
        <w:jc w:val="both"/>
        <w:rPr>
          <w:rFonts w:ascii="Arial" w:hAnsi="Arial" w:cs="Arial"/>
          <w:color w:val="212121"/>
          <w:sz w:val="20"/>
          <w:szCs w:val="20"/>
        </w:rPr>
      </w:pPr>
      <w:r w:rsidRPr="001D2297">
        <w:rPr>
          <w:rFonts w:ascii="Arial" w:hAnsi="Arial" w:cs="Arial"/>
          <w:color w:val="212121"/>
          <w:sz w:val="20"/>
          <w:szCs w:val="20"/>
        </w:rPr>
        <w:t xml:space="preserve">Konačni izveštaj o evaluaciji služi kao osnovni dokument za buduće politike zaštite potrošača i kao takav, sadržaće preporuke za sadržaj budućih politika i mera za obezbeđivanje kvalitetnog MEL sistema i adekvatne upravljačke strukture za kontinuirano </w:t>
      </w:r>
      <w:proofErr w:type="spellStart"/>
      <w:r w:rsidRPr="001D2297">
        <w:rPr>
          <w:rFonts w:ascii="Arial" w:hAnsi="Arial" w:cs="Arial"/>
          <w:color w:val="212121"/>
          <w:sz w:val="20"/>
          <w:szCs w:val="20"/>
        </w:rPr>
        <w:t>ex</w:t>
      </w:r>
      <w:proofErr w:type="spellEnd"/>
      <w:r w:rsidRPr="001D2297">
        <w:rPr>
          <w:rFonts w:ascii="Arial" w:hAnsi="Arial" w:cs="Arial"/>
          <w:color w:val="212121"/>
          <w:sz w:val="20"/>
          <w:szCs w:val="20"/>
        </w:rPr>
        <w:t>-post praćenje postignutih rezultata.</w:t>
      </w:r>
    </w:p>
    <w:p w14:paraId="36C7DE37" w14:textId="6F4C74FD" w:rsidR="00C43234" w:rsidRDefault="00842EDB" w:rsidP="00D21816">
      <w:pPr>
        <w:pStyle w:val="Heading1"/>
        <w:rPr>
          <w:rFonts w:ascii="Arial" w:hAnsi="Arial"/>
          <w:b/>
          <w:bCs/>
          <w:i/>
          <w:iCs/>
          <w:szCs w:val="18"/>
          <w:lang w:val="sr-Latn-RS"/>
        </w:rPr>
      </w:pPr>
      <w:bookmarkStart w:id="4" w:name="_Toc199479348"/>
      <w:r w:rsidRPr="00842EDB">
        <w:rPr>
          <w:rFonts w:ascii="Arial" w:hAnsi="Arial"/>
          <w:b/>
          <w:bCs/>
          <w:i/>
          <w:iCs/>
          <w:szCs w:val="18"/>
          <w:lang w:val="sr-Latn-RS"/>
        </w:rPr>
        <w:t>Metodološki pristup</w:t>
      </w:r>
      <w:bookmarkEnd w:id="4"/>
    </w:p>
    <w:p w14:paraId="2BA57BF5" w14:textId="2C474295" w:rsidR="00842EDB" w:rsidRDefault="00842EDB" w:rsidP="00842EDB">
      <w:pPr>
        <w:jc w:val="both"/>
        <w:rPr>
          <w:rFonts w:ascii="Arial" w:hAnsi="Arial" w:cs="Arial"/>
          <w:sz w:val="20"/>
          <w:szCs w:val="20"/>
          <w:lang w:eastAsia="de-DE"/>
        </w:rPr>
      </w:pPr>
      <w:r>
        <w:rPr>
          <w:rFonts w:ascii="Arial" w:hAnsi="Arial" w:cs="Arial"/>
          <w:sz w:val="20"/>
          <w:szCs w:val="20"/>
          <w:lang w:eastAsia="de-DE"/>
        </w:rPr>
        <w:t>U cilju sprovođenja FE Programa</w:t>
      </w:r>
      <w:r w:rsidRPr="00842EDB">
        <w:rPr>
          <w:rFonts w:ascii="Arial" w:hAnsi="Arial" w:cs="Arial"/>
          <w:sz w:val="20"/>
          <w:szCs w:val="20"/>
          <w:lang w:eastAsia="de-DE"/>
        </w:rPr>
        <w:t xml:space="preserve"> primenjen je pristup zasnovan na dokazima, fokusirajući se na prikupljanje i analizu podataka o ciljevima i rezultatima </w:t>
      </w:r>
      <w:r>
        <w:rPr>
          <w:rFonts w:ascii="Arial" w:hAnsi="Arial" w:cs="Arial"/>
          <w:sz w:val="20"/>
          <w:szCs w:val="20"/>
          <w:lang w:eastAsia="de-DE"/>
        </w:rPr>
        <w:t>NPZP</w:t>
      </w:r>
      <w:r w:rsidRPr="00842EDB">
        <w:rPr>
          <w:rFonts w:ascii="Arial" w:hAnsi="Arial" w:cs="Arial"/>
          <w:sz w:val="20"/>
          <w:szCs w:val="20"/>
          <w:lang w:eastAsia="de-DE"/>
        </w:rPr>
        <w:t xml:space="preserve">, u skladu sa kriterijumima za evaluaciju i ključnim pitanjima za evaluaciju. Dokazi će informisati UNDP </w:t>
      </w:r>
      <w:r>
        <w:rPr>
          <w:rFonts w:ascii="Arial" w:hAnsi="Arial" w:cs="Arial"/>
          <w:sz w:val="20"/>
          <w:szCs w:val="20"/>
          <w:lang w:eastAsia="de-DE"/>
        </w:rPr>
        <w:t>CG</w:t>
      </w:r>
      <w:r w:rsidRPr="00842EDB">
        <w:rPr>
          <w:rFonts w:ascii="Arial" w:hAnsi="Arial" w:cs="Arial"/>
          <w:sz w:val="20"/>
          <w:szCs w:val="20"/>
          <w:lang w:eastAsia="de-DE"/>
        </w:rPr>
        <w:t>, ME</w:t>
      </w:r>
      <w:r>
        <w:rPr>
          <w:rFonts w:ascii="Arial" w:hAnsi="Arial" w:cs="Arial"/>
          <w:sz w:val="20"/>
          <w:szCs w:val="20"/>
          <w:lang w:eastAsia="de-DE"/>
        </w:rPr>
        <w:t>R</w:t>
      </w:r>
      <w:r w:rsidRPr="00842EDB">
        <w:rPr>
          <w:rFonts w:ascii="Arial" w:hAnsi="Arial" w:cs="Arial"/>
          <w:sz w:val="20"/>
          <w:szCs w:val="20"/>
          <w:lang w:eastAsia="de-DE"/>
        </w:rPr>
        <w:t xml:space="preserve">, </w:t>
      </w:r>
      <w:proofErr w:type="spellStart"/>
      <w:r w:rsidRPr="00842EDB">
        <w:rPr>
          <w:rFonts w:ascii="Arial" w:hAnsi="Arial" w:cs="Arial"/>
          <w:sz w:val="20"/>
          <w:szCs w:val="20"/>
          <w:lang w:eastAsia="de-DE"/>
        </w:rPr>
        <w:t>implementacione</w:t>
      </w:r>
      <w:proofErr w:type="spellEnd"/>
      <w:r w:rsidRPr="00842EDB">
        <w:rPr>
          <w:rFonts w:ascii="Arial" w:hAnsi="Arial" w:cs="Arial"/>
          <w:sz w:val="20"/>
          <w:szCs w:val="20"/>
          <w:lang w:eastAsia="de-DE"/>
        </w:rPr>
        <w:t xml:space="preserve"> partnere i druge zainteresovane strane (javne i privatne) o konačnim rezultatima strategije, posebno o efektima sprovedenih mera i radnji koje su izvršene radi postizanja rezultata. Metodološki koraci predloženi za </w:t>
      </w:r>
      <w:r w:rsidRPr="00842EDB">
        <w:rPr>
          <w:rFonts w:ascii="Arial" w:hAnsi="Arial" w:cs="Arial"/>
          <w:sz w:val="20"/>
          <w:szCs w:val="20"/>
          <w:lang w:eastAsia="de-DE"/>
        </w:rPr>
        <w:lastRenderedPageBreak/>
        <w:t xml:space="preserve">obavljanje zadataka ovog zadatka sažeto su predstavljeni u nastavku, a potom su detaljnije opisani, zajedno sa prezentacijom glavnog alata za prikupljanje podataka koji je primenjen tokom </w:t>
      </w:r>
      <w:r>
        <w:rPr>
          <w:rFonts w:ascii="Arial" w:hAnsi="Arial" w:cs="Arial"/>
          <w:sz w:val="20"/>
          <w:szCs w:val="20"/>
          <w:lang w:eastAsia="de-DE"/>
        </w:rPr>
        <w:t>FE</w:t>
      </w:r>
      <w:r w:rsidRPr="00842EDB">
        <w:rPr>
          <w:rFonts w:ascii="Arial" w:hAnsi="Arial" w:cs="Arial"/>
          <w:sz w:val="20"/>
          <w:szCs w:val="20"/>
          <w:lang w:eastAsia="de-DE"/>
        </w:rPr>
        <w:t>.</w:t>
      </w:r>
    </w:p>
    <w:p w14:paraId="3482C908" w14:textId="2539C563" w:rsidR="00842EDB" w:rsidRPr="00842EDB" w:rsidRDefault="00842EDB" w:rsidP="00842EDB">
      <w:pPr>
        <w:jc w:val="both"/>
        <w:rPr>
          <w:rFonts w:ascii="Arial" w:hAnsi="Arial" w:cs="Arial"/>
          <w:sz w:val="20"/>
          <w:szCs w:val="20"/>
          <w:lang w:eastAsia="de-DE"/>
        </w:rPr>
      </w:pPr>
      <w:r w:rsidRPr="00842EDB">
        <w:rPr>
          <w:rFonts w:ascii="Arial" w:hAnsi="Arial" w:cs="Arial"/>
          <w:sz w:val="20"/>
          <w:szCs w:val="20"/>
          <w:lang w:eastAsia="de-DE"/>
        </w:rPr>
        <w:t xml:space="preserve">Prvo je izvršena analiza dokumenata kako bi se prikupili relevantni podaci dostupni </w:t>
      </w:r>
      <w:r>
        <w:rPr>
          <w:rFonts w:ascii="Arial" w:hAnsi="Arial" w:cs="Arial"/>
          <w:sz w:val="20"/>
          <w:szCs w:val="20"/>
          <w:lang w:eastAsia="de-DE"/>
        </w:rPr>
        <w:t>desk</w:t>
      </w:r>
      <w:r w:rsidRPr="00842EDB">
        <w:rPr>
          <w:rFonts w:ascii="Arial" w:hAnsi="Arial" w:cs="Arial"/>
          <w:sz w:val="20"/>
          <w:szCs w:val="20"/>
          <w:lang w:eastAsia="de-DE"/>
        </w:rPr>
        <w:t xml:space="preserve"> istraživanja. Nakon toga, sproveden je konsultativni proces sa predstavnicima </w:t>
      </w:r>
      <w:r>
        <w:rPr>
          <w:rFonts w:ascii="Arial" w:hAnsi="Arial" w:cs="Arial"/>
          <w:sz w:val="20"/>
          <w:szCs w:val="20"/>
          <w:lang w:eastAsia="de-DE"/>
        </w:rPr>
        <w:t>MER</w:t>
      </w:r>
      <w:r w:rsidRPr="00842EDB">
        <w:rPr>
          <w:rFonts w:ascii="Arial" w:hAnsi="Arial" w:cs="Arial"/>
          <w:sz w:val="20"/>
          <w:szCs w:val="20"/>
          <w:lang w:eastAsia="de-DE"/>
        </w:rPr>
        <w:t xml:space="preserve"> kao sredstvo za određivanje obima i oblikovanja FE i prikupljanje odgovarajućih podataka o logičkom modelu, kao i indikatorima učinka i ciljevima </w:t>
      </w:r>
      <w:r>
        <w:rPr>
          <w:rFonts w:ascii="Arial" w:hAnsi="Arial" w:cs="Arial"/>
          <w:sz w:val="20"/>
          <w:szCs w:val="20"/>
          <w:lang w:eastAsia="de-DE"/>
        </w:rPr>
        <w:t>NPZP</w:t>
      </w:r>
      <w:r w:rsidRPr="00842EDB">
        <w:rPr>
          <w:rFonts w:ascii="Arial" w:hAnsi="Arial" w:cs="Arial"/>
          <w:sz w:val="20"/>
          <w:szCs w:val="20"/>
          <w:lang w:eastAsia="de-DE"/>
        </w:rPr>
        <w:t>. Nakon toga, nakon početnog određivanja obima, sproveden je konsultativni proces sa ključnim zainteresovanim stranama. Ovaj konsultativni proces podrazumeva primenu sistematskog alata za prikupljanje podataka, koji će omogućiti prezentaciju nalaza na osnovu relevantnosti, efektivnosti, koherentnosti, rezultata i efikasnosti. Ovo zahteva metodološki strogu procenu:</w:t>
      </w:r>
    </w:p>
    <w:p w14:paraId="5BA60211" w14:textId="45D65A77" w:rsidR="001413CE" w:rsidRPr="00842EDB" w:rsidRDefault="00842EDB" w:rsidP="00842EDB">
      <w:pPr>
        <w:pStyle w:val="Aufzhlung"/>
        <w:ind w:left="567"/>
        <w:rPr>
          <w:rFonts w:ascii="Arial" w:hAnsi="Arial" w:cs="Arial"/>
          <w:sz w:val="20"/>
          <w:lang w:val="sr-Latn-RS"/>
        </w:rPr>
      </w:pPr>
      <w:r w:rsidRPr="00842EDB">
        <w:rPr>
          <w:rFonts w:ascii="Arial" w:hAnsi="Arial" w:cs="Arial"/>
          <w:sz w:val="20"/>
          <w:lang w:val="sr-Latn-RS"/>
        </w:rPr>
        <w:t>Relevantnost NPZP u zadovoljavanju lokalnih potreba u poređenju sa strateškim i specifičnim ciljevima NPZP</w:t>
      </w:r>
      <w:r w:rsidR="001413CE" w:rsidRPr="00842EDB">
        <w:rPr>
          <w:rFonts w:ascii="Arial" w:hAnsi="Arial" w:cs="Arial"/>
          <w:sz w:val="20"/>
          <w:lang w:val="sr-Latn-RS"/>
        </w:rPr>
        <w:t xml:space="preserve">; </w:t>
      </w:r>
    </w:p>
    <w:p w14:paraId="6AA0D9DF" w14:textId="6B8DB93D" w:rsidR="00842EDB" w:rsidRPr="00842EDB" w:rsidRDefault="00842EDB" w:rsidP="00842EDB">
      <w:pPr>
        <w:pStyle w:val="Aufzhlung"/>
        <w:ind w:left="567" w:hanging="312"/>
        <w:rPr>
          <w:rFonts w:ascii="Arial" w:hAnsi="Arial" w:cs="Arial"/>
          <w:sz w:val="20"/>
          <w:lang w:val="sr-Latn-RS"/>
        </w:rPr>
      </w:pPr>
      <w:r w:rsidRPr="00842EDB">
        <w:rPr>
          <w:rFonts w:ascii="Arial" w:hAnsi="Arial" w:cs="Arial"/>
          <w:sz w:val="20"/>
          <w:lang w:val="sr-Latn-RS"/>
        </w:rPr>
        <w:t xml:space="preserve">Efikasnost, koja opisuje sve </w:t>
      </w:r>
      <w:r>
        <w:rPr>
          <w:rFonts w:ascii="Arial" w:hAnsi="Arial" w:cs="Arial"/>
          <w:sz w:val="20"/>
          <w:lang w:val="sr-Latn-RS"/>
        </w:rPr>
        <w:t>identifikovane</w:t>
      </w:r>
      <w:r w:rsidRPr="00842EDB">
        <w:rPr>
          <w:rFonts w:ascii="Arial" w:hAnsi="Arial" w:cs="Arial"/>
          <w:sz w:val="20"/>
          <w:lang w:val="sr-Latn-RS"/>
        </w:rPr>
        <w:t xml:space="preserve"> efekte, direktne i indirektne,</w:t>
      </w:r>
    </w:p>
    <w:p w14:paraId="002C288E" w14:textId="794813D4" w:rsidR="00842EDB" w:rsidRPr="00842EDB" w:rsidRDefault="00842EDB" w:rsidP="00842EDB">
      <w:pPr>
        <w:pStyle w:val="Aufzhlung"/>
        <w:ind w:left="567" w:hanging="312"/>
        <w:rPr>
          <w:rFonts w:ascii="Arial" w:hAnsi="Arial" w:cs="Arial"/>
          <w:sz w:val="20"/>
          <w:lang w:val="sr-Latn-RS"/>
        </w:rPr>
      </w:pPr>
      <w:r w:rsidRPr="00842EDB">
        <w:rPr>
          <w:rFonts w:ascii="Arial" w:hAnsi="Arial" w:cs="Arial"/>
          <w:sz w:val="20"/>
          <w:lang w:val="sr-Latn-RS"/>
        </w:rPr>
        <w:t xml:space="preserve">Rezultati, u odnosu na očekivane ishode svake od ključnih oblasti intervencije </w:t>
      </w:r>
      <w:r>
        <w:rPr>
          <w:rFonts w:ascii="Arial" w:hAnsi="Arial" w:cs="Arial"/>
          <w:sz w:val="20"/>
          <w:lang w:val="sr-Latn-RS"/>
        </w:rPr>
        <w:t>NPZP</w:t>
      </w:r>
      <w:r w:rsidRPr="00842EDB">
        <w:rPr>
          <w:rFonts w:ascii="Arial" w:hAnsi="Arial" w:cs="Arial"/>
          <w:sz w:val="20"/>
          <w:lang w:val="sr-Latn-RS"/>
        </w:rPr>
        <w:t>,</w:t>
      </w:r>
    </w:p>
    <w:p w14:paraId="391C9079" w14:textId="55D807EC" w:rsidR="00842EDB" w:rsidRPr="00842EDB" w:rsidRDefault="00842EDB" w:rsidP="00842EDB">
      <w:pPr>
        <w:pStyle w:val="Aufzhlung"/>
        <w:ind w:left="567" w:hanging="312"/>
        <w:rPr>
          <w:rFonts w:ascii="Arial" w:hAnsi="Arial" w:cs="Arial"/>
          <w:sz w:val="20"/>
          <w:lang w:val="sr-Latn-RS"/>
        </w:rPr>
      </w:pPr>
      <w:r w:rsidRPr="00842EDB">
        <w:rPr>
          <w:rFonts w:ascii="Arial" w:hAnsi="Arial" w:cs="Arial"/>
          <w:sz w:val="20"/>
          <w:lang w:val="sr-Latn-RS"/>
        </w:rPr>
        <w:t xml:space="preserve">Efikasnost operativne strukture i intervencija </w:t>
      </w:r>
      <w:r>
        <w:rPr>
          <w:rFonts w:ascii="Arial" w:hAnsi="Arial" w:cs="Arial"/>
          <w:sz w:val="20"/>
          <w:lang w:val="sr-Latn-RS"/>
        </w:rPr>
        <w:t>NPZP</w:t>
      </w:r>
      <w:r w:rsidRPr="00842EDB">
        <w:rPr>
          <w:rFonts w:ascii="Arial" w:hAnsi="Arial" w:cs="Arial"/>
          <w:sz w:val="20"/>
          <w:lang w:val="sr-Latn-RS"/>
        </w:rPr>
        <w:t xml:space="preserve"> u doprinosu ukupnim dostignućima, i</w:t>
      </w:r>
    </w:p>
    <w:p w14:paraId="54978959" w14:textId="5559F32E" w:rsidR="00842EDB" w:rsidRDefault="00842EDB" w:rsidP="00842EDB">
      <w:pPr>
        <w:pStyle w:val="Aufzhlung"/>
        <w:ind w:left="567" w:hanging="312"/>
        <w:rPr>
          <w:rFonts w:ascii="Arial" w:hAnsi="Arial" w:cs="Arial"/>
          <w:sz w:val="20"/>
          <w:lang w:val="sr-Latn-RS"/>
        </w:rPr>
      </w:pPr>
      <w:r w:rsidRPr="00842EDB">
        <w:rPr>
          <w:rFonts w:ascii="Arial" w:hAnsi="Arial" w:cs="Arial"/>
          <w:sz w:val="20"/>
          <w:lang w:val="sr-Latn-RS"/>
        </w:rPr>
        <w:t xml:space="preserve">Koherentnost različitih aspekata </w:t>
      </w:r>
      <w:r>
        <w:rPr>
          <w:rFonts w:ascii="Arial" w:hAnsi="Arial" w:cs="Arial"/>
          <w:sz w:val="20"/>
          <w:lang w:val="sr-Latn-RS"/>
        </w:rPr>
        <w:t>NPZP</w:t>
      </w:r>
      <w:r w:rsidRPr="00842EDB">
        <w:rPr>
          <w:rFonts w:ascii="Arial" w:hAnsi="Arial" w:cs="Arial"/>
          <w:sz w:val="20"/>
          <w:lang w:val="sr-Latn-RS"/>
        </w:rPr>
        <w:t xml:space="preserve"> (kako interno između aktivnosti, tako i eksterno u poređenju sa drugim sličnim inicijativama koje su usvojene i sprovedene u Crnoj Gori).</w:t>
      </w:r>
    </w:p>
    <w:p w14:paraId="3F2CF850" w14:textId="77777777" w:rsidR="00842EDB" w:rsidRDefault="00842EDB" w:rsidP="00842EDB">
      <w:pPr>
        <w:pStyle w:val="Aufzhlung"/>
        <w:numPr>
          <w:ilvl w:val="0"/>
          <w:numId w:val="0"/>
        </w:numPr>
        <w:ind w:left="1276" w:hanging="340"/>
        <w:rPr>
          <w:rFonts w:ascii="Arial" w:hAnsi="Arial" w:cs="Arial"/>
          <w:sz w:val="20"/>
          <w:lang w:val="sr-Latn-RS"/>
        </w:rPr>
      </w:pPr>
    </w:p>
    <w:p w14:paraId="39F113A5" w14:textId="34F4FB64" w:rsidR="00842EDB" w:rsidRDefault="00842EDB" w:rsidP="00842EDB">
      <w:pPr>
        <w:pStyle w:val="Aufzhlung"/>
        <w:numPr>
          <w:ilvl w:val="0"/>
          <w:numId w:val="0"/>
        </w:numPr>
        <w:rPr>
          <w:rFonts w:ascii="Arial" w:hAnsi="Arial" w:cs="Arial"/>
          <w:sz w:val="20"/>
          <w:lang w:val="sr-Latn-RS"/>
        </w:rPr>
      </w:pPr>
      <w:r w:rsidRPr="00842EDB">
        <w:rPr>
          <w:rFonts w:ascii="Arial" w:hAnsi="Arial" w:cs="Arial"/>
          <w:sz w:val="20"/>
          <w:lang w:val="sr-Latn-RS"/>
        </w:rPr>
        <w:t>Kao deo prvog koraka, sprovedena je analiza dokumenata. Kroz ovaj korak, relevantni dokumenti i akti, uključujući akcione planove, izveštaje o implementaciji, dokumente vezane za pristupanje EU (izveštaje o proširenju, direktive itd.) i sve druge izveštaje o evaluaciji koji su relevantni za sprovođenje ak</w:t>
      </w:r>
      <w:r>
        <w:rPr>
          <w:rFonts w:ascii="Arial" w:hAnsi="Arial" w:cs="Arial"/>
          <w:sz w:val="20"/>
          <w:lang w:val="sr-Latn-RS"/>
        </w:rPr>
        <w:t>tivnosti</w:t>
      </w:r>
      <w:r w:rsidRPr="00842EDB">
        <w:rPr>
          <w:rFonts w:ascii="Arial" w:hAnsi="Arial" w:cs="Arial"/>
          <w:sz w:val="20"/>
          <w:lang w:val="sr-Latn-RS"/>
        </w:rPr>
        <w:t xml:space="preserve"> i mera za postizanje rezultata, identifikovani su u najvećoj meri i </w:t>
      </w:r>
      <w:r>
        <w:rPr>
          <w:rFonts w:ascii="Arial" w:hAnsi="Arial" w:cs="Arial"/>
          <w:sz w:val="20"/>
          <w:lang w:val="sr-Latn-RS"/>
        </w:rPr>
        <w:t>analizirani.</w:t>
      </w:r>
      <w:r w:rsidRPr="00842EDB">
        <w:rPr>
          <w:rFonts w:ascii="Arial" w:hAnsi="Arial" w:cs="Arial"/>
          <w:sz w:val="20"/>
          <w:lang w:val="sr-Latn-RS"/>
        </w:rPr>
        <w:t xml:space="preserve"> Dokumenti koji su procenjeni u vreme pripreme početnog izveštaja predstavljeni su u </w:t>
      </w:r>
      <w:r>
        <w:rPr>
          <w:rFonts w:ascii="Arial" w:hAnsi="Arial" w:cs="Arial"/>
          <w:sz w:val="20"/>
          <w:lang w:val="sr-Latn-RS"/>
        </w:rPr>
        <w:t>Aneksu</w:t>
      </w:r>
      <w:r w:rsidRPr="00842EDB">
        <w:rPr>
          <w:rFonts w:ascii="Arial" w:hAnsi="Arial" w:cs="Arial"/>
          <w:sz w:val="20"/>
          <w:lang w:val="sr-Latn-RS"/>
        </w:rPr>
        <w:t xml:space="preserve"> I. </w:t>
      </w:r>
      <w:r>
        <w:rPr>
          <w:rFonts w:ascii="Arial" w:hAnsi="Arial" w:cs="Arial"/>
          <w:sz w:val="20"/>
          <w:lang w:val="sr-Latn-RS"/>
        </w:rPr>
        <w:t>Lista dokumenata</w:t>
      </w:r>
      <w:r w:rsidRPr="00842EDB">
        <w:rPr>
          <w:rFonts w:ascii="Arial" w:hAnsi="Arial" w:cs="Arial"/>
          <w:sz w:val="20"/>
          <w:lang w:val="sr-Latn-RS"/>
        </w:rPr>
        <w:t xml:space="preserve">, kao i dokumenti koji su naknadno identifikovani i analizirani. Podela dokumenata koji su analizirani u početnoj fazi i fazi evaluacije predstavljena je kako bi čitalac mogao da shvati logiku </w:t>
      </w:r>
      <w:r>
        <w:rPr>
          <w:rFonts w:ascii="Arial" w:hAnsi="Arial" w:cs="Arial"/>
          <w:sz w:val="20"/>
          <w:lang w:val="sr-Latn-RS"/>
        </w:rPr>
        <w:t>FE, odnosno</w:t>
      </w:r>
      <w:r w:rsidRPr="00842EDB">
        <w:rPr>
          <w:rFonts w:ascii="Arial" w:hAnsi="Arial" w:cs="Arial"/>
          <w:sz w:val="20"/>
          <w:lang w:val="sr-Latn-RS"/>
        </w:rPr>
        <w:t xml:space="preserve"> koj</w:t>
      </w:r>
      <w:r>
        <w:rPr>
          <w:rFonts w:ascii="Arial" w:hAnsi="Arial" w:cs="Arial"/>
          <w:sz w:val="20"/>
          <w:lang w:val="sr-Latn-RS"/>
        </w:rPr>
        <w:t>a</w:t>
      </w:r>
      <w:r w:rsidRPr="00842EDB">
        <w:rPr>
          <w:rFonts w:ascii="Arial" w:hAnsi="Arial" w:cs="Arial"/>
          <w:sz w:val="20"/>
          <w:lang w:val="sr-Latn-RS"/>
        </w:rPr>
        <w:t xml:space="preserve"> je polazna tačka za evaluaciju i naknadnu evoluciju </w:t>
      </w:r>
      <w:r>
        <w:rPr>
          <w:rFonts w:ascii="Arial" w:hAnsi="Arial" w:cs="Arial"/>
          <w:sz w:val="20"/>
          <w:lang w:val="sr-Latn-RS"/>
        </w:rPr>
        <w:t>različitih faza evaluacije</w:t>
      </w:r>
      <w:r w:rsidRPr="00842EDB">
        <w:rPr>
          <w:rFonts w:ascii="Arial" w:hAnsi="Arial" w:cs="Arial"/>
          <w:sz w:val="20"/>
          <w:lang w:val="sr-Latn-RS"/>
        </w:rPr>
        <w:t>.</w:t>
      </w:r>
    </w:p>
    <w:p w14:paraId="0E7B2C0F" w14:textId="51E9D0B9" w:rsidR="00842EDB" w:rsidRPr="00842EDB" w:rsidRDefault="00842EDB" w:rsidP="00842EDB">
      <w:pPr>
        <w:pStyle w:val="Aufzhlung"/>
        <w:numPr>
          <w:ilvl w:val="0"/>
          <w:numId w:val="0"/>
        </w:numPr>
        <w:rPr>
          <w:rFonts w:ascii="Arial" w:hAnsi="Arial" w:cs="Arial"/>
          <w:sz w:val="20"/>
          <w:lang w:val="sr-Latn-RS"/>
        </w:rPr>
      </w:pPr>
      <w:r w:rsidRPr="00842EDB">
        <w:rPr>
          <w:rFonts w:ascii="Arial" w:hAnsi="Arial" w:cs="Arial"/>
          <w:sz w:val="20"/>
          <w:lang w:val="sr-Latn-RS"/>
        </w:rPr>
        <w:t xml:space="preserve">Tokom konsultativnog procesa dokumenti su kontinuirano ponovo procenjivani i prikupljane su dodatne informacije kako bi se dopunili i potvrdili nalazi intervjua koji su bili specifični i u pogledu posmatranih oblasti politike i u pogledu vrste dokumenata, jer su varirali od zvaničnih izveštaja do izvoda iz internih </w:t>
      </w:r>
      <w:r>
        <w:rPr>
          <w:rFonts w:ascii="Arial" w:hAnsi="Arial" w:cs="Arial"/>
          <w:sz w:val="20"/>
          <w:lang w:val="sr-Latn-RS"/>
        </w:rPr>
        <w:t>baza</w:t>
      </w:r>
      <w:r w:rsidRPr="00842EDB">
        <w:rPr>
          <w:rFonts w:ascii="Arial" w:hAnsi="Arial" w:cs="Arial"/>
          <w:sz w:val="20"/>
          <w:lang w:val="sr-Latn-RS"/>
        </w:rPr>
        <w:t xml:space="preserve"> podataka.</w:t>
      </w:r>
    </w:p>
    <w:p w14:paraId="035306B7" w14:textId="5516E961" w:rsidR="00842EDB" w:rsidRDefault="00842EDB" w:rsidP="00842EDB">
      <w:pPr>
        <w:pStyle w:val="Aufzhlung"/>
        <w:numPr>
          <w:ilvl w:val="0"/>
          <w:numId w:val="0"/>
        </w:numPr>
        <w:rPr>
          <w:rFonts w:ascii="Arial" w:hAnsi="Arial" w:cs="Arial"/>
          <w:sz w:val="20"/>
          <w:lang w:val="sr-Latn-RS"/>
        </w:rPr>
      </w:pPr>
      <w:r w:rsidRPr="00842EDB">
        <w:rPr>
          <w:rFonts w:ascii="Arial" w:hAnsi="Arial" w:cs="Arial"/>
          <w:sz w:val="20"/>
          <w:lang w:val="sr-Latn-RS"/>
        </w:rPr>
        <w:t xml:space="preserve">Ovi dokumenti su činili osnovu za FE i uspostavili sistematski okvir za </w:t>
      </w:r>
      <w:r w:rsidR="00D306CE">
        <w:rPr>
          <w:rFonts w:ascii="Arial" w:hAnsi="Arial" w:cs="Arial"/>
          <w:sz w:val="20"/>
          <w:lang w:val="sr-Latn-RS"/>
        </w:rPr>
        <w:t>primenu</w:t>
      </w:r>
      <w:r w:rsidRPr="00842EDB">
        <w:rPr>
          <w:rFonts w:ascii="Arial" w:hAnsi="Arial" w:cs="Arial"/>
          <w:sz w:val="20"/>
          <w:lang w:val="sr-Latn-RS"/>
        </w:rPr>
        <w:t xml:space="preserve"> kriterijuma evaluacije. Pored kvantitativnih podataka, analiza dokumenata pruža vredne kvalitativne informacije </w:t>
      </w:r>
      <w:r w:rsidR="00D306CE">
        <w:rPr>
          <w:rFonts w:ascii="Arial" w:hAnsi="Arial" w:cs="Arial"/>
          <w:sz w:val="20"/>
          <w:lang w:val="sr-Latn-RS"/>
        </w:rPr>
        <w:t>o efektivnosti</w:t>
      </w:r>
      <w:r w:rsidRPr="00842EDB">
        <w:rPr>
          <w:rFonts w:ascii="Arial" w:hAnsi="Arial" w:cs="Arial"/>
          <w:sz w:val="20"/>
          <w:lang w:val="sr-Latn-RS"/>
        </w:rPr>
        <w:t xml:space="preserve"> svake od specifičnih izvršenih ak</w:t>
      </w:r>
      <w:r w:rsidR="00D306CE">
        <w:rPr>
          <w:rFonts w:ascii="Arial" w:hAnsi="Arial" w:cs="Arial"/>
          <w:sz w:val="20"/>
          <w:lang w:val="sr-Latn-RS"/>
        </w:rPr>
        <w:t>tivnosti</w:t>
      </w:r>
      <w:r w:rsidRPr="00842EDB">
        <w:rPr>
          <w:rFonts w:ascii="Arial" w:hAnsi="Arial" w:cs="Arial"/>
          <w:sz w:val="20"/>
          <w:lang w:val="sr-Latn-RS"/>
        </w:rPr>
        <w:t xml:space="preserve"> i stoga pruža osnovu za procenu efikasnosti izvršenih akcija u korelaciji sa ključnim pitanjima evaluacije. Pored pravnih akata i zvaničnih vladinih dokumenata, faza analize dokumenata fokusirala se na identifikovanje izveštaja i dokumenata koje su pripremili </w:t>
      </w:r>
      <w:proofErr w:type="spellStart"/>
      <w:r w:rsidRPr="00842EDB">
        <w:rPr>
          <w:rFonts w:ascii="Arial" w:hAnsi="Arial" w:cs="Arial"/>
          <w:sz w:val="20"/>
          <w:lang w:val="sr-Latn-RS"/>
        </w:rPr>
        <w:t>implementacioni</w:t>
      </w:r>
      <w:proofErr w:type="spellEnd"/>
      <w:r w:rsidRPr="00842EDB">
        <w:rPr>
          <w:rFonts w:ascii="Arial" w:hAnsi="Arial" w:cs="Arial"/>
          <w:sz w:val="20"/>
          <w:lang w:val="sr-Latn-RS"/>
        </w:rPr>
        <w:t xml:space="preserve"> partneri i druge zainteresovane strane, jer su oni pružali uporednu vrednost i dodatne podatke o rezultatima aktivnosti iz perspektive korisnika.</w:t>
      </w:r>
    </w:p>
    <w:p w14:paraId="1F53A24C" w14:textId="5FC3301B" w:rsidR="00D306CE" w:rsidRDefault="00D306CE" w:rsidP="00842EDB">
      <w:pPr>
        <w:pStyle w:val="Aufzhlung"/>
        <w:numPr>
          <w:ilvl w:val="0"/>
          <w:numId w:val="0"/>
        </w:numPr>
        <w:rPr>
          <w:rFonts w:ascii="Arial" w:hAnsi="Arial" w:cs="Arial"/>
          <w:sz w:val="20"/>
          <w:lang w:val="sr-Latn-RS"/>
        </w:rPr>
      </w:pPr>
      <w:r w:rsidRPr="00D306CE">
        <w:rPr>
          <w:rFonts w:ascii="Arial" w:hAnsi="Arial" w:cs="Arial"/>
          <w:sz w:val="20"/>
          <w:lang w:val="sr-Latn-RS"/>
        </w:rPr>
        <w:t xml:space="preserve">Sastavni deo FE je konsultativni proces sa predstavnicima </w:t>
      </w:r>
      <w:r>
        <w:rPr>
          <w:rFonts w:ascii="Arial" w:hAnsi="Arial" w:cs="Arial"/>
          <w:sz w:val="20"/>
          <w:lang w:val="sr-Latn-RS"/>
        </w:rPr>
        <w:t>MER</w:t>
      </w:r>
      <w:r w:rsidRPr="00D306CE">
        <w:rPr>
          <w:rFonts w:ascii="Arial" w:hAnsi="Arial" w:cs="Arial"/>
          <w:sz w:val="20"/>
          <w:lang w:val="sr-Latn-RS"/>
        </w:rPr>
        <w:t xml:space="preserve"> i njihovim povezanim osobljem koji imaju značajan uvid u proces implementacije </w:t>
      </w:r>
      <w:r>
        <w:rPr>
          <w:rFonts w:ascii="Arial" w:hAnsi="Arial" w:cs="Arial"/>
          <w:sz w:val="20"/>
          <w:lang w:val="sr-Latn-RS"/>
        </w:rPr>
        <w:t>NPZP</w:t>
      </w:r>
      <w:r w:rsidRPr="00D306CE">
        <w:rPr>
          <w:rFonts w:ascii="Arial" w:hAnsi="Arial" w:cs="Arial"/>
          <w:sz w:val="20"/>
          <w:lang w:val="sr-Latn-RS"/>
        </w:rPr>
        <w:t>. Ovaj korak je bio veoma relevantan za prikupljanje podataka o naučenim lekcijama i problemima koji su se javljali tokom faze implementacije. Takođe, ova ak</w:t>
      </w:r>
      <w:r>
        <w:rPr>
          <w:rFonts w:ascii="Arial" w:hAnsi="Arial" w:cs="Arial"/>
          <w:sz w:val="20"/>
          <w:lang w:val="sr-Latn-RS"/>
        </w:rPr>
        <w:t>tivnost</w:t>
      </w:r>
      <w:r w:rsidRPr="00D306CE">
        <w:rPr>
          <w:rFonts w:ascii="Arial" w:hAnsi="Arial" w:cs="Arial"/>
          <w:sz w:val="20"/>
          <w:lang w:val="sr-Latn-RS"/>
        </w:rPr>
        <w:t xml:space="preserve"> je obezbedila pravilnu identifikaciju specifičnih </w:t>
      </w:r>
      <w:r>
        <w:rPr>
          <w:rFonts w:ascii="Arial" w:hAnsi="Arial" w:cs="Arial"/>
          <w:sz w:val="20"/>
          <w:lang w:val="sr-Latn-RS"/>
        </w:rPr>
        <w:t>NPZP</w:t>
      </w:r>
      <w:r w:rsidRPr="00D306CE">
        <w:rPr>
          <w:rFonts w:ascii="Arial" w:hAnsi="Arial" w:cs="Arial"/>
          <w:sz w:val="20"/>
          <w:lang w:val="sr-Latn-RS"/>
        </w:rPr>
        <w:t xml:space="preserve"> procesa, organizacionih karakteristika i drugih važnih karakteristika programa koje su od velikog značaja za osoblje zaduženo za implementaciju. Ovaj korak je preduzet kako bi se osiguralo da preporuke odražavaju specifičan okvir politike zaštite potrošača i daju vredne zaključke o tome kako se ona može poboljšati u </w:t>
      </w:r>
      <w:r>
        <w:rPr>
          <w:rFonts w:ascii="Arial" w:hAnsi="Arial" w:cs="Arial"/>
          <w:sz w:val="20"/>
          <w:lang w:val="sr-Latn-RS"/>
        </w:rPr>
        <w:t>budućem</w:t>
      </w:r>
      <w:r w:rsidRPr="00D306CE">
        <w:rPr>
          <w:rFonts w:ascii="Arial" w:hAnsi="Arial" w:cs="Arial"/>
          <w:sz w:val="20"/>
          <w:lang w:val="sr-Latn-RS"/>
        </w:rPr>
        <w:t xml:space="preserve"> stratešk</w:t>
      </w:r>
      <w:r>
        <w:rPr>
          <w:rFonts w:ascii="Arial" w:hAnsi="Arial" w:cs="Arial"/>
          <w:sz w:val="20"/>
          <w:lang w:val="sr-Latn-RS"/>
        </w:rPr>
        <w:t>om</w:t>
      </w:r>
      <w:r w:rsidRPr="00D306CE">
        <w:rPr>
          <w:rFonts w:ascii="Arial" w:hAnsi="Arial" w:cs="Arial"/>
          <w:sz w:val="20"/>
          <w:lang w:val="sr-Latn-RS"/>
        </w:rPr>
        <w:t xml:space="preserve"> pristup</w:t>
      </w:r>
      <w:r>
        <w:rPr>
          <w:rFonts w:ascii="Arial" w:hAnsi="Arial" w:cs="Arial"/>
          <w:sz w:val="20"/>
          <w:lang w:val="sr-Latn-RS"/>
        </w:rPr>
        <w:t>u</w:t>
      </w:r>
      <w:r w:rsidRPr="00D306CE">
        <w:rPr>
          <w:rFonts w:ascii="Arial" w:hAnsi="Arial" w:cs="Arial"/>
          <w:sz w:val="20"/>
          <w:lang w:val="sr-Latn-RS"/>
        </w:rPr>
        <w:t>.</w:t>
      </w:r>
    </w:p>
    <w:p w14:paraId="2D98BA4F" w14:textId="77777777" w:rsidR="00D306CE" w:rsidRDefault="00D306CE" w:rsidP="00842EDB">
      <w:pPr>
        <w:pStyle w:val="Aufzhlung"/>
        <w:numPr>
          <w:ilvl w:val="0"/>
          <w:numId w:val="0"/>
        </w:numPr>
        <w:rPr>
          <w:rFonts w:ascii="Arial" w:hAnsi="Arial" w:cs="Arial"/>
          <w:sz w:val="20"/>
          <w:lang w:val="sr-Latn-RS"/>
        </w:rPr>
      </w:pPr>
      <w:r w:rsidRPr="00D306CE">
        <w:rPr>
          <w:rFonts w:ascii="Arial" w:hAnsi="Arial" w:cs="Arial"/>
          <w:sz w:val="20"/>
          <w:lang w:val="sr-Latn-RS"/>
        </w:rPr>
        <w:lastRenderedPageBreak/>
        <w:t xml:space="preserve">FE je predvideo dodatne sveobuhvatne procese konsultacija koje su sprovedene sa partnerima u implementaciji, donatorskom zajednicom i drugim relevantnim zainteresovanim stranama. U tu svrhu, sastavljena je lista ispitanika (prema relevantnoj organizaciji/instituciji) prema analizi dokumenata i uključena je u Aneks II. Lista </w:t>
      </w:r>
      <w:r>
        <w:rPr>
          <w:rFonts w:ascii="Arial" w:hAnsi="Arial" w:cs="Arial"/>
          <w:sz w:val="20"/>
          <w:lang w:val="sr-Latn-RS"/>
        </w:rPr>
        <w:t>konsultovanih strana</w:t>
      </w:r>
      <w:r w:rsidRPr="00D306CE">
        <w:rPr>
          <w:rFonts w:ascii="Arial" w:hAnsi="Arial" w:cs="Arial"/>
          <w:sz w:val="20"/>
          <w:lang w:val="sr-Latn-RS"/>
        </w:rPr>
        <w:t xml:space="preserve">. FE se fokusirao na sticanje praktičnih iskustava od članova osoblja koji su bili direktno uključeni u dizajn, implementaciju i praćenje </w:t>
      </w:r>
      <w:r>
        <w:rPr>
          <w:rFonts w:ascii="Arial" w:hAnsi="Arial" w:cs="Arial"/>
          <w:sz w:val="20"/>
          <w:lang w:val="sr-Latn-RS"/>
        </w:rPr>
        <w:t>NPZP</w:t>
      </w:r>
      <w:r w:rsidRPr="00D306CE">
        <w:rPr>
          <w:rFonts w:ascii="Arial" w:hAnsi="Arial" w:cs="Arial"/>
          <w:sz w:val="20"/>
          <w:lang w:val="sr-Latn-RS"/>
        </w:rPr>
        <w:t xml:space="preserve">. </w:t>
      </w:r>
    </w:p>
    <w:p w14:paraId="7BB3C923" w14:textId="68B91878" w:rsidR="00D306CE" w:rsidRDefault="00D306CE" w:rsidP="00842EDB">
      <w:pPr>
        <w:pStyle w:val="Aufzhlung"/>
        <w:numPr>
          <w:ilvl w:val="0"/>
          <w:numId w:val="0"/>
        </w:numPr>
        <w:rPr>
          <w:rFonts w:ascii="Arial" w:hAnsi="Arial" w:cs="Arial"/>
          <w:sz w:val="20"/>
          <w:lang w:val="sr-Latn-RS"/>
        </w:rPr>
      </w:pPr>
      <w:r w:rsidRPr="00D306CE">
        <w:rPr>
          <w:rFonts w:ascii="Arial" w:hAnsi="Arial" w:cs="Arial"/>
          <w:sz w:val="20"/>
          <w:lang w:val="sr-Latn-RS"/>
        </w:rPr>
        <w:t xml:space="preserve">Faza konsultacija se sastojala od sveobuhvatnog procesa konsultacija sa ključnim zainteresovanim stranama, u skladu sa </w:t>
      </w:r>
      <w:proofErr w:type="spellStart"/>
      <w:r>
        <w:rPr>
          <w:rFonts w:ascii="Arial" w:hAnsi="Arial" w:cs="Arial"/>
          <w:sz w:val="20"/>
          <w:lang w:val="sr-Latn-RS"/>
        </w:rPr>
        <w:t>ToR</w:t>
      </w:r>
      <w:proofErr w:type="spellEnd"/>
      <w:r w:rsidRPr="00D306CE">
        <w:rPr>
          <w:rFonts w:ascii="Arial" w:hAnsi="Arial" w:cs="Arial"/>
          <w:sz w:val="20"/>
          <w:lang w:val="sr-Latn-RS"/>
        </w:rPr>
        <w:t xml:space="preserve">. Planirano je da se sprovede najmanje 10 intervjua sa ključnim zainteresovanim stranama u crnogorskoj administraciji i privatnom sektoru. Konačno, obavljeno je 8 intervjua. Svi odabrani ispitanici su blagovremeno kontaktirani putem </w:t>
      </w:r>
      <w:r>
        <w:rPr>
          <w:rFonts w:ascii="Arial" w:hAnsi="Arial" w:cs="Arial"/>
          <w:sz w:val="20"/>
          <w:lang w:val="sr-Latn-RS"/>
        </w:rPr>
        <w:t>email-a</w:t>
      </w:r>
      <w:r w:rsidRPr="00D306CE">
        <w:rPr>
          <w:rFonts w:ascii="Arial" w:hAnsi="Arial" w:cs="Arial"/>
          <w:sz w:val="20"/>
          <w:lang w:val="sr-Latn-RS"/>
        </w:rPr>
        <w:t xml:space="preserve"> i pozvani da učestvuju. </w:t>
      </w:r>
      <w:r>
        <w:rPr>
          <w:rFonts w:ascii="Arial" w:hAnsi="Arial" w:cs="Arial"/>
          <w:sz w:val="20"/>
          <w:lang w:val="sr-Latn-RS"/>
        </w:rPr>
        <w:t>Uprkos tome</w:t>
      </w:r>
      <w:r w:rsidRPr="00D306CE">
        <w:rPr>
          <w:rFonts w:ascii="Arial" w:hAnsi="Arial" w:cs="Arial"/>
          <w:sz w:val="20"/>
          <w:lang w:val="sr-Latn-RS"/>
        </w:rPr>
        <w:t xml:space="preserve">, čak i uz maksimalne napore </w:t>
      </w:r>
      <w:r>
        <w:rPr>
          <w:rFonts w:ascii="Arial" w:hAnsi="Arial" w:cs="Arial"/>
          <w:sz w:val="20"/>
          <w:lang w:val="sr-Latn-RS"/>
        </w:rPr>
        <w:t>Evaluatora</w:t>
      </w:r>
      <w:r w:rsidRPr="00D306CE">
        <w:rPr>
          <w:rFonts w:ascii="Arial" w:hAnsi="Arial" w:cs="Arial"/>
          <w:sz w:val="20"/>
          <w:lang w:val="sr-Latn-RS"/>
        </w:rPr>
        <w:t xml:space="preserve"> i predstavnika ME</w:t>
      </w:r>
      <w:r>
        <w:rPr>
          <w:rFonts w:ascii="Arial" w:hAnsi="Arial" w:cs="Arial"/>
          <w:sz w:val="20"/>
          <w:lang w:val="sr-Latn-RS"/>
        </w:rPr>
        <w:t>R</w:t>
      </w:r>
      <w:r w:rsidRPr="00D306CE">
        <w:rPr>
          <w:rFonts w:ascii="Arial" w:hAnsi="Arial" w:cs="Arial"/>
          <w:sz w:val="20"/>
          <w:lang w:val="sr-Latn-RS"/>
        </w:rPr>
        <w:t>-a koji je podržao proces konsultacija, odziv nekih od ključnih zainteresovanih strana bio je nizak. Pretpostavka je da je do niskog odziva uglavnom došlo zbog početka sezone praznika, ali je takođe očigledno da neki ključni akteri nisu pokazali interesovanje za učešće u procesu evaluacije.</w:t>
      </w:r>
    </w:p>
    <w:p w14:paraId="1AEED675" w14:textId="07789341" w:rsidR="00D306CE" w:rsidRPr="00842EDB" w:rsidRDefault="00D306CE" w:rsidP="00842EDB">
      <w:pPr>
        <w:pStyle w:val="Aufzhlung"/>
        <w:numPr>
          <w:ilvl w:val="0"/>
          <w:numId w:val="0"/>
        </w:numPr>
        <w:rPr>
          <w:rFonts w:ascii="Arial" w:hAnsi="Arial" w:cs="Arial"/>
          <w:sz w:val="20"/>
          <w:lang w:val="sr-Latn-RS"/>
        </w:rPr>
      </w:pPr>
      <w:r w:rsidRPr="00D306CE">
        <w:rPr>
          <w:rFonts w:ascii="Arial" w:hAnsi="Arial" w:cs="Arial"/>
          <w:sz w:val="20"/>
          <w:lang w:val="sr-Latn-RS"/>
        </w:rPr>
        <w:t xml:space="preserve">Da bi se osigurao uporediv i sistematičan proces, sve zainteresovane strane su kategorizovane u matrici zainteresovanih strana, koja navodi očekivane podatke i informacije koje </w:t>
      </w:r>
      <w:r>
        <w:rPr>
          <w:rFonts w:ascii="Arial" w:hAnsi="Arial" w:cs="Arial"/>
          <w:sz w:val="20"/>
          <w:lang w:val="sr-Latn-RS"/>
        </w:rPr>
        <w:t xml:space="preserve">je potrebno </w:t>
      </w:r>
      <w:r w:rsidRPr="00D306CE">
        <w:rPr>
          <w:rFonts w:ascii="Arial" w:hAnsi="Arial" w:cs="Arial"/>
          <w:sz w:val="20"/>
          <w:lang w:val="sr-Latn-RS"/>
        </w:rPr>
        <w:t xml:space="preserve">dobiti od svakog ispitanika, kao i njihove odgovarajuće uloge i odgovornosti unutar organizacije u kojoj su zaposleni. Ova klasifikacija zainteresovanih strana osigurava da je napravljen adekvatno reprezentativan izbor. Metode sprovođenja ovih intervjua sa zainteresovanim stranama razlikovale su se u zavisnosti od dostupnosti ispitanika i obima podataka koji se očekivanju (pristup podacima, nivoi </w:t>
      </w:r>
      <w:r>
        <w:rPr>
          <w:rFonts w:ascii="Arial" w:hAnsi="Arial" w:cs="Arial"/>
          <w:sz w:val="20"/>
          <w:lang w:val="sr-Latn-RS"/>
        </w:rPr>
        <w:t>pristupa</w:t>
      </w:r>
      <w:r w:rsidRPr="00D306CE">
        <w:rPr>
          <w:rFonts w:ascii="Arial" w:hAnsi="Arial" w:cs="Arial"/>
          <w:sz w:val="20"/>
          <w:lang w:val="sr-Latn-RS"/>
        </w:rPr>
        <w:t>, odgovornost itd.). Tabela 2</w:t>
      </w:r>
      <w:r>
        <w:rPr>
          <w:rFonts w:ascii="Arial" w:hAnsi="Arial" w:cs="Arial"/>
          <w:sz w:val="20"/>
          <w:lang w:val="sr-Latn-RS"/>
        </w:rPr>
        <w:t>.</w:t>
      </w:r>
      <w:r w:rsidRPr="00D306CE">
        <w:rPr>
          <w:rFonts w:ascii="Arial" w:hAnsi="Arial" w:cs="Arial"/>
          <w:sz w:val="20"/>
          <w:lang w:val="sr-Latn-RS"/>
        </w:rPr>
        <w:t xml:space="preserve"> ilustruje sve ključne aktere koji su identifikovani za intervjue.</w:t>
      </w:r>
    </w:p>
    <w:p w14:paraId="557BB1DD" w14:textId="750AFA1F" w:rsidR="00765556" w:rsidRPr="00D306CE" w:rsidRDefault="00765556" w:rsidP="00BA45D7">
      <w:pPr>
        <w:jc w:val="both"/>
        <w:rPr>
          <w:rFonts w:ascii="Arial" w:hAnsi="Arial" w:cs="Arial"/>
          <w:sz w:val="18"/>
          <w:szCs w:val="18"/>
          <w:lang w:eastAsia="de-DE"/>
        </w:rPr>
      </w:pPr>
      <w:r w:rsidRPr="00D306CE">
        <w:rPr>
          <w:rFonts w:ascii="Arial" w:hAnsi="Arial" w:cs="Arial"/>
          <w:sz w:val="18"/>
          <w:szCs w:val="18"/>
          <w:lang w:eastAsia="de-DE"/>
        </w:rPr>
        <w:t xml:space="preserve">Table 2. </w:t>
      </w:r>
      <w:r w:rsidR="00D306CE" w:rsidRPr="00D306CE">
        <w:rPr>
          <w:rFonts w:ascii="Arial" w:hAnsi="Arial" w:cs="Arial"/>
          <w:sz w:val="18"/>
          <w:szCs w:val="18"/>
          <w:lang w:eastAsia="de-DE"/>
        </w:rPr>
        <w:t>Matrica zainteresovanih strana</w:t>
      </w:r>
    </w:p>
    <w:tbl>
      <w:tblPr>
        <w:tblStyle w:val="TableGrid"/>
        <w:tblW w:w="0" w:type="auto"/>
        <w:tblLook w:val="04A0" w:firstRow="1" w:lastRow="0" w:firstColumn="1" w:lastColumn="0" w:noHBand="0" w:noVBand="1"/>
      </w:tblPr>
      <w:tblGrid>
        <w:gridCol w:w="1945"/>
        <w:gridCol w:w="2022"/>
        <w:gridCol w:w="1731"/>
        <w:gridCol w:w="1923"/>
        <w:gridCol w:w="1441"/>
      </w:tblGrid>
      <w:tr w:rsidR="00765556" w:rsidRPr="00D306CE" w14:paraId="33420CC0" w14:textId="50F32525" w:rsidTr="00765556">
        <w:tc>
          <w:tcPr>
            <w:tcW w:w="1945" w:type="dxa"/>
            <w:vAlign w:val="center"/>
          </w:tcPr>
          <w:p w14:paraId="2DB0BE8F" w14:textId="0764A7F4" w:rsidR="00765556" w:rsidRPr="00D306CE" w:rsidRDefault="00765556" w:rsidP="00765556">
            <w:pPr>
              <w:jc w:val="center"/>
              <w:rPr>
                <w:rFonts w:ascii="Arial" w:hAnsi="Arial" w:cs="Arial"/>
                <w:b/>
                <w:bCs/>
                <w:sz w:val="18"/>
                <w:szCs w:val="18"/>
                <w:lang w:eastAsia="de-DE"/>
              </w:rPr>
            </w:pPr>
            <w:proofErr w:type="spellStart"/>
            <w:r w:rsidRPr="00D306CE">
              <w:rPr>
                <w:rFonts w:ascii="Arial" w:hAnsi="Arial" w:cs="Arial"/>
                <w:b/>
                <w:bCs/>
                <w:sz w:val="18"/>
                <w:szCs w:val="18"/>
                <w:lang w:eastAsia="de-DE"/>
              </w:rPr>
              <w:t>St</w:t>
            </w:r>
            <w:r w:rsidR="00D306CE">
              <w:rPr>
                <w:rFonts w:ascii="Arial" w:hAnsi="Arial" w:cs="Arial"/>
                <w:b/>
                <w:bCs/>
                <w:sz w:val="18"/>
                <w:szCs w:val="18"/>
                <w:lang w:eastAsia="de-DE"/>
              </w:rPr>
              <w:t>ejkholder</w:t>
            </w:r>
            <w:proofErr w:type="spellEnd"/>
          </w:p>
        </w:tc>
        <w:tc>
          <w:tcPr>
            <w:tcW w:w="2022" w:type="dxa"/>
            <w:vAlign w:val="center"/>
          </w:tcPr>
          <w:p w14:paraId="708B4684" w14:textId="702F061D" w:rsidR="00765556" w:rsidRPr="00D306CE" w:rsidRDefault="00D306CE" w:rsidP="00765556">
            <w:pPr>
              <w:jc w:val="center"/>
              <w:rPr>
                <w:rFonts w:ascii="Arial" w:hAnsi="Arial" w:cs="Arial"/>
                <w:b/>
                <w:bCs/>
                <w:sz w:val="18"/>
                <w:szCs w:val="18"/>
                <w:lang w:eastAsia="de-DE"/>
              </w:rPr>
            </w:pPr>
            <w:r>
              <w:rPr>
                <w:rFonts w:ascii="Arial" w:hAnsi="Arial" w:cs="Arial"/>
                <w:b/>
                <w:bCs/>
                <w:sz w:val="18"/>
                <w:szCs w:val="18"/>
                <w:lang w:eastAsia="de-DE"/>
              </w:rPr>
              <w:t>Karakteristike</w:t>
            </w:r>
          </w:p>
        </w:tc>
        <w:tc>
          <w:tcPr>
            <w:tcW w:w="1731" w:type="dxa"/>
            <w:vAlign w:val="center"/>
          </w:tcPr>
          <w:p w14:paraId="2A1D3C9A" w14:textId="4E818376" w:rsidR="00765556" w:rsidRPr="00D306CE" w:rsidRDefault="00D306CE" w:rsidP="00765556">
            <w:pPr>
              <w:jc w:val="center"/>
              <w:rPr>
                <w:rFonts w:ascii="Arial" w:hAnsi="Arial" w:cs="Arial"/>
                <w:b/>
                <w:bCs/>
                <w:sz w:val="18"/>
                <w:szCs w:val="18"/>
                <w:lang w:eastAsia="de-DE"/>
              </w:rPr>
            </w:pPr>
            <w:r>
              <w:rPr>
                <w:rFonts w:ascii="Arial" w:hAnsi="Arial" w:cs="Arial"/>
                <w:b/>
                <w:bCs/>
                <w:sz w:val="18"/>
                <w:szCs w:val="18"/>
                <w:lang w:eastAsia="de-DE"/>
              </w:rPr>
              <w:t>Interes</w:t>
            </w:r>
          </w:p>
        </w:tc>
        <w:tc>
          <w:tcPr>
            <w:tcW w:w="1923" w:type="dxa"/>
            <w:vAlign w:val="center"/>
          </w:tcPr>
          <w:p w14:paraId="3EAAA328" w14:textId="5AD9BCDA" w:rsidR="00765556" w:rsidRPr="00D306CE" w:rsidRDefault="00D306CE" w:rsidP="00765556">
            <w:pPr>
              <w:jc w:val="center"/>
              <w:rPr>
                <w:rFonts w:ascii="Arial" w:hAnsi="Arial" w:cs="Arial"/>
                <w:b/>
                <w:bCs/>
                <w:sz w:val="18"/>
                <w:szCs w:val="18"/>
                <w:lang w:eastAsia="de-DE"/>
              </w:rPr>
            </w:pPr>
            <w:r>
              <w:rPr>
                <w:rFonts w:ascii="Arial" w:hAnsi="Arial" w:cs="Arial"/>
                <w:b/>
                <w:bCs/>
                <w:sz w:val="18"/>
                <w:szCs w:val="18"/>
                <w:lang w:eastAsia="de-DE"/>
              </w:rPr>
              <w:t>Doprinos</w:t>
            </w:r>
          </w:p>
        </w:tc>
        <w:tc>
          <w:tcPr>
            <w:tcW w:w="1441" w:type="dxa"/>
            <w:vAlign w:val="center"/>
          </w:tcPr>
          <w:p w14:paraId="1AE4E545" w14:textId="684E89E0" w:rsidR="00765556" w:rsidRPr="00D306CE" w:rsidRDefault="00D306CE" w:rsidP="00765556">
            <w:pPr>
              <w:jc w:val="center"/>
              <w:rPr>
                <w:rFonts w:ascii="Arial" w:hAnsi="Arial" w:cs="Arial"/>
                <w:b/>
                <w:bCs/>
                <w:sz w:val="18"/>
                <w:szCs w:val="18"/>
                <w:lang w:eastAsia="de-DE"/>
              </w:rPr>
            </w:pPr>
            <w:r>
              <w:rPr>
                <w:rFonts w:ascii="Arial" w:hAnsi="Arial" w:cs="Arial"/>
                <w:b/>
                <w:bCs/>
                <w:sz w:val="18"/>
                <w:szCs w:val="18"/>
                <w:lang w:eastAsia="de-DE"/>
              </w:rPr>
              <w:t>Način angažovanja</w:t>
            </w:r>
          </w:p>
        </w:tc>
      </w:tr>
      <w:tr w:rsidR="00765556" w:rsidRPr="00D306CE" w14:paraId="0064CE3C" w14:textId="5A3C3FF6" w:rsidTr="00765556">
        <w:tc>
          <w:tcPr>
            <w:tcW w:w="1945" w:type="dxa"/>
          </w:tcPr>
          <w:p w14:paraId="07EFE5B7" w14:textId="7962BFF7" w:rsidR="00765556" w:rsidRPr="00D306CE" w:rsidRDefault="000F6DBC" w:rsidP="00BA45D7">
            <w:pPr>
              <w:jc w:val="both"/>
              <w:rPr>
                <w:rFonts w:ascii="Arial" w:hAnsi="Arial" w:cs="Arial"/>
                <w:sz w:val="18"/>
                <w:szCs w:val="18"/>
                <w:lang w:eastAsia="de-DE"/>
              </w:rPr>
            </w:pPr>
            <w:r w:rsidRPr="00D306CE">
              <w:rPr>
                <w:rFonts w:ascii="Arial" w:hAnsi="Arial" w:cs="Arial"/>
                <w:sz w:val="18"/>
                <w:szCs w:val="18"/>
                <w:lang w:eastAsia="de-DE"/>
              </w:rPr>
              <w:t>ME</w:t>
            </w:r>
            <w:r w:rsidR="00D306CE">
              <w:rPr>
                <w:rFonts w:ascii="Arial" w:hAnsi="Arial" w:cs="Arial"/>
                <w:sz w:val="18"/>
                <w:szCs w:val="18"/>
                <w:lang w:eastAsia="de-DE"/>
              </w:rPr>
              <w:t>R</w:t>
            </w:r>
          </w:p>
        </w:tc>
        <w:tc>
          <w:tcPr>
            <w:tcW w:w="2022" w:type="dxa"/>
          </w:tcPr>
          <w:p w14:paraId="194C474B" w14:textId="213AE9B8" w:rsidR="00765556" w:rsidRPr="00D306CE" w:rsidRDefault="00D306CE" w:rsidP="00BA45D7">
            <w:pPr>
              <w:jc w:val="both"/>
              <w:rPr>
                <w:rFonts w:ascii="Arial" w:hAnsi="Arial" w:cs="Arial"/>
                <w:sz w:val="18"/>
                <w:szCs w:val="18"/>
                <w:lang w:eastAsia="de-DE"/>
              </w:rPr>
            </w:pPr>
            <w:r>
              <w:rPr>
                <w:rFonts w:ascii="Arial" w:hAnsi="Arial" w:cs="Arial"/>
                <w:sz w:val="18"/>
                <w:szCs w:val="18"/>
                <w:lang w:eastAsia="de-DE"/>
              </w:rPr>
              <w:t>Vodeća institucija</w:t>
            </w:r>
          </w:p>
        </w:tc>
        <w:tc>
          <w:tcPr>
            <w:tcW w:w="1731" w:type="dxa"/>
          </w:tcPr>
          <w:p w14:paraId="1E57C95C" w14:textId="22C5D867" w:rsidR="00765556" w:rsidRPr="00D306CE" w:rsidRDefault="00D306CE" w:rsidP="00BA45D7">
            <w:pPr>
              <w:jc w:val="both"/>
              <w:rPr>
                <w:rFonts w:ascii="Arial" w:hAnsi="Arial" w:cs="Arial"/>
                <w:sz w:val="18"/>
                <w:szCs w:val="18"/>
                <w:lang w:eastAsia="de-DE"/>
              </w:rPr>
            </w:pPr>
            <w:r>
              <w:rPr>
                <w:rFonts w:ascii="Arial" w:hAnsi="Arial" w:cs="Arial"/>
                <w:sz w:val="18"/>
                <w:szCs w:val="18"/>
                <w:lang w:eastAsia="de-DE"/>
              </w:rPr>
              <w:t>Dobijanje početnog stanja za potrebe izrade novog NPZP</w:t>
            </w:r>
          </w:p>
        </w:tc>
        <w:tc>
          <w:tcPr>
            <w:tcW w:w="1923" w:type="dxa"/>
          </w:tcPr>
          <w:p w14:paraId="2CA8B6A9" w14:textId="5CCA0892" w:rsidR="00D306CE" w:rsidRDefault="00D306CE" w:rsidP="00BA45D7">
            <w:pPr>
              <w:jc w:val="both"/>
              <w:rPr>
                <w:rFonts w:ascii="Arial" w:hAnsi="Arial" w:cs="Arial"/>
                <w:sz w:val="18"/>
                <w:szCs w:val="18"/>
                <w:lang w:eastAsia="de-DE"/>
              </w:rPr>
            </w:pPr>
            <w:r>
              <w:rPr>
                <w:rFonts w:ascii="Arial" w:hAnsi="Arial" w:cs="Arial"/>
                <w:sz w:val="18"/>
                <w:szCs w:val="18"/>
                <w:lang w:eastAsia="de-DE"/>
              </w:rPr>
              <w:t>Neposredno iskustvo u pripremi, vođenju i implementaciji NPZP</w:t>
            </w:r>
          </w:p>
          <w:p w14:paraId="28D4A258" w14:textId="0656674A" w:rsidR="00765556" w:rsidRPr="00D306CE" w:rsidRDefault="00765556" w:rsidP="00BA45D7">
            <w:pPr>
              <w:jc w:val="both"/>
              <w:rPr>
                <w:rFonts w:ascii="Arial" w:hAnsi="Arial" w:cs="Arial"/>
                <w:sz w:val="18"/>
                <w:szCs w:val="18"/>
                <w:lang w:eastAsia="de-DE"/>
              </w:rPr>
            </w:pPr>
          </w:p>
        </w:tc>
        <w:tc>
          <w:tcPr>
            <w:tcW w:w="1441" w:type="dxa"/>
          </w:tcPr>
          <w:p w14:paraId="43810908" w14:textId="59643121" w:rsidR="00D306CE" w:rsidRDefault="00D306CE" w:rsidP="00BA45D7">
            <w:pPr>
              <w:jc w:val="both"/>
              <w:rPr>
                <w:rFonts w:ascii="Arial" w:hAnsi="Arial" w:cs="Arial"/>
                <w:sz w:val="18"/>
                <w:szCs w:val="18"/>
                <w:lang w:eastAsia="de-DE"/>
              </w:rPr>
            </w:pPr>
            <w:r>
              <w:rPr>
                <w:rFonts w:ascii="Arial" w:hAnsi="Arial" w:cs="Arial"/>
                <w:sz w:val="18"/>
                <w:szCs w:val="18"/>
                <w:lang w:eastAsia="de-DE"/>
              </w:rPr>
              <w:t>Intervjui, email, razmena dokumenata</w:t>
            </w:r>
          </w:p>
          <w:p w14:paraId="546EAD89" w14:textId="73BD9DEB" w:rsidR="00765556" w:rsidRPr="00D306CE" w:rsidRDefault="00765556" w:rsidP="00BA45D7">
            <w:pPr>
              <w:jc w:val="both"/>
              <w:rPr>
                <w:rFonts w:ascii="Arial" w:hAnsi="Arial" w:cs="Arial"/>
                <w:sz w:val="18"/>
                <w:szCs w:val="18"/>
                <w:lang w:eastAsia="de-DE"/>
              </w:rPr>
            </w:pPr>
          </w:p>
        </w:tc>
      </w:tr>
      <w:tr w:rsidR="00AC1C09" w:rsidRPr="00D306CE" w14:paraId="798505AA" w14:textId="35045390" w:rsidTr="00765556">
        <w:tc>
          <w:tcPr>
            <w:tcW w:w="1945" w:type="dxa"/>
          </w:tcPr>
          <w:p w14:paraId="3648731E" w14:textId="5D2792C3" w:rsidR="00AC1C09" w:rsidRPr="00D306CE" w:rsidRDefault="00D306CE" w:rsidP="00AC1C09">
            <w:pPr>
              <w:jc w:val="both"/>
              <w:rPr>
                <w:rFonts w:ascii="Arial" w:hAnsi="Arial" w:cs="Arial"/>
                <w:sz w:val="18"/>
                <w:szCs w:val="18"/>
                <w:lang w:eastAsia="de-DE"/>
              </w:rPr>
            </w:pPr>
            <w:r>
              <w:rPr>
                <w:rFonts w:ascii="Arial" w:hAnsi="Arial" w:cs="Arial"/>
                <w:sz w:val="18"/>
                <w:szCs w:val="18"/>
              </w:rPr>
              <w:t>Agencija za elektronske komunikacije i poštanske usluge</w:t>
            </w:r>
          </w:p>
        </w:tc>
        <w:tc>
          <w:tcPr>
            <w:tcW w:w="2022" w:type="dxa"/>
          </w:tcPr>
          <w:p w14:paraId="14751CE5" w14:textId="668BE3D3" w:rsidR="00AC1C09" w:rsidRPr="00D306CE" w:rsidRDefault="00D306CE" w:rsidP="00AC1C09">
            <w:pPr>
              <w:jc w:val="both"/>
              <w:rPr>
                <w:rFonts w:ascii="Arial" w:hAnsi="Arial" w:cs="Arial"/>
                <w:sz w:val="18"/>
                <w:szCs w:val="18"/>
                <w:lang w:eastAsia="de-DE"/>
              </w:rPr>
            </w:pPr>
            <w:r>
              <w:rPr>
                <w:rFonts w:ascii="Arial" w:hAnsi="Arial" w:cs="Arial"/>
                <w:sz w:val="18"/>
                <w:szCs w:val="18"/>
                <w:lang w:eastAsia="de-DE"/>
              </w:rPr>
              <w:t>Partner u implementaciji</w:t>
            </w:r>
          </w:p>
        </w:tc>
        <w:tc>
          <w:tcPr>
            <w:tcW w:w="1731" w:type="dxa"/>
          </w:tcPr>
          <w:p w14:paraId="5236A166" w14:textId="53608ABE" w:rsidR="0042356F" w:rsidRDefault="0042356F" w:rsidP="00AC1C09">
            <w:pPr>
              <w:jc w:val="both"/>
              <w:rPr>
                <w:rFonts w:ascii="Arial" w:hAnsi="Arial" w:cs="Arial"/>
                <w:sz w:val="18"/>
                <w:szCs w:val="18"/>
                <w:lang w:eastAsia="de-DE"/>
              </w:rPr>
            </w:pPr>
            <w:r>
              <w:rPr>
                <w:rFonts w:ascii="Arial" w:hAnsi="Arial" w:cs="Arial"/>
                <w:sz w:val="18"/>
                <w:szCs w:val="18"/>
                <w:lang w:eastAsia="de-DE"/>
              </w:rPr>
              <w:t>Komunikacija rezultata</w:t>
            </w:r>
          </w:p>
          <w:p w14:paraId="6BE23AA1" w14:textId="39B76B33" w:rsidR="00AC1C09" w:rsidRPr="00D306CE" w:rsidRDefault="00AC1C09" w:rsidP="00AC1C09">
            <w:pPr>
              <w:jc w:val="both"/>
              <w:rPr>
                <w:rFonts w:ascii="Arial" w:hAnsi="Arial" w:cs="Arial"/>
                <w:sz w:val="18"/>
                <w:szCs w:val="18"/>
                <w:lang w:eastAsia="de-DE"/>
              </w:rPr>
            </w:pPr>
          </w:p>
        </w:tc>
        <w:tc>
          <w:tcPr>
            <w:tcW w:w="1923" w:type="dxa"/>
          </w:tcPr>
          <w:p w14:paraId="10D59001" w14:textId="0F69C0B6" w:rsidR="0042356F" w:rsidRDefault="0042356F" w:rsidP="00AC1C09">
            <w:pPr>
              <w:jc w:val="both"/>
              <w:rPr>
                <w:rFonts w:ascii="Arial" w:hAnsi="Arial" w:cs="Arial"/>
                <w:sz w:val="18"/>
                <w:szCs w:val="18"/>
                <w:lang w:eastAsia="de-DE"/>
              </w:rPr>
            </w:pPr>
            <w:r>
              <w:rPr>
                <w:rFonts w:ascii="Arial" w:hAnsi="Arial" w:cs="Arial"/>
                <w:sz w:val="18"/>
                <w:szCs w:val="18"/>
                <w:lang w:eastAsia="de-DE"/>
              </w:rPr>
              <w:t xml:space="preserve">Neposredno iskustvo u implementaciji NPZP i rada u </w:t>
            </w:r>
            <w:proofErr w:type="spellStart"/>
            <w:r>
              <w:rPr>
                <w:rFonts w:ascii="Arial" w:hAnsi="Arial" w:cs="Arial"/>
                <w:sz w:val="18"/>
                <w:szCs w:val="18"/>
                <w:lang w:eastAsia="de-DE"/>
              </w:rPr>
              <w:t>Savjetu</w:t>
            </w:r>
            <w:proofErr w:type="spellEnd"/>
          </w:p>
          <w:p w14:paraId="60F03097" w14:textId="3CC2CFFB" w:rsidR="00AC1C09" w:rsidRPr="00D306CE" w:rsidRDefault="00AC1C09" w:rsidP="00AC1C09">
            <w:pPr>
              <w:jc w:val="both"/>
              <w:rPr>
                <w:rFonts w:ascii="Arial" w:hAnsi="Arial" w:cs="Arial"/>
                <w:sz w:val="18"/>
                <w:szCs w:val="18"/>
                <w:lang w:eastAsia="de-DE"/>
              </w:rPr>
            </w:pPr>
          </w:p>
        </w:tc>
        <w:tc>
          <w:tcPr>
            <w:tcW w:w="1441" w:type="dxa"/>
          </w:tcPr>
          <w:p w14:paraId="02067948" w14:textId="387FD004" w:rsidR="00AC1C09" w:rsidRPr="00D306CE" w:rsidRDefault="0042356F" w:rsidP="00AC1C09">
            <w:pPr>
              <w:jc w:val="both"/>
              <w:rPr>
                <w:rFonts w:ascii="Arial" w:hAnsi="Arial" w:cs="Arial"/>
                <w:sz w:val="18"/>
                <w:szCs w:val="18"/>
                <w:lang w:eastAsia="de-DE"/>
              </w:rPr>
            </w:pPr>
            <w:r>
              <w:rPr>
                <w:rFonts w:ascii="Arial" w:hAnsi="Arial" w:cs="Arial"/>
                <w:sz w:val="18"/>
                <w:szCs w:val="18"/>
                <w:lang w:eastAsia="de-DE"/>
              </w:rPr>
              <w:t>Intervjui, email,</w:t>
            </w:r>
          </w:p>
        </w:tc>
      </w:tr>
      <w:tr w:rsidR="0042356F" w:rsidRPr="00D306CE" w14:paraId="64786625" w14:textId="77777777" w:rsidTr="00765556">
        <w:tc>
          <w:tcPr>
            <w:tcW w:w="1945" w:type="dxa"/>
          </w:tcPr>
          <w:p w14:paraId="6123980F" w14:textId="6F250D7F" w:rsidR="0042356F" w:rsidRPr="00D306CE" w:rsidRDefault="0042356F" w:rsidP="0042356F">
            <w:pPr>
              <w:jc w:val="both"/>
              <w:rPr>
                <w:rFonts w:ascii="Arial" w:hAnsi="Arial" w:cs="Arial"/>
                <w:sz w:val="18"/>
                <w:szCs w:val="18"/>
                <w:lang w:eastAsia="de-DE"/>
              </w:rPr>
            </w:pPr>
            <w:r>
              <w:rPr>
                <w:rFonts w:ascii="Arial" w:hAnsi="Arial" w:cs="Arial"/>
                <w:sz w:val="18"/>
                <w:szCs w:val="18"/>
              </w:rPr>
              <w:t>Agencija za elektronske medije</w:t>
            </w:r>
          </w:p>
        </w:tc>
        <w:tc>
          <w:tcPr>
            <w:tcW w:w="2022" w:type="dxa"/>
          </w:tcPr>
          <w:p w14:paraId="2D8D5590" w14:textId="6D007EDF" w:rsidR="0042356F" w:rsidRPr="00D306CE" w:rsidRDefault="0042356F" w:rsidP="0042356F">
            <w:pPr>
              <w:jc w:val="both"/>
              <w:rPr>
                <w:rFonts w:ascii="Arial" w:hAnsi="Arial" w:cs="Arial"/>
                <w:sz w:val="18"/>
                <w:szCs w:val="18"/>
                <w:lang w:eastAsia="de-DE"/>
              </w:rPr>
            </w:pPr>
            <w:r w:rsidRPr="001C6A71">
              <w:rPr>
                <w:rFonts w:ascii="Arial" w:hAnsi="Arial" w:cs="Arial"/>
                <w:sz w:val="18"/>
                <w:szCs w:val="18"/>
                <w:lang w:eastAsia="de-DE"/>
              </w:rPr>
              <w:t>Partner u implementaciji</w:t>
            </w:r>
          </w:p>
        </w:tc>
        <w:tc>
          <w:tcPr>
            <w:tcW w:w="1731" w:type="dxa"/>
          </w:tcPr>
          <w:p w14:paraId="22182E2F" w14:textId="3ABD9E66" w:rsidR="0042356F" w:rsidRPr="00D306CE" w:rsidRDefault="0042356F" w:rsidP="0042356F">
            <w:pPr>
              <w:jc w:val="both"/>
              <w:rPr>
                <w:rFonts w:ascii="Arial" w:hAnsi="Arial" w:cs="Arial"/>
                <w:sz w:val="18"/>
                <w:szCs w:val="18"/>
                <w:lang w:eastAsia="de-DE"/>
              </w:rPr>
            </w:pPr>
            <w:r w:rsidRPr="000C33A9">
              <w:rPr>
                <w:rFonts w:ascii="Arial" w:hAnsi="Arial" w:cs="Arial"/>
                <w:sz w:val="18"/>
                <w:szCs w:val="18"/>
                <w:lang w:eastAsia="de-DE"/>
              </w:rPr>
              <w:t>Komunikacija rezultata</w:t>
            </w:r>
          </w:p>
        </w:tc>
        <w:tc>
          <w:tcPr>
            <w:tcW w:w="1923" w:type="dxa"/>
          </w:tcPr>
          <w:p w14:paraId="14B095BF" w14:textId="44492B6A" w:rsidR="0042356F" w:rsidRPr="00D306CE" w:rsidRDefault="0042356F" w:rsidP="0042356F">
            <w:pPr>
              <w:jc w:val="both"/>
              <w:rPr>
                <w:rFonts w:ascii="Arial" w:hAnsi="Arial" w:cs="Arial"/>
                <w:sz w:val="18"/>
                <w:szCs w:val="18"/>
                <w:lang w:eastAsia="de-DE"/>
              </w:rPr>
            </w:pPr>
            <w:r w:rsidRPr="00500A7F">
              <w:rPr>
                <w:rFonts w:ascii="Arial" w:hAnsi="Arial" w:cs="Arial"/>
                <w:sz w:val="18"/>
                <w:szCs w:val="18"/>
                <w:lang w:eastAsia="de-DE"/>
              </w:rPr>
              <w:t xml:space="preserve">Neposredno iskustvo u implementaciji NPZP i rada u </w:t>
            </w:r>
            <w:proofErr w:type="spellStart"/>
            <w:r w:rsidRPr="00500A7F">
              <w:rPr>
                <w:rFonts w:ascii="Arial" w:hAnsi="Arial" w:cs="Arial"/>
                <w:sz w:val="18"/>
                <w:szCs w:val="18"/>
                <w:lang w:eastAsia="de-DE"/>
              </w:rPr>
              <w:t>Savjetu</w:t>
            </w:r>
            <w:proofErr w:type="spellEnd"/>
          </w:p>
        </w:tc>
        <w:tc>
          <w:tcPr>
            <w:tcW w:w="1441" w:type="dxa"/>
          </w:tcPr>
          <w:p w14:paraId="556D7D9A" w14:textId="4EA5D296" w:rsidR="0042356F" w:rsidRPr="00D306CE" w:rsidRDefault="0042356F" w:rsidP="0042356F">
            <w:pPr>
              <w:jc w:val="both"/>
              <w:rPr>
                <w:rFonts w:ascii="Arial" w:hAnsi="Arial" w:cs="Arial"/>
                <w:sz w:val="18"/>
                <w:szCs w:val="18"/>
                <w:lang w:eastAsia="de-DE"/>
              </w:rPr>
            </w:pPr>
            <w:r w:rsidRPr="00EF5FD8">
              <w:rPr>
                <w:rFonts w:ascii="Arial" w:hAnsi="Arial" w:cs="Arial"/>
                <w:sz w:val="18"/>
                <w:szCs w:val="18"/>
                <w:lang w:eastAsia="de-DE"/>
              </w:rPr>
              <w:t xml:space="preserve">Intervjui, email, </w:t>
            </w:r>
          </w:p>
        </w:tc>
      </w:tr>
      <w:tr w:rsidR="0042356F" w:rsidRPr="00D306CE" w14:paraId="5013A2F4" w14:textId="77777777" w:rsidTr="00765556">
        <w:tc>
          <w:tcPr>
            <w:tcW w:w="1945" w:type="dxa"/>
          </w:tcPr>
          <w:p w14:paraId="636117A9" w14:textId="2CAA22C6" w:rsidR="0042356F" w:rsidRPr="00D306CE" w:rsidRDefault="0042356F" w:rsidP="0042356F">
            <w:pPr>
              <w:jc w:val="both"/>
              <w:rPr>
                <w:rFonts w:ascii="Arial" w:hAnsi="Arial" w:cs="Arial"/>
                <w:sz w:val="18"/>
                <w:szCs w:val="18"/>
                <w:lang w:eastAsia="de-DE"/>
              </w:rPr>
            </w:pPr>
            <w:r>
              <w:rPr>
                <w:rFonts w:ascii="Arial" w:hAnsi="Arial" w:cs="Arial"/>
                <w:sz w:val="18"/>
                <w:szCs w:val="18"/>
              </w:rPr>
              <w:t>Zajednica opština Crne Gore</w:t>
            </w:r>
          </w:p>
        </w:tc>
        <w:tc>
          <w:tcPr>
            <w:tcW w:w="2022" w:type="dxa"/>
          </w:tcPr>
          <w:p w14:paraId="1ED58AA2" w14:textId="50A7BA79" w:rsidR="0042356F" w:rsidRPr="00D306CE" w:rsidRDefault="0042356F" w:rsidP="0042356F">
            <w:pPr>
              <w:jc w:val="both"/>
              <w:rPr>
                <w:rFonts w:ascii="Arial" w:hAnsi="Arial" w:cs="Arial"/>
                <w:sz w:val="18"/>
                <w:szCs w:val="18"/>
                <w:lang w:eastAsia="de-DE"/>
              </w:rPr>
            </w:pPr>
            <w:r w:rsidRPr="001C6A71">
              <w:rPr>
                <w:rFonts w:ascii="Arial" w:hAnsi="Arial" w:cs="Arial"/>
                <w:sz w:val="18"/>
                <w:szCs w:val="18"/>
                <w:lang w:eastAsia="de-DE"/>
              </w:rPr>
              <w:t>Partner u implementaciji</w:t>
            </w:r>
          </w:p>
        </w:tc>
        <w:tc>
          <w:tcPr>
            <w:tcW w:w="1731" w:type="dxa"/>
          </w:tcPr>
          <w:p w14:paraId="01343356" w14:textId="2192B880" w:rsidR="0042356F" w:rsidRPr="00D306CE" w:rsidRDefault="0042356F" w:rsidP="0042356F">
            <w:pPr>
              <w:jc w:val="both"/>
              <w:rPr>
                <w:rFonts w:ascii="Arial" w:hAnsi="Arial" w:cs="Arial"/>
                <w:sz w:val="18"/>
                <w:szCs w:val="18"/>
                <w:lang w:eastAsia="de-DE"/>
              </w:rPr>
            </w:pPr>
            <w:r w:rsidRPr="000C33A9">
              <w:rPr>
                <w:rFonts w:ascii="Arial" w:hAnsi="Arial" w:cs="Arial"/>
                <w:sz w:val="18"/>
                <w:szCs w:val="18"/>
                <w:lang w:eastAsia="de-DE"/>
              </w:rPr>
              <w:t>Komunikacija rezultata</w:t>
            </w:r>
          </w:p>
        </w:tc>
        <w:tc>
          <w:tcPr>
            <w:tcW w:w="1923" w:type="dxa"/>
          </w:tcPr>
          <w:p w14:paraId="4AA20C7C" w14:textId="6F0BDDDB" w:rsidR="0042356F" w:rsidRPr="00D306CE" w:rsidRDefault="0042356F" w:rsidP="0042356F">
            <w:pPr>
              <w:jc w:val="both"/>
              <w:rPr>
                <w:rFonts w:ascii="Arial" w:hAnsi="Arial" w:cs="Arial"/>
                <w:sz w:val="18"/>
                <w:szCs w:val="18"/>
                <w:lang w:eastAsia="de-DE"/>
              </w:rPr>
            </w:pPr>
            <w:r w:rsidRPr="00500A7F">
              <w:rPr>
                <w:rFonts w:ascii="Arial" w:hAnsi="Arial" w:cs="Arial"/>
                <w:sz w:val="18"/>
                <w:szCs w:val="18"/>
                <w:lang w:eastAsia="de-DE"/>
              </w:rPr>
              <w:t xml:space="preserve">Neposredno iskustvo u implementaciji NPZP i rada u </w:t>
            </w:r>
            <w:proofErr w:type="spellStart"/>
            <w:r w:rsidRPr="00500A7F">
              <w:rPr>
                <w:rFonts w:ascii="Arial" w:hAnsi="Arial" w:cs="Arial"/>
                <w:sz w:val="18"/>
                <w:szCs w:val="18"/>
                <w:lang w:eastAsia="de-DE"/>
              </w:rPr>
              <w:t>Savjetu</w:t>
            </w:r>
            <w:proofErr w:type="spellEnd"/>
          </w:p>
        </w:tc>
        <w:tc>
          <w:tcPr>
            <w:tcW w:w="1441" w:type="dxa"/>
          </w:tcPr>
          <w:p w14:paraId="45C5CB43" w14:textId="0E4FC3D1" w:rsidR="0042356F" w:rsidRPr="00D306CE" w:rsidRDefault="0042356F" w:rsidP="0042356F">
            <w:pPr>
              <w:jc w:val="both"/>
              <w:rPr>
                <w:rFonts w:ascii="Arial" w:hAnsi="Arial" w:cs="Arial"/>
                <w:sz w:val="18"/>
                <w:szCs w:val="18"/>
                <w:lang w:eastAsia="de-DE"/>
              </w:rPr>
            </w:pPr>
            <w:r w:rsidRPr="00EF5FD8">
              <w:rPr>
                <w:rFonts w:ascii="Arial" w:hAnsi="Arial" w:cs="Arial"/>
                <w:sz w:val="18"/>
                <w:szCs w:val="18"/>
                <w:lang w:eastAsia="de-DE"/>
              </w:rPr>
              <w:t xml:space="preserve">Intervjui, email, </w:t>
            </w:r>
          </w:p>
        </w:tc>
      </w:tr>
      <w:tr w:rsidR="0042356F" w:rsidRPr="00D306CE" w14:paraId="70F9B02A" w14:textId="77777777" w:rsidTr="00765556">
        <w:tc>
          <w:tcPr>
            <w:tcW w:w="1945" w:type="dxa"/>
          </w:tcPr>
          <w:p w14:paraId="03EA8F41" w14:textId="678662FD" w:rsidR="0042356F" w:rsidRPr="00D306CE" w:rsidRDefault="0042356F" w:rsidP="0042356F">
            <w:pPr>
              <w:jc w:val="both"/>
              <w:rPr>
                <w:rFonts w:ascii="Arial" w:hAnsi="Arial" w:cs="Arial"/>
                <w:sz w:val="18"/>
                <w:szCs w:val="18"/>
                <w:lang w:eastAsia="de-DE"/>
              </w:rPr>
            </w:pPr>
            <w:r>
              <w:rPr>
                <w:rFonts w:ascii="Arial" w:hAnsi="Arial" w:cs="Arial"/>
                <w:sz w:val="18"/>
                <w:szCs w:val="18"/>
              </w:rPr>
              <w:t>Direkcija za tržišnu inspekciju</w:t>
            </w:r>
          </w:p>
        </w:tc>
        <w:tc>
          <w:tcPr>
            <w:tcW w:w="2022" w:type="dxa"/>
          </w:tcPr>
          <w:p w14:paraId="588664D6" w14:textId="7BFC84ED" w:rsidR="0042356F" w:rsidRPr="00D306CE" w:rsidRDefault="0042356F" w:rsidP="0042356F">
            <w:pPr>
              <w:jc w:val="both"/>
              <w:rPr>
                <w:rFonts w:ascii="Arial" w:hAnsi="Arial" w:cs="Arial"/>
                <w:sz w:val="18"/>
                <w:szCs w:val="18"/>
                <w:lang w:eastAsia="de-DE"/>
              </w:rPr>
            </w:pPr>
            <w:r w:rsidRPr="001C6A71">
              <w:rPr>
                <w:rFonts w:ascii="Arial" w:hAnsi="Arial" w:cs="Arial"/>
                <w:sz w:val="18"/>
                <w:szCs w:val="18"/>
                <w:lang w:eastAsia="de-DE"/>
              </w:rPr>
              <w:t>Partner u implementaciji</w:t>
            </w:r>
          </w:p>
        </w:tc>
        <w:tc>
          <w:tcPr>
            <w:tcW w:w="1731" w:type="dxa"/>
          </w:tcPr>
          <w:p w14:paraId="36D756BC" w14:textId="2B704CDE" w:rsidR="0042356F" w:rsidRPr="00D306CE" w:rsidRDefault="0042356F" w:rsidP="0042356F">
            <w:pPr>
              <w:jc w:val="both"/>
              <w:rPr>
                <w:rFonts w:ascii="Arial" w:hAnsi="Arial" w:cs="Arial"/>
                <w:sz w:val="18"/>
                <w:szCs w:val="18"/>
                <w:lang w:eastAsia="de-DE"/>
              </w:rPr>
            </w:pPr>
            <w:r w:rsidRPr="000C33A9">
              <w:rPr>
                <w:rFonts w:ascii="Arial" w:hAnsi="Arial" w:cs="Arial"/>
                <w:sz w:val="18"/>
                <w:szCs w:val="18"/>
                <w:lang w:eastAsia="de-DE"/>
              </w:rPr>
              <w:t>Komunikacija rezultata</w:t>
            </w:r>
          </w:p>
        </w:tc>
        <w:tc>
          <w:tcPr>
            <w:tcW w:w="1923" w:type="dxa"/>
          </w:tcPr>
          <w:p w14:paraId="7E2740D6" w14:textId="2990714F" w:rsidR="0042356F" w:rsidRPr="00D306CE" w:rsidRDefault="0042356F" w:rsidP="0042356F">
            <w:pPr>
              <w:jc w:val="both"/>
              <w:rPr>
                <w:rFonts w:ascii="Arial" w:hAnsi="Arial" w:cs="Arial"/>
                <w:sz w:val="18"/>
                <w:szCs w:val="18"/>
                <w:lang w:eastAsia="de-DE"/>
              </w:rPr>
            </w:pPr>
            <w:r w:rsidRPr="00500A7F">
              <w:rPr>
                <w:rFonts w:ascii="Arial" w:hAnsi="Arial" w:cs="Arial"/>
                <w:sz w:val="18"/>
                <w:szCs w:val="18"/>
                <w:lang w:eastAsia="de-DE"/>
              </w:rPr>
              <w:t xml:space="preserve">Neposredno iskustvo u implementaciji NPZP </w:t>
            </w:r>
          </w:p>
        </w:tc>
        <w:tc>
          <w:tcPr>
            <w:tcW w:w="1441" w:type="dxa"/>
          </w:tcPr>
          <w:p w14:paraId="42EF4A14" w14:textId="1D80C356" w:rsidR="0042356F" w:rsidRPr="00D306CE" w:rsidRDefault="0042356F" w:rsidP="0042356F">
            <w:pPr>
              <w:jc w:val="both"/>
              <w:rPr>
                <w:rFonts w:ascii="Arial" w:hAnsi="Arial" w:cs="Arial"/>
                <w:sz w:val="18"/>
                <w:szCs w:val="18"/>
                <w:lang w:eastAsia="de-DE"/>
              </w:rPr>
            </w:pPr>
            <w:r w:rsidRPr="00EF5FD8">
              <w:rPr>
                <w:rFonts w:ascii="Arial" w:hAnsi="Arial" w:cs="Arial"/>
                <w:sz w:val="18"/>
                <w:szCs w:val="18"/>
                <w:lang w:eastAsia="de-DE"/>
              </w:rPr>
              <w:t xml:space="preserve">Intervjui, email, </w:t>
            </w:r>
          </w:p>
        </w:tc>
      </w:tr>
      <w:tr w:rsidR="0042356F" w:rsidRPr="00D306CE" w14:paraId="06329235" w14:textId="77777777" w:rsidTr="00765556">
        <w:tc>
          <w:tcPr>
            <w:tcW w:w="1945" w:type="dxa"/>
          </w:tcPr>
          <w:p w14:paraId="15F08ED7" w14:textId="54C5F125" w:rsidR="0042356F" w:rsidRPr="00D306CE" w:rsidRDefault="0042356F" w:rsidP="0042356F">
            <w:pPr>
              <w:jc w:val="both"/>
              <w:rPr>
                <w:rFonts w:ascii="Arial" w:hAnsi="Arial" w:cs="Arial"/>
                <w:sz w:val="18"/>
                <w:szCs w:val="18"/>
              </w:rPr>
            </w:pPr>
            <w:r>
              <w:rPr>
                <w:rFonts w:ascii="Arial" w:hAnsi="Arial" w:cs="Arial"/>
                <w:sz w:val="18"/>
                <w:szCs w:val="18"/>
              </w:rPr>
              <w:t xml:space="preserve">Uprava za </w:t>
            </w:r>
            <w:proofErr w:type="spellStart"/>
            <w:r>
              <w:rPr>
                <w:rFonts w:ascii="Arial" w:hAnsi="Arial" w:cs="Arial"/>
                <w:sz w:val="18"/>
                <w:szCs w:val="18"/>
              </w:rPr>
              <w:t>bezbjednost</w:t>
            </w:r>
            <w:proofErr w:type="spellEnd"/>
            <w:r>
              <w:rPr>
                <w:rFonts w:ascii="Arial" w:hAnsi="Arial" w:cs="Arial"/>
                <w:sz w:val="18"/>
                <w:szCs w:val="18"/>
              </w:rPr>
              <w:t xml:space="preserve"> hrane, veterinu i </w:t>
            </w:r>
            <w:proofErr w:type="spellStart"/>
            <w:r>
              <w:rPr>
                <w:rFonts w:ascii="Arial" w:hAnsi="Arial" w:cs="Arial"/>
                <w:sz w:val="18"/>
                <w:szCs w:val="18"/>
              </w:rPr>
              <w:t>fitosanitarne</w:t>
            </w:r>
            <w:proofErr w:type="spellEnd"/>
            <w:r>
              <w:rPr>
                <w:rFonts w:ascii="Arial" w:hAnsi="Arial" w:cs="Arial"/>
                <w:sz w:val="18"/>
                <w:szCs w:val="18"/>
              </w:rPr>
              <w:t xml:space="preserve"> poslove</w:t>
            </w:r>
          </w:p>
        </w:tc>
        <w:tc>
          <w:tcPr>
            <w:tcW w:w="2022" w:type="dxa"/>
          </w:tcPr>
          <w:p w14:paraId="48A47D16" w14:textId="70A0A3CF" w:rsidR="0042356F" w:rsidRPr="00D306CE" w:rsidRDefault="0042356F" w:rsidP="0042356F">
            <w:pPr>
              <w:jc w:val="both"/>
              <w:rPr>
                <w:rFonts w:ascii="Arial" w:hAnsi="Arial" w:cs="Arial"/>
                <w:sz w:val="18"/>
                <w:szCs w:val="18"/>
                <w:lang w:eastAsia="de-DE"/>
              </w:rPr>
            </w:pPr>
            <w:r w:rsidRPr="001C6A71">
              <w:rPr>
                <w:rFonts w:ascii="Arial" w:hAnsi="Arial" w:cs="Arial"/>
                <w:sz w:val="18"/>
                <w:szCs w:val="18"/>
                <w:lang w:eastAsia="de-DE"/>
              </w:rPr>
              <w:t>Partner u implementaciji</w:t>
            </w:r>
          </w:p>
        </w:tc>
        <w:tc>
          <w:tcPr>
            <w:tcW w:w="1731" w:type="dxa"/>
          </w:tcPr>
          <w:p w14:paraId="695F8A8F" w14:textId="084BF9BA" w:rsidR="0042356F" w:rsidRPr="00D306CE" w:rsidRDefault="0042356F" w:rsidP="0042356F">
            <w:pPr>
              <w:jc w:val="both"/>
              <w:rPr>
                <w:rFonts w:ascii="Arial" w:hAnsi="Arial" w:cs="Arial"/>
                <w:sz w:val="18"/>
                <w:szCs w:val="18"/>
                <w:lang w:eastAsia="de-DE"/>
              </w:rPr>
            </w:pPr>
            <w:r w:rsidRPr="000C33A9">
              <w:rPr>
                <w:rFonts w:ascii="Arial" w:hAnsi="Arial" w:cs="Arial"/>
                <w:sz w:val="18"/>
                <w:szCs w:val="18"/>
                <w:lang w:eastAsia="de-DE"/>
              </w:rPr>
              <w:t>Komunikacija rezultata</w:t>
            </w:r>
          </w:p>
        </w:tc>
        <w:tc>
          <w:tcPr>
            <w:tcW w:w="1923" w:type="dxa"/>
          </w:tcPr>
          <w:p w14:paraId="11537A6D" w14:textId="26AF085C" w:rsidR="0042356F" w:rsidRPr="00D306CE" w:rsidRDefault="0042356F" w:rsidP="0042356F">
            <w:pPr>
              <w:jc w:val="both"/>
              <w:rPr>
                <w:rFonts w:ascii="Arial" w:hAnsi="Arial" w:cs="Arial"/>
                <w:sz w:val="18"/>
                <w:szCs w:val="18"/>
                <w:lang w:eastAsia="de-DE"/>
              </w:rPr>
            </w:pPr>
            <w:r w:rsidRPr="00500A7F">
              <w:rPr>
                <w:rFonts w:ascii="Arial" w:hAnsi="Arial" w:cs="Arial"/>
                <w:sz w:val="18"/>
                <w:szCs w:val="18"/>
                <w:lang w:eastAsia="de-DE"/>
              </w:rPr>
              <w:t xml:space="preserve">Neposredno iskustvo u implementaciji NPZP i rada u </w:t>
            </w:r>
            <w:proofErr w:type="spellStart"/>
            <w:r w:rsidRPr="00500A7F">
              <w:rPr>
                <w:rFonts w:ascii="Arial" w:hAnsi="Arial" w:cs="Arial"/>
                <w:sz w:val="18"/>
                <w:szCs w:val="18"/>
                <w:lang w:eastAsia="de-DE"/>
              </w:rPr>
              <w:t>Savjetu</w:t>
            </w:r>
            <w:proofErr w:type="spellEnd"/>
          </w:p>
        </w:tc>
        <w:tc>
          <w:tcPr>
            <w:tcW w:w="1441" w:type="dxa"/>
          </w:tcPr>
          <w:p w14:paraId="4A8C5F58" w14:textId="79741EBC" w:rsidR="0042356F" w:rsidRPr="00D306CE" w:rsidRDefault="0042356F" w:rsidP="0042356F">
            <w:pPr>
              <w:jc w:val="both"/>
              <w:rPr>
                <w:rFonts w:ascii="Arial" w:hAnsi="Arial" w:cs="Arial"/>
                <w:sz w:val="18"/>
                <w:szCs w:val="18"/>
                <w:lang w:eastAsia="de-DE"/>
              </w:rPr>
            </w:pPr>
            <w:r w:rsidRPr="00EF5FD8">
              <w:rPr>
                <w:rFonts w:ascii="Arial" w:hAnsi="Arial" w:cs="Arial"/>
                <w:sz w:val="18"/>
                <w:szCs w:val="18"/>
                <w:lang w:eastAsia="de-DE"/>
              </w:rPr>
              <w:t xml:space="preserve">Intervjui, email, </w:t>
            </w:r>
          </w:p>
        </w:tc>
      </w:tr>
      <w:tr w:rsidR="0042356F" w:rsidRPr="00D306CE" w14:paraId="28E84827" w14:textId="77777777" w:rsidTr="00765556">
        <w:tc>
          <w:tcPr>
            <w:tcW w:w="1945" w:type="dxa"/>
          </w:tcPr>
          <w:p w14:paraId="13357EBA" w14:textId="14E543EC" w:rsidR="0042356F" w:rsidRPr="00D306CE" w:rsidRDefault="0042356F" w:rsidP="0042356F">
            <w:pPr>
              <w:jc w:val="both"/>
              <w:rPr>
                <w:rFonts w:ascii="Arial" w:hAnsi="Arial" w:cs="Arial"/>
                <w:sz w:val="18"/>
                <w:szCs w:val="18"/>
              </w:rPr>
            </w:pPr>
            <w:r w:rsidRPr="00D306CE">
              <w:rPr>
                <w:rFonts w:ascii="Arial" w:hAnsi="Arial" w:cs="Arial"/>
                <w:sz w:val="18"/>
                <w:szCs w:val="18"/>
              </w:rPr>
              <w:t>CEZAP</w:t>
            </w:r>
          </w:p>
        </w:tc>
        <w:tc>
          <w:tcPr>
            <w:tcW w:w="2022" w:type="dxa"/>
          </w:tcPr>
          <w:p w14:paraId="064B69D5" w14:textId="2E9FE9A3" w:rsidR="0042356F" w:rsidRPr="00D306CE" w:rsidRDefault="0042356F" w:rsidP="0042356F">
            <w:pPr>
              <w:jc w:val="both"/>
              <w:rPr>
                <w:rFonts w:ascii="Arial" w:hAnsi="Arial" w:cs="Arial"/>
                <w:sz w:val="18"/>
                <w:szCs w:val="18"/>
                <w:lang w:eastAsia="de-DE"/>
              </w:rPr>
            </w:pPr>
            <w:r>
              <w:rPr>
                <w:rFonts w:ascii="Arial" w:hAnsi="Arial" w:cs="Arial"/>
                <w:sz w:val="18"/>
                <w:szCs w:val="18"/>
                <w:lang w:eastAsia="de-DE"/>
              </w:rPr>
              <w:t xml:space="preserve">NVO u oblasti zaštite </w:t>
            </w:r>
            <w:proofErr w:type="spellStart"/>
            <w:r>
              <w:rPr>
                <w:rFonts w:ascii="Arial" w:hAnsi="Arial" w:cs="Arial"/>
                <w:sz w:val="18"/>
                <w:szCs w:val="18"/>
                <w:lang w:eastAsia="de-DE"/>
              </w:rPr>
              <w:t>potrošala</w:t>
            </w:r>
            <w:proofErr w:type="spellEnd"/>
          </w:p>
        </w:tc>
        <w:tc>
          <w:tcPr>
            <w:tcW w:w="1731" w:type="dxa"/>
          </w:tcPr>
          <w:p w14:paraId="1627D611" w14:textId="4503E1F3" w:rsidR="0042356F" w:rsidRPr="00D306CE" w:rsidRDefault="0042356F" w:rsidP="0042356F">
            <w:pPr>
              <w:jc w:val="both"/>
              <w:rPr>
                <w:rFonts w:ascii="Arial" w:hAnsi="Arial" w:cs="Arial"/>
                <w:sz w:val="18"/>
                <w:szCs w:val="18"/>
                <w:lang w:eastAsia="de-DE"/>
              </w:rPr>
            </w:pPr>
            <w:r>
              <w:rPr>
                <w:rFonts w:ascii="Arial" w:hAnsi="Arial" w:cs="Arial"/>
                <w:sz w:val="18"/>
                <w:szCs w:val="18"/>
                <w:lang w:eastAsia="de-DE"/>
              </w:rPr>
              <w:t>Nove prilike za finansiranje</w:t>
            </w:r>
          </w:p>
        </w:tc>
        <w:tc>
          <w:tcPr>
            <w:tcW w:w="1923" w:type="dxa"/>
          </w:tcPr>
          <w:p w14:paraId="362F64FB" w14:textId="0E2009D4" w:rsidR="0042356F" w:rsidRDefault="0042356F" w:rsidP="0042356F">
            <w:pPr>
              <w:jc w:val="both"/>
              <w:rPr>
                <w:rFonts w:ascii="Arial" w:hAnsi="Arial" w:cs="Arial"/>
                <w:sz w:val="18"/>
                <w:szCs w:val="18"/>
                <w:lang w:eastAsia="de-DE"/>
              </w:rPr>
            </w:pPr>
            <w:r>
              <w:rPr>
                <w:rFonts w:ascii="Arial" w:hAnsi="Arial" w:cs="Arial"/>
                <w:sz w:val="18"/>
                <w:szCs w:val="18"/>
                <w:lang w:eastAsia="de-DE"/>
              </w:rPr>
              <w:t>Neposredno iskustvo o ulozi civilnog sektora u sprovođenju NPZP</w:t>
            </w:r>
          </w:p>
          <w:p w14:paraId="114BFACF" w14:textId="7E25B638" w:rsidR="0042356F" w:rsidRPr="00D306CE" w:rsidRDefault="0042356F" w:rsidP="0042356F">
            <w:pPr>
              <w:jc w:val="both"/>
              <w:rPr>
                <w:rFonts w:ascii="Arial" w:hAnsi="Arial" w:cs="Arial"/>
                <w:sz w:val="18"/>
                <w:szCs w:val="18"/>
                <w:lang w:eastAsia="de-DE"/>
              </w:rPr>
            </w:pPr>
          </w:p>
        </w:tc>
        <w:tc>
          <w:tcPr>
            <w:tcW w:w="1441" w:type="dxa"/>
          </w:tcPr>
          <w:p w14:paraId="2AE18641" w14:textId="0BFE1592" w:rsidR="0042356F" w:rsidRPr="00D306CE" w:rsidRDefault="0042356F" w:rsidP="0042356F">
            <w:pPr>
              <w:jc w:val="both"/>
              <w:rPr>
                <w:rFonts w:ascii="Arial" w:hAnsi="Arial" w:cs="Arial"/>
                <w:sz w:val="18"/>
                <w:szCs w:val="18"/>
                <w:lang w:eastAsia="de-DE"/>
              </w:rPr>
            </w:pPr>
            <w:r w:rsidRPr="00290FFA">
              <w:rPr>
                <w:rFonts w:ascii="Arial" w:hAnsi="Arial" w:cs="Arial"/>
                <w:sz w:val="18"/>
                <w:szCs w:val="18"/>
                <w:lang w:eastAsia="de-DE"/>
              </w:rPr>
              <w:t xml:space="preserve">Intervjui, email, </w:t>
            </w:r>
          </w:p>
        </w:tc>
      </w:tr>
      <w:tr w:rsidR="0042356F" w:rsidRPr="00D306CE" w14:paraId="6CA899D4" w14:textId="77777777" w:rsidTr="00765556">
        <w:tc>
          <w:tcPr>
            <w:tcW w:w="1945" w:type="dxa"/>
          </w:tcPr>
          <w:p w14:paraId="4C0A8E56" w14:textId="374258C1" w:rsidR="0042356F" w:rsidRPr="00D306CE" w:rsidRDefault="0042356F" w:rsidP="0042356F">
            <w:pPr>
              <w:jc w:val="both"/>
              <w:rPr>
                <w:rFonts w:ascii="Arial" w:hAnsi="Arial" w:cs="Arial"/>
                <w:sz w:val="18"/>
                <w:szCs w:val="18"/>
              </w:rPr>
            </w:pPr>
            <w:r>
              <w:rPr>
                <w:rFonts w:ascii="Arial" w:hAnsi="Arial" w:cs="Arial"/>
                <w:sz w:val="18"/>
                <w:szCs w:val="18"/>
              </w:rPr>
              <w:t>Centralna banka Crne Gore</w:t>
            </w:r>
          </w:p>
        </w:tc>
        <w:tc>
          <w:tcPr>
            <w:tcW w:w="2022" w:type="dxa"/>
          </w:tcPr>
          <w:p w14:paraId="4C0351A8" w14:textId="22F393C3" w:rsidR="0042356F" w:rsidRPr="00D306CE" w:rsidRDefault="0042356F" w:rsidP="0042356F">
            <w:pPr>
              <w:jc w:val="both"/>
              <w:rPr>
                <w:rFonts w:ascii="Arial" w:hAnsi="Arial" w:cs="Arial"/>
                <w:sz w:val="18"/>
                <w:szCs w:val="18"/>
                <w:lang w:eastAsia="de-DE"/>
              </w:rPr>
            </w:pPr>
            <w:r>
              <w:rPr>
                <w:rFonts w:ascii="Arial" w:hAnsi="Arial" w:cs="Arial"/>
                <w:sz w:val="18"/>
                <w:szCs w:val="18"/>
                <w:lang w:eastAsia="de-DE"/>
              </w:rPr>
              <w:t>Partner u implementaciji</w:t>
            </w:r>
          </w:p>
        </w:tc>
        <w:tc>
          <w:tcPr>
            <w:tcW w:w="1731" w:type="dxa"/>
          </w:tcPr>
          <w:p w14:paraId="60C5FE45" w14:textId="77777777" w:rsidR="0042356F" w:rsidRDefault="0042356F" w:rsidP="0042356F">
            <w:pPr>
              <w:jc w:val="both"/>
              <w:rPr>
                <w:rFonts w:ascii="Arial" w:hAnsi="Arial" w:cs="Arial"/>
                <w:sz w:val="18"/>
                <w:szCs w:val="18"/>
                <w:lang w:eastAsia="de-DE"/>
              </w:rPr>
            </w:pPr>
            <w:r>
              <w:rPr>
                <w:rFonts w:ascii="Arial" w:hAnsi="Arial" w:cs="Arial"/>
                <w:sz w:val="18"/>
                <w:szCs w:val="18"/>
                <w:lang w:eastAsia="de-DE"/>
              </w:rPr>
              <w:t>Komunikacija rezultata</w:t>
            </w:r>
          </w:p>
          <w:p w14:paraId="366080C2" w14:textId="65B80C8A" w:rsidR="0042356F" w:rsidRPr="00D306CE" w:rsidRDefault="0042356F" w:rsidP="0042356F">
            <w:pPr>
              <w:jc w:val="both"/>
              <w:rPr>
                <w:rFonts w:ascii="Arial" w:hAnsi="Arial" w:cs="Arial"/>
                <w:sz w:val="18"/>
                <w:szCs w:val="18"/>
                <w:lang w:eastAsia="de-DE"/>
              </w:rPr>
            </w:pPr>
          </w:p>
        </w:tc>
        <w:tc>
          <w:tcPr>
            <w:tcW w:w="1923" w:type="dxa"/>
          </w:tcPr>
          <w:p w14:paraId="75F855C7" w14:textId="77777777" w:rsidR="0042356F" w:rsidRDefault="0042356F" w:rsidP="0042356F">
            <w:pPr>
              <w:jc w:val="both"/>
              <w:rPr>
                <w:rFonts w:ascii="Arial" w:hAnsi="Arial" w:cs="Arial"/>
                <w:sz w:val="18"/>
                <w:szCs w:val="18"/>
                <w:lang w:eastAsia="de-DE"/>
              </w:rPr>
            </w:pPr>
            <w:r>
              <w:rPr>
                <w:rFonts w:ascii="Arial" w:hAnsi="Arial" w:cs="Arial"/>
                <w:sz w:val="18"/>
                <w:szCs w:val="18"/>
                <w:lang w:eastAsia="de-DE"/>
              </w:rPr>
              <w:t xml:space="preserve">Neposredno iskustvo u implementaciji NPZP i rada u </w:t>
            </w:r>
            <w:proofErr w:type="spellStart"/>
            <w:r>
              <w:rPr>
                <w:rFonts w:ascii="Arial" w:hAnsi="Arial" w:cs="Arial"/>
                <w:sz w:val="18"/>
                <w:szCs w:val="18"/>
                <w:lang w:eastAsia="de-DE"/>
              </w:rPr>
              <w:t>Savjetu</w:t>
            </w:r>
            <w:proofErr w:type="spellEnd"/>
          </w:p>
          <w:p w14:paraId="2F386D71" w14:textId="23E07BC1" w:rsidR="0042356F" w:rsidRPr="00D306CE" w:rsidRDefault="0042356F" w:rsidP="0042356F">
            <w:pPr>
              <w:jc w:val="both"/>
              <w:rPr>
                <w:rFonts w:ascii="Arial" w:hAnsi="Arial" w:cs="Arial"/>
                <w:sz w:val="18"/>
                <w:szCs w:val="18"/>
                <w:lang w:eastAsia="de-DE"/>
              </w:rPr>
            </w:pPr>
          </w:p>
        </w:tc>
        <w:tc>
          <w:tcPr>
            <w:tcW w:w="1441" w:type="dxa"/>
          </w:tcPr>
          <w:p w14:paraId="22CB4F29" w14:textId="4334DFCC" w:rsidR="0042356F" w:rsidRPr="00D306CE" w:rsidRDefault="0042356F" w:rsidP="0042356F">
            <w:pPr>
              <w:jc w:val="both"/>
              <w:rPr>
                <w:rFonts w:ascii="Arial" w:hAnsi="Arial" w:cs="Arial"/>
                <w:sz w:val="18"/>
                <w:szCs w:val="18"/>
                <w:lang w:eastAsia="de-DE"/>
              </w:rPr>
            </w:pPr>
            <w:r w:rsidRPr="00290FFA">
              <w:rPr>
                <w:rFonts w:ascii="Arial" w:hAnsi="Arial" w:cs="Arial"/>
                <w:sz w:val="18"/>
                <w:szCs w:val="18"/>
                <w:lang w:eastAsia="de-DE"/>
              </w:rPr>
              <w:t xml:space="preserve">Intervjui, email, </w:t>
            </w:r>
          </w:p>
        </w:tc>
      </w:tr>
    </w:tbl>
    <w:p w14:paraId="10E89631" w14:textId="3F3FE46C" w:rsidR="00765556" w:rsidRPr="00AC1C09" w:rsidRDefault="0042356F" w:rsidP="00BA45D7">
      <w:pPr>
        <w:jc w:val="both"/>
        <w:rPr>
          <w:rFonts w:ascii="Arial" w:hAnsi="Arial" w:cs="Arial"/>
          <w:sz w:val="16"/>
          <w:szCs w:val="16"/>
          <w:lang w:val="en-GB" w:eastAsia="de-DE"/>
        </w:rPr>
      </w:pPr>
      <w:proofErr w:type="spellStart"/>
      <w:r>
        <w:rPr>
          <w:rFonts w:ascii="Arial" w:hAnsi="Arial" w:cs="Arial"/>
          <w:sz w:val="16"/>
          <w:szCs w:val="16"/>
          <w:lang w:val="en-GB" w:eastAsia="de-DE"/>
        </w:rPr>
        <w:lastRenderedPageBreak/>
        <w:t>Izvor</w:t>
      </w:r>
      <w:proofErr w:type="spellEnd"/>
      <w:r>
        <w:rPr>
          <w:rFonts w:ascii="Arial" w:hAnsi="Arial" w:cs="Arial"/>
          <w:sz w:val="16"/>
          <w:szCs w:val="16"/>
          <w:lang w:val="en-GB" w:eastAsia="de-DE"/>
        </w:rPr>
        <w:t>: Evaluator</w:t>
      </w:r>
    </w:p>
    <w:p w14:paraId="58C53BC3" w14:textId="77777777" w:rsidR="00765556" w:rsidRDefault="00765556" w:rsidP="00765556">
      <w:pPr>
        <w:spacing w:after="0"/>
        <w:jc w:val="both"/>
        <w:rPr>
          <w:rFonts w:ascii="Arial" w:hAnsi="Arial" w:cs="Arial"/>
          <w:sz w:val="20"/>
          <w:szCs w:val="20"/>
          <w:lang w:val="en-GB" w:eastAsia="de-DE"/>
        </w:rPr>
      </w:pPr>
    </w:p>
    <w:p w14:paraId="6C2DD415" w14:textId="36977E0B" w:rsidR="0042356F" w:rsidRPr="0042356F" w:rsidRDefault="0042356F" w:rsidP="0042356F">
      <w:pPr>
        <w:jc w:val="both"/>
        <w:rPr>
          <w:rFonts w:ascii="Arial" w:hAnsi="Arial" w:cs="Arial"/>
          <w:sz w:val="20"/>
          <w:szCs w:val="20"/>
          <w:lang w:eastAsia="de-DE"/>
        </w:rPr>
      </w:pPr>
      <w:r w:rsidRPr="0042356F">
        <w:rPr>
          <w:rFonts w:ascii="Arial" w:hAnsi="Arial" w:cs="Arial"/>
          <w:sz w:val="20"/>
          <w:szCs w:val="20"/>
          <w:lang w:eastAsia="de-DE"/>
        </w:rPr>
        <w:t xml:space="preserve">Sa namerom da proces bude koherentan i da se maksimizira količina uporednih podataka relevantnih za specifična ključna pitanja evaluacije, sproveden je dvostrani pristup, primenom </w:t>
      </w:r>
      <w:proofErr w:type="spellStart"/>
      <w:r w:rsidRPr="0042356F">
        <w:rPr>
          <w:rFonts w:ascii="Arial" w:hAnsi="Arial" w:cs="Arial"/>
          <w:sz w:val="20"/>
          <w:szCs w:val="20"/>
          <w:lang w:eastAsia="de-DE"/>
        </w:rPr>
        <w:t>polustrukturiranog</w:t>
      </w:r>
      <w:proofErr w:type="spellEnd"/>
      <w:r w:rsidRPr="0042356F">
        <w:rPr>
          <w:rFonts w:ascii="Arial" w:hAnsi="Arial" w:cs="Arial"/>
          <w:sz w:val="20"/>
          <w:szCs w:val="20"/>
          <w:lang w:eastAsia="de-DE"/>
        </w:rPr>
        <w:t xml:space="preserve"> intervjua i naknadne </w:t>
      </w:r>
      <w:proofErr w:type="spellStart"/>
      <w:r w:rsidRPr="0042356F">
        <w:rPr>
          <w:rFonts w:ascii="Arial" w:hAnsi="Arial" w:cs="Arial"/>
          <w:sz w:val="20"/>
          <w:szCs w:val="20"/>
          <w:lang w:eastAsia="de-DE"/>
        </w:rPr>
        <w:t>validacije</w:t>
      </w:r>
      <w:proofErr w:type="spellEnd"/>
      <w:r w:rsidRPr="0042356F">
        <w:rPr>
          <w:rFonts w:ascii="Arial" w:hAnsi="Arial" w:cs="Arial"/>
          <w:sz w:val="20"/>
          <w:szCs w:val="20"/>
          <w:lang w:eastAsia="de-DE"/>
        </w:rPr>
        <w:t xml:space="preserve">. Upitnik za intervjue je pripremljen na crnogorskom jeziku i </w:t>
      </w:r>
      <w:r>
        <w:rPr>
          <w:rFonts w:ascii="Arial" w:hAnsi="Arial" w:cs="Arial"/>
          <w:sz w:val="20"/>
          <w:szCs w:val="20"/>
          <w:lang w:eastAsia="de-DE"/>
        </w:rPr>
        <w:t>prikazan je kao</w:t>
      </w:r>
      <w:r w:rsidRPr="0042356F">
        <w:rPr>
          <w:rFonts w:ascii="Arial" w:hAnsi="Arial" w:cs="Arial"/>
          <w:sz w:val="20"/>
          <w:szCs w:val="20"/>
          <w:lang w:eastAsia="de-DE"/>
        </w:rPr>
        <w:t xml:space="preserve"> Aneks III</w:t>
      </w:r>
      <w:r>
        <w:rPr>
          <w:rFonts w:ascii="Arial" w:hAnsi="Arial" w:cs="Arial"/>
          <w:sz w:val="20"/>
          <w:szCs w:val="20"/>
          <w:lang w:eastAsia="de-DE"/>
        </w:rPr>
        <w:t>.</w:t>
      </w:r>
      <w:r w:rsidRPr="0042356F">
        <w:rPr>
          <w:rFonts w:ascii="Arial" w:hAnsi="Arial" w:cs="Arial"/>
          <w:sz w:val="20"/>
          <w:szCs w:val="20"/>
          <w:lang w:eastAsia="de-DE"/>
        </w:rPr>
        <w:t xml:space="preserve"> Upitnik za konsultacije. </w:t>
      </w:r>
    </w:p>
    <w:p w14:paraId="0BAB375A" w14:textId="03B0A729" w:rsidR="0042356F" w:rsidRDefault="0042356F" w:rsidP="0042356F">
      <w:pPr>
        <w:jc w:val="both"/>
        <w:rPr>
          <w:rFonts w:ascii="Arial" w:hAnsi="Arial" w:cs="Arial"/>
          <w:sz w:val="20"/>
          <w:szCs w:val="20"/>
          <w:lang w:eastAsia="de-DE"/>
        </w:rPr>
      </w:pPr>
      <w:r w:rsidRPr="0042356F">
        <w:rPr>
          <w:rFonts w:ascii="Arial" w:hAnsi="Arial" w:cs="Arial"/>
          <w:sz w:val="20"/>
          <w:szCs w:val="20"/>
          <w:lang w:eastAsia="de-DE"/>
        </w:rPr>
        <w:t>U skladu sa ciljevima, rezultatima i u kontekstu odgovaranja na ključna pitanja evaluacije, javno dostupni podaci su korišćeni u slučajevima gde su takvi podaci pomogli u daljem razrađivanju nalaza FE. Ovi podaci su prikupljeni putem nacionalne statistike, otvorenih podataka i drugih relevantnih izvora. Dostupni podaci su evaluirani i rangirani u skladu sa njihovom relevantnošću u odgovaranju na kriterijume evaluacije.</w:t>
      </w:r>
    </w:p>
    <w:p w14:paraId="3421954A" w14:textId="1AB01826" w:rsidR="0042356F" w:rsidRPr="0042356F" w:rsidRDefault="0042356F" w:rsidP="0042356F">
      <w:pPr>
        <w:jc w:val="both"/>
        <w:rPr>
          <w:rFonts w:ascii="Arial" w:hAnsi="Arial" w:cs="Arial"/>
          <w:sz w:val="20"/>
          <w:szCs w:val="20"/>
          <w:lang w:eastAsia="de-DE"/>
        </w:rPr>
      </w:pPr>
      <w:r w:rsidRPr="0042356F">
        <w:rPr>
          <w:rFonts w:ascii="Arial" w:hAnsi="Arial" w:cs="Arial"/>
          <w:sz w:val="20"/>
          <w:szCs w:val="20"/>
          <w:lang w:eastAsia="de-DE"/>
        </w:rPr>
        <w:t xml:space="preserve">U slučajevima gde je bio potreban dodatni doprinos za </w:t>
      </w:r>
      <w:r>
        <w:rPr>
          <w:rFonts w:ascii="Arial" w:hAnsi="Arial" w:cs="Arial"/>
          <w:sz w:val="20"/>
          <w:szCs w:val="20"/>
          <w:lang w:eastAsia="de-DE"/>
        </w:rPr>
        <w:t xml:space="preserve">definisanje </w:t>
      </w:r>
      <w:r w:rsidRPr="0042356F">
        <w:rPr>
          <w:rFonts w:ascii="Arial" w:hAnsi="Arial" w:cs="Arial"/>
          <w:sz w:val="20"/>
          <w:szCs w:val="20"/>
          <w:lang w:eastAsia="de-DE"/>
        </w:rPr>
        <w:t xml:space="preserve">preporuka ili nalaza koji su relevantni za konkretno ključno pitanje evaluacije, primenjene su druge metode konsultacija. U ovom procesu, naknadna diskusija, </w:t>
      </w:r>
      <w:r>
        <w:rPr>
          <w:rFonts w:ascii="Arial" w:hAnsi="Arial" w:cs="Arial"/>
          <w:sz w:val="20"/>
          <w:szCs w:val="20"/>
          <w:lang w:eastAsia="de-DE"/>
        </w:rPr>
        <w:t>email</w:t>
      </w:r>
      <w:r w:rsidRPr="0042356F">
        <w:rPr>
          <w:rFonts w:ascii="Arial" w:hAnsi="Arial" w:cs="Arial"/>
          <w:sz w:val="20"/>
          <w:szCs w:val="20"/>
          <w:lang w:eastAsia="de-DE"/>
        </w:rPr>
        <w:t xml:space="preserve"> prepiska i deljenje dokumenata sa relevantnim zainteresovanim stranama sprovedeni su u fazi nakon intervjua. </w:t>
      </w:r>
      <w:proofErr w:type="spellStart"/>
      <w:r w:rsidRPr="0042356F">
        <w:rPr>
          <w:rFonts w:ascii="Arial" w:hAnsi="Arial" w:cs="Arial"/>
          <w:sz w:val="20"/>
          <w:szCs w:val="20"/>
          <w:lang w:eastAsia="de-DE"/>
        </w:rPr>
        <w:t>Validacija</w:t>
      </w:r>
      <w:proofErr w:type="spellEnd"/>
      <w:r w:rsidRPr="0042356F">
        <w:rPr>
          <w:rFonts w:ascii="Arial" w:hAnsi="Arial" w:cs="Arial"/>
          <w:sz w:val="20"/>
          <w:szCs w:val="20"/>
          <w:lang w:eastAsia="de-DE"/>
        </w:rPr>
        <w:t xml:space="preserve"> rezultata je koordinisana sa ključnim predstavnicima ME</w:t>
      </w:r>
      <w:r>
        <w:rPr>
          <w:rFonts w:ascii="Arial" w:hAnsi="Arial" w:cs="Arial"/>
          <w:sz w:val="20"/>
          <w:szCs w:val="20"/>
          <w:lang w:eastAsia="de-DE"/>
        </w:rPr>
        <w:t>R</w:t>
      </w:r>
      <w:r w:rsidRPr="0042356F">
        <w:rPr>
          <w:rFonts w:ascii="Arial" w:hAnsi="Arial" w:cs="Arial"/>
          <w:sz w:val="20"/>
          <w:szCs w:val="20"/>
          <w:lang w:eastAsia="de-DE"/>
        </w:rPr>
        <w:t xml:space="preserve"> putem intervjua, dok je nacrt verzija izveštaja o FE prosleđen njima na komentarisanje.</w:t>
      </w:r>
    </w:p>
    <w:p w14:paraId="535494BF" w14:textId="3F1B2B1A" w:rsidR="0042356F" w:rsidRPr="0042356F" w:rsidRDefault="0042356F" w:rsidP="0042356F">
      <w:pPr>
        <w:jc w:val="both"/>
        <w:rPr>
          <w:rFonts w:ascii="Arial" w:hAnsi="Arial" w:cs="Arial"/>
          <w:sz w:val="20"/>
          <w:szCs w:val="20"/>
          <w:lang w:eastAsia="de-DE"/>
        </w:rPr>
      </w:pPr>
      <w:r w:rsidRPr="0042356F">
        <w:rPr>
          <w:rFonts w:ascii="Arial" w:hAnsi="Arial" w:cs="Arial"/>
          <w:sz w:val="20"/>
          <w:szCs w:val="20"/>
          <w:lang w:eastAsia="de-DE"/>
        </w:rPr>
        <w:t>Poslednji korak u sprovođenju FE bio je sistematizacija dobijenih podataka iz analize dokumenata i konsultativnih procesa, čime su se</w:t>
      </w:r>
      <w:r>
        <w:rPr>
          <w:rFonts w:ascii="Arial" w:hAnsi="Arial" w:cs="Arial"/>
          <w:sz w:val="20"/>
          <w:szCs w:val="20"/>
          <w:lang w:eastAsia="de-DE"/>
        </w:rPr>
        <w:t xml:space="preserve"> inputi</w:t>
      </w:r>
      <w:r w:rsidRPr="0042356F">
        <w:rPr>
          <w:rFonts w:ascii="Arial" w:hAnsi="Arial" w:cs="Arial"/>
          <w:sz w:val="20"/>
          <w:szCs w:val="20"/>
          <w:lang w:eastAsia="de-DE"/>
        </w:rPr>
        <w:t xml:space="preserve"> koristili za donošenje zaključaka o sprovođenju </w:t>
      </w:r>
      <w:r>
        <w:rPr>
          <w:rFonts w:ascii="Arial" w:hAnsi="Arial" w:cs="Arial"/>
          <w:sz w:val="20"/>
          <w:szCs w:val="20"/>
          <w:lang w:eastAsia="de-DE"/>
        </w:rPr>
        <w:t>NPZP</w:t>
      </w:r>
      <w:r w:rsidRPr="0042356F">
        <w:rPr>
          <w:rFonts w:ascii="Arial" w:hAnsi="Arial" w:cs="Arial"/>
          <w:sz w:val="20"/>
          <w:szCs w:val="20"/>
          <w:lang w:eastAsia="de-DE"/>
        </w:rPr>
        <w:t>, u odnosu na kriterijume evaluacije. Ovi nalazi pružaju materijal i osnovu za izgradnju narativa koji naglašava pozitivne i negativne prakse i rezultate, i koje akcije treba preduzeti kako bi se poboljšao učinak politike zaštite potrošača u budućnosti. Preporuke su, dakle, osmišljene da odgovaraju specifičnim pitanjima ili da ukažu na budući tok akcija i podeljene su prema meri koju treba primeniti. Preporuke mogu biti:</w:t>
      </w:r>
    </w:p>
    <w:p w14:paraId="17E2FCBE" w14:textId="38E963FB" w:rsidR="00EF5704" w:rsidRPr="00403269" w:rsidRDefault="00EF5704" w:rsidP="006D6681">
      <w:pPr>
        <w:pStyle w:val="ListParagraph"/>
        <w:numPr>
          <w:ilvl w:val="0"/>
          <w:numId w:val="28"/>
        </w:numPr>
        <w:jc w:val="both"/>
        <w:rPr>
          <w:rFonts w:ascii="Arial" w:hAnsi="Arial" w:cs="Arial"/>
          <w:sz w:val="20"/>
          <w:szCs w:val="20"/>
          <w:lang w:val="sr-Latn-RS" w:eastAsia="de-DE"/>
        </w:rPr>
      </w:pPr>
      <w:r w:rsidRPr="00403269">
        <w:rPr>
          <w:rFonts w:ascii="Arial" w:hAnsi="Arial" w:cs="Arial"/>
          <w:sz w:val="20"/>
          <w:szCs w:val="20"/>
          <w:lang w:val="sr-Latn-RS" w:eastAsia="de-DE"/>
        </w:rPr>
        <w:t>Regulator</w:t>
      </w:r>
      <w:r w:rsidR="0042356F" w:rsidRPr="00403269">
        <w:rPr>
          <w:rFonts w:ascii="Arial" w:hAnsi="Arial" w:cs="Arial"/>
          <w:sz w:val="20"/>
          <w:szCs w:val="20"/>
          <w:lang w:val="sr-Latn-RS" w:eastAsia="de-DE"/>
        </w:rPr>
        <w:t>ne</w:t>
      </w:r>
      <w:r w:rsidRPr="00403269">
        <w:rPr>
          <w:rFonts w:ascii="Arial" w:hAnsi="Arial" w:cs="Arial"/>
          <w:sz w:val="20"/>
          <w:szCs w:val="20"/>
          <w:lang w:val="sr-Latn-RS" w:eastAsia="de-DE"/>
        </w:rPr>
        <w:t xml:space="preserve"> – </w:t>
      </w:r>
      <w:r w:rsidR="0042356F" w:rsidRPr="00403269">
        <w:rPr>
          <w:rFonts w:ascii="Arial" w:hAnsi="Arial" w:cs="Arial"/>
          <w:sz w:val="20"/>
          <w:szCs w:val="20"/>
          <w:lang w:val="sr-Latn-RS" w:eastAsia="de-DE"/>
        </w:rPr>
        <w:t>Preporuka o tome koje regulatorne mere treba preduzeti</w:t>
      </w:r>
      <w:r w:rsidRPr="00403269">
        <w:rPr>
          <w:rFonts w:ascii="Arial" w:hAnsi="Arial" w:cs="Arial"/>
          <w:sz w:val="20"/>
          <w:szCs w:val="20"/>
          <w:lang w:val="sr-Latn-RS" w:eastAsia="de-DE"/>
        </w:rPr>
        <w:t>;</w:t>
      </w:r>
    </w:p>
    <w:p w14:paraId="1F7BBEED" w14:textId="08C0DA89" w:rsidR="00EF5704" w:rsidRPr="00403269" w:rsidRDefault="0042356F" w:rsidP="006D6681">
      <w:pPr>
        <w:pStyle w:val="ListParagraph"/>
        <w:numPr>
          <w:ilvl w:val="0"/>
          <w:numId w:val="28"/>
        </w:numPr>
        <w:jc w:val="both"/>
        <w:rPr>
          <w:rFonts w:ascii="Arial" w:hAnsi="Arial" w:cs="Arial"/>
          <w:sz w:val="20"/>
          <w:szCs w:val="20"/>
          <w:lang w:val="sr-Latn-RS" w:eastAsia="de-DE"/>
        </w:rPr>
      </w:pPr>
      <w:r w:rsidRPr="00403269">
        <w:rPr>
          <w:rFonts w:ascii="Arial" w:hAnsi="Arial" w:cs="Arial"/>
          <w:sz w:val="20"/>
          <w:szCs w:val="20"/>
          <w:lang w:val="sr-Latn-RS" w:eastAsia="de-DE"/>
        </w:rPr>
        <w:t>Institucionalno</w:t>
      </w:r>
      <w:r w:rsidR="00403269" w:rsidRPr="00403269">
        <w:rPr>
          <w:rFonts w:ascii="Arial" w:hAnsi="Arial" w:cs="Arial"/>
          <w:sz w:val="20"/>
          <w:szCs w:val="20"/>
          <w:lang w:val="sr-Latn-RS" w:eastAsia="de-DE"/>
        </w:rPr>
        <w:t>-organizacione</w:t>
      </w:r>
      <w:r w:rsidR="00EF5704" w:rsidRPr="00403269">
        <w:rPr>
          <w:rFonts w:ascii="Arial" w:hAnsi="Arial" w:cs="Arial"/>
          <w:sz w:val="20"/>
          <w:szCs w:val="20"/>
          <w:lang w:val="sr-Latn-RS" w:eastAsia="de-DE"/>
        </w:rPr>
        <w:t xml:space="preserve"> – </w:t>
      </w:r>
      <w:r w:rsidRPr="00403269">
        <w:rPr>
          <w:rFonts w:ascii="Arial" w:hAnsi="Arial" w:cs="Arial"/>
          <w:sz w:val="20"/>
          <w:szCs w:val="20"/>
          <w:lang w:val="sr-Latn-RS" w:eastAsia="de-DE"/>
        </w:rPr>
        <w:t xml:space="preserve">Navođenje nivoa organizacije koja je najpogodnija za dizajniranje, sprovođenje i </w:t>
      </w:r>
      <w:proofErr w:type="spellStart"/>
      <w:r w:rsidRPr="00403269">
        <w:rPr>
          <w:rFonts w:ascii="Arial" w:hAnsi="Arial" w:cs="Arial"/>
          <w:sz w:val="20"/>
          <w:szCs w:val="20"/>
          <w:lang w:val="sr-Latn-RS" w:eastAsia="de-DE"/>
        </w:rPr>
        <w:t>praćenje</w:t>
      </w:r>
      <w:proofErr w:type="spellEnd"/>
      <w:r w:rsidRPr="00403269">
        <w:rPr>
          <w:rFonts w:ascii="Arial" w:hAnsi="Arial" w:cs="Arial"/>
          <w:sz w:val="20"/>
          <w:szCs w:val="20"/>
          <w:lang w:val="sr-Latn-RS" w:eastAsia="de-DE"/>
        </w:rPr>
        <w:t xml:space="preserve"> </w:t>
      </w:r>
      <w:proofErr w:type="spellStart"/>
      <w:r w:rsidRPr="00403269">
        <w:rPr>
          <w:rFonts w:ascii="Arial" w:hAnsi="Arial" w:cs="Arial"/>
          <w:sz w:val="20"/>
          <w:szCs w:val="20"/>
          <w:lang w:val="sr-Latn-RS" w:eastAsia="de-DE"/>
        </w:rPr>
        <w:t>budućih</w:t>
      </w:r>
      <w:proofErr w:type="spellEnd"/>
      <w:r w:rsidRPr="00403269">
        <w:rPr>
          <w:rFonts w:ascii="Arial" w:hAnsi="Arial" w:cs="Arial"/>
          <w:sz w:val="20"/>
          <w:szCs w:val="20"/>
          <w:lang w:val="sr-Latn-RS" w:eastAsia="de-DE"/>
        </w:rPr>
        <w:t xml:space="preserve"> politika zaštite potrošača</w:t>
      </w:r>
      <w:r w:rsidR="00EF5704" w:rsidRPr="00403269">
        <w:rPr>
          <w:rFonts w:ascii="Arial" w:hAnsi="Arial" w:cs="Arial"/>
          <w:sz w:val="20"/>
          <w:szCs w:val="20"/>
          <w:lang w:val="sr-Latn-RS" w:eastAsia="de-DE"/>
        </w:rPr>
        <w:t xml:space="preserve">; </w:t>
      </w:r>
      <w:r w:rsidRPr="00403269">
        <w:rPr>
          <w:rFonts w:ascii="Arial" w:hAnsi="Arial" w:cs="Arial"/>
          <w:sz w:val="20"/>
          <w:szCs w:val="20"/>
          <w:lang w:val="sr-Latn-RS" w:eastAsia="de-DE"/>
        </w:rPr>
        <w:t>i</w:t>
      </w:r>
    </w:p>
    <w:p w14:paraId="5BC4B672" w14:textId="239B1142" w:rsidR="00EF5704" w:rsidRPr="00403269" w:rsidRDefault="00403269" w:rsidP="006D6681">
      <w:pPr>
        <w:pStyle w:val="ListParagraph"/>
        <w:numPr>
          <w:ilvl w:val="0"/>
          <w:numId w:val="28"/>
        </w:numPr>
        <w:jc w:val="both"/>
        <w:rPr>
          <w:rFonts w:ascii="Arial" w:hAnsi="Arial" w:cs="Arial"/>
          <w:sz w:val="20"/>
          <w:szCs w:val="20"/>
          <w:lang w:val="sr-Latn-RS" w:eastAsia="de-DE"/>
        </w:rPr>
      </w:pPr>
      <w:r w:rsidRPr="00403269">
        <w:rPr>
          <w:rFonts w:ascii="Arial" w:hAnsi="Arial" w:cs="Arial"/>
          <w:sz w:val="20"/>
          <w:szCs w:val="20"/>
          <w:lang w:val="sr-Latn-RS" w:eastAsia="de-DE"/>
        </w:rPr>
        <w:t>Informativne/edukativne</w:t>
      </w:r>
      <w:r w:rsidR="00EF5704" w:rsidRPr="00403269">
        <w:rPr>
          <w:rFonts w:ascii="Arial" w:hAnsi="Arial" w:cs="Arial"/>
          <w:sz w:val="20"/>
          <w:szCs w:val="20"/>
          <w:lang w:val="sr-Latn-RS" w:eastAsia="de-DE"/>
        </w:rPr>
        <w:t xml:space="preserve"> – </w:t>
      </w:r>
      <w:r w:rsidRPr="00403269">
        <w:rPr>
          <w:rFonts w:ascii="Arial" w:hAnsi="Arial" w:cs="Arial"/>
          <w:sz w:val="20"/>
          <w:szCs w:val="20"/>
          <w:lang w:val="sr-Latn-RS" w:eastAsia="de-DE"/>
        </w:rPr>
        <w:t>Preporučivanje načina delovanja u svrhu komunikacije i edukacije o sadržaju vezanom za zaštitu potrošača.</w:t>
      </w:r>
    </w:p>
    <w:p w14:paraId="1B43644A" w14:textId="77777777" w:rsidR="00EF5704" w:rsidRPr="00403269" w:rsidRDefault="00EF5704" w:rsidP="00EF5704">
      <w:pPr>
        <w:jc w:val="both"/>
        <w:rPr>
          <w:rFonts w:ascii="Arial" w:hAnsi="Arial" w:cs="Arial"/>
          <w:sz w:val="20"/>
          <w:szCs w:val="20"/>
          <w:lang w:eastAsia="de-DE"/>
        </w:rPr>
      </w:pPr>
    </w:p>
    <w:p w14:paraId="4D54EF72" w14:textId="680C6993" w:rsidR="00EF5704" w:rsidRDefault="00403269" w:rsidP="00EF5704">
      <w:pPr>
        <w:jc w:val="both"/>
        <w:rPr>
          <w:rFonts w:ascii="Arial" w:hAnsi="Arial" w:cs="Arial"/>
          <w:sz w:val="20"/>
          <w:szCs w:val="20"/>
          <w:lang w:val="en-US" w:eastAsia="de-DE"/>
        </w:rPr>
      </w:pPr>
      <w:proofErr w:type="spellStart"/>
      <w:r>
        <w:rPr>
          <w:rFonts w:ascii="Arial" w:hAnsi="Arial" w:cs="Arial"/>
          <w:sz w:val="20"/>
          <w:szCs w:val="20"/>
          <w:lang w:val="en-US" w:eastAsia="de-DE"/>
        </w:rPr>
        <w:t>Slika</w:t>
      </w:r>
      <w:proofErr w:type="spellEnd"/>
      <w:r w:rsidR="00EF5704" w:rsidRPr="00EF5704">
        <w:rPr>
          <w:rFonts w:ascii="Arial" w:hAnsi="Arial" w:cs="Arial"/>
          <w:sz w:val="20"/>
          <w:szCs w:val="20"/>
          <w:lang w:val="en-US" w:eastAsia="de-DE"/>
        </w:rPr>
        <w:t xml:space="preserve"> 1. </w:t>
      </w:r>
      <w:proofErr w:type="spellStart"/>
      <w:r>
        <w:rPr>
          <w:rFonts w:ascii="Arial" w:hAnsi="Arial" w:cs="Arial"/>
          <w:sz w:val="20"/>
          <w:szCs w:val="20"/>
          <w:lang w:val="en-US" w:eastAsia="de-DE"/>
        </w:rPr>
        <w:t>Tipovi</w:t>
      </w:r>
      <w:proofErr w:type="spellEnd"/>
      <w:r>
        <w:rPr>
          <w:rFonts w:ascii="Arial" w:hAnsi="Arial" w:cs="Arial"/>
          <w:sz w:val="20"/>
          <w:szCs w:val="20"/>
          <w:lang w:val="en-US" w:eastAsia="de-DE"/>
        </w:rPr>
        <w:t xml:space="preserve"> </w:t>
      </w:r>
      <w:proofErr w:type="spellStart"/>
      <w:r>
        <w:rPr>
          <w:rFonts w:ascii="Arial" w:hAnsi="Arial" w:cs="Arial"/>
          <w:sz w:val="20"/>
          <w:szCs w:val="20"/>
          <w:lang w:val="en-US" w:eastAsia="de-DE"/>
        </w:rPr>
        <w:t>preporuka</w:t>
      </w:r>
      <w:proofErr w:type="spellEnd"/>
    </w:p>
    <w:p w14:paraId="421DD327" w14:textId="18F955F1" w:rsidR="00EF5704" w:rsidRDefault="00403269" w:rsidP="00EF5704">
      <w:pPr>
        <w:jc w:val="both"/>
        <w:rPr>
          <w:rFonts w:ascii="Arial" w:hAnsi="Arial" w:cs="Arial"/>
          <w:sz w:val="20"/>
          <w:szCs w:val="20"/>
          <w:lang w:val="en-US" w:eastAsia="de-DE"/>
        </w:rPr>
      </w:pPr>
      <w:r w:rsidRPr="00403269">
        <w:rPr>
          <w:rFonts w:ascii="Arial" w:hAnsi="Arial" w:cs="Arial"/>
          <w:noProof/>
          <w:sz w:val="20"/>
          <w:szCs w:val="20"/>
          <w:lang w:eastAsia="de-DE"/>
        </w:rPr>
        <w:drawing>
          <wp:inline distT="0" distB="0" distL="0" distR="0" wp14:anchorId="3062C223" wp14:editId="42D77156">
            <wp:extent cx="4445252" cy="1823279"/>
            <wp:effectExtent l="0" t="0" r="0" b="0"/>
            <wp:docPr id="83396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69843" name=""/>
                    <pic:cNvPicPr/>
                  </pic:nvPicPr>
                  <pic:blipFill>
                    <a:blip r:embed="rId9"/>
                    <a:stretch>
                      <a:fillRect/>
                    </a:stretch>
                  </pic:blipFill>
                  <pic:spPr>
                    <a:xfrm>
                      <a:off x="0" y="0"/>
                      <a:ext cx="4498171" cy="1844984"/>
                    </a:xfrm>
                    <a:prstGeom prst="rect">
                      <a:avLst/>
                    </a:prstGeom>
                  </pic:spPr>
                </pic:pic>
              </a:graphicData>
            </a:graphic>
          </wp:inline>
        </w:drawing>
      </w:r>
    </w:p>
    <w:p w14:paraId="3F5933BD" w14:textId="3CD2C74F" w:rsidR="00EF5704" w:rsidRPr="00EF5704" w:rsidRDefault="00403269" w:rsidP="00EF5704">
      <w:pPr>
        <w:jc w:val="both"/>
        <w:rPr>
          <w:rFonts w:ascii="Arial" w:hAnsi="Arial" w:cs="Arial"/>
          <w:sz w:val="20"/>
          <w:szCs w:val="20"/>
          <w:lang w:val="en-US" w:eastAsia="de-DE"/>
        </w:rPr>
      </w:pPr>
      <w:proofErr w:type="spellStart"/>
      <w:r>
        <w:rPr>
          <w:rFonts w:ascii="Arial" w:hAnsi="Arial" w:cs="Arial"/>
          <w:sz w:val="20"/>
          <w:szCs w:val="20"/>
          <w:lang w:val="en-US" w:eastAsia="de-DE"/>
        </w:rPr>
        <w:t>Izvor</w:t>
      </w:r>
      <w:proofErr w:type="spellEnd"/>
      <w:r>
        <w:rPr>
          <w:rFonts w:ascii="Arial" w:hAnsi="Arial" w:cs="Arial"/>
          <w:sz w:val="20"/>
          <w:szCs w:val="20"/>
          <w:lang w:val="en-US" w:eastAsia="de-DE"/>
        </w:rPr>
        <w:t>: Evaluator</w:t>
      </w:r>
    </w:p>
    <w:p w14:paraId="70FC59A7" w14:textId="4C17594D" w:rsidR="00C43234" w:rsidRDefault="00403269" w:rsidP="00DE468B">
      <w:pPr>
        <w:pStyle w:val="Heading2"/>
        <w:rPr>
          <w:rFonts w:ascii="Arial" w:hAnsi="Arial" w:cs="Arial"/>
          <w:b/>
          <w:bCs/>
          <w:i/>
          <w:iCs/>
          <w:szCs w:val="18"/>
          <w:lang w:val="sr-Latn-RS"/>
        </w:rPr>
      </w:pPr>
      <w:bookmarkStart w:id="5" w:name="_Toc199479349"/>
      <w:r w:rsidRPr="00FD45F2">
        <w:rPr>
          <w:rFonts w:ascii="Arial" w:hAnsi="Arial" w:cs="Arial"/>
          <w:b/>
          <w:bCs/>
          <w:i/>
          <w:iCs/>
          <w:szCs w:val="18"/>
          <w:lang w:val="sr-Latn-RS"/>
        </w:rPr>
        <w:lastRenderedPageBreak/>
        <w:t>Pitanja za evaluaciju</w:t>
      </w:r>
      <w:bookmarkEnd w:id="5"/>
    </w:p>
    <w:p w14:paraId="0A5EABE3" w14:textId="555A8FC6" w:rsidR="00FD45F2" w:rsidRPr="00FD45F2" w:rsidRDefault="00FD45F2" w:rsidP="00FD45F2">
      <w:pPr>
        <w:jc w:val="both"/>
        <w:rPr>
          <w:rFonts w:ascii="Arial" w:hAnsi="Arial" w:cs="Arial"/>
          <w:sz w:val="20"/>
          <w:szCs w:val="20"/>
          <w:lang w:eastAsia="de-DE"/>
        </w:rPr>
      </w:pPr>
      <w:r w:rsidRPr="00FD45F2">
        <w:rPr>
          <w:rFonts w:ascii="Arial" w:hAnsi="Arial" w:cs="Arial"/>
          <w:sz w:val="20"/>
          <w:szCs w:val="20"/>
          <w:lang w:eastAsia="de-DE"/>
        </w:rPr>
        <w:t>U skladu sa globalno priznatim kriterijumima za evaluaciju OECD DAC</w:t>
      </w:r>
      <w:r>
        <w:rPr>
          <w:rStyle w:val="FootnoteReference"/>
          <w:rFonts w:cs="Arial"/>
          <w:lang w:eastAsia="de-DE"/>
        </w:rPr>
        <w:footnoteReference w:id="2"/>
      </w:r>
      <w:r w:rsidRPr="00FD45F2">
        <w:rPr>
          <w:rFonts w:ascii="Arial" w:hAnsi="Arial" w:cs="Arial"/>
          <w:sz w:val="20"/>
          <w:szCs w:val="20"/>
          <w:lang w:eastAsia="de-DE"/>
        </w:rPr>
        <w:t xml:space="preserve"> i zahtevima iz </w:t>
      </w:r>
      <w:proofErr w:type="spellStart"/>
      <w:r>
        <w:rPr>
          <w:rFonts w:ascii="Arial" w:hAnsi="Arial" w:cs="Arial"/>
          <w:sz w:val="20"/>
          <w:szCs w:val="20"/>
          <w:lang w:eastAsia="de-DE"/>
        </w:rPr>
        <w:t>ToR</w:t>
      </w:r>
      <w:proofErr w:type="spellEnd"/>
      <w:r>
        <w:rPr>
          <w:rFonts w:ascii="Arial" w:hAnsi="Arial" w:cs="Arial"/>
          <w:sz w:val="20"/>
          <w:szCs w:val="20"/>
          <w:lang w:eastAsia="de-DE"/>
        </w:rPr>
        <w:t>-a</w:t>
      </w:r>
      <w:r w:rsidRPr="00FD45F2">
        <w:rPr>
          <w:rFonts w:ascii="Arial" w:hAnsi="Arial" w:cs="Arial"/>
          <w:sz w:val="20"/>
          <w:szCs w:val="20"/>
          <w:lang w:eastAsia="de-DE"/>
        </w:rPr>
        <w:t xml:space="preserve">, FE organizuje nalaze i daje preporuke na teme relevantnosti, efektivnosti, rezultata, efikasnosti i koherentnosti u kretanju ka ostvarivanju ciljeva i rezultata. Pitanja za evaluaciju takođe uključuju održivost, iako taj kriterijum nije naveden u opisu poslovanja, fokusirajući se na dugovečnost postignutih rezultata i da li su oni održivi u budućem toku </w:t>
      </w:r>
      <w:r>
        <w:rPr>
          <w:rFonts w:ascii="Arial" w:hAnsi="Arial" w:cs="Arial"/>
          <w:sz w:val="20"/>
          <w:szCs w:val="20"/>
          <w:lang w:eastAsia="de-DE"/>
        </w:rPr>
        <w:t xml:space="preserve">primene </w:t>
      </w:r>
      <w:r w:rsidRPr="00FD45F2">
        <w:rPr>
          <w:rFonts w:ascii="Arial" w:hAnsi="Arial" w:cs="Arial"/>
          <w:sz w:val="20"/>
          <w:szCs w:val="20"/>
          <w:lang w:eastAsia="de-DE"/>
        </w:rPr>
        <w:t>politike zaštite potrošača.</w:t>
      </w:r>
    </w:p>
    <w:p w14:paraId="6CC5D990" w14:textId="67EEF5DA" w:rsidR="00FD45F2" w:rsidRPr="00FD45F2" w:rsidRDefault="00FD45F2" w:rsidP="00FD45F2">
      <w:pPr>
        <w:jc w:val="both"/>
        <w:rPr>
          <w:rFonts w:ascii="Arial" w:hAnsi="Arial" w:cs="Arial"/>
          <w:sz w:val="20"/>
          <w:szCs w:val="20"/>
          <w:lang w:eastAsia="de-DE"/>
        </w:rPr>
      </w:pPr>
      <w:r w:rsidRPr="00FD45F2">
        <w:rPr>
          <w:rFonts w:ascii="Arial" w:hAnsi="Arial" w:cs="Arial"/>
          <w:sz w:val="20"/>
          <w:szCs w:val="20"/>
          <w:lang w:eastAsia="de-DE"/>
        </w:rPr>
        <w:t xml:space="preserve">Lista ključnih pitanja za evaluaciju za FE je dogovorena i odobrena od strane UNDP </w:t>
      </w:r>
      <w:r>
        <w:rPr>
          <w:rFonts w:ascii="Arial" w:hAnsi="Arial" w:cs="Arial"/>
          <w:sz w:val="20"/>
          <w:szCs w:val="20"/>
          <w:lang w:eastAsia="de-DE"/>
        </w:rPr>
        <w:t>CG</w:t>
      </w:r>
      <w:r w:rsidRPr="00FD45F2">
        <w:rPr>
          <w:rFonts w:ascii="Arial" w:hAnsi="Arial" w:cs="Arial"/>
          <w:sz w:val="20"/>
          <w:szCs w:val="20"/>
          <w:lang w:eastAsia="de-DE"/>
        </w:rPr>
        <w:t xml:space="preserve"> u početnoj fazi FE, čime je postignuto razumevanje tema koje treba istražiti tokom trajanja FE. </w:t>
      </w:r>
      <w:proofErr w:type="spellStart"/>
      <w:r w:rsidRPr="00FD45F2">
        <w:rPr>
          <w:rFonts w:ascii="Arial" w:hAnsi="Arial" w:cs="Arial"/>
          <w:sz w:val="20"/>
          <w:szCs w:val="20"/>
          <w:lang w:eastAsia="de-DE"/>
        </w:rPr>
        <w:t>Validacijom</w:t>
      </w:r>
      <w:proofErr w:type="spellEnd"/>
      <w:r w:rsidRPr="00FD45F2">
        <w:rPr>
          <w:rFonts w:ascii="Arial" w:hAnsi="Arial" w:cs="Arial"/>
          <w:sz w:val="20"/>
          <w:szCs w:val="20"/>
          <w:lang w:eastAsia="de-DE"/>
        </w:rPr>
        <w:t xml:space="preserve"> ključnih pitanja za evaluaciju, klijent je usmerio napore evaluacije, jasno demonstrirajući razumevanje potreba i zahteva budućih dokumenata politike u oblasti zaštite potrošača.</w:t>
      </w:r>
    </w:p>
    <w:p w14:paraId="384A84CB" w14:textId="102A19FF" w:rsidR="00FB3AC3" w:rsidRPr="00FD45F2" w:rsidRDefault="00FD45F2" w:rsidP="00FB3AC3">
      <w:pPr>
        <w:shd w:val="clear" w:color="auto" w:fill="FFFFFF"/>
        <w:jc w:val="both"/>
        <w:rPr>
          <w:rFonts w:ascii="Arial" w:hAnsi="Arial" w:cs="Arial"/>
          <w:color w:val="212121"/>
          <w:sz w:val="20"/>
          <w:szCs w:val="20"/>
        </w:rPr>
      </w:pPr>
      <w:r w:rsidRPr="00FD45F2">
        <w:rPr>
          <w:rFonts w:ascii="Arial" w:hAnsi="Arial" w:cs="Arial"/>
          <w:color w:val="212121"/>
          <w:sz w:val="20"/>
          <w:szCs w:val="20"/>
        </w:rPr>
        <w:t xml:space="preserve">Lista </w:t>
      </w:r>
      <w:r w:rsidRPr="00FD45F2">
        <w:rPr>
          <w:rFonts w:ascii="Arial" w:hAnsi="Arial" w:cs="Arial"/>
          <w:b/>
          <w:bCs/>
          <w:color w:val="212121"/>
          <w:sz w:val="20"/>
          <w:szCs w:val="20"/>
        </w:rPr>
        <w:t xml:space="preserve">ključnih pitanja za </w:t>
      </w:r>
      <w:r w:rsidR="005D176B" w:rsidRPr="00FD45F2">
        <w:rPr>
          <w:rFonts w:ascii="Arial" w:hAnsi="Arial" w:cs="Arial"/>
          <w:b/>
          <w:bCs/>
          <w:color w:val="212121"/>
          <w:sz w:val="20"/>
          <w:szCs w:val="20"/>
        </w:rPr>
        <w:t>evaluacij</w:t>
      </w:r>
      <w:r w:rsidR="005D176B">
        <w:rPr>
          <w:rFonts w:ascii="Arial" w:hAnsi="Arial" w:cs="Arial"/>
          <w:b/>
          <w:bCs/>
          <w:color w:val="212121"/>
          <w:sz w:val="20"/>
          <w:szCs w:val="20"/>
        </w:rPr>
        <w:t>u</w:t>
      </w:r>
      <w:r w:rsidRPr="00FD45F2">
        <w:rPr>
          <w:rFonts w:ascii="Arial" w:hAnsi="Arial" w:cs="Arial"/>
          <w:color w:val="212121"/>
          <w:sz w:val="20"/>
          <w:szCs w:val="20"/>
        </w:rPr>
        <w:t xml:space="preserve"> finalne evaluacije:</w:t>
      </w:r>
      <w:r w:rsidR="00FB3AC3" w:rsidRPr="00FD45F2">
        <w:rPr>
          <w:rFonts w:ascii="Arial" w:hAnsi="Arial" w:cs="Arial"/>
          <w:color w:val="212121"/>
          <w:sz w:val="20"/>
          <w:szCs w:val="20"/>
        </w:rPr>
        <w:t xml:space="preserve"> </w:t>
      </w:r>
    </w:p>
    <w:p w14:paraId="656448E1" w14:textId="77777777" w:rsidR="00D21821" w:rsidRPr="00FD45F2" w:rsidRDefault="00D21821" w:rsidP="00DE468B">
      <w:pPr>
        <w:pStyle w:val="ParagraphOED"/>
        <w:numPr>
          <w:ilvl w:val="0"/>
          <w:numId w:val="0"/>
        </w:numPr>
        <w:spacing w:before="0" w:after="0"/>
        <w:ind w:left="360" w:hanging="360"/>
        <w:outlineLvl w:val="2"/>
        <w:rPr>
          <w:rFonts w:ascii="Arial" w:eastAsia="Cambria" w:hAnsi="Arial" w:cs="Arial"/>
          <w:b/>
          <w:sz w:val="20"/>
          <w:szCs w:val="20"/>
          <w:lang w:val="sr-Latn-RS" w:eastAsia="x-none"/>
        </w:rPr>
      </w:pPr>
    </w:p>
    <w:p w14:paraId="2FFAC13C" w14:textId="65F021CB" w:rsidR="00D21821" w:rsidRPr="00FD45F2" w:rsidRDefault="00D21821" w:rsidP="00DE468B">
      <w:pPr>
        <w:spacing w:after="0"/>
        <w:jc w:val="both"/>
        <w:rPr>
          <w:rFonts w:ascii="Arial" w:hAnsi="Arial" w:cs="Arial"/>
          <w:b/>
          <w:bCs/>
          <w:sz w:val="20"/>
          <w:szCs w:val="20"/>
        </w:rPr>
      </w:pPr>
      <w:r w:rsidRPr="00FD45F2">
        <w:rPr>
          <w:rFonts w:ascii="Arial" w:hAnsi="Arial" w:cs="Arial"/>
          <w:b/>
          <w:bCs/>
          <w:sz w:val="20"/>
          <w:szCs w:val="20"/>
        </w:rPr>
        <w:t xml:space="preserve">         a)     </w:t>
      </w:r>
      <w:r w:rsidR="00FD45F2" w:rsidRPr="00FD45F2">
        <w:rPr>
          <w:rFonts w:ascii="Arial" w:hAnsi="Arial" w:cs="Arial"/>
          <w:b/>
          <w:bCs/>
          <w:sz w:val="20"/>
          <w:szCs w:val="20"/>
        </w:rPr>
        <w:t>Relevantnost</w:t>
      </w:r>
    </w:p>
    <w:p w14:paraId="0118EACF" w14:textId="77777777" w:rsidR="009F19BD" w:rsidRPr="00FD45F2" w:rsidRDefault="009F19BD" w:rsidP="00DE468B">
      <w:pPr>
        <w:spacing w:after="0"/>
        <w:jc w:val="both"/>
        <w:rPr>
          <w:rFonts w:ascii="Arial" w:hAnsi="Arial" w:cs="Arial"/>
          <w:b/>
          <w:bCs/>
          <w:sz w:val="20"/>
          <w:szCs w:val="20"/>
        </w:rPr>
      </w:pPr>
    </w:p>
    <w:p w14:paraId="32F6F7C8" w14:textId="16C724AF" w:rsidR="003F2413" w:rsidRPr="00FD45F2" w:rsidRDefault="00FD45F2" w:rsidP="00062BE8">
      <w:pPr>
        <w:jc w:val="both"/>
        <w:rPr>
          <w:rFonts w:ascii="Arial" w:hAnsi="Arial" w:cs="Arial"/>
          <w:sz w:val="20"/>
          <w:szCs w:val="20"/>
        </w:rPr>
      </w:pPr>
      <w:r w:rsidRPr="00FD45F2">
        <w:rPr>
          <w:rFonts w:ascii="Arial" w:hAnsi="Arial" w:cs="Arial"/>
          <w:sz w:val="20"/>
          <w:szCs w:val="20"/>
        </w:rPr>
        <w:t>Glavno pitanje</w:t>
      </w:r>
      <w:r w:rsidR="00062BE8" w:rsidRPr="00FD45F2">
        <w:rPr>
          <w:rFonts w:ascii="Arial" w:hAnsi="Arial" w:cs="Arial"/>
          <w:sz w:val="20"/>
          <w:szCs w:val="20"/>
        </w:rPr>
        <w:t xml:space="preserve">: </w:t>
      </w:r>
      <w:r w:rsidRPr="00FD45F2">
        <w:rPr>
          <w:rFonts w:ascii="Arial" w:hAnsi="Arial" w:cs="Arial"/>
          <w:sz w:val="20"/>
          <w:szCs w:val="20"/>
        </w:rPr>
        <w:t>Koliko je pristup i logika intervencije NPZP bio prikladan i relevantan u smislu njegovih ciljeva i u kontekstu Crne Gore?</w:t>
      </w:r>
    </w:p>
    <w:p w14:paraId="3D01E50F" w14:textId="420C47D6" w:rsidR="00FD45F2" w:rsidRDefault="00FD45F2" w:rsidP="006D6681">
      <w:pPr>
        <w:pStyle w:val="ListParagraph"/>
        <w:numPr>
          <w:ilvl w:val="0"/>
          <w:numId w:val="9"/>
        </w:numPr>
        <w:jc w:val="both"/>
        <w:rPr>
          <w:rFonts w:ascii="Arial" w:hAnsi="Arial" w:cs="Arial"/>
          <w:sz w:val="20"/>
          <w:szCs w:val="20"/>
          <w:lang w:val="sr-Latn-RS"/>
        </w:rPr>
      </w:pPr>
      <w:r w:rsidRPr="00FD45F2">
        <w:rPr>
          <w:rFonts w:ascii="Arial" w:hAnsi="Arial" w:cs="Arial"/>
          <w:sz w:val="20"/>
          <w:szCs w:val="20"/>
          <w:lang w:val="sr-Latn-RS"/>
        </w:rPr>
        <w:t>U kojoj meri je N</w:t>
      </w:r>
      <w:r>
        <w:rPr>
          <w:rFonts w:ascii="Arial" w:hAnsi="Arial" w:cs="Arial"/>
          <w:sz w:val="20"/>
          <w:szCs w:val="20"/>
          <w:lang w:val="sr-Latn-RS"/>
        </w:rPr>
        <w:t>PZP</w:t>
      </w:r>
      <w:r w:rsidRPr="00FD45F2">
        <w:rPr>
          <w:rFonts w:ascii="Arial" w:hAnsi="Arial" w:cs="Arial"/>
          <w:sz w:val="20"/>
          <w:szCs w:val="20"/>
          <w:lang w:val="sr-Latn-RS"/>
        </w:rPr>
        <w:t xml:space="preserve"> bio prikladan za promociju znanja, kapaciteta i svesti o rešenjima zaštite potrošača među donosiocima odluka, </w:t>
      </w:r>
      <w:proofErr w:type="spellStart"/>
      <w:r w:rsidRPr="00FD45F2">
        <w:rPr>
          <w:rFonts w:ascii="Arial" w:hAnsi="Arial" w:cs="Arial"/>
          <w:sz w:val="20"/>
          <w:szCs w:val="20"/>
          <w:lang w:val="sr-Latn-RS"/>
        </w:rPr>
        <w:t>implementacionim</w:t>
      </w:r>
      <w:proofErr w:type="spellEnd"/>
      <w:r w:rsidRPr="00FD45F2">
        <w:rPr>
          <w:rFonts w:ascii="Arial" w:hAnsi="Arial" w:cs="Arial"/>
          <w:sz w:val="20"/>
          <w:szCs w:val="20"/>
          <w:lang w:val="sr-Latn-RS"/>
        </w:rPr>
        <w:t xml:space="preserve"> javnim i privatnim institucijama i lokalnim zajednicama?</w:t>
      </w:r>
    </w:p>
    <w:p w14:paraId="17C15FC2" w14:textId="012EB9FE" w:rsidR="00FD45F2" w:rsidRDefault="00FD45F2" w:rsidP="006D6681">
      <w:pPr>
        <w:pStyle w:val="ListParagraph"/>
        <w:numPr>
          <w:ilvl w:val="0"/>
          <w:numId w:val="9"/>
        </w:numPr>
        <w:jc w:val="both"/>
        <w:rPr>
          <w:rFonts w:ascii="Arial" w:hAnsi="Arial" w:cs="Arial"/>
          <w:sz w:val="20"/>
          <w:szCs w:val="20"/>
          <w:lang w:val="sr-Latn-RS"/>
        </w:rPr>
      </w:pPr>
      <w:r w:rsidRPr="00FD45F2">
        <w:rPr>
          <w:rFonts w:ascii="Arial" w:hAnsi="Arial" w:cs="Arial"/>
          <w:sz w:val="20"/>
          <w:szCs w:val="20"/>
          <w:lang w:val="sr-Latn-RS"/>
        </w:rPr>
        <w:t>U kojoj meri je N</w:t>
      </w:r>
      <w:r>
        <w:rPr>
          <w:rFonts w:ascii="Arial" w:hAnsi="Arial" w:cs="Arial"/>
          <w:sz w:val="20"/>
          <w:szCs w:val="20"/>
          <w:lang w:val="sr-Latn-RS"/>
        </w:rPr>
        <w:t>PZP</w:t>
      </w:r>
      <w:r w:rsidRPr="00FD45F2">
        <w:rPr>
          <w:rFonts w:ascii="Arial" w:hAnsi="Arial" w:cs="Arial"/>
          <w:sz w:val="20"/>
          <w:szCs w:val="20"/>
          <w:lang w:val="sr-Latn-RS"/>
        </w:rPr>
        <w:t xml:space="preserve"> bio prikladan za promociju povećan</w:t>
      </w:r>
      <w:r>
        <w:rPr>
          <w:rFonts w:ascii="Arial" w:hAnsi="Arial" w:cs="Arial"/>
          <w:sz w:val="20"/>
          <w:szCs w:val="20"/>
          <w:lang w:val="sr-Latn-RS"/>
        </w:rPr>
        <w:t>ja</w:t>
      </w:r>
      <w:r w:rsidRPr="00FD45F2">
        <w:rPr>
          <w:rFonts w:ascii="Arial" w:hAnsi="Arial" w:cs="Arial"/>
          <w:sz w:val="20"/>
          <w:szCs w:val="20"/>
          <w:lang w:val="sr-Latn-RS"/>
        </w:rPr>
        <w:t xml:space="preserve"> kapaciteta u Crnoj Gori za dizajniranje projekata zaštite potrošača za podnošenje globalnim fondovima za finansiranje?</w:t>
      </w:r>
    </w:p>
    <w:p w14:paraId="7DE8BC62" w14:textId="6A746A52" w:rsidR="00FD45F2" w:rsidRDefault="00FD45F2" w:rsidP="006D6681">
      <w:pPr>
        <w:pStyle w:val="ListParagraph"/>
        <w:numPr>
          <w:ilvl w:val="0"/>
          <w:numId w:val="9"/>
        </w:numPr>
        <w:jc w:val="both"/>
        <w:rPr>
          <w:rFonts w:ascii="Arial" w:eastAsia="Arial" w:hAnsi="Arial" w:cs="Arial"/>
          <w:color w:val="000000"/>
          <w:sz w:val="20"/>
          <w:szCs w:val="20"/>
          <w:lang w:val="sr-Latn-RS" w:eastAsia="sr-Latn-RS"/>
        </w:rPr>
      </w:pPr>
      <w:r w:rsidRPr="00FD45F2">
        <w:rPr>
          <w:rFonts w:ascii="Arial" w:eastAsia="Arial" w:hAnsi="Arial" w:cs="Arial"/>
          <w:color w:val="000000"/>
          <w:sz w:val="20"/>
          <w:szCs w:val="20"/>
          <w:lang w:val="sr-Latn-RS" w:eastAsia="sr-Latn-RS"/>
        </w:rPr>
        <w:t>Koje su specifičnosti crnogorske ekonomije (političke, ekološke, vladavina prava, itd.) i da li ih je N</w:t>
      </w:r>
      <w:r>
        <w:rPr>
          <w:rFonts w:ascii="Arial" w:eastAsia="Arial" w:hAnsi="Arial" w:cs="Arial"/>
          <w:color w:val="000000"/>
          <w:sz w:val="20"/>
          <w:szCs w:val="20"/>
          <w:lang w:val="sr-Latn-RS" w:eastAsia="sr-Latn-RS"/>
        </w:rPr>
        <w:t>PZP</w:t>
      </w:r>
      <w:r w:rsidRPr="00FD45F2">
        <w:rPr>
          <w:rFonts w:ascii="Arial" w:eastAsia="Arial" w:hAnsi="Arial" w:cs="Arial"/>
          <w:color w:val="000000"/>
          <w:sz w:val="20"/>
          <w:szCs w:val="20"/>
          <w:lang w:val="sr-Latn-RS" w:eastAsia="sr-Latn-RS"/>
        </w:rPr>
        <w:t xml:space="preserve"> obradio na način da su ključna pitanja, akcije, ishodi i rezultati dobro isplanirani?</w:t>
      </w:r>
    </w:p>
    <w:p w14:paraId="4CE96C61" w14:textId="294C05C3" w:rsidR="00062BE8" w:rsidRPr="00FD45F2" w:rsidRDefault="00FD45F2" w:rsidP="006D6681">
      <w:pPr>
        <w:pStyle w:val="ListParagraph"/>
        <w:numPr>
          <w:ilvl w:val="1"/>
          <w:numId w:val="9"/>
        </w:numPr>
        <w:jc w:val="both"/>
        <w:rPr>
          <w:rFonts w:ascii="Arial" w:eastAsia="Arial" w:hAnsi="Arial" w:cs="Arial"/>
          <w:color w:val="000000"/>
          <w:sz w:val="20"/>
          <w:szCs w:val="20"/>
          <w:lang w:val="sr-Latn-RS" w:eastAsia="sr-Latn-RS"/>
        </w:rPr>
      </w:pPr>
      <w:r>
        <w:rPr>
          <w:rFonts w:ascii="Arial" w:eastAsia="Arial" w:hAnsi="Arial" w:cs="Arial"/>
          <w:color w:val="000000"/>
          <w:sz w:val="20"/>
          <w:szCs w:val="20"/>
          <w:lang w:val="sr-Latn-RS" w:eastAsia="sr-Latn-RS"/>
        </w:rPr>
        <w:t>Koliko je relevantan NPZP za opšti strateški okvir u Crnoj Gori?</w:t>
      </w:r>
    </w:p>
    <w:p w14:paraId="12582C9A" w14:textId="1054A4EC" w:rsidR="00FD45F2" w:rsidRPr="00FD45F2" w:rsidRDefault="00FD45F2" w:rsidP="006D6681">
      <w:pPr>
        <w:pStyle w:val="ListParagraph"/>
        <w:numPr>
          <w:ilvl w:val="0"/>
          <w:numId w:val="9"/>
        </w:numPr>
        <w:jc w:val="both"/>
        <w:rPr>
          <w:rFonts w:ascii="Arial" w:hAnsi="Arial" w:cs="Arial"/>
          <w:sz w:val="20"/>
          <w:szCs w:val="20"/>
          <w:lang w:val="sr-Latn-RS"/>
        </w:rPr>
      </w:pPr>
      <w:r w:rsidRPr="00FD45F2">
        <w:rPr>
          <w:rFonts w:ascii="Arial" w:hAnsi="Arial" w:cs="Arial"/>
          <w:sz w:val="20"/>
          <w:szCs w:val="20"/>
          <w:lang w:val="sr-Latn-RS"/>
        </w:rPr>
        <w:t>Da li je došlo do nekih promena specifičnih za ekonomiju (osim epidemije Kovid-19) koje su ometale relevantnost N</w:t>
      </w:r>
      <w:r>
        <w:rPr>
          <w:rFonts w:ascii="Arial" w:hAnsi="Arial" w:cs="Arial"/>
          <w:sz w:val="20"/>
          <w:szCs w:val="20"/>
          <w:lang w:val="sr-Latn-RS"/>
        </w:rPr>
        <w:t>PZP</w:t>
      </w:r>
      <w:r w:rsidRPr="00FD45F2">
        <w:rPr>
          <w:rFonts w:ascii="Arial" w:hAnsi="Arial" w:cs="Arial"/>
          <w:sz w:val="20"/>
          <w:szCs w:val="20"/>
          <w:lang w:val="sr-Latn-RS"/>
        </w:rPr>
        <w:t>-a u Crnoj Gori?</w:t>
      </w:r>
    </w:p>
    <w:p w14:paraId="4B9BA4CA" w14:textId="4761A88E" w:rsidR="003F2413" w:rsidRPr="00FD45F2" w:rsidRDefault="00FD45F2" w:rsidP="006D6681">
      <w:pPr>
        <w:pStyle w:val="ListParagraph"/>
        <w:numPr>
          <w:ilvl w:val="1"/>
          <w:numId w:val="9"/>
        </w:numPr>
        <w:jc w:val="both"/>
        <w:rPr>
          <w:rFonts w:ascii="Arial" w:hAnsi="Arial" w:cs="Arial"/>
          <w:b/>
          <w:bCs/>
          <w:sz w:val="20"/>
          <w:szCs w:val="20"/>
          <w:lang w:val="sr-Latn-RS"/>
        </w:rPr>
      </w:pPr>
      <w:r w:rsidRPr="00FD45F2">
        <w:rPr>
          <w:rFonts w:ascii="Arial" w:hAnsi="Arial" w:cs="Arial"/>
          <w:sz w:val="20"/>
          <w:szCs w:val="20"/>
          <w:lang w:val="sr-Latn-RS"/>
        </w:rPr>
        <w:t>Kako su ove promene uticale na aktivnosti izgradnje kapaciteta, regulatorn</w:t>
      </w:r>
      <w:r>
        <w:rPr>
          <w:rFonts w:ascii="Arial" w:hAnsi="Arial" w:cs="Arial"/>
          <w:sz w:val="20"/>
          <w:szCs w:val="20"/>
          <w:lang w:val="sr-Latn-RS"/>
        </w:rPr>
        <w:t xml:space="preserve">og okvira </w:t>
      </w:r>
      <w:r w:rsidRPr="00FD45F2">
        <w:rPr>
          <w:rFonts w:ascii="Arial" w:hAnsi="Arial" w:cs="Arial"/>
          <w:sz w:val="20"/>
          <w:szCs w:val="20"/>
          <w:lang w:val="sr-Latn-RS"/>
        </w:rPr>
        <w:t xml:space="preserve">i </w:t>
      </w:r>
      <w:r>
        <w:rPr>
          <w:rFonts w:ascii="Arial" w:hAnsi="Arial" w:cs="Arial"/>
          <w:sz w:val="20"/>
          <w:szCs w:val="20"/>
          <w:lang w:val="sr-Latn-RS"/>
        </w:rPr>
        <w:t>okvira javnih politika u oblastima koje obuhvata NPZP</w:t>
      </w:r>
      <w:r w:rsidR="003F2413" w:rsidRPr="00FD45F2">
        <w:rPr>
          <w:rFonts w:ascii="Arial" w:hAnsi="Arial" w:cs="Arial"/>
          <w:sz w:val="20"/>
          <w:szCs w:val="20"/>
          <w:lang w:val="sr-Latn-RS"/>
        </w:rPr>
        <w:t xml:space="preserve">? </w:t>
      </w:r>
    </w:p>
    <w:p w14:paraId="033F50C3" w14:textId="0B3C869B" w:rsidR="003F2413" w:rsidRPr="00FD45F2" w:rsidRDefault="00FD45F2" w:rsidP="006D6681">
      <w:pPr>
        <w:pStyle w:val="ListParagraph"/>
        <w:numPr>
          <w:ilvl w:val="1"/>
          <w:numId w:val="9"/>
        </w:numPr>
        <w:jc w:val="both"/>
        <w:rPr>
          <w:rFonts w:ascii="Arial" w:hAnsi="Arial" w:cs="Arial"/>
          <w:b/>
          <w:bCs/>
          <w:sz w:val="20"/>
          <w:szCs w:val="20"/>
          <w:lang w:val="sr-Latn-RS"/>
        </w:rPr>
      </w:pPr>
      <w:r>
        <w:rPr>
          <w:rFonts w:ascii="Arial" w:hAnsi="Arial" w:cs="Arial"/>
          <w:sz w:val="20"/>
          <w:szCs w:val="20"/>
          <w:lang w:val="sr-Latn-RS"/>
        </w:rPr>
        <w:t>Da li su ovi efekti i dalje tekući</w:t>
      </w:r>
      <w:r w:rsidR="003F2413" w:rsidRPr="00FD45F2">
        <w:rPr>
          <w:rFonts w:ascii="Arial" w:hAnsi="Arial" w:cs="Arial"/>
          <w:sz w:val="20"/>
          <w:szCs w:val="20"/>
          <w:lang w:val="sr-Latn-RS"/>
        </w:rPr>
        <w:t xml:space="preserve">? </w:t>
      </w:r>
    </w:p>
    <w:p w14:paraId="5A4F8667" w14:textId="61C51294" w:rsidR="003F2413" w:rsidRPr="00FD45F2" w:rsidRDefault="00FD45F2" w:rsidP="006D6681">
      <w:pPr>
        <w:pStyle w:val="ListParagraph"/>
        <w:numPr>
          <w:ilvl w:val="1"/>
          <w:numId w:val="9"/>
        </w:numPr>
        <w:jc w:val="both"/>
        <w:rPr>
          <w:rFonts w:ascii="Arial" w:hAnsi="Arial" w:cs="Arial"/>
          <w:b/>
          <w:bCs/>
          <w:sz w:val="20"/>
          <w:szCs w:val="20"/>
          <w:lang w:val="sr-Latn-RS"/>
        </w:rPr>
      </w:pPr>
      <w:r>
        <w:rPr>
          <w:rFonts w:ascii="Arial" w:hAnsi="Arial" w:cs="Arial"/>
          <w:sz w:val="20"/>
          <w:szCs w:val="20"/>
          <w:lang w:val="sr-Latn-RS"/>
        </w:rPr>
        <w:t xml:space="preserve">Koje adaptivne mere su preduzete ili bi trebalo da budu preduzete u budućnosti kako bi se ublažili negativni efekti datih promena? </w:t>
      </w:r>
    </w:p>
    <w:p w14:paraId="1F0E85C0" w14:textId="77777777" w:rsidR="003F2413" w:rsidRPr="00FD45F2" w:rsidRDefault="003F2413" w:rsidP="003F2413">
      <w:pPr>
        <w:jc w:val="both"/>
        <w:rPr>
          <w:rFonts w:ascii="Arial" w:hAnsi="Arial" w:cs="Arial"/>
          <w:sz w:val="20"/>
          <w:szCs w:val="20"/>
        </w:rPr>
      </w:pPr>
    </w:p>
    <w:p w14:paraId="5A0BB2D2" w14:textId="77777777" w:rsidR="00FB3AC3" w:rsidRPr="00DE468B" w:rsidRDefault="00FB3AC3" w:rsidP="00DE468B">
      <w:pPr>
        <w:pStyle w:val="ParagraphOED"/>
        <w:numPr>
          <w:ilvl w:val="0"/>
          <w:numId w:val="0"/>
        </w:numPr>
        <w:spacing w:before="0" w:after="0"/>
        <w:ind w:left="457"/>
        <w:rPr>
          <w:rFonts w:ascii="Arial" w:hAnsi="Arial" w:cs="Arial"/>
          <w:sz w:val="20"/>
          <w:szCs w:val="20"/>
          <w:lang w:val="en-GB"/>
        </w:rPr>
      </w:pPr>
    </w:p>
    <w:p w14:paraId="47FC396D" w14:textId="5BEFABEE" w:rsidR="00D21821" w:rsidRPr="00FD45F2" w:rsidRDefault="00D21821" w:rsidP="00DE468B">
      <w:pPr>
        <w:spacing w:after="0"/>
        <w:jc w:val="both"/>
        <w:rPr>
          <w:rFonts w:ascii="Arial" w:hAnsi="Arial" w:cs="Arial"/>
          <w:sz w:val="20"/>
          <w:szCs w:val="20"/>
        </w:rPr>
      </w:pPr>
      <w:r w:rsidRPr="00FD45F2">
        <w:rPr>
          <w:rFonts w:ascii="Arial" w:hAnsi="Arial" w:cs="Arial"/>
          <w:b/>
          <w:bCs/>
          <w:sz w:val="20"/>
          <w:szCs w:val="20"/>
        </w:rPr>
        <w:t xml:space="preserve">        b)    </w:t>
      </w:r>
      <w:r w:rsidR="00FD45F2" w:rsidRPr="00FD45F2">
        <w:rPr>
          <w:rFonts w:ascii="Arial" w:hAnsi="Arial" w:cs="Arial"/>
          <w:b/>
          <w:bCs/>
          <w:sz w:val="20"/>
          <w:szCs w:val="20"/>
        </w:rPr>
        <w:t>Efektivnost</w:t>
      </w:r>
    </w:p>
    <w:p w14:paraId="6B0EB63C" w14:textId="77777777" w:rsidR="00062BE8" w:rsidRPr="00FD45F2" w:rsidRDefault="00062BE8" w:rsidP="00FB3AC3">
      <w:pPr>
        <w:jc w:val="both"/>
        <w:rPr>
          <w:rFonts w:ascii="Arial" w:hAnsi="Arial" w:cs="Arial"/>
          <w:sz w:val="20"/>
          <w:szCs w:val="20"/>
        </w:rPr>
      </w:pPr>
    </w:p>
    <w:p w14:paraId="4D29014C" w14:textId="10D9F6BE" w:rsidR="00FB3AC3" w:rsidRPr="00FD45F2" w:rsidRDefault="00FD45F2" w:rsidP="00FB3AC3">
      <w:pPr>
        <w:jc w:val="both"/>
        <w:rPr>
          <w:rFonts w:ascii="Arial" w:hAnsi="Arial" w:cs="Arial"/>
          <w:sz w:val="20"/>
          <w:szCs w:val="20"/>
        </w:rPr>
      </w:pPr>
      <w:r w:rsidRPr="00FD45F2">
        <w:rPr>
          <w:rFonts w:ascii="Arial" w:hAnsi="Arial" w:cs="Arial"/>
          <w:sz w:val="20"/>
          <w:szCs w:val="20"/>
        </w:rPr>
        <w:t>Glavno pitanje</w:t>
      </w:r>
      <w:r w:rsidR="00062BE8" w:rsidRPr="00FD45F2">
        <w:rPr>
          <w:rFonts w:ascii="Arial" w:hAnsi="Arial" w:cs="Arial"/>
          <w:sz w:val="20"/>
          <w:szCs w:val="20"/>
        </w:rPr>
        <w:t xml:space="preserve">: </w:t>
      </w:r>
      <w:r>
        <w:rPr>
          <w:rFonts w:ascii="Arial" w:hAnsi="Arial" w:cs="Arial"/>
          <w:sz w:val="20"/>
          <w:szCs w:val="20"/>
        </w:rPr>
        <w:t>Koliko je efektivan bio NPZP</w:t>
      </w:r>
      <w:r w:rsidR="00FB3AC3" w:rsidRPr="00FD45F2">
        <w:rPr>
          <w:rFonts w:ascii="Arial" w:hAnsi="Arial" w:cs="Arial"/>
          <w:sz w:val="20"/>
          <w:szCs w:val="20"/>
        </w:rPr>
        <w:t xml:space="preserve">? </w:t>
      </w:r>
      <w:r w:rsidR="006E3744">
        <w:rPr>
          <w:rFonts w:ascii="Arial" w:hAnsi="Arial" w:cs="Arial"/>
          <w:sz w:val="20"/>
          <w:szCs w:val="20"/>
        </w:rPr>
        <w:t>Šta je dalo rezultate, a šta nije, i iz kojih razloga? Konkretno</w:t>
      </w:r>
      <w:r w:rsidR="00FB3AC3" w:rsidRPr="00FD45F2">
        <w:rPr>
          <w:rFonts w:ascii="Arial" w:hAnsi="Arial" w:cs="Arial"/>
          <w:sz w:val="20"/>
          <w:szCs w:val="20"/>
        </w:rPr>
        <w:t xml:space="preserve">: </w:t>
      </w:r>
    </w:p>
    <w:p w14:paraId="7730F83F" w14:textId="6959A9EF" w:rsidR="006E3744" w:rsidRDefault="006E3744" w:rsidP="006D6681">
      <w:pPr>
        <w:pStyle w:val="ParagraphOED"/>
        <w:numPr>
          <w:ilvl w:val="0"/>
          <w:numId w:val="10"/>
        </w:numPr>
        <w:spacing w:before="0" w:after="0"/>
        <w:rPr>
          <w:rFonts w:ascii="Arial" w:hAnsi="Arial" w:cs="Arial"/>
          <w:sz w:val="20"/>
          <w:szCs w:val="20"/>
          <w:lang w:val="sr-Latn-RS"/>
        </w:rPr>
      </w:pPr>
      <w:r w:rsidRPr="006E3744">
        <w:rPr>
          <w:rFonts w:ascii="Arial" w:hAnsi="Arial" w:cs="Arial"/>
          <w:sz w:val="20"/>
          <w:szCs w:val="20"/>
          <w:lang w:val="sr-Latn-RS"/>
        </w:rPr>
        <w:t>Koliko je ef</w:t>
      </w:r>
      <w:r>
        <w:rPr>
          <w:rFonts w:ascii="Arial" w:hAnsi="Arial" w:cs="Arial"/>
          <w:sz w:val="20"/>
          <w:szCs w:val="20"/>
          <w:lang w:val="sr-Latn-RS"/>
        </w:rPr>
        <w:t xml:space="preserve">ektivno </w:t>
      </w:r>
      <w:r w:rsidRPr="006E3744">
        <w:rPr>
          <w:rFonts w:ascii="Arial" w:hAnsi="Arial" w:cs="Arial"/>
          <w:sz w:val="20"/>
          <w:szCs w:val="20"/>
          <w:lang w:val="sr-Latn-RS"/>
        </w:rPr>
        <w:t>N</w:t>
      </w:r>
      <w:r>
        <w:rPr>
          <w:rFonts w:ascii="Arial" w:hAnsi="Arial" w:cs="Arial"/>
          <w:sz w:val="20"/>
          <w:szCs w:val="20"/>
          <w:lang w:val="sr-Latn-RS"/>
        </w:rPr>
        <w:t>PZP</w:t>
      </w:r>
      <w:r w:rsidRPr="006E3744">
        <w:rPr>
          <w:rFonts w:ascii="Arial" w:hAnsi="Arial" w:cs="Arial"/>
          <w:sz w:val="20"/>
          <w:szCs w:val="20"/>
          <w:lang w:val="sr-Latn-RS"/>
        </w:rPr>
        <w:t xml:space="preserve"> </w:t>
      </w:r>
      <w:r>
        <w:rPr>
          <w:rFonts w:ascii="Arial" w:hAnsi="Arial" w:cs="Arial"/>
          <w:sz w:val="20"/>
          <w:szCs w:val="20"/>
          <w:lang w:val="sr-Latn-RS"/>
        </w:rPr>
        <w:t>uticao na</w:t>
      </w:r>
      <w:r w:rsidRPr="006E3744">
        <w:rPr>
          <w:rFonts w:ascii="Arial" w:hAnsi="Arial" w:cs="Arial"/>
          <w:sz w:val="20"/>
          <w:szCs w:val="20"/>
          <w:lang w:val="sr-Latn-RS"/>
        </w:rPr>
        <w:t xml:space="preserve"> nacionaln</w:t>
      </w:r>
      <w:r>
        <w:rPr>
          <w:rFonts w:ascii="Arial" w:hAnsi="Arial" w:cs="Arial"/>
          <w:sz w:val="20"/>
          <w:szCs w:val="20"/>
          <w:lang w:val="sr-Latn-RS"/>
        </w:rPr>
        <w:t>e</w:t>
      </w:r>
      <w:r w:rsidRPr="006E3744">
        <w:rPr>
          <w:rFonts w:ascii="Arial" w:hAnsi="Arial" w:cs="Arial"/>
          <w:sz w:val="20"/>
          <w:szCs w:val="20"/>
          <w:lang w:val="sr-Latn-RS"/>
        </w:rPr>
        <w:t xml:space="preserve"> kreator</w:t>
      </w:r>
      <w:r>
        <w:rPr>
          <w:rFonts w:ascii="Arial" w:hAnsi="Arial" w:cs="Arial"/>
          <w:sz w:val="20"/>
          <w:szCs w:val="20"/>
          <w:lang w:val="sr-Latn-RS"/>
        </w:rPr>
        <w:t>e</w:t>
      </w:r>
      <w:r w:rsidRPr="006E3744">
        <w:rPr>
          <w:rFonts w:ascii="Arial" w:hAnsi="Arial" w:cs="Arial"/>
          <w:sz w:val="20"/>
          <w:szCs w:val="20"/>
          <w:lang w:val="sr-Latn-RS"/>
        </w:rPr>
        <w:t xml:space="preserve"> politik</w:t>
      </w:r>
      <w:r>
        <w:rPr>
          <w:rFonts w:ascii="Arial" w:hAnsi="Arial" w:cs="Arial"/>
          <w:sz w:val="20"/>
          <w:szCs w:val="20"/>
          <w:lang w:val="sr-Latn-RS"/>
        </w:rPr>
        <w:t>a</w:t>
      </w:r>
      <w:r w:rsidRPr="006E3744">
        <w:rPr>
          <w:rFonts w:ascii="Arial" w:hAnsi="Arial" w:cs="Arial"/>
          <w:sz w:val="20"/>
          <w:szCs w:val="20"/>
          <w:lang w:val="sr-Latn-RS"/>
        </w:rPr>
        <w:t xml:space="preserve"> i zainteresovan</w:t>
      </w:r>
      <w:r>
        <w:rPr>
          <w:rFonts w:ascii="Arial" w:hAnsi="Arial" w:cs="Arial"/>
          <w:sz w:val="20"/>
          <w:szCs w:val="20"/>
          <w:lang w:val="sr-Latn-RS"/>
        </w:rPr>
        <w:t>e</w:t>
      </w:r>
      <w:r w:rsidRPr="006E3744">
        <w:rPr>
          <w:rFonts w:ascii="Arial" w:hAnsi="Arial" w:cs="Arial"/>
          <w:sz w:val="20"/>
          <w:szCs w:val="20"/>
          <w:lang w:val="sr-Latn-RS"/>
        </w:rPr>
        <w:t xml:space="preserve"> stran</w:t>
      </w:r>
      <w:r>
        <w:rPr>
          <w:rFonts w:ascii="Arial" w:hAnsi="Arial" w:cs="Arial"/>
          <w:sz w:val="20"/>
          <w:szCs w:val="20"/>
          <w:lang w:val="sr-Latn-RS"/>
        </w:rPr>
        <w:t>e</w:t>
      </w:r>
      <w:r w:rsidRPr="006E3744">
        <w:rPr>
          <w:rFonts w:ascii="Arial" w:hAnsi="Arial" w:cs="Arial"/>
          <w:sz w:val="20"/>
          <w:szCs w:val="20"/>
          <w:lang w:val="sr-Latn-RS"/>
        </w:rPr>
        <w:t xml:space="preserve"> iz javnog sektora kako bi podigao interesovanje i razumevanje strateškog fokusa zaštite potrošača</w:t>
      </w:r>
      <w:r>
        <w:rPr>
          <w:rFonts w:ascii="Arial" w:hAnsi="Arial" w:cs="Arial"/>
          <w:sz w:val="20"/>
          <w:szCs w:val="20"/>
          <w:lang w:val="sr-Latn-RS"/>
        </w:rPr>
        <w:t>?</w:t>
      </w:r>
    </w:p>
    <w:p w14:paraId="4311589F" w14:textId="65F19432" w:rsidR="00062BE8" w:rsidRPr="00FD45F2" w:rsidRDefault="006E3744" w:rsidP="006D6681">
      <w:pPr>
        <w:pStyle w:val="ParagraphOED"/>
        <w:numPr>
          <w:ilvl w:val="0"/>
          <w:numId w:val="10"/>
        </w:numPr>
        <w:spacing w:before="0" w:after="0"/>
        <w:rPr>
          <w:rFonts w:ascii="Arial" w:hAnsi="Arial" w:cs="Arial"/>
          <w:sz w:val="20"/>
          <w:szCs w:val="20"/>
          <w:lang w:val="sr-Latn-RS"/>
        </w:rPr>
      </w:pPr>
      <w:r>
        <w:rPr>
          <w:rFonts w:ascii="Arial" w:hAnsi="Arial" w:cs="Arial"/>
          <w:sz w:val="20"/>
          <w:szCs w:val="20"/>
          <w:lang w:val="sr-Latn-RS"/>
        </w:rPr>
        <w:t xml:space="preserve">Da li je NPZP postigao zacrtane ciljeve i indikatore učinka? </w:t>
      </w:r>
    </w:p>
    <w:p w14:paraId="700FF1F1" w14:textId="01512D1F" w:rsidR="006E3744" w:rsidRDefault="006E3744" w:rsidP="006D6681">
      <w:pPr>
        <w:pStyle w:val="ParagraphOED"/>
        <w:numPr>
          <w:ilvl w:val="0"/>
          <w:numId w:val="10"/>
        </w:numPr>
        <w:spacing w:before="0" w:after="0"/>
        <w:rPr>
          <w:rFonts w:ascii="Arial" w:hAnsi="Arial" w:cs="Arial"/>
          <w:sz w:val="20"/>
          <w:szCs w:val="20"/>
          <w:lang w:val="sr-Latn-RS"/>
        </w:rPr>
      </w:pPr>
      <w:r w:rsidRPr="006E3744">
        <w:rPr>
          <w:rFonts w:ascii="Arial" w:hAnsi="Arial" w:cs="Arial"/>
          <w:sz w:val="20"/>
          <w:szCs w:val="20"/>
          <w:lang w:val="sr-Latn-RS"/>
        </w:rPr>
        <w:t>U kojoj meri su strategija i alati MEL-a bili adekvatni i ef</w:t>
      </w:r>
      <w:r>
        <w:rPr>
          <w:rFonts w:ascii="Arial" w:hAnsi="Arial" w:cs="Arial"/>
          <w:sz w:val="20"/>
          <w:szCs w:val="20"/>
          <w:lang w:val="sr-Latn-RS"/>
        </w:rPr>
        <w:t>ektivni</w:t>
      </w:r>
      <w:r w:rsidRPr="006E3744">
        <w:rPr>
          <w:rFonts w:ascii="Arial" w:hAnsi="Arial" w:cs="Arial"/>
          <w:sz w:val="20"/>
          <w:szCs w:val="20"/>
          <w:lang w:val="sr-Latn-RS"/>
        </w:rPr>
        <w:t xml:space="preserve"> za praćenje napretka u pogledu i) razumevanja rezultata i, na kraju krajeva, uticaja N</w:t>
      </w:r>
      <w:r>
        <w:rPr>
          <w:rFonts w:ascii="Arial" w:hAnsi="Arial" w:cs="Arial"/>
          <w:sz w:val="20"/>
          <w:szCs w:val="20"/>
          <w:lang w:val="sr-Latn-RS"/>
        </w:rPr>
        <w:t>PZP</w:t>
      </w:r>
      <w:r w:rsidRPr="006E3744">
        <w:rPr>
          <w:rFonts w:ascii="Arial" w:hAnsi="Arial" w:cs="Arial"/>
          <w:sz w:val="20"/>
          <w:szCs w:val="20"/>
          <w:lang w:val="sr-Latn-RS"/>
        </w:rPr>
        <w:t>-a i ii) otkrivanja bilo kakvih potrebnih prilagođavanja implementacije za bolji napredak ka rezultatima?</w:t>
      </w:r>
    </w:p>
    <w:p w14:paraId="1AA29C31" w14:textId="179578B0" w:rsidR="006E3744" w:rsidRDefault="006E3744" w:rsidP="006D6681">
      <w:pPr>
        <w:pStyle w:val="ParagraphOED"/>
        <w:numPr>
          <w:ilvl w:val="1"/>
          <w:numId w:val="3"/>
        </w:numPr>
        <w:spacing w:before="0" w:after="0"/>
        <w:rPr>
          <w:rFonts w:ascii="Arial" w:hAnsi="Arial" w:cs="Arial"/>
          <w:sz w:val="20"/>
          <w:szCs w:val="20"/>
          <w:lang w:val="sr-Latn-RS"/>
        </w:rPr>
      </w:pPr>
      <w:r w:rsidRPr="006E3744">
        <w:rPr>
          <w:rFonts w:ascii="Arial" w:hAnsi="Arial" w:cs="Arial"/>
          <w:sz w:val="20"/>
          <w:szCs w:val="20"/>
          <w:lang w:val="sr-Latn-RS"/>
        </w:rPr>
        <w:t>Koja prilagođavanja MEL sistema se preporučuju u budućim strategijama?</w:t>
      </w:r>
    </w:p>
    <w:p w14:paraId="43A90C65" w14:textId="500ED95B" w:rsidR="006E3744" w:rsidRPr="006E3744" w:rsidRDefault="006E3744" w:rsidP="006E3744">
      <w:pPr>
        <w:pStyle w:val="ListParagraph"/>
        <w:numPr>
          <w:ilvl w:val="0"/>
          <w:numId w:val="55"/>
        </w:numPr>
        <w:jc w:val="both"/>
        <w:rPr>
          <w:rFonts w:ascii="Arial" w:hAnsi="Arial" w:cs="Arial"/>
          <w:sz w:val="20"/>
          <w:szCs w:val="20"/>
          <w:lang w:val="sr-Latn-RS"/>
        </w:rPr>
      </w:pPr>
      <w:r w:rsidRPr="006E3744">
        <w:rPr>
          <w:rFonts w:ascii="Arial" w:hAnsi="Arial" w:cs="Arial"/>
          <w:sz w:val="20"/>
          <w:szCs w:val="20"/>
          <w:lang w:val="sr-Latn-RS"/>
        </w:rPr>
        <w:t xml:space="preserve">Koje su lekcije o tome kako poboljšati komunikaciju između </w:t>
      </w:r>
      <w:r>
        <w:rPr>
          <w:rFonts w:ascii="Arial" w:hAnsi="Arial" w:cs="Arial"/>
          <w:sz w:val="20"/>
          <w:szCs w:val="20"/>
          <w:lang w:val="sr-Latn-RS"/>
        </w:rPr>
        <w:t>MER</w:t>
      </w:r>
      <w:r w:rsidRPr="006E3744">
        <w:rPr>
          <w:rFonts w:ascii="Arial" w:hAnsi="Arial" w:cs="Arial"/>
          <w:sz w:val="20"/>
          <w:szCs w:val="20"/>
          <w:lang w:val="sr-Latn-RS"/>
        </w:rPr>
        <w:t xml:space="preserve"> i zainteresovanih strana, odnosno nacionalnih i lokalnih kreatora politike?</w:t>
      </w:r>
    </w:p>
    <w:p w14:paraId="4859D28F" w14:textId="20F72E2B" w:rsidR="006E3744" w:rsidRPr="006E3744" w:rsidRDefault="006E3744" w:rsidP="006D6681">
      <w:pPr>
        <w:pStyle w:val="ListParagraph"/>
        <w:numPr>
          <w:ilvl w:val="1"/>
          <w:numId w:val="11"/>
        </w:numPr>
        <w:ind w:left="1418"/>
        <w:jc w:val="both"/>
        <w:rPr>
          <w:rFonts w:ascii="Arial" w:hAnsi="Arial" w:cs="Arial"/>
          <w:sz w:val="20"/>
          <w:szCs w:val="20"/>
          <w:lang w:val="sr-Latn-RS"/>
        </w:rPr>
      </w:pPr>
      <w:r w:rsidRPr="006E3744">
        <w:rPr>
          <w:rFonts w:ascii="Arial" w:hAnsi="Arial" w:cs="Arial"/>
          <w:sz w:val="20"/>
          <w:szCs w:val="20"/>
          <w:lang w:val="sr-Latn-RS"/>
        </w:rPr>
        <w:t>Koje su najbolje prakse u efikasnoj komunikaciji ciljeva i željenih rezultata N</w:t>
      </w:r>
      <w:r>
        <w:rPr>
          <w:rFonts w:ascii="Arial" w:hAnsi="Arial" w:cs="Arial"/>
          <w:sz w:val="20"/>
          <w:szCs w:val="20"/>
          <w:lang w:val="sr-Latn-RS"/>
        </w:rPr>
        <w:t>PZP</w:t>
      </w:r>
      <w:r w:rsidRPr="006E3744">
        <w:rPr>
          <w:rFonts w:ascii="Arial" w:hAnsi="Arial" w:cs="Arial"/>
          <w:sz w:val="20"/>
          <w:szCs w:val="20"/>
          <w:lang w:val="sr-Latn-RS"/>
        </w:rPr>
        <w:t>-a?</w:t>
      </w:r>
    </w:p>
    <w:p w14:paraId="41031513" w14:textId="493A5891" w:rsidR="006E3744" w:rsidRPr="006E3744" w:rsidRDefault="006E3744" w:rsidP="006E3744">
      <w:pPr>
        <w:pStyle w:val="ListParagraph"/>
        <w:numPr>
          <w:ilvl w:val="0"/>
          <w:numId w:val="56"/>
        </w:numPr>
        <w:jc w:val="both"/>
        <w:rPr>
          <w:rFonts w:ascii="Arial" w:hAnsi="Arial" w:cs="Arial"/>
          <w:sz w:val="20"/>
          <w:szCs w:val="20"/>
          <w:lang w:val="sr-Latn-RS"/>
        </w:rPr>
      </w:pPr>
      <w:r w:rsidRPr="006E3744">
        <w:rPr>
          <w:rFonts w:ascii="Arial" w:hAnsi="Arial" w:cs="Arial"/>
          <w:sz w:val="20"/>
          <w:szCs w:val="20"/>
          <w:lang w:val="sr-Latn-RS"/>
        </w:rPr>
        <w:lastRenderedPageBreak/>
        <w:t xml:space="preserve">Da li postoji efektivno rešenje u kojem se lokalni kreatori politike mogu dodatno uključiti u sprovođenje NPZP-a? Da li bi se ovo pokazalo efektivnim u ostvarivanju ciljeva NPZP-a u </w:t>
      </w:r>
      <w:r w:rsidR="005D176B" w:rsidRPr="006E3744">
        <w:rPr>
          <w:rFonts w:ascii="Arial" w:hAnsi="Arial" w:cs="Arial"/>
          <w:sz w:val="20"/>
          <w:szCs w:val="20"/>
          <w:lang w:val="sr-Latn-RS"/>
        </w:rPr>
        <w:t>većoj</w:t>
      </w:r>
      <w:r w:rsidRPr="006E3744">
        <w:rPr>
          <w:rFonts w:ascii="Arial" w:hAnsi="Arial" w:cs="Arial"/>
          <w:sz w:val="20"/>
          <w:szCs w:val="20"/>
          <w:lang w:val="sr-Latn-RS"/>
        </w:rPr>
        <w:t xml:space="preserve"> meri?</w:t>
      </w:r>
    </w:p>
    <w:p w14:paraId="462D398C" w14:textId="61D97353" w:rsidR="006E3744" w:rsidRPr="006E3744" w:rsidRDefault="006E3744" w:rsidP="006E3744">
      <w:pPr>
        <w:pStyle w:val="ListParagraph"/>
        <w:numPr>
          <w:ilvl w:val="0"/>
          <w:numId w:val="57"/>
        </w:numPr>
        <w:jc w:val="both"/>
        <w:rPr>
          <w:rFonts w:ascii="Arial" w:hAnsi="Arial" w:cs="Arial"/>
          <w:sz w:val="20"/>
          <w:szCs w:val="20"/>
          <w:lang w:val="sr-Latn-RS"/>
        </w:rPr>
      </w:pPr>
      <w:r w:rsidRPr="006E3744">
        <w:rPr>
          <w:rFonts w:ascii="Arial" w:hAnsi="Arial" w:cs="Arial"/>
          <w:sz w:val="20"/>
          <w:szCs w:val="20"/>
          <w:lang w:val="sr-Latn-RS"/>
        </w:rPr>
        <w:t>Da li su ak</w:t>
      </w:r>
      <w:r>
        <w:rPr>
          <w:rFonts w:ascii="Arial" w:hAnsi="Arial" w:cs="Arial"/>
          <w:sz w:val="20"/>
          <w:szCs w:val="20"/>
          <w:lang w:val="sr-Latn-RS"/>
        </w:rPr>
        <w:t>tivnosti</w:t>
      </w:r>
      <w:r w:rsidRPr="006E3744">
        <w:rPr>
          <w:rFonts w:ascii="Arial" w:hAnsi="Arial" w:cs="Arial"/>
          <w:sz w:val="20"/>
          <w:szCs w:val="20"/>
          <w:lang w:val="sr-Latn-RS"/>
        </w:rPr>
        <w:t xml:space="preserve"> NPZP-a bile komplementarne tekućim </w:t>
      </w:r>
      <w:r>
        <w:rPr>
          <w:rFonts w:ascii="Arial" w:hAnsi="Arial" w:cs="Arial"/>
          <w:sz w:val="20"/>
          <w:szCs w:val="20"/>
          <w:lang w:val="sr-Latn-RS"/>
        </w:rPr>
        <w:t>aktivnostima politika</w:t>
      </w:r>
      <w:r w:rsidRPr="006E3744">
        <w:rPr>
          <w:rFonts w:ascii="Arial" w:hAnsi="Arial" w:cs="Arial"/>
          <w:sz w:val="20"/>
          <w:szCs w:val="20"/>
          <w:lang w:val="sr-Latn-RS"/>
        </w:rPr>
        <w:t xml:space="preserve"> koje proizilaze iz drugih strateških dokumenata?</w:t>
      </w:r>
    </w:p>
    <w:p w14:paraId="54D88788" w14:textId="77777777" w:rsidR="00062BE8" w:rsidRPr="00A20BF1" w:rsidRDefault="00062BE8" w:rsidP="00062BE8">
      <w:pPr>
        <w:pStyle w:val="ParagraphOED"/>
        <w:numPr>
          <w:ilvl w:val="0"/>
          <w:numId w:val="0"/>
        </w:numPr>
        <w:spacing w:before="0" w:after="0"/>
        <w:rPr>
          <w:rFonts w:ascii="Arial" w:hAnsi="Arial" w:cs="Arial"/>
          <w:sz w:val="20"/>
          <w:szCs w:val="20"/>
          <w:lang w:val="en-GB"/>
        </w:rPr>
      </w:pPr>
    </w:p>
    <w:p w14:paraId="4ED6B35F" w14:textId="77777777" w:rsidR="00FB3AC3" w:rsidRPr="0040118A" w:rsidRDefault="00FB3AC3" w:rsidP="0040118A">
      <w:pPr>
        <w:jc w:val="both"/>
        <w:rPr>
          <w:rFonts w:ascii="Arial" w:hAnsi="Arial" w:cs="Arial"/>
          <w:b/>
          <w:bCs/>
          <w:sz w:val="20"/>
          <w:szCs w:val="20"/>
        </w:rPr>
      </w:pPr>
    </w:p>
    <w:p w14:paraId="1DAC2DD6" w14:textId="0DFA86D6" w:rsidR="00FB3AC3" w:rsidRPr="006E3744" w:rsidRDefault="00D21821" w:rsidP="00DE468B">
      <w:pPr>
        <w:spacing w:after="0"/>
        <w:jc w:val="both"/>
        <w:rPr>
          <w:rFonts w:ascii="Arial" w:hAnsi="Arial" w:cs="Arial"/>
          <w:b/>
          <w:bCs/>
          <w:sz w:val="20"/>
          <w:szCs w:val="20"/>
        </w:rPr>
      </w:pPr>
      <w:bookmarkStart w:id="6" w:name="_Hlk77852803"/>
      <w:r w:rsidRPr="006E3744">
        <w:rPr>
          <w:rFonts w:ascii="Arial" w:hAnsi="Arial" w:cs="Arial"/>
          <w:b/>
          <w:bCs/>
          <w:sz w:val="20"/>
          <w:szCs w:val="20"/>
        </w:rPr>
        <w:t xml:space="preserve">       c)    </w:t>
      </w:r>
      <w:r w:rsidR="006E3744" w:rsidRPr="006E3744">
        <w:rPr>
          <w:rFonts w:ascii="Arial" w:hAnsi="Arial" w:cs="Arial"/>
          <w:b/>
          <w:bCs/>
          <w:sz w:val="20"/>
          <w:szCs w:val="20"/>
        </w:rPr>
        <w:t>Rezultati</w:t>
      </w:r>
    </w:p>
    <w:p w14:paraId="73AAE976" w14:textId="77777777" w:rsidR="00062BE8" w:rsidRPr="006E3744" w:rsidRDefault="00062BE8" w:rsidP="00DE468B">
      <w:pPr>
        <w:spacing w:after="0"/>
        <w:jc w:val="both"/>
        <w:rPr>
          <w:rFonts w:ascii="Arial" w:hAnsi="Arial" w:cs="Arial"/>
          <w:b/>
          <w:bCs/>
          <w:sz w:val="20"/>
          <w:szCs w:val="20"/>
        </w:rPr>
      </w:pPr>
    </w:p>
    <w:bookmarkEnd w:id="6"/>
    <w:p w14:paraId="71673AEA" w14:textId="5F83F947" w:rsidR="00FB3AC3" w:rsidRPr="006E3744" w:rsidRDefault="006E3744" w:rsidP="00FB3AC3">
      <w:pPr>
        <w:jc w:val="both"/>
        <w:rPr>
          <w:rFonts w:ascii="Arial" w:hAnsi="Arial" w:cs="Arial"/>
          <w:sz w:val="20"/>
          <w:szCs w:val="20"/>
        </w:rPr>
      </w:pPr>
      <w:r w:rsidRPr="006E3744">
        <w:rPr>
          <w:rFonts w:ascii="Arial" w:hAnsi="Arial" w:cs="Arial"/>
          <w:sz w:val="20"/>
          <w:szCs w:val="20"/>
        </w:rPr>
        <w:t>Glavno pitanje</w:t>
      </w:r>
      <w:r w:rsidR="00062BE8" w:rsidRPr="006E3744">
        <w:rPr>
          <w:rFonts w:ascii="Arial" w:hAnsi="Arial" w:cs="Arial"/>
          <w:sz w:val="20"/>
          <w:szCs w:val="20"/>
        </w:rPr>
        <w:t xml:space="preserve">: </w:t>
      </w:r>
      <w:r w:rsidRPr="006E3744">
        <w:rPr>
          <w:rFonts w:ascii="Arial" w:hAnsi="Arial" w:cs="Arial"/>
          <w:sz w:val="20"/>
          <w:szCs w:val="20"/>
        </w:rPr>
        <w:t>U kojoj meri je NPZP postigao očekivane rezultate u svakoj od svojih ključnih oblasti intervencije?</w:t>
      </w:r>
    </w:p>
    <w:p w14:paraId="7ECA3AAD" w14:textId="044B3288" w:rsidR="006E3744" w:rsidRDefault="006E3744" w:rsidP="006D6681">
      <w:pPr>
        <w:pStyle w:val="ParagraphOED"/>
        <w:numPr>
          <w:ilvl w:val="0"/>
          <w:numId w:val="12"/>
        </w:numPr>
        <w:spacing w:before="0" w:after="0"/>
        <w:ind w:left="709"/>
        <w:rPr>
          <w:rFonts w:ascii="Arial" w:hAnsi="Arial" w:cs="Arial"/>
          <w:sz w:val="20"/>
          <w:szCs w:val="20"/>
          <w:lang w:val="sr-Latn-RS"/>
        </w:rPr>
      </w:pPr>
      <w:r w:rsidRPr="006E3744">
        <w:rPr>
          <w:rFonts w:ascii="Arial" w:hAnsi="Arial" w:cs="Arial"/>
          <w:sz w:val="20"/>
          <w:szCs w:val="20"/>
          <w:lang w:val="sr-Latn-RS"/>
        </w:rPr>
        <w:t>Koji su pokazatelji promena među donosiocima odluka/politika i drugim relevantnim partnerima koji pokazuju da je N</w:t>
      </w:r>
      <w:r>
        <w:rPr>
          <w:rFonts w:ascii="Arial" w:hAnsi="Arial" w:cs="Arial"/>
          <w:sz w:val="20"/>
          <w:szCs w:val="20"/>
          <w:lang w:val="sr-Latn-RS"/>
        </w:rPr>
        <w:t>PZP</w:t>
      </w:r>
      <w:r w:rsidRPr="006E3744">
        <w:rPr>
          <w:rFonts w:ascii="Arial" w:hAnsi="Arial" w:cs="Arial"/>
          <w:sz w:val="20"/>
          <w:szCs w:val="20"/>
          <w:lang w:val="sr-Latn-RS"/>
        </w:rPr>
        <w:t xml:space="preserve"> unapredio integraciju politika zaštite potrošača u nacionalno zakonodavstvo i praksu?</w:t>
      </w:r>
    </w:p>
    <w:p w14:paraId="7E71BDE2" w14:textId="1E4F7CA9" w:rsidR="006E3744" w:rsidRDefault="006E3744" w:rsidP="006D6681">
      <w:pPr>
        <w:pStyle w:val="ParagraphOED"/>
        <w:numPr>
          <w:ilvl w:val="0"/>
          <w:numId w:val="12"/>
        </w:numPr>
        <w:spacing w:before="0" w:after="0"/>
        <w:ind w:left="709"/>
        <w:rPr>
          <w:rFonts w:ascii="Arial" w:hAnsi="Arial" w:cs="Arial"/>
          <w:sz w:val="20"/>
          <w:szCs w:val="20"/>
          <w:lang w:val="sr-Latn-RS"/>
        </w:rPr>
      </w:pPr>
      <w:r w:rsidRPr="006E3744">
        <w:rPr>
          <w:rFonts w:ascii="Arial" w:hAnsi="Arial" w:cs="Arial"/>
          <w:sz w:val="20"/>
          <w:szCs w:val="20"/>
          <w:lang w:val="sr-Latn-RS"/>
        </w:rPr>
        <w:t xml:space="preserve">Koji su bili omogućavajući/ograničavajući faktori koji su uticali na postizanje i </w:t>
      </w:r>
      <w:proofErr w:type="spellStart"/>
      <w:r w:rsidRPr="006E3744">
        <w:rPr>
          <w:rFonts w:ascii="Arial" w:hAnsi="Arial" w:cs="Arial"/>
          <w:sz w:val="20"/>
          <w:szCs w:val="20"/>
          <w:lang w:val="sr-Latn-RS"/>
        </w:rPr>
        <w:t>nepostizanje</w:t>
      </w:r>
      <w:proofErr w:type="spellEnd"/>
      <w:r w:rsidRPr="006E3744">
        <w:rPr>
          <w:rFonts w:ascii="Arial" w:hAnsi="Arial" w:cs="Arial"/>
          <w:sz w:val="20"/>
          <w:szCs w:val="20"/>
          <w:lang w:val="sr-Latn-RS"/>
        </w:rPr>
        <w:t xml:space="preserve"> ishoda?</w:t>
      </w:r>
    </w:p>
    <w:p w14:paraId="4F4A3D27" w14:textId="577A0E7C" w:rsidR="006E3744" w:rsidRDefault="006E3744" w:rsidP="006D6681">
      <w:pPr>
        <w:pStyle w:val="ParagraphOED"/>
        <w:numPr>
          <w:ilvl w:val="0"/>
          <w:numId w:val="12"/>
        </w:numPr>
        <w:spacing w:before="0" w:after="0"/>
        <w:ind w:left="709"/>
        <w:rPr>
          <w:rFonts w:ascii="Arial" w:hAnsi="Arial" w:cs="Arial"/>
          <w:sz w:val="20"/>
          <w:szCs w:val="20"/>
          <w:lang w:val="sr-Latn-RS"/>
        </w:rPr>
      </w:pPr>
      <w:r w:rsidRPr="006E3744">
        <w:rPr>
          <w:rFonts w:ascii="Arial" w:hAnsi="Arial" w:cs="Arial"/>
          <w:sz w:val="20"/>
          <w:szCs w:val="20"/>
          <w:lang w:val="sr-Latn-RS"/>
        </w:rPr>
        <w:t>Da li je bilo nekih neželjenih posledica kao rezultat intervencija N</w:t>
      </w:r>
      <w:r w:rsidR="00885161">
        <w:rPr>
          <w:rFonts w:ascii="Arial" w:hAnsi="Arial" w:cs="Arial"/>
          <w:sz w:val="20"/>
          <w:szCs w:val="20"/>
          <w:lang w:val="sr-Latn-RS"/>
        </w:rPr>
        <w:t>PZP</w:t>
      </w:r>
      <w:r w:rsidRPr="006E3744">
        <w:rPr>
          <w:rFonts w:ascii="Arial" w:hAnsi="Arial" w:cs="Arial"/>
          <w:sz w:val="20"/>
          <w:szCs w:val="20"/>
          <w:lang w:val="sr-Latn-RS"/>
        </w:rPr>
        <w:t>-a?</w:t>
      </w:r>
    </w:p>
    <w:p w14:paraId="177254F5" w14:textId="79051B90" w:rsidR="00885161" w:rsidRDefault="00885161" w:rsidP="006D6681">
      <w:pPr>
        <w:pStyle w:val="ParagraphOED"/>
        <w:numPr>
          <w:ilvl w:val="0"/>
          <w:numId w:val="12"/>
        </w:numPr>
        <w:spacing w:before="0" w:after="0"/>
        <w:ind w:left="709"/>
        <w:rPr>
          <w:rFonts w:ascii="Arial" w:hAnsi="Arial" w:cs="Arial"/>
          <w:sz w:val="20"/>
          <w:szCs w:val="20"/>
          <w:lang w:val="sr-Latn-RS"/>
        </w:rPr>
      </w:pPr>
      <w:r w:rsidRPr="00885161">
        <w:rPr>
          <w:rFonts w:ascii="Arial" w:hAnsi="Arial" w:cs="Arial"/>
          <w:sz w:val="20"/>
          <w:szCs w:val="20"/>
          <w:lang w:val="sr-Latn-RS"/>
        </w:rPr>
        <w:t>Koji se napori ulažu kako bi se osigurala održivost rezultata N</w:t>
      </w:r>
      <w:r>
        <w:rPr>
          <w:rFonts w:ascii="Arial" w:hAnsi="Arial" w:cs="Arial"/>
          <w:sz w:val="20"/>
          <w:szCs w:val="20"/>
          <w:lang w:val="sr-Latn-RS"/>
        </w:rPr>
        <w:t>PZP</w:t>
      </w:r>
      <w:r w:rsidRPr="00885161">
        <w:rPr>
          <w:rFonts w:ascii="Arial" w:hAnsi="Arial" w:cs="Arial"/>
          <w:sz w:val="20"/>
          <w:szCs w:val="20"/>
          <w:lang w:val="sr-Latn-RS"/>
        </w:rPr>
        <w:t>-a na duži rok?</w:t>
      </w:r>
    </w:p>
    <w:p w14:paraId="1C0F6488" w14:textId="3158308B" w:rsidR="00885161" w:rsidRDefault="00885161" w:rsidP="00885161">
      <w:pPr>
        <w:pStyle w:val="ParagraphOED"/>
        <w:numPr>
          <w:ilvl w:val="0"/>
          <w:numId w:val="12"/>
        </w:numPr>
        <w:spacing w:before="0" w:after="0"/>
        <w:rPr>
          <w:rFonts w:ascii="Arial" w:hAnsi="Arial" w:cs="Arial"/>
          <w:sz w:val="20"/>
          <w:szCs w:val="20"/>
          <w:lang w:val="en-GB"/>
        </w:rPr>
      </w:pPr>
      <w:r w:rsidRPr="00885161">
        <w:rPr>
          <w:rFonts w:ascii="Arial" w:hAnsi="Arial" w:cs="Arial"/>
          <w:sz w:val="20"/>
          <w:szCs w:val="20"/>
          <w:lang w:val="sr-Latn-RS"/>
        </w:rPr>
        <w:t>Kako je N</w:t>
      </w:r>
      <w:r>
        <w:rPr>
          <w:rFonts w:ascii="Arial" w:hAnsi="Arial" w:cs="Arial"/>
          <w:sz w:val="20"/>
          <w:szCs w:val="20"/>
          <w:lang w:val="sr-Latn-RS"/>
        </w:rPr>
        <w:t>PZP</w:t>
      </w:r>
      <w:r w:rsidRPr="00885161">
        <w:rPr>
          <w:rFonts w:ascii="Arial" w:hAnsi="Arial" w:cs="Arial"/>
          <w:sz w:val="20"/>
          <w:szCs w:val="20"/>
          <w:lang w:val="sr-Latn-RS"/>
        </w:rPr>
        <w:t xml:space="preserve"> uticao na regulatorni okvir za zaštitu potrošača?</w:t>
      </w:r>
    </w:p>
    <w:p w14:paraId="47B63F61" w14:textId="77777777" w:rsidR="00885161" w:rsidRDefault="00885161" w:rsidP="00885161">
      <w:pPr>
        <w:pStyle w:val="ParagraphOED"/>
        <w:numPr>
          <w:ilvl w:val="0"/>
          <w:numId w:val="0"/>
        </w:numPr>
        <w:spacing w:before="0" w:after="0"/>
        <w:ind w:left="709"/>
        <w:rPr>
          <w:rFonts w:ascii="Arial" w:hAnsi="Arial" w:cs="Arial"/>
          <w:sz w:val="20"/>
          <w:szCs w:val="20"/>
          <w:lang w:val="sr-Latn-RS"/>
        </w:rPr>
      </w:pPr>
    </w:p>
    <w:p w14:paraId="711CFA29" w14:textId="77777777" w:rsidR="00D21821" w:rsidRDefault="00D21821" w:rsidP="009F134C">
      <w:pPr>
        <w:ind w:left="709"/>
        <w:jc w:val="both"/>
        <w:rPr>
          <w:rFonts w:ascii="Arial" w:hAnsi="Arial" w:cs="Arial"/>
          <w:sz w:val="20"/>
          <w:szCs w:val="20"/>
          <w:lang w:val="en-GB"/>
        </w:rPr>
      </w:pPr>
    </w:p>
    <w:p w14:paraId="06C1EA5B" w14:textId="5C50AD2B" w:rsidR="00D21821" w:rsidRPr="00885161" w:rsidRDefault="00D21821" w:rsidP="00DE468B">
      <w:pPr>
        <w:spacing w:after="0"/>
        <w:jc w:val="both"/>
        <w:rPr>
          <w:rFonts w:ascii="Arial" w:hAnsi="Arial" w:cs="Arial"/>
          <w:b/>
          <w:bCs/>
          <w:sz w:val="20"/>
          <w:szCs w:val="20"/>
        </w:rPr>
      </w:pPr>
      <w:r w:rsidRPr="00885161">
        <w:rPr>
          <w:rFonts w:ascii="Arial" w:hAnsi="Arial" w:cs="Arial"/>
          <w:b/>
          <w:bCs/>
          <w:sz w:val="20"/>
          <w:szCs w:val="20"/>
        </w:rPr>
        <w:t xml:space="preserve">       d)    E</w:t>
      </w:r>
      <w:r w:rsidR="00885161" w:rsidRPr="00885161">
        <w:rPr>
          <w:rFonts w:ascii="Arial" w:hAnsi="Arial" w:cs="Arial"/>
          <w:b/>
          <w:bCs/>
          <w:sz w:val="20"/>
          <w:szCs w:val="20"/>
        </w:rPr>
        <w:t>fikasnost</w:t>
      </w:r>
    </w:p>
    <w:p w14:paraId="45E6FF3A" w14:textId="77777777" w:rsidR="00E56BE3" w:rsidRPr="00885161" w:rsidRDefault="00E56BE3" w:rsidP="00DE468B">
      <w:pPr>
        <w:spacing w:after="0"/>
        <w:jc w:val="both"/>
        <w:rPr>
          <w:rFonts w:ascii="Arial" w:hAnsi="Arial" w:cs="Arial"/>
          <w:b/>
          <w:bCs/>
          <w:sz w:val="20"/>
          <w:szCs w:val="20"/>
        </w:rPr>
      </w:pPr>
    </w:p>
    <w:p w14:paraId="50B025DF" w14:textId="0FFEA843" w:rsidR="00E56BE3" w:rsidRPr="00885161" w:rsidRDefault="00885161" w:rsidP="00DE468B">
      <w:pPr>
        <w:spacing w:after="0"/>
        <w:jc w:val="both"/>
        <w:rPr>
          <w:rFonts w:ascii="Arial" w:hAnsi="Arial" w:cs="Arial"/>
          <w:sz w:val="20"/>
          <w:szCs w:val="20"/>
        </w:rPr>
      </w:pPr>
      <w:r w:rsidRPr="00885161">
        <w:rPr>
          <w:rFonts w:ascii="Arial" w:hAnsi="Arial" w:cs="Arial"/>
          <w:sz w:val="20"/>
          <w:szCs w:val="20"/>
        </w:rPr>
        <w:t>Glavno pitanje</w:t>
      </w:r>
      <w:r w:rsidR="00E56BE3" w:rsidRPr="00885161">
        <w:rPr>
          <w:rFonts w:ascii="Arial" w:hAnsi="Arial" w:cs="Arial"/>
          <w:sz w:val="20"/>
          <w:szCs w:val="20"/>
        </w:rPr>
        <w:t xml:space="preserve">: </w:t>
      </w:r>
      <w:r w:rsidRPr="00885161">
        <w:rPr>
          <w:rFonts w:ascii="Arial" w:hAnsi="Arial" w:cs="Arial"/>
          <w:sz w:val="20"/>
          <w:szCs w:val="20"/>
        </w:rPr>
        <w:t>Koliko je NPZP bio efikasan u smislu raspodele raspoloživih sredstava?</w:t>
      </w:r>
    </w:p>
    <w:p w14:paraId="62F3D858" w14:textId="77777777" w:rsidR="00E56BE3" w:rsidRPr="00885161" w:rsidRDefault="00E56BE3" w:rsidP="00DE468B">
      <w:pPr>
        <w:spacing w:after="0"/>
        <w:jc w:val="both"/>
        <w:rPr>
          <w:rFonts w:ascii="Arial" w:hAnsi="Arial" w:cs="Arial"/>
          <w:sz w:val="20"/>
          <w:szCs w:val="20"/>
        </w:rPr>
      </w:pPr>
    </w:p>
    <w:p w14:paraId="62D50FB9" w14:textId="4D98B8BF" w:rsid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Da li je budžet N</w:t>
      </w:r>
      <w:r>
        <w:rPr>
          <w:rFonts w:ascii="Arial" w:hAnsi="Arial" w:cs="Arial"/>
          <w:sz w:val="20"/>
          <w:szCs w:val="20"/>
          <w:lang w:val="sr-Latn-RS"/>
        </w:rPr>
        <w:t>PZP</w:t>
      </w:r>
      <w:r w:rsidRPr="00885161">
        <w:rPr>
          <w:rFonts w:ascii="Arial" w:hAnsi="Arial" w:cs="Arial"/>
          <w:sz w:val="20"/>
          <w:szCs w:val="20"/>
          <w:lang w:val="sr-Latn-RS"/>
        </w:rPr>
        <w:t xml:space="preserve">-a korišćen u skladu sa </w:t>
      </w:r>
      <w:r>
        <w:rPr>
          <w:rFonts w:ascii="Arial" w:hAnsi="Arial" w:cs="Arial"/>
          <w:sz w:val="20"/>
          <w:szCs w:val="20"/>
          <w:lang w:val="sr-Latn-RS"/>
        </w:rPr>
        <w:t>isprogramiranom/planiranim iznosima</w:t>
      </w:r>
      <w:r w:rsidRPr="00885161">
        <w:rPr>
          <w:rFonts w:ascii="Arial" w:hAnsi="Arial" w:cs="Arial"/>
          <w:sz w:val="20"/>
          <w:szCs w:val="20"/>
          <w:lang w:val="sr-Latn-RS"/>
        </w:rPr>
        <w:t xml:space="preserve"> ili je bilo potrebe za prilagođavanjem budžeta i zašto?</w:t>
      </w:r>
    </w:p>
    <w:p w14:paraId="732B722B" w14:textId="77777777" w:rsidR="00885161" w:rsidRP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Da li se programirani budžet pokazao adekvatnim u skladu sa potrebama?</w:t>
      </w:r>
    </w:p>
    <w:p w14:paraId="64C7CBB6" w14:textId="01E41BA5" w:rsidR="00885161" w:rsidRP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 xml:space="preserve">Da li je bilo problema sa zapošljavanjem ili nabavkom i kako su oni uticali na sprovođenje </w:t>
      </w:r>
      <w:r>
        <w:rPr>
          <w:rFonts w:ascii="Arial" w:hAnsi="Arial" w:cs="Arial"/>
          <w:sz w:val="20"/>
          <w:szCs w:val="20"/>
          <w:lang w:val="sr-Latn-RS"/>
        </w:rPr>
        <w:t>NPZP?</w:t>
      </w:r>
    </w:p>
    <w:p w14:paraId="5FDEFB21" w14:textId="063CB09A" w:rsidR="00885161" w:rsidRP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 xml:space="preserve">S obzirom na složenost organizacione i upravljačke strukture </w:t>
      </w:r>
      <w:r>
        <w:rPr>
          <w:rFonts w:ascii="Arial" w:hAnsi="Arial" w:cs="Arial"/>
          <w:sz w:val="20"/>
          <w:szCs w:val="20"/>
          <w:lang w:val="sr-Latn-RS"/>
        </w:rPr>
        <w:t>NPZP</w:t>
      </w:r>
      <w:r w:rsidRPr="00885161">
        <w:rPr>
          <w:rFonts w:ascii="Arial" w:hAnsi="Arial" w:cs="Arial"/>
          <w:sz w:val="20"/>
          <w:szCs w:val="20"/>
          <w:lang w:val="sr-Latn-RS"/>
        </w:rPr>
        <w:t>, da li je bilo negativnih uticaja koji su nastali kao direktna posledica takve strukture?</w:t>
      </w:r>
    </w:p>
    <w:p w14:paraId="0854FE0E" w14:textId="4B814D4B" w:rsidR="00885161" w:rsidRP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Da li je bilo uskih grla u komunikaciji?</w:t>
      </w:r>
    </w:p>
    <w:p w14:paraId="3FA30320" w14:textId="78FC034D" w:rsidR="00885161" w:rsidRP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Da li postoji organizacioni problem specifičan za ekonomiju</w:t>
      </w:r>
      <w:r>
        <w:rPr>
          <w:rFonts w:ascii="Arial" w:hAnsi="Arial" w:cs="Arial"/>
          <w:sz w:val="20"/>
          <w:szCs w:val="20"/>
          <w:lang w:val="sr-Latn-RS"/>
        </w:rPr>
        <w:t xml:space="preserve"> Crne Gore</w:t>
      </w:r>
      <w:r w:rsidRPr="00885161">
        <w:rPr>
          <w:rFonts w:ascii="Arial" w:hAnsi="Arial" w:cs="Arial"/>
          <w:sz w:val="20"/>
          <w:szCs w:val="20"/>
          <w:lang w:val="sr-Latn-RS"/>
        </w:rPr>
        <w:t>?</w:t>
      </w:r>
    </w:p>
    <w:p w14:paraId="5E33D7BC" w14:textId="294E72D3" w:rsidR="00885161" w:rsidRDefault="00885161" w:rsidP="00885161">
      <w:pPr>
        <w:pStyle w:val="ListParagraph"/>
        <w:numPr>
          <w:ilvl w:val="0"/>
          <w:numId w:val="58"/>
        </w:numPr>
        <w:jc w:val="both"/>
        <w:rPr>
          <w:rFonts w:ascii="Arial" w:hAnsi="Arial" w:cs="Arial"/>
          <w:sz w:val="20"/>
          <w:szCs w:val="20"/>
          <w:lang w:val="sr-Latn-RS"/>
        </w:rPr>
      </w:pPr>
      <w:r w:rsidRPr="00885161">
        <w:rPr>
          <w:rFonts w:ascii="Arial" w:hAnsi="Arial" w:cs="Arial"/>
          <w:sz w:val="20"/>
          <w:szCs w:val="20"/>
          <w:lang w:val="sr-Latn-RS"/>
        </w:rPr>
        <w:t>Kako su sprovođene aktivnosti praćenja i evaluacije? Da li su sprovođene na sistemati</w:t>
      </w:r>
      <w:r>
        <w:rPr>
          <w:rFonts w:ascii="Arial" w:hAnsi="Arial" w:cs="Arial"/>
          <w:sz w:val="20"/>
          <w:szCs w:val="20"/>
          <w:lang w:val="sr-Latn-RS"/>
        </w:rPr>
        <w:t>čan</w:t>
      </w:r>
      <w:r w:rsidRPr="00885161">
        <w:rPr>
          <w:rFonts w:ascii="Arial" w:hAnsi="Arial" w:cs="Arial"/>
          <w:sz w:val="20"/>
          <w:szCs w:val="20"/>
          <w:lang w:val="sr-Latn-RS"/>
        </w:rPr>
        <w:t xml:space="preserve"> način i, pored godišnjeg izveštavanja, da li su zainteresovane strane imale redovan pristup rezultatima?</w:t>
      </w:r>
    </w:p>
    <w:p w14:paraId="33C0B2E5" w14:textId="77777777" w:rsidR="00E56BE3" w:rsidRDefault="00E56BE3" w:rsidP="00DE468B">
      <w:pPr>
        <w:spacing w:after="0"/>
        <w:jc w:val="both"/>
        <w:rPr>
          <w:rFonts w:ascii="Arial" w:hAnsi="Arial" w:cs="Arial"/>
          <w:sz w:val="20"/>
          <w:szCs w:val="20"/>
          <w:lang w:val="en-US"/>
        </w:rPr>
      </w:pPr>
    </w:p>
    <w:p w14:paraId="2E10053F" w14:textId="77777777" w:rsidR="00E56BE3" w:rsidRPr="00E56BE3" w:rsidRDefault="00E56BE3" w:rsidP="00DE468B">
      <w:pPr>
        <w:spacing w:after="0"/>
        <w:jc w:val="both"/>
        <w:rPr>
          <w:rFonts w:ascii="Arial" w:hAnsi="Arial" w:cs="Arial"/>
          <w:sz w:val="20"/>
          <w:szCs w:val="20"/>
          <w:lang w:val="en-US"/>
        </w:rPr>
      </w:pPr>
    </w:p>
    <w:p w14:paraId="2195096C" w14:textId="46117157" w:rsidR="00E56BE3" w:rsidRPr="00885161" w:rsidRDefault="00E56BE3" w:rsidP="00E56BE3">
      <w:pPr>
        <w:ind w:left="426"/>
        <w:jc w:val="both"/>
        <w:rPr>
          <w:rFonts w:ascii="Arial" w:hAnsi="Arial" w:cs="Arial"/>
          <w:b/>
          <w:bCs/>
          <w:sz w:val="20"/>
          <w:szCs w:val="20"/>
        </w:rPr>
      </w:pPr>
      <w:r w:rsidRPr="00885161">
        <w:rPr>
          <w:rFonts w:ascii="Arial" w:hAnsi="Arial" w:cs="Arial"/>
          <w:b/>
          <w:bCs/>
          <w:sz w:val="20"/>
          <w:szCs w:val="20"/>
        </w:rPr>
        <w:t xml:space="preserve">e)     </w:t>
      </w:r>
      <w:r w:rsidR="00885161" w:rsidRPr="00885161">
        <w:rPr>
          <w:rFonts w:ascii="Arial" w:hAnsi="Arial" w:cs="Arial"/>
          <w:b/>
          <w:bCs/>
          <w:sz w:val="20"/>
          <w:szCs w:val="20"/>
        </w:rPr>
        <w:t>Koherentnost</w:t>
      </w:r>
    </w:p>
    <w:p w14:paraId="2696646A" w14:textId="77777777" w:rsidR="00885161" w:rsidRPr="00885161" w:rsidRDefault="00885161" w:rsidP="00885161">
      <w:pPr>
        <w:jc w:val="both"/>
        <w:rPr>
          <w:rFonts w:ascii="Arial" w:hAnsi="Arial" w:cs="Arial"/>
          <w:sz w:val="20"/>
          <w:szCs w:val="20"/>
        </w:rPr>
      </w:pPr>
      <w:r w:rsidRPr="00885161">
        <w:rPr>
          <w:rFonts w:ascii="Arial" w:hAnsi="Arial" w:cs="Arial"/>
          <w:sz w:val="20"/>
          <w:szCs w:val="20"/>
        </w:rPr>
        <w:t>Glavno pitanje</w:t>
      </w:r>
      <w:r w:rsidR="00E56BE3" w:rsidRPr="00885161">
        <w:rPr>
          <w:rFonts w:ascii="Arial" w:hAnsi="Arial" w:cs="Arial"/>
          <w:sz w:val="20"/>
          <w:szCs w:val="20"/>
        </w:rPr>
        <w:t xml:space="preserve">: </w:t>
      </w:r>
      <w:r w:rsidRPr="00885161">
        <w:rPr>
          <w:rFonts w:ascii="Arial" w:hAnsi="Arial" w:cs="Arial"/>
          <w:sz w:val="20"/>
          <w:szCs w:val="20"/>
        </w:rPr>
        <w:t>U kojoj meri je NPZP bio usklađen sa prioritetima i potrebama zemlje i u podržavanju integracije pristupa zaštite potrošača koji ispunjavaju standarde EU?</w:t>
      </w:r>
    </w:p>
    <w:p w14:paraId="614C90D8" w14:textId="009DDF69" w:rsidR="00885161" w:rsidRPr="00885161" w:rsidRDefault="00885161" w:rsidP="00885161">
      <w:pPr>
        <w:pStyle w:val="ListParagraph"/>
        <w:numPr>
          <w:ilvl w:val="0"/>
          <w:numId w:val="59"/>
        </w:numPr>
        <w:jc w:val="both"/>
        <w:rPr>
          <w:rFonts w:ascii="Arial" w:hAnsi="Arial" w:cs="Arial"/>
          <w:sz w:val="20"/>
          <w:szCs w:val="20"/>
          <w:lang w:val="sr-Latn-RS"/>
        </w:rPr>
      </w:pPr>
      <w:r w:rsidRPr="00885161">
        <w:rPr>
          <w:rFonts w:ascii="Arial" w:hAnsi="Arial" w:cs="Arial"/>
          <w:sz w:val="20"/>
          <w:szCs w:val="20"/>
          <w:lang w:val="sr-Latn-RS"/>
        </w:rPr>
        <w:t>Koliko su aktivnosti NPZP koherentne i komplementarne u odnosu na druge politike i inicijative koje preduzimaju Vlada i drugi regionalni i međunarodni partneri angažovani u promociji zaštite potrošača u Crnoj Gori?</w:t>
      </w:r>
    </w:p>
    <w:p w14:paraId="091698D8" w14:textId="77777777" w:rsidR="00FB3AC3" w:rsidRPr="00885161" w:rsidRDefault="00FB3AC3" w:rsidP="00C43234">
      <w:pPr>
        <w:rPr>
          <w:rFonts w:ascii="Arial" w:hAnsi="Arial" w:cs="Arial"/>
          <w:szCs w:val="18"/>
        </w:rPr>
      </w:pPr>
    </w:p>
    <w:p w14:paraId="415B20D9" w14:textId="25D34A2B" w:rsidR="00EC7DB7" w:rsidRPr="00885161" w:rsidRDefault="00885161" w:rsidP="00DE468B">
      <w:pPr>
        <w:pStyle w:val="Heading2"/>
        <w:rPr>
          <w:rFonts w:ascii="Arial" w:hAnsi="Arial" w:cs="Arial"/>
          <w:b/>
          <w:bCs/>
          <w:i/>
          <w:iCs/>
          <w:szCs w:val="18"/>
          <w:lang w:val="sr-Latn-RS"/>
        </w:rPr>
      </w:pPr>
      <w:bookmarkStart w:id="7" w:name="_Toc199479350"/>
      <w:r w:rsidRPr="00885161">
        <w:rPr>
          <w:rFonts w:ascii="Arial" w:hAnsi="Arial" w:cs="Arial"/>
          <w:b/>
          <w:bCs/>
          <w:i/>
          <w:iCs/>
          <w:szCs w:val="18"/>
          <w:lang w:val="sr-Latn-RS"/>
        </w:rPr>
        <w:t>Matrica evaluacije</w:t>
      </w:r>
      <w:bookmarkEnd w:id="7"/>
    </w:p>
    <w:p w14:paraId="4C8F34DA" w14:textId="129B41A8" w:rsidR="00885161" w:rsidRPr="00885161" w:rsidRDefault="00885161" w:rsidP="00EC7DB7">
      <w:pPr>
        <w:jc w:val="both"/>
        <w:rPr>
          <w:rFonts w:ascii="Arial" w:hAnsi="Arial" w:cs="Arial"/>
          <w:sz w:val="20"/>
          <w:szCs w:val="20"/>
        </w:rPr>
      </w:pPr>
      <w:r w:rsidRPr="00885161">
        <w:rPr>
          <w:rFonts w:ascii="Arial" w:hAnsi="Arial" w:cs="Arial"/>
          <w:sz w:val="20"/>
          <w:szCs w:val="20"/>
        </w:rPr>
        <w:t xml:space="preserve">Matrica evaluacije pripremljena za ovaj FE je ključni alat za planiranje i organizovanje evaluacije. To je sistematizovana tabela sa jednim redom za svako pitanje evaluacije i kolonama koje se bave pitanjima evaluacije kao što su metode prikupljanja podataka, izvori podataka, metode analize, kriterijumi za poređenje itd. Matrica povezuje svako pitanje evaluacije sa načinom za odgovor na to pitanje. Tabela ispod prikazuje strukturu matrice evaluacije, dok je matrica evaluacije dostupna kao Aneks V. Matrica </w:t>
      </w:r>
      <w:r w:rsidRPr="00885161">
        <w:rPr>
          <w:rFonts w:ascii="Arial" w:hAnsi="Arial" w:cs="Arial"/>
          <w:sz w:val="20"/>
          <w:szCs w:val="20"/>
        </w:rPr>
        <w:lastRenderedPageBreak/>
        <w:t xml:space="preserve">evaluacije. Konačna matrica evaluacije predstavlja ukupne nalaze FE, dok su detaljni odgovori na pitanja evaluacije predstavljeni u poglavlju 3. </w:t>
      </w:r>
      <w:r w:rsidR="00FA3146">
        <w:rPr>
          <w:rFonts w:ascii="Arial" w:hAnsi="Arial" w:cs="Arial"/>
          <w:sz w:val="20"/>
          <w:szCs w:val="20"/>
        </w:rPr>
        <w:t>Zaključci</w:t>
      </w:r>
      <w:r w:rsidRPr="00885161">
        <w:rPr>
          <w:rFonts w:ascii="Arial" w:hAnsi="Arial" w:cs="Arial"/>
          <w:sz w:val="20"/>
          <w:szCs w:val="20"/>
        </w:rPr>
        <w:t>, kao sastavni deo ovog izveštaja.</w:t>
      </w:r>
    </w:p>
    <w:p w14:paraId="1A82EC10" w14:textId="2A48443D" w:rsidR="002139B3" w:rsidRPr="00885161" w:rsidRDefault="0040118A" w:rsidP="00DE468B">
      <w:pPr>
        <w:pStyle w:val="Caption"/>
        <w:rPr>
          <w:rFonts w:ascii="Arial" w:hAnsi="Arial" w:cs="Arial"/>
          <w:i w:val="0"/>
          <w:iCs w:val="0"/>
          <w:color w:val="auto"/>
          <w:sz w:val="20"/>
          <w:szCs w:val="20"/>
        </w:rPr>
      </w:pPr>
      <w:bookmarkStart w:id="8" w:name="_Ref74151223"/>
      <w:bookmarkStart w:id="9" w:name="_Toc74153633"/>
      <w:bookmarkStart w:id="10" w:name="_Toc78208132"/>
      <w:bookmarkStart w:id="11" w:name="_Hlk78144753"/>
      <w:r w:rsidRPr="00885161">
        <w:rPr>
          <w:rFonts w:ascii="Arial" w:hAnsi="Arial" w:cs="Arial"/>
          <w:i w:val="0"/>
          <w:iCs w:val="0"/>
          <w:color w:val="auto"/>
          <w:sz w:val="20"/>
          <w:szCs w:val="20"/>
        </w:rPr>
        <w:t>Tab</w:t>
      </w:r>
      <w:r w:rsidR="00885161" w:rsidRPr="00885161">
        <w:rPr>
          <w:rFonts w:ascii="Arial" w:hAnsi="Arial" w:cs="Arial"/>
          <w:i w:val="0"/>
          <w:iCs w:val="0"/>
          <w:color w:val="auto"/>
          <w:sz w:val="20"/>
          <w:szCs w:val="20"/>
        </w:rPr>
        <w:t>ela</w:t>
      </w:r>
      <w:r w:rsidRPr="00885161">
        <w:rPr>
          <w:rFonts w:ascii="Arial" w:hAnsi="Arial" w:cs="Arial"/>
          <w:i w:val="0"/>
          <w:iCs w:val="0"/>
          <w:color w:val="auto"/>
          <w:sz w:val="20"/>
          <w:szCs w:val="20"/>
        </w:rPr>
        <w:t xml:space="preserve"> </w:t>
      </w:r>
      <w:bookmarkEnd w:id="8"/>
      <w:r w:rsidR="00132EC3" w:rsidRPr="00885161">
        <w:rPr>
          <w:rFonts w:ascii="Arial" w:hAnsi="Arial" w:cs="Arial"/>
          <w:i w:val="0"/>
          <w:iCs w:val="0"/>
          <w:color w:val="auto"/>
          <w:sz w:val="20"/>
          <w:szCs w:val="20"/>
        </w:rPr>
        <w:t>3</w:t>
      </w:r>
      <w:r w:rsidRPr="00885161">
        <w:rPr>
          <w:rFonts w:ascii="Arial" w:hAnsi="Arial" w:cs="Arial"/>
          <w:i w:val="0"/>
          <w:iCs w:val="0"/>
          <w:color w:val="auto"/>
          <w:sz w:val="20"/>
          <w:szCs w:val="20"/>
        </w:rPr>
        <w:t>:</w:t>
      </w:r>
      <w:r w:rsidR="002139B3" w:rsidRPr="00885161">
        <w:rPr>
          <w:rFonts w:ascii="Arial" w:hAnsi="Arial" w:cs="Arial"/>
          <w:i w:val="0"/>
          <w:iCs w:val="0"/>
          <w:color w:val="auto"/>
          <w:sz w:val="20"/>
          <w:szCs w:val="20"/>
        </w:rPr>
        <w:t xml:space="preserve"> </w:t>
      </w:r>
      <w:bookmarkEnd w:id="9"/>
      <w:bookmarkEnd w:id="10"/>
      <w:r w:rsidR="00885161" w:rsidRPr="00885161">
        <w:rPr>
          <w:rFonts w:ascii="Arial" w:hAnsi="Arial" w:cs="Arial"/>
          <w:i w:val="0"/>
          <w:iCs w:val="0"/>
          <w:color w:val="auto"/>
          <w:sz w:val="20"/>
          <w:szCs w:val="20"/>
        </w:rPr>
        <w:t>Matrica evaluacije</w:t>
      </w:r>
    </w:p>
    <w:tbl>
      <w:tblPr>
        <w:tblStyle w:val="TableGrid1"/>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098"/>
        <w:gridCol w:w="740"/>
        <w:gridCol w:w="1134"/>
        <w:gridCol w:w="851"/>
        <w:gridCol w:w="1275"/>
        <w:gridCol w:w="1560"/>
        <w:gridCol w:w="1275"/>
        <w:gridCol w:w="1134"/>
      </w:tblGrid>
      <w:tr w:rsidR="00E56BE3" w:rsidRPr="00885161" w14:paraId="192C294F" w14:textId="77777777" w:rsidTr="00885161">
        <w:trPr>
          <w:tblHeader/>
        </w:trPr>
        <w:tc>
          <w:tcPr>
            <w:tcW w:w="1098" w:type="dxa"/>
          </w:tcPr>
          <w:bookmarkEnd w:id="11"/>
          <w:p w14:paraId="07676454" w14:textId="640A850E"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Kriterijum</w:t>
            </w:r>
          </w:p>
        </w:tc>
        <w:tc>
          <w:tcPr>
            <w:tcW w:w="740" w:type="dxa"/>
          </w:tcPr>
          <w:p w14:paraId="2480B080" w14:textId="682AB9C0"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Pitanje</w:t>
            </w:r>
          </w:p>
        </w:tc>
        <w:tc>
          <w:tcPr>
            <w:tcW w:w="1134" w:type="dxa"/>
          </w:tcPr>
          <w:p w14:paraId="2FE74A4C" w14:textId="059A1B77"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Metod prikupljanja podataka</w:t>
            </w:r>
          </w:p>
        </w:tc>
        <w:tc>
          <w:tcPr>
            <w:tcW w:w="851" w:type="dxa"/>
          </w:tcPr>
          <w:p w14:paraId="571A23A5" w14:textId="1E937E13"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Odgovor</w:t>
            </w:r>
          </w:p>
        </w:tc>
        <w:tc>
          <w:tcPr>
            <w:tcW w:w="1275" w:type="dxa"/>
          </w:tcPr>
          <w:p w14:paraId="20D64936" w14:textId="6CF98626"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Mera/Indikator</w:t>
            </w:r>
          </w:p>
        </w:tc>
        <w:tc>
          <w:tcPr>
            <w:tcW w:w="1560" w:type="dxa"/>
          </w:tcPr>
          <w:p w14:paraId="57C34F0B" w14:textId="28BDB222"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Početna vrednost (ukoliko je dostupna)</w:t>
            </w:r>
          </w:p>
        </w:tc>
        <w:tc>
          <w:tcPr>
            <w:tcW w:w="1275" w:type="dxa"/>
          </w:tcPr>
          <w:p w14:paraId="7ABC3C33" w14:textId="3C08664C"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Izvor podataka</w:t>
            </w:r>
          </w:p>
        </w:tc>
        <w:tc>
          <w:tcPr>
            <w:tcW w:w="1134" w:type="dxa"/>
          </w:tcPr>
          <w:p w14:paraId="225E5D40" w14:textId="076E4298" w:rsidR="00E56BE3" w:rsidRPr="00885161" w:rsidRDefault="00885161" w:rsidP="00700897">
            <w:pPr>
              <w:pStyle w:val="Tabelle"/>
              <w:rPr>
                <w:rFonts w:ascii="Arial" w:hAnsi="Arial"/>
                <w:szCs w:val="18"/>
                <w:lang w:val="sr-Latn-RS" w:eastAsia="en-US"/>
              </w:rPr>
            </w:pPr>
            <w:r w:rsidRPr="00885161">
              <w:rPr>
                <w:rFonts w:ascii="Arial" w:hAnsi="Arial"/>
                <w:szCs w:val="18"/>
                <w:lang w:val="sr-Latn-RS" w:eastAsia="en-US"/>
              </w:rPr>
              <w:t>Komentari</w:t>
            </w:r>
          </w:p>
        </w:tc>
      </w:tr>
      <w:tr w:rsidR="00E56BE3" w:rsidRPr="00A20BF1" w14:paraId="150B54CE" w14:textId="77777777" w:rsidTr="00885161">
        <w:tc>
          <w:tcPr>
            <w:tcW w:w="1098" w:type="dxa"/>
          </w:tcPr>
          <w:p w14:paraId="4E3972FF" w14:textId="77777777" w:rsidR="00E56BE3" w:rsidRPr="00A20BF1" w:rsidRDefault="00E56BE3" w:rsidP="00700897">
            <w:pPr>
              <w:pStyle w:val="Tabelle"/>
              <w:rPr>
                <w:rFonts w:ascii="Arial" w:hAnsi="Arial"/>
                <w:sz w:val="20"/>
                <w:szCs w:val="22"/>
                <w:lang w:val="en-GB" w:eastAsia="en-US"/>
              </w:rPr>
            </w:pPr>
            <w:r w:rsidRPr="00A20BF1">
              <w:rPr>
                <w:rFonts w:ascii="Arial" w:hAnsi="Arial"/>
                <w:sz w:val="20"/>
                <w:szCs w:val="22"/>
                <w:lang w:val="en-GB" w:eastAsia="en-US"/>
              </w:rPr>
              <w:t xml:space="preserve"> </w:t>
            </w:r>
          </w:p>
        </w:tc>
        <w:tc>
          <w:tcPr>
            <w:tcW w:w="740" w:type="dxa"/>
          </w:tcPr>
          <w:p w14:paraId="0CFD7C6D" w14:textId="77777777" w:rsidR="00E56BE3" w:rsidRPr="00A20BF1" w:rsidRDefault="00E56BE3" w:rsidP="00700897">
            <w:pPr>
              <w:pStyle w:val="Tabelle"/>
              <w:rPr>
                <w:rFonts w:ascii="Arial" w:hAnsi="Arial"/>
                <w:sz w:val="20"/>
                <w:szCs w:val="22"/>
                <w:lang w:val="en-GB" w:eastAsia="en-US"/>
              </w:rPr>
            </w:pPr>
          </w:p>
        </w:tc>
        <w:tc>
          <w:tcPr>
            <w:tcW w:w="1134" w:type="dxa"/>
          </w:tcPr>
          <w:p w14:paraId="227289D3" w14:textId="77777777" w:rsidR="00E56BE3" w:rsidRPr="00A20BF1" w:rsidRDefault="00E56BE3" w:rsidP="00700897">
            <w:pPr>
              <w:pStyle w:val="Tabelle"/>
              <w:rPr>
                <w:rFonts w:ascii="Arial" w:hAnsi="Arial"/>
                <w:sz w:val="20"/>
                <w:szCs w:val="22"/>
                <w:lang w:val="en-GB" w:eastAsia="en-US"/>
              </w:rPr>
            </w:pPr>
          </w:p>
        </w:tc>
        <w:tc>
          <w:tcPr>
            <w:tcW w:w="851" w:type="dxa"/>
          </w:tcPr>
          <w:p w14:paraId="1F1E1555" w14:textId="77777777" w:rsidR="00E56BE3" w:rsidRPr="00A20BF1" w:rsidRDefault="00E56BE3" w:rsidP="00700897">
            <w:pPr>
              <w:pStyle w:val="Tabelle"/>
              <w:rPr>
                <w:rFonts w:ascii="Arial" w:hAnsi="Arial"/>
                <w:sz w:val="20"/>
                <w:szCs w:val="22"/>
                <w:lang w:val="en-GB" w:eastAsia="en-US"/>
              </w:rPr>
            </w:pPr>
          </w:p>
        </w:tc>
        <w:tc>
          <w:tcPr>
            <w:tcW w:w="1275" w:type="dxa"/>
          </w:tcPr>
          <w:p w14:paraId="602521C3" w14:textId="77777777" w:rsidR="00E56BE3" w:rsidRPr="00A20BF1" w:rsidRDefault="00E56BE3" w:rsidP="00700897">
            <w:pPr>
              <w:pStyle w:val="Tabelle"/>
              <w:rPr>
                <w:rFonts w:ascii="Arial" w:hAnsi="Arial"/>
                <w:sz w:val="20"/>
                <w:szCs w:val="22"/>
                <w:lang w:val="en-GB" w:eastAsia="en-US"/>
              </w:rPr>
            </w:pPr>
          </w:p>
        </w:tc>
        <w:tc>
          <w:tcPr>
            <w:tcW w:w="1560" w:type="dxa"/>
          </w:tcPr>
          <w:p w14:paraId="0B8D2569" w14:textId="77777777" w:rsidR="00E56BE3" w:rsidRPr="00A20BF1" w:rsidRDefault="00E56BE3" w:rsidP="00700897">
            <w:pPr>
              <w:pStyle w:val="Tabelle"/>
              <w:rPr>
                <w:rFonts w:ascii="Arial" w:hAnsi="Arial"/>
                <w:sz w:val="20"/>
                <w:szCs w:val="22"/>
                <w:lang w:val="en-GB" w:eastAsia="en-US"/>
              </w:rPr>
            </w:pPr>
          </w:p>
        </w:tc>
        <w:tc>
          <w:tcPr>
            <w:tcW w:w="1275" w:type="dxa"/>
          </w:tcPr>
          <w:p w14:paraId="40E0F261" w14:textId="77777777" w:rsidR="00E56BE3" w:rsidRPr="00A20BF1" w:rsidRDefault="00E56BE3" w:rsidP="00700897">
            <w:pPr>
              <w:pStyle w:val="Tabelle"/>
              <w:rPr>
                <w:rFonts w:ascii="Arial" w:hAnsi="Arial"/>
                <w:sz w:val="20"/>
                <w:szCs w:val="22"/>
                <w:lang w:val="en-GB" w:eastAsia="en-US"/>
              </w:rPr>
            </w:pPr>
          </w:p>
        </w:tc>
        <w:tc>
          <w:tcPr>
            <w:tcW w:w="1134" w:type="dxa"/>
          </w:tcPr>
          <w:p w14:paraId="10BF46C9" w14:textId="77777777" w:rsidR="00E56BE3" w:rsidRPr="00A20BF1" w:rsidRDefault="00E56BE3" w:rsidP="00700897">
            <w:pPr>
              <w:pStyle w:val="Tabelle"/>
              <w:rPr>
                <w:rFonts w:ascii="Arial" w:hAnsi="Arial"/>
                <w:sz w:val="20"/>
                <w:szCs w:val="22"/>
                <w:lang w:val="en-GB" w:eastAsia="en-US"/>
              </w:rPr>
            </w:pPr>
          </w:p>
        </w:tc>
      </w:tr>
      <w:tr w:rsidR="00E56BE3" w:rsidRPr="00A20BF1" w14:paraId="67E77AC7" w14:textId="77777777" w:rsidTr="00885161">
        <w:tc>
          <w:tcPr>
            <w:tcW w:w="1098" w:type="dxa"/>
          </w:tcPr>
          <w:p w14:paraId="6EC116C2" w14:textId="77777777" w:rsidR="00E56BE3" w:rsidRPr="00A20BF1" w:rsidRDefault="00E56BE3" w:rsidP="00700897">
            <w:pPr>
              <w:pStyle w:val="Tabelle"/>
              <w:rPr>
                <w:rFonts w:ascii="Arial" w:hAnsi="Arial"/>
                <w:sz w:val="20"/>
                <w:szCs w:val="22"/>
                <w:lang w:val="en-GB" w:eastAsia="en-US"/>
              </w:rPr>
            </w:pPr>
            <w:r w:rsidRPr="00A20BF1">
              <w:rPr>
                <w:rFonts w:ascii="Arial" w:hAnsi="Arial"/>
                <w:sz w:val="20"/>
                <w:szCs w:val="22"/>
                <w:lang w:val="en-GB" w:eastAsia="en-US"/>
              </w:rPr>
              <w:t xml:space="preserve"> </w:t>
            </w:r>
          </w:p>
        </w:tc>
        <w:tc>
          <w:tcPr>
            <w:tcW w:w="740" w:type="dxa"/>
          </w:tcPr>
          <w:p w14:paraId="00930BF6" w14:textId="77777777" w:rsidR="00E56BE3" w:rsidRPr="00A20BF1" w:rsidRDefault="00E56BE3" w:rsidP="00700897">
            <w:pPr>
              <w:pStyle w:val="Tabelle"/>
              <w:rPr>
                <w:rFonts w:ascii="Arial" w:hAnsi="Arial"/>
                <w:sz w:val="20"/>
                <w:szCs w:val="22"/>
                <w:lang w:val="en-GB" w:eastAsia="en-US"/>
              </w:rPr>
            </w:pPr>
          </w:p>
        </w:tc>
        <w:tc>
          <w:tcPr>
            <w:tcW w:w="1134" w:type="dxa"/>
          </w:tcPr>
          <w:p w14:paraId="111B0C62" w14:textId="77777777" w:rsidR="00E56BE3" w:rsidRPr="00A20BF1" w:rsidRDefault="00E56BE3" w:rsidP="00700897">
            <w:pPr>
              <w:pStyle w:val="Tabelle"/>
              <w:rPr>
                <w:rFonts w:ascii="Arial" w:hAnsi="Arial"/>
                <w:sz w:val="20"/>
                <w:szCs w:val="22"/>
                <w:lang w:val="en-GB" w:eastAsia="en-US"/>
              </w:rPr>
            </w:pPr>
          </w:p>
        </w:tc>
        <w:tc>
          <w:tcPr>
            <w:tcW w:w="851" w:type="dxa"/>
          </w:tcPr>
          <w:p w14:paraId="55B6CDBA" w14:textId="77777777" w:rsidR="00E56BE3" w:rsidRPr="00A20BF1" w:rsidRDefault="00E56BE3" w:rsidP="00700897">
            <w:pPr>
              <w:pStyle w:val="Tabelle"/>
              <w:rPr>
                <w:rFonts w:ascii="Arial" w:hAnsi="Arial"/>
                <w:sz w:val="20"/>
                <w:szCs w:val="22"/>
                <w:lang w:val="en-GB" w:eastAsia="en-US"/>
              </w:rPr>
            </w:pPr>
          </w:p>
        </w:tc>
        <w:tc>
          <w:tcPr>
            <w:tcW w:w="1275" w:type="dxa"/>
          </w:tcPr>
          <w:p w14:paraId="60FF2AA7" w14:textId="77777777" w:rsidR="00E56BE3" w:rsidRPr="00A20BF1" w:rsidRDefault="00E56BE3" w:rsidP="00700897">
            <w:pPr>
              <w:pStyle w:val="Tabelle"/>
              <w:rPr>
                <w:rFonts w:ascii="Arial" w:hAnsi="Arial"/>
                <w:sz w:val="20"/>
                <w:szCs w:val="22"/>
                <w:lang w:val="en-GB" w:eastAsia="en-US"/>
              </w:rPr>
            </w:pPr>
          </w:p>
        </w:tc>
        <w:tc>
          <w:tcPr>
            <w:tcW w:w="1560" w:type="dxa"/>
          </w:tcPr>
          <w:p w14:paraId="3814352A" w14:textId="77777777" w:rsidR="00E56BE3" w:rsidRPr="00A20BF1" w:rsidRDefault="00E56BE3" w:rsidP="00700897">
            <w:pPr>
              <w:pStyle w:val="Tabelle"/>
              <w:rPr>
                <w:rFonts w:ascii="Arial" w:hAnsi="Arial"/>
                <w:sz w:val="20"/>
                <w:szCs w:val="22"/>
                <w:lang w:val="en-GB" w:eastAsia="en-US"/>
              </w:rPr>
            </w:pPr>
          </w:p>
        </w:tc>
        <w:tc>
          <w:tcPr>
            <w:tcW w:w="1275" w:type="dxa"/>
          </w:tcPr>
          <w:p w14:paraId="7A4866B1" w14:textId="77777777" w:rsidR="00E56BE3" w:rsidRPr="00A20BF1" w:rsidRDefault="00E56BE3" w:rsidP="00700897">
            <w:pPr>
              <w:pStyle w:val="Tabelle"/>
              <w:rPr>
                <w:rFonts w:ascii="Arial" w:hAnsi="Arial"/>
                <w:sz w:val="20"/>
                <w:szCs w:val="22"/>
                <w:lang w:val="en-GB" w:eastAsia="en-US"/>
              </w:rPr>
            </w:pPr>
          </w:p>
        </w:tc>
        <w:tc>
          <w:tcPr>
            <w:tcW w:w="1134" w:type="dxa"/>
          </w:tcPr>
          <w:p w14:paraId="46989DB8" w14:textId="77777777" w:rsidR="00E56BE3" w:rsidRPr="00A20BF1" w:rsidRDefault="00E56BE3" w:rsidP="00700897">
            <w:pPr>
              <w:pStyle w:val="Tabelle"/>
              <w:rPr>
                <w:rFonts w:ascii="Arial" w:hAnsi="Arial"/>
                <w:sz w:val="20"/>
                <w:szCs w:val="22"/>
                <w:lang w:val="en-GB" w:eastAsia="en-US"/>
              </w:rPr>
            </w:pPr>
          </w:p>
        </w:tc>
      </w:tr>
      <w:tr w:rsidR="00E56BE3" w:rsidRPr="00A20BF1" w14:paraId="11D35109" w14:textId="77777777" w:rsidTr="00885161">
        <w:tc>
          <w:tcPr>
            <w:tcW w:w="1098" w:type="dxa"/>
          </w:tcPr>
          <w:p w14:paraId="365E0374" w14:textId="77777777" w:rsidR="00E56BE3" w:rsidRPr="00A20BF1" w:rsidRDefault="00E56BE3" w:rsidP="00700897">
            <w:pPr>
              <w:pStyle w:val="Tabelle"/>
              <w:rPr>
                <w:rFonts w:ascii="Arial" w:hAnsi="Arial"/>
                <w:sz w:val="20"/>
                <w:szCs w:val="22"/>
                <w:lang w:val="en-GB" w:eastAsia="en-US"/>
              </w:rPr>
            </w:pPr>
            <w:r w:rsidRPr="00A20BF1">
              <w:rPr>
                <w:rFonts w:ascii="Arial" w:hAnsi="Arial"/>
                <w:sz w:val="20"/>
                <w:szCs w:val="22"/>
                <w:lang w:val="en-GB" w:eastAsia="en-US"/>
              </w:rPr>
              <w:t xml:space="preserve"> </w:t>
            </w:r>
          </w:p>
        </w:tc>
        <w:tc>
          <w:tcPr>
            <w:tcW w:w="740" w:type="dxa"/>
          </w:tcPr>
          <w:p w14:paraId="4FB746D7" w14:textId="77777777" w:rsidR="00E56BE3" w:rsidRPr="00A20BF1" w:rsidRDefault="00E56BE3" w:rsidP="00700897">
            <w:pPr>
              <w:pStyle w:val="Tabelle"/>
              <w:rPr>
                <w:rFonts w:ascii="Arial" w:hAnsi="Arial"/>
                <w:sz w:val="20"/>
                <w:szCs w:val="22"/>
                <w:lang w:val="en-GB" w:eastAsia="en-US"/>
              </w:rPr>
            </w:pPr>
          </w:p>
        </w:tc>
        <w:tc>
          <w:tcPr>
            <w:tcW w:w="1134" w:type="dxa"/>
          </w:tcPr>
          <w:p w14:paraId="4CBE00A9" w14:textId="77777777" w:rsidR="00E56BE3" w:rsidRPr="00A20BF1" w:rsidRDefault="00E56BE3" w:rsidP="00700897">
            <w:pPr>
              <w:pStyle w:val="Tabelle"/>
              <w:rPr>
                <w:rFonts w:ascii="Arial" w:hAnsi="Arial"/>
                <w:sz w:val="20"/>
                <w:szCs w:val="22"/>
                <w:lang w:val="en-GB" w:eastAsia="en-US"/>
              </w:rPr>
            </w:pPr>
          </w:p>
        </w:tc>
        <w:tc>
          <w:tcPr>
            <w:tcW w:w="851" w:type="dxa"/>
          </w:tcPr>
          <w:p w14:paraId="302C31A8" w14:textId="77777777" w:rsidR="00E56BE3" w:rsidRPr="00A20BF1" w:rsidRDefault="00E56BE3" w:rsidP="00700897">
            <w:pPr>
              <w:pStyle w:val="Tabelle"/>
              <w:rPr>
                <w:rFonts w:ascii="Arial" w:hAnsi="Arial"/>
                <w:sz w:val="20"/>
                <w:szCs w:val="22"/>
                <w:lang w:val="en-GB" w:eastAsia="en-US"/>
              </w:rPr>
            </w:pPr>
          </w:p>
        </w:tc>
        <w:tc>
          <w:tcPr>
            <w:tcW w:w="1275" w:type="dxa"/>
          </w:tcPr>
          <w:p w14:paraId="2A79C0D7" w14:textId="77777777" w:rsidR="00E56BE3" w:rsidRPr="00A20BF1" w:rsidRDefault="00E56BE3" w:rsidP="00700897">
            <w:pPr>
              <w:pStyle w:val="Tabelle"/>
              <w:rPr>
                <w:rFonts w:ascii="Arial" w:hAnsi="Arial"/>
                <w:sz w:val="20"/>
                <w:szCs w:val="22"/>
                <w:lang w:val="en-GB" w:eastAsia="en-US"/>
              </w:rPr>
            </w:pPr>
          </w:p>
        </w:tc>
        <w:tc>
          <w:tcPr>
            <w:tcW w:w="1560" w:type="dxa"/>
          </w:tcPr>
          <w:p w14:paraId="1BE7C489" w14:textId="77777777" w:rsidR="00E56BE3" w:rsidRPr="00A20BF1" w:rsidRDefault="00E56BE3" w:rsidP="00700897">
            <w:pPr>
              <w:pStyle w:val="Tabelle"/>
              <w:rPr>
                <w:rFonts w:ascii="Arial" w:hAnsi="Arial"/>
                <w:sz w:val="20"/>
                <w:szCs w:val="22"/>
                <w:lang w:val="en-GB" w:eastAsia="en-US"/>
              </w:rPr>
            </w:pPr>
          </w:p>
        </w:tc>
        <w:tc>
          <w:tcPr>
            <w:tcW w:w="1275" w:type="dxa"/>
          </w:tcPr>
          <w:p w14:paraId="256B79BD" w14:textId="77777777" w:rsidR="00E56BE3" w:rsidRPr="00A20BF1" w:rsidRDefault="00E56BE3" w:rsidP="00700897">
            <w:pPr>
              <w:pStyle w:val="Tabelle"/>
              <w:rPr>
                <w:rFonts w:ascii="Arial" w:hAnsi="Arial"/>
                <w:sz w:val="20"/>
                <w:szCs w:val="22"/>
                <w:lang w:val="en-GB" w:eastAsia="en-US"/>
              </w:rPr>
            </w:pPr>
          </w:p>
        </w:tc>
        <w:tc>
          <w:tcPr>
            <w:tcW w:w="1134" w:type="dxa"/>
          </w:tcPr>
          <w:p w14:paraId="272A0374" w14:textId="77777777" w:rsidR="00E56BE3" w:rsidRPr="00A20BF1" w:rsidRDefault="00E56BE3" w:rsidP="00700897">
            <w:pPr>
              <w:pStyle w:val="Tabelle"/>
              <w:rPr>
                <w:rFonts w:ascii="Arial" w:hAnsi="Arial"/>
                <w:sz w:val="20"/>
                <w:szCs w:val="22"/>
                <w:lang w:val="en-GB" w:eastAsia="en-US"/>
              </w:rPr>
            </w:pPr>
          </w:p>
        </w:tc>
      </w:tr>
    </w:tbl>
    <w:p w14:paraId="72D87C37" w14:textId="5E67B4A2" w:rsidR="00EC7DB7" w:rsidRPr="003D5F54" w:rsidRDefault="00885161" w:rsidP="00EC7DB7">
      <w:pPr>
        <w:pStyle w:val="Quelle"/>
        <w:rPr>
          <w:rFonts w:ascii="Arial" w:hAnsi="Arial" w:cs="Arial"/>
          <w:lang w:val="en-US"/>
        </w:rPr>
      </w:pPr>
      <w:proofErr w:type="spellStart"/>
      <w:r>
        <w:rPr>
          <w:rFonts w:ascii="Arial" w:hAnsi="Arial" w:cs="Arial"/>
          <w:lang w:val="en-US"/>
        </w:rPr>
        <w:t>Izvor</w:t>
      </w:r>
      <w:proofErr w:type="spellEnd"/>
      <w:r>
        <w:rPr>
          <w:rFonts w:ascii="Arial" w:hAnsi="Arial" w:cs="Arial"/>
          <w:lang w:val="en-US"/>
        </w:rPr>
        <w:t>: Evaluator</w:t>
      </w:r>
    </w:p>
    <w:p w14:paraId="1614C248" w14:textId="2B083EDE" w:rsidR="005D176B" w:rsidRPr="005D176B" w:rsidRDefault="005D176B" w:rsidP="000328DE">
      <w:pPr>
        <w:keepNext/>
        <w:spacing w:after="120"/>
        <w:jc w:val="both"/>
        <w:rPr>
          <w:rFonts w:ascii="Arial" w:hAnsi="Arial" w:cs="Arial"/>
          <w:sz w:val="20"/>
          <w:szCs w:val="20"/>
        </w:rPr>
      </w:pPr>
      <w:r w:rsidRPr="005D176B">
        <w:rPr>
          <w:rFonts w:ascii="Arial" w:hAnsi="Arial" w:cs="Arial"/>
          <w:sz w:val="20"/>
          <w:szCs w:val="20"/>
        </w:rPr>
        <w:t>Složenost zahteva ovog FE zahteva upotrebu matrice za evaluaciju koja je umereno složenog dizajna, sa različitim izlaznim informacijama koje matrica pruža čitaocu. Stoga, svaka od kolona zahteva prikupljanje relevantnih informacija, kao što je opisano u nastavku.</w:t>
      </w:r>
    </w:p>
    <w:p w14:paraId="278C83ED" w14:textId="35724260" w:rsidR="005D176B" w:rsidRPr="005D176B" w:rsidRDefault="00EC7DB7" w:rsidP="00EC7DB7">
      <w:pPr>
        <w:pStyle w:val="Aufzhlung"/>
        <w:rPr>
          <w:rFonts w:ascii="Arial" w:hAnsi="Arial" w:cs="Arial"/>
          <w:sz w:val="20"/>
          <w:lang w:val="sr-Latn-RS"/>
        </w:rPr>
      </w:pPr>
      <w:r w:rsidRPr="005D176B">
        <w:rPr>
          <w:rFonts w:ascii="Arial" w:hAnsi="Arial" w:cs="Arial"/>
          <w:sz w:val="20"/>
          <w:lang w:val="sr-Latn-RS"/>
        </w:rPr>
        <w:t>1.</w:t>
      </w:r>
      <w:r w:rsidR="005D176B" w:rsidRPr="005D176B">
        <w:rPr>
          <w:rFonts w:ascii="Arial" w:hAnsi="Arial" w:cs="Arial"/>
          <w:sz w:val="20"/>
          <w:lang w:val="sr-Latn-RS"/>
        </w:rPr>
        <w:t xml:space="preserve"> Kriterijumi za evaluaciju – Kolona koja prikazuje kriterijume za evaluaciju je neophodna za tematsko grupisanje pitanja tokom faze analize. Prema opisu projekta, kriterijumi koji </w:t>
      </w:r>
      <w:r w:rsidR="005D176B">
        <w:rPr>
          <w:rFonts w:ascii="Arial" w:hAnsi="Arial" w:cs="Arial"/>
          <w:sz w:val="20"/>
          <w:lang w:val="sr-Latn-RS"/>
        </w:rPr>
        <w:t>ć</w:t>
      </w:r>
      <w:r w:rsidR="005D176B" w:rsidRPr="005D176B">
        <w:rPr>
          <w:rFonts w:ascii="Arial" w:hAnsi="Arial" w:cs="Arial"/>
          <w:sz w:val="20"/>
          <w:lang w:val="sr-Latn-RS"/>
        </w:rPr>
        <w:t>e se koristiti su slede</w:t>
      </w:r>
      <w:r w:rsidR="005D176B">
        <w:rPr>
          <w:rFonts w:ascii="Arial" w:hAnsi="Arial" w:cs="Arial"/>
          <w:sz w:val="20"/>
          <w:lang w:val="sr-Latn-RS"/>
        </w:rPr>
        <w:t>ći</w:t>
      </w:r>
      <w:r w:rsidR="005D176B" w:rsidRPr="005D176B">
        <w:rPr>
          <w:rFonts w:ascii="Arial" w:hAnsi="Arial" w:cs="Arial"/>
          <w:sz w:val="20"/>
          <w:lang w:val="sr-Latn-RS"/>
        </w:rPr>
        <w:t>:</w:t>
      </w:r>
      <w:r w:rsidRPr="005D176B">
        <w:rPr>
          <w:rFonts w:ascii="Arial" w:hAnsi="Arial" w:cs="Arial"/>
          <w:sz w:val="20"/>
          <w:lang w:val="sr-Latn-RS"/>
        </w:rPr>
        <w:t xml:space="preserve"> </w:t>
      </w:r>
    </w:p>
    <w:p w14:paraId="13794BE4" w14:textId="4F06146E" w:rsidR="005D176B" w:rsidRPr="005D176B" w:rsidRDefault="005D176B" w:rsidP="00EC7DB7">
      <w:pPr>
        <w:pStyle w:val="Aufzhlung2"/>
        <w:rPr>
          <w:rFonts w:ascii="Arial" w:hAnsi="Arial" w:cs="Arial"/>
          <w:sz w:val="20"/>
          <w:lang w:val="sr-Latn-RS"/>
        </w:rPr>
      </w:pPr>
      <w:r w:rsidRPr="005D176B">
        <w:rPr>
          <w:rFonts w:ascii="Arial" w:hAnsi="Arial" w:cs="Arial"/>
          <w:sz w:val="20"/>
          <w:lang w:val="sr-Latn-RS"/>
        </w:rPr>
        <w:t>Relevantnost: Da li intervencija radi prave stvari, da li je relevantna i ažurirana? Da li je NPZP planiran i sproveden na način koji zadovoljava potrebe svojih korisnika, partnera i drugih zainteresovanih strana, na svim nivoima upravljanja, uključujući i privatne subjekte?</w:t>
      </w:r>
    </w:p>
    <w:p w14:paraId="6074EB58" w14:textId="77777777" w:rsidR="005D176B" w:rsidRPr="005D176B" w:rsidRDefault="005D176B" w:rsidP="00EA39AC">
      <w:pPr>
        <w:pStyle w:val="Aufzhlung2"/>
        <w:rPr>
          <w:rFonts w:ascii="Arial" w:hAnsi="Arial" w:cs="Arial"/>
          <w:sz w:val="20"/>
          <w:lang w:val="sr-Latn-RS"/>
        </w:rPr>
      </w:pPr>
      <w:r w:rsidRPr="005D176B">
        <w:rPr>
          <w:rFonts w:ascii="Arial" w:hAnsi="Arial" w:cs="Arial"/>
          <w:sz w:val="20"/>
          <w:lang w:val="sr-Latn-RS"/>
        </w:rPr>
        <w:t xml:space="preserve">Efektivnost: Da li se strateški ciljevi postižu i u kom obimu? </w:t>
      </w:r>
    </w:p>
    <w:p w14:paraId="69D29B14" w14:textId="20ADE6C4" w:rsidR="005D176B" w:rsidRPr="005D176B" w:rsidRDefault="005D176B" w:rsidP="005D176B">
      <w:pPr>
        <w:pStyle w:val="Aufzhlung2"/>
        <w:numPr>
          <w:ilvl w:val="0"/>
          <w:numId w:val="0"/>
        </w:numPr>
        <w:ind w:left="851"/>
        <w:rPr>
          <w:rFonts w:ascii="Arial" w:hAnsi="Arial" w:cs="Arial"/>
          <w:sz w:val="20"/>
          <w:lang w:val="sr-Latn-RS"/>
        </w:rPr>
      </w:pPr>
      <w:r w:rsidRPr="005D176B">
        <w:rPr>
          <w:rFonts w:ascii="Arial" w:hAnsi="Arial" w:cs="Arial"/>
          <w:sz w:val="20"/>
          <w:lang w:val="sr-Latn-RS"/>
        </w:rPr>
        <w:t xml:space="preserve">Efektivnost </w:t>
      </w:r>
      <w:r w:rsidR="000921E0" w:rsidRPr="005D176B">
        <w:rPr>
          <w:rFonts w:ascii="Arial" w:hAnsi="Arial" w:cs="Arial"/>
          <w:sz w:val="20"/>
          <w:lang w:val="sr-Latn-RS"/>
        </w:rPr>
        <w:t>će</w:t>
      </w:r>
      <w:r w:rsidRPr="005D176B">
        <w:rPr>
          <w:rFonts w:ascii="Arial" w:hAnsi="Arial" w:cs="Arial"/>
          <w:sz w:val="20"/>
          <w:lang w:val="sr-Latn-RS"/>
        </w:rPr>
        <w:t xml:space="preserve"> uzeti u obzir sve ciljeve, ishode i rezultate jasno navedene u strateškom dokumentu, uključujući i one koji su istaknuti kao specifičan indikator koji proizilazi iz jedinstvenih akcija. FE </w:t>
      </w:r>
      <w:r w:rsidR="000921E0" w:rsidRPr="005D176B">
        <w:rPr>
          <w:rFonts w:ascii="Arial" w:hAnsi="Arial" w:cs="Arial"/>
          <w:sz w:val="20"/>
          <w:lang w:val="sr-Latn-RS"/>
        </w:rPr>
        <w:t>će</w:t>
      </w:r>
      <w:r w:rsidRPr="005D176B">
        <w:rPr>
          <w:rFonts w:ascii="Arial" w:hAnsi="Arial" w:cs="Arial"/>
          <w:sz w:val="20"/>
          <w:lang w:val="sr-Latn-RS"/>
        </w:rPr>
        <w:t xml:space="preserve"> zaključno analizirati da li su postavljeni ciljevi ispunjeni, a ako nisu, zašto?</w:t>
      </w:r>
    </w:p>
    <w:p w14:paraId="42BF33B9" w14:textId="004EDC2A" w:rsidR="005D176B" w:rsidRPr="005D176B" w:rsidRDefault="005D176B" w:rsidP="00EC7DB7">
      <w:pPr>
        <w:pStyle w:val="Aufzhlung2"/>
        <w:rPr>
          <w:rFonts w:ascii="Arial" w:hAnsi="Arial" w:cs="Arial"/>
          <w:sz w:val="20"/>
          <w:lang w:val="sr-Latn-RS"/>
        </w:rPr>
      </w:pPr>
      <w:r w:rsidRPr="005D176B">
        <w:rPr>
          <w:rFonts w:ascii="Arial" w:hAnsi="Arial" w:cs="Arial"/>
          <w:sz w:val="20"/>
          <w:lang w:val="sr-Latn-RS"/>
        </w:rPr>
        <w:t xml:space="preserve">Rezultati / Dostignuća i uticaji u kretanju ka ciljevima i ishodima: Kakav je bio uticaj intervencije? Ovaj kriterijum je postavljen kako bi se utvrdili pozitivni i negativni uticaji koji su se dogodili tokom sprovođenja NPZP. Veoma je važno identifikovati zainteresovane strane koje su generisale najviše koristi, ili, s druge strane, one koje su imale manje koristi, ili čak troškova. Fokus pristupa ovom kriterijumu evaluacije biće na </w:t>
      </w:r>
      <w:proofErr w:type="spellStart"/>
      <w:r w:rsidRPr="005D176B">
        <w:rPr>
          <w:rFonts w:ascii="Arial" w:hAnsi="Arial" w:cs="Arial"/>
          <w:sz w:val="20"/>
          <w:lang w:val="sr-Latn-RS"/>
        </w:rPr>
        <w:t>validaciji</w:t>
      </w:r>
      <w:proofErr w:type="spellEnd"/>
      <w:r w:rsidRPr="005D176B">
        <w:rPr>
          <w:rFonts w:ascii="Arial" w:hAnsi="Arial" w:cs="Arial"/>
          <w:sz w:val="20"/>
          <w:lang w:val="sr-Latn-RS"/>
        </w:rPr>
        <w:t xml:space="preserve"> nalaza i utvrđivanju direktnih i indirektnih uticaja koji su se dogodili u periodu sprovođenja.</w:t>
      </w:r>
    </w:p>
    <w:p w14:paraId="4AB7F14D" w14:textId="07627C0B" w:rsidR="005D176B" w:rsidRPr="005D176B" w:rsidRDefault="005D176B" w:rsidP="005D176B">
      <w:pPr>
        <w:pStyle w:val="Aufzhlung2"/>
        <w:rPr>
          <w:rFonts w:ascii="Arial" w:hAnsi="Arial" w:cs="Arial"/>
          <w:sz w:val="20"/>
          <w:lang w:val="sr-Latn-RS"/>
        </w:rPr>
      </w:pPr>
      <w:r w:rsidRPr="005D176B">
        <w:rPr>
          <w:rFonts w:ascii="Arial" w:hAnsi="Arial" w:cs="Arial"/>
          <w:sz w:val="20"/>
          <w:lang w:val="sr-Latn-RS"/>
        </w:rPr>
        <w:t>Efikasnost: Da li su resursi adekvatno korišćeni?</w:t>
      </w:r>
    </w:p>
    <w:p w14:paraId="21BCC84F" w14:textId="311AFBF3" w:rsidR="00EC7DB7" w:rsidRPr="005D176B" w:rsidRDefault="005D176B" w:rsidP="005D176B">
      <w:pPr>
        <w:pStyle w:val="Aufzhlung2"/>
        <w:numPr>
          <w:ilvl w:val="0"/>
          <w:numId w:val="0"/>
        </w:numPr>
        <w:ind w:left="851"/>
        <w:rPr>
          <w:rFonts w:ascii="Arial" w:hAnsi="Arial" w:cs="Arial"/>
          <w:sz w:val="20"/>
          <w:lang w:val="sr-Latn-RS"/>
        </w:rPr>
      </w:pPr>
      <w:r w:rsidRPr="005D176B">
        <w:rPr>
          <w:rFonts w:ascii="Arial" w:hAnsi="Arial" w:cs="Arial"/>
          <w:sz w:val="20"/>
          <w:lang w:val="sr-Latn-RS"/>
        </w:rPr>
        <w:t>Ovaj kriterijum pokazuje da li su finansijski resursi i ljudski kapital korišćeni na efikasan način i koja su bila moguća uska grla koja su mogla ometati sprovođenje NPZP.</w:t>
      </w:r>
    </w:p>
    <w:p w14:paraId="2A3C9775" w14:textId="3DE7485E" w:rsidR="005D176B" w:rsidRPr="005D176B" w:rsidRDefault="005D176B" w:rsidP="00EC7DB7">
      <w:pPr>
        <w:pStyle w:val="Aufzhlung2"/>
        <w:rPr>
          <w:rFonts w:ascii="Arial" w:hAnsi="Arial" w:cs="Arial"/>
          <w:sz w:val="20"/>
          <w:lang w:val="sr-Latn-RS"/>
        </w:rPr>
      </w:pPr>
      <w:r w:rsidRPr="005D176B">
        <w:rPr>
          <w:rFonts w:ascii="Arial" w:hAnsi="Arial" w:cs="Arial"/>
          <w:sz w:val="20"/>
          <w:lang w:val="sr-Latn-RS"/>
        </w:rPr>
        <w:t>Koherentnost: Koliko se dobro NPZP uklapa sa drugim inicijativama sprovedenim u Crnoj Gori? S obzirom na to da sve ekonomije Zapadnog Balkana sprovode složene horizontalne i vertikalne reforme u skoro svakom aspektu svoje ekonomije, što se u velikoj meri pripisuje procesu pristupanja EU i tranziciji ka liberalnoj ekonomiji, koherentnost NPZP se dalje procenjuje kako bi se sagledalo da li je program u skladu sa drugim tekućim reformama u tim ekonomijama.</w:t>
      </w:r>
    </w:p>
    <w:p w14:paraId="315CC057" w14:textId="7D96F3DA" w:rsidR="00EC7DB7" w:rsidRPr="005D176B" w:rsidRDefault="00EC7DB7" w:rsidP="00EC7DB7">
      <w:pPr>
        <w:pStyle w:val="Aufzhlung"/>
        <w:rPr>
          <w:rFonts w:ascii="Arial" w:hAnsi="Arial" w:cs="Arial"/>
          <w:sz w:val="20"/>
          <w:lang w:val="sr-Latn-RS"/>
        </w:rPr>
      </w:pPr>
      <w:r w:rsidRPr="005D176B">
        <w:rPr>
          <w:rFonts w:ascii="Arial" w:hAnsi="Arial" w:cs="Arial"/>
          <w:sz w:val="20"/>
          <w:lang w:val="sr-Latn-RS"/>
        </w:rPr>
        <w:t xml:space="preserve">2. </w:t>
      </w:r>
      <w:r w:rsidR="005D176B" w:rsidRPr="005D176B">
        <w:rPr>
          <w:rFonts w:ascii="Arial" w:hAnsi="Arial" w:cs="Arial"/>
          <w:sz w:val="20"/>
          <w:lang w:val="sr-Latn-RS"/>
        </w:rPr>
        <w:t>Pitanje</w:t>
      </w:r>
      <w:r w:rsidRPr="005D176B">
        <w:rPr>
          <w:rFonts w:ascii="Arial" w:hAnsi="Arial" w:cs="Arial"/>
          <w:sz w:val="20"/>
          <w:lang w:val="sr-Latn-RS"/>
        </w:rPr>
        <w:t xml:space="preserve"> – </w:t>
      </w:r>
      <w:r w:rsidR="005D176B" w:rsidRPr="005D176B">
        <w:rPr>
          <w:rFonts w:ascii="Arial" w:hAnsi="Arial" w:cs="Arial"/>
          <w:sz w:val="20"/>
          <w:lang w:val="sr-Latn-RS"/>
        </w:rPr>
        <w:t>U ovoj koloni su predstavljena ključna pitanja za evaluaciju sa liste pitanja i prema kriterijumima za evaluaciju na koje se odnose.</w:t>
      </w:r>
      <w:r w:rsidRPr="005D176B">
        <w:rPr>
          <w:rFonts w:ascii="Arial" w:hAnsi="Arial" w:cs="Arial"/>
          <w:sz w:val="20"/>
          <w:lang w:val="sr-Latn-RS"/>
        </w:rPr>
        <w:t xml:space="preserve"> </w:t>
      </w:r>
    </w:p>
    <w:p w14:paraId="473D18EA" w14:textId="0BEC789C" w:rsidR="00EC7DB7" w:rsidRPr="005D176B" w:rsidRDefault="005D176B" w:rsidP="00EC7DB7">
      <w:pPr>
        <w:pStyle w:val="Aufzhlung"/>
        <w:rPr>
          <w:rFonts w:ascii="Arial" w:hAnsi="Arial" w:cs="Arial"/>
          <w:sz w:val="20"/>
          <w:lang w:val="sr-Latn-RS"/>
        </w:rPr>
      </w:pPr>
      <w:r w:rsidRPr="005D176B">
        <w:rPr>
          <w:rFonts w:ascii="Arial" w:hAnsi="Arial" w:cs="Arial"/>
          <w:sz w:val="20"/>
          <w:lang w:val="sr-Latn-RS"/>
        </w:rPr>
        <w:t xml:space="preserve">3. Metod prikupljanja podataka – U ovoj kategoriji postoji određeni broj mogućih metoda koje će se koristiti (analiza dokumenata/intervjui/konsultacije, itd.), ali kao i kod izvora podataka, veoma je važno da se u ovoj koloni pruži što više detalja. </w:t>
      </w:r>
    </w:p>
    <w:p w14:paraId="4660F258" w14:textId="436D535F" w:rsidR="005D176B" w:rsidRPr="005D176B" w:rsidRDefault="005D176B" w:rsidP="00EC7DB7">
      <w:pPr>
        <w:pStyle w:val="Aufzhlung"/>
        <w:rPr>
          <w:rFonts w:ascii="Arial" w:hAnsi="Arial" w:cs="Arial"/>
          <w:sz w:val="20"/>
          <w:lang w:val="sr-Latn-RS"/>
        </w:rPr>
      </w:pPr>
      <w:r w:rsidRPr="005D176B">
        <w:rPr>
          <w:rFonts w:ascii="Arial" w:hAnsi="Arial" w:cs="Arial"/>
          <w:sz w:val="20"/>
          <w:lang w:val="sr-Latn-RS"/>
        </w:rPr>
        <w:t>4. Odgovor – Odgovor će podrazumevati kratke zaključke na ključno pitanje za evaluaciju.</w:t>
      </w:r>
    </w:p>
    <w:p w14:paraId="66DAB821" w14:textId="1780193A" w:rsidR="005D176B" w:rsidRPr="005D176B" w:rsidRDefault="005D176B" w:rsidP="00EC7DB7">
      <w:pPr>
        <w:pStyle w:val="Aufzhlung"/>
        <w:rPr>
          <w:rFonts w:ascii="Arial" w:hAnsi="Arial" w:cs="Arial"/>
          <w:sz w:val="20"/>
          <w:lang w:val="sr-Latn-RS"/>
        </w:rPr>
      </w:pPr>
      <w:r w:rsidRPr="005D176B">
        <w:rPr>
          <w:rFonts w:ascii="Arial" w:hAnsi="Arial" w:cs="Arial"/>
          <w:sz w:val="20"/>
          <w:lang w:val="sr-Latn-RS"/>
        </w:rPr>
        <w:lastRenderedPageBreak/>
        <w:t>5. Mera ili indikator – Ovaj odeljak će pružiti kratak narativ koji potkrepljuje odgovor ili indikator (vrednost, broj, procenat, itd.).</w:t>
      </w:r>
    </w:p>
    <w:p w14:paraId="5B394387" w14:textId="188D05E9" w:rsidR="00EC7DB7" w:rsidRPr="005D176B" w:rsidRDefault="00E56BE3" w:rsidP="00EC7DB7">
      <w:pPr>
        <w:pStyle w:val="Aufzhlung"/>
        <w:rPr>
          <w:rFonts w:ascii="Arial" w:hAnsi="Arial" w:cs="Arial"/>
          <w:sz w:val="20"/>
          <w:lang w:val="sr-Latn-RS"/>
        </w:rPr>
      </w:pPr>
      <w:r w:rsidRPr="005D176B">
        <w:rPr>
          <w:rFonts w:ascii="Arial" w:hAnsi="Arial" w:cs="Arial"/>
          <w:sz w:val="20"/>
          <w:lang w:val="sr-Latn-RS"/>
        </w:rPr>
        <w:t>6</w:t>
      </w:r>
      <w:r w:rsidR="00EC7DB7" w:rsidRPr="005D176B">
        <w:rPr>
          <w:rFonts w:ascii="Arial" w:hAnsi="Arial" w:cs="Arial"/>
          <w:sz w:val="20"/>
          <w:lang w:val="sr-Latn-RS"/>
        </w:rPr>
        <w:t xml:space="preserve">. </w:t>
      </w:r>
      <w:r w:rsidR="005D176B" w:rsidRPr="005D176B">
        <w:rPr>
          <w:rFonts w:ascii="Arial" w:hAnsi="Arial" w:cs="Arial"/>
          <w:sz w:val="20"/>
          <w:lang w:val="sr-Latn-RS"/>
        </w:rPr>
        <w:t>Početna vrednost</w:t>
      </w:r>
      <w:r w:rsidR="00EC7DB7" w:rsidRPr="005D176B">
        <w:rPr>
          <w:rFonts w:ascii="Arial" w:hAnsi="Arial" w:cs="Arial"/>
          <w:sz w:val="20"/>
          <w:lang w:val="sr-Latn-RS"/>
        </w:rPr>
        <w:t xml:space="preserve"> – </w:t>
      </w:r>
      <w:r w:rsidR="005D176B" w:rsidRPr="005D176B">
        <w:rPr>
          <w:rFonts w:ascii="Arial" w:hAnsi="Arial" w:cs="Arial"/>
          <w:sz w:val="20"/>
          <w:lang w:val="sr-Latn-RS"/>
        </w:rPr>
        <w:t xml:space="preserve">Ako su dostupni, u ovoj koloni se navode podaci o vrednostima koje su relevantne za pitanje koje se obrađuje od vremena početka ili pre početka NPZP. Ovo je veoma relevantno za određivanje ishoda intervencije. Ako se utvrdi da nema osnovnih podataka, ova kolona se može obrisati. </w:t>
      </w:r>
    </w:p>
    <w:p w14:paraId="3EE071CD" w14:textId="0E102ED6" w:rsidR="00EC7DB7" w:rsidRPr="005D176B" w:rsidRDefault="00E56BE3" w:rsidP="00EC7DB7">
      <w:pPr>
        <w:pStyle w:val="Aufzhlung"/>
        <w:rPr>
          <w:rFonts w:ascii="Arial" w:hAnsi="Arial" w:cs="Arial"/>
          <w:sz w:val="20"/>
          <w:lang w:val="sr-Latn-RS"/>
        </w:rPr>
      </w:pPr>
      <w:r w:rsidRPr="005D176B">
        <w:rPr>
          <w:rFonts w:ascii="Arial" w:hAnsi="Arial" w:cs="Arial"/>
          <w:sz w:val="20"/>
          <w:lang w:val="sr-Latn-RS"/>
        </w:rPr>
        <w:t>7</w:t>
      </w:r>
      <w:r w:rsidR="00EC7DB7" w:rsidRPr="005D176B">
        <w:rPr>
          <w:rFonts w:ascii="Arial" w:hAnsi="Arial" w:cs="Arial"/>
          <w:sz w:val="20"/>
          <w:lang w:val="sr-Latn-RS"/>
        </w:rPr>
        <w:t xml:space="preserve">. </w:t>
      </w:r>
      <w:r w:rsidR="005D176B" w:rsidRPr="005D176B">
        <w:rPr>
          <w:rFonts w:ascii="Arial" w:hAnsi="Arial" w:cs="Arial"/>
          <w:sz w:val="20"/>
          <w:lang w:val="sr-Latn-RS"/>
        </w:rPr>
        <w:t xml:space="preserve">Izvor podataka – Svaki odgovor </w:t>
      </w:r>
      <w:proofErr w:type="spellStart"/>
      <w:r w:rsidR="005D176B" w:rsidRPr="005D176B">
        <w:rPr>
          <w:rFonts w:ascii="Arial" w:hAnsi="Arial" w:cs="Arial"/>
          <w:sz w:val="20"/>
          <w:lang w:val="sr-Latn-RS"/>
        </w:rPr>
        <w:t>će</w:t>
      </w:r>
      <w:proofErr w:type="spellEnd"/>
      <w:r w:rsidR="005D176B" w:rsidRPr="005D176B">
        <w:rPr>
          <w:rFonts w:ascii="Arial" w:hAnsi="Arial" w:cs="Arial"/>
          <w:sz w:val="20"/>
          <w:lang w:val="sr-Latn-RS"/>
        </w:rPr>
        <w:t xml:space="preserve"> biti potkrepljen dokazima. U ovom odeljku je ključno biti precizan u navođenju izvora, kako bi se omogućila </w:t>
      </w:r>
      <w:proofErr w:type="spellStart"/>
      <w:r w:rsidR="005D176B" w:rsidRPr="005D176B">
        <w:rPr>
          <w:rFonts w:ascii="Arial" w:hAnsi="Arial" w:cs="Arial"/>
          <w:sz w:val="20"/>
          <w:lang w:val="sr-Latn-RS"/>
        </w:rPr>
        <w:t>validacija</w:t>
      </w:r>
      <w:proofErr w:type="spellEnd"/>
      <w:r w:rsidR="005D176B" w:rsidRPr="005D176B">
        <w:rPr>
          <w:rFonts w:ascii="Arial" w:hAnsi="Arial" w:cs="Arial"/>
          <w:sz w:val="20"/>
          <w:lang w:val="sr-Latn-RS"/>
        </w:rPr>
        <w:t xml:space="preserve"> podataka.</w:t>
      </w:r>
    </w:p>
    <w:p w14:paraId="4811E331" w14:textId="6DAB6BBD" w:rsidR="005D176B" w:rsidRPr="005D176B" w:rsidRDefault="005D176B" w:rsidP="005D176B">
      <w:pPr>
        <w:pStyle w:val="Aufzhlung"/>
        <w:rPr>
          <w:rFonts w:ascii="Arial" w:hAnsi="Arial" w:cs="Arial"/>
          <w:sz w:val="20"/>
          <w:szCs w:val="18"/>
          <w:lang w:val="sr-Latn-RS"/>
        </w:rPr>
      </w:pPr>
      <w:r w:rsidRPr="005D176B">
        <w:rPr>
          <w:rFonts w:ascii="Arial" w:hAnsi="Arial" w:cs="Arial"/>
          <w:sz w:val="20"/>
          <w:szCs w:val="18"/>
          <w:lang w:val="sr-Latn-RS"/>
        </w:rPr>
        <w:t>8.  Komentari – S obzirom na to da se matrica evaluacije dizajnira rano u procesu FE, neophodno je da se svi komentari, sugestije ili druga razmatranja zabeleže i sistematizuju po ključnom pitanju evaluacije kako bi se identifikovala pitanja koja mogu uticati na metodološki pristup evaluacije. To su najčešće praznine u podacima ili problemi sa</w:t>
      </w:r>
      <w:r w:rsidRPr="005D176B">
        <w:rPr>
          <w:rFonts w:ascii="Arial" w:hAnsi="Arial" w:cs="Arial"/>
          <w:sz w:val="20"/>
          <w:szCs w:val="18"/>
        </w:rPr>
        <w:t xml:space="preserve"> </w:t>
      </w:r>
      <w:r w:rsidRPr="005D176B">
        <w:rPr>
          <w:rFonts w:ascii="Arial" w:hAnsi="Arial" w:cs="Arial"/>
          <w:sz w:val="20"/>
          <w:szCs w:val="18"/>
          <w:lang w:val="sr-Latn-RS"/>
        </w:rPr>
        <w:t xml:space="preserve">organizovanjem konsultacija zbog različitih okolnosti. </w:t>
      </w:r>
      <w:bookmarkStart w:id="12" w:name="_Toc78144499"/>
      <w:bookmarkStart w:id="13" w:name="_Toc78144519"/>
      <w:bookmarkEnd w:id="12"/>
      <w:bookmarkEnd w:id="13"/>
    </w:p>
    <w:p w14:paraId="6455998D" w14:textId="77777777" w:rsidR="005D176B" w:rsidRPr="00A20BF1" w:rsidRDefault="005D176B" w:rsidP="005D176B">
      <w:pPr>
        <w:pStyle w:val="Aufzhlung"/>
        <w:numPr>
          <w:ilvl w:val="0"/>
          <w:numId w:val="0"/>
        </w:numPr>
        <w:ind w:left="1276"/>
        <w:rPr>
          <w:rFonts w:ascii="Arial" w:hAnsi="Arial" w:cs="Arial"/>
          <w:sz w:val="20"/>
          <w:lang w:val="en-GB"/>
        </w:rPr>
      </w:pPr>
    </w:p>
    <w:p w14:paraId="7607DD44" w14:textId="5330AE35" w:rsidR="00A02AE3" w:rsidRPr="00F313FF" w:rsidRDefault="003D5F54" w:rsidP="0076760A">
      <w:pPr>
        <w:pStyle w:val="AufzhlungEnde"/>
        <w:numPr>
          <w:ilvl w:val="0"/>
          <w:numId w:val="0"/>
        </w:numPr>
        <w:ind w:left="567" w:hanging="567"/>
        <w:rPr>
          <w:rFonts w:ascii="Arial" w:hAnsi="Arial"/>
          <w:b/>
          <w:bCs/>
          <w:i/>
          <w:iCs/>
          <w:color w:val="0060A9"/>
          <w:sz w:val="24"/>
          <w:szCs w:val="18"/>
          <w:lang w:val="sr-Latn-RS"/>
        </w:rPr>
      </w:pPr>
      <w:r w:rsidRPr="00F313FF">
        <w:rPr>
          <w:rFonts w:ascii="Arial" w:hAnsi="Arial"/>
          <w:b/>
          <w:bCs/>
          <w:i/>
          <w:iCs/>
          <w:color w:val="0060A9"/>
          <w:sz w:val="24"/>
          <w:szCs w:val="18"/>
          <w:lang w:val="sr-Latn-RS"/>
        </w:rPr>
        <w:t>3.</w:t>
      </w:r>
      <w:r w:rsidR="00A02AE3" w:rsidRPr="00F313FF">
        <w:rPr>
          <w:rFonts w:ascii="Arial" w:hAnsi="Arial"/>
          <w:b/>
          <w:bCs/>
          <w:i/>
          <w:iCs/>
          <w:color w:val="0060A9"/>
          <w:sz w:val="24"/>
          <w:szCs w:val="18"/>
          <w:lang w:val="sr-Latn-RS"/>
        </w:rPr>
        <w:t xml:space="preserve"> </w:t>
      </w:r>
      <w:r w:rsidR="00FA3146" w:rsidRPr="00F313FF">
        <w:rPr>
          <w:rFonts w:ascii="Arial" w:hAnsi="Arial"/>
          <w:b/>
          <w:bCs/>
          <w:i/>
          <w:iCs/>
          <w:color w:val="0060A9"/>
          <w:sz w:val="24"/>
          <w:szCs w:val="18"/>
          <w:lang w:val="sr-Latn-RS"/>
        </w:rPr>
        <w:t>Zaključci</w:t>
      </w:r>
    </w:p>
    <w:p w14:paraId="419CBA90" w14:textId="505932CB" w:rsidR="00FA3146" w:rsidRPr="00FA3146" w:rsidRDefault="00FA3146" w:rsidP="00FA3146">
      <w:pPr>
        <w:jc w:val="both"/>
        <w:rPr>
          <w:rFonts w:ascii="Arial" w:hAnsi="Arial" w:cs="Arial"/>
          <w:sz w:val="20"/>
          <w:szCs w:val="16"/>
        </w:rPr>
      </w:pPr>
      <w:r w:rsidRPr="00FA3146">
        <w:rPr>
          <w:rFonts w:ascii="Arial" w:hAnsi="Arial" w:cs="Arial"/>
          <w:sz w:val="20"/>
          <w:szCs w:val="16"/>
        </w:rPr>
        <w:t xml:space="preserve">Nalazi se zasnivaju na analizi dokumenata i konsultacijama koje su uključivale ključno osoblje MER i druge učesnike koji su bili dostupni za intervjue, pretežno članove </w:t>
      </w:r>
      <w:r>
        <w:rPr>
          <w:rFonts w:ascii="Arial" w:hAnsi="Arial" w:cs="Arial"/>
          <w:sz w:val="20"/>
          <w:szCs w:val="16"/>
        </w:rPr>
        <w:t>SZP</w:t>
      </w:r>
      <w:r w:rsidRPr="00FA3146">
        <w:rPr>
          <w:rFonts w:ascii="Arial" w:hAnsi="Arial" w:cs="Arial"/>
          <w:sz w:val="20"/>
          <w:szCs w:val="16"/>
        </w:rPr>
        <w:t>. Obe grupe su pružile vredne uvide u proces implementacije NPZP i konačne rezultate koji se odnose na zahteve FE. Nalazi pružaju i kvantitativne podatke vezane za indikatore učinka i kvanti</w:t>
      </w:r>
      <w:r>
        <w:rPr>
          <w:rFonts w:ascii="Arial" w:hAnsi="Arial" w:cs="Arial"/>
          <w:sz w:val="20"/>
          <w:szCs w:val="16"/>
        </w:rPr>
        <w:t>fikovane</w:t>
      </w:r>
      <w:r w:rsidRPr="00FA3146">
        <w:rPr>
          <w:rFonts w:ascii="Arial" w:hAnsi="Arial" w:cs="Arial"/>
          <w:sz w:val="20"/>
          <w:szCs w:val="16"/>
        </w:rPr>
        <w:t xml:space="preserve"> aktivnosti, i kvalitativne (narativne) podatke koji služe u svrhu objašnjenja.</w:t>
      </w:r>
    </w:p>
    <w:p w14:paraId="7B47ABEA" w14:textId="24FFF42C" w:rsidR="00FA3146" w:rsidRPr="00FA3146" w:rsidRDefault="00FA3146" w:rsidP="00FA3146">
      <w:pPr>
        <w:jc w:val="both"/>
        <w:rPr>
          <w:rFonts w:ascii="Arial" w:hAnsi="Arial" w:cs="Arial"/>
          <w:sz w:val="20"/>
          <w:szCs w:val="16"/>
        </w:rPr>
      </w:pPr>
      <w:r w:rsidRPr="00FA3146">
        <w:rPr>
          <w:rFonts w:ascii="Arial" w:hAnsi="Arial" w:cs="Arial"/>
          <w:sz w:val="20"/>
          <w:szCs w:val="16"/>
        </w:rPr>
        <w:t xml:space="preserve">Ovaj odeljak će, stoga, pružiti uvid u zaključke prema kriterijumima evaluacije. Nalazi će biti sumirani prema ključnim pitanjima evaluacije, dok će, gde je to moguće, odgovori uključivati i numeričko rangiranje na </w:t>
      </w:r>
      <w:proofErr w:type="spellStart"/>
      <w:r w:rsidRPr="00FA3146">
        <w:rPr>
          <w:rFonts w:ascii="Arial" w:hAnsi="Arial" w:cs="Arial"/>
          <w:sz w:val="20"/>
          <w:szCs w:val="16"/>
        </w:rPr>
        <w:t>Likert</w:t>
      </w:r>
      <w:proofErr w:type="spellEnd"/>
      <w:r w:rsidRPr="00FA3146">
        <w:rPr>
          <w:rFonts w:ascii="Arial" w:hAnsi="Arial" w:cs="Arial"/>
          <w:sz w:val="20"/>
          <w:szCs w:val="16"/>
        </w:rPr>
        <w:t xml:space="preserve"> skali (1-5, gde je 5 najviša ocena), a dobijene na osnovu zapisnika sa intervjua. Nalazi iz intervjua koji su predstavljeni pomoću </w:t>
      </w:r>
      <w:proofErr w:type="spellStart"/>
      <w:r w:rsidRPr="00FA3146">
        <w:rPr>
          <w:rFonts w:ascii="Arial" w:hAnsi="Arial" w:cs="Arial"/>
          <w:sz w:val="20"/>
          <w:szCs w:val="16"/>
        </w:rPr>
        <w:t>Likertove</w:t>
      </w:r>
      <w:proofErr w:type="spellEnd"/>
      <w:r w:rsidRPr="00FA3146">
        <w:rPr>
          <w:rFonts w:ascii="Arial" w:hAnsi="Arial" w:cs="Arial"/>
          <w:sz w:val="20"/>
          <w:szCs w:val="16"/>
        </w:rPr>
        <w:t xml:space="preserve"> skale takođe će biti praćeni dodatnim obrazloženjem, pri čem treba uzeti u obzir relativno mali uzorak ispitanika.</w:t>
      </w:r>
    </w:p>
    <w:p w14:paraId="3A54B485" w14:textId="2AEB0370" w:rsidR="00780FF6" w:rsidRPr="00FA3146" w:rsidRDefault="00FA3146" w:rsidP="00DE468B">
      <w:pPr>
        <w:pStyle w:val="ParagraphOED"/>
        <w:numPr>
          <w:ilvl w:val="0"/>
          <w:numId w:val="0"/>
        </w:numPr>
        <w:spacing w:before="0" w:after="0"/>
        <w:ind w:left="360" w:hanging="360"/>
        <w:outlineLvl w:val="2"/>
        <w:rPr>
          <w:rFonts w:ascii="Arial" w:eastAsia="Cambria" w:hAnsi="Arial" w:cs="Arial"/>
          <w:b/>
          <w:sz w:val="20"/>
          <w:szCs w:val="20"/>
          <w:lang w:val="sr-Latn-RS" w:eastAsia="x-none"/>
        </w:rPr>
      </w:pPr>
      <w:bookmarkStart w:id="14" w:name="_Toc199479351"/>
      <w:r w:rsidRPr="00FA3146">
        <w:rPr>
          <w:rFonts w:ascii="Arial" w:hAnsi="Arial" w:cs="Arial"/>
          <w:b/>
          <w:bCs/>
          <w:sz w:val="20"/>
          <w:szCs w:val="20"/>
          <w:lang w:val="sr-Latn-RS"/>
        </w:rPr>
        <w:t>Relevantnost</w:t>
      </w:r>
      <w:bookmarkEnd w:id="14"/>
    </w:p>
    <w:p w14:paraId="0AC2073A" w14:textId="509C038D" w:rsidR="00AB5B7E" w:rsidRPr="00FA3146" w:rsidRDefault="00AB5B7E" w:rsidP="00780FF6">
      <w:pPr>
        <w:jc w:val="both"/>
        <w:rPr>
          <w:rFonts w:ascii="Arial" w:hAnsi="Arial" w:cs="Arial"/>
          <w:sz w:val="20"/>
          <w:szCs w:val="20"/>
        </w:rPr>
      </w:pPr>
    </w:p>
    <w:p w14:paraId="0270BDF2" w14:textId="0CA35A8E" w:rsidR="00FA3146" w:rsidRPr="00FA3146" w:rsidRDefault="00FA3146" w:rsidP="00FA3146">
      <w:pPr>
        <w:pStyle w:val="ListParagraph"/>
        <w:numPr>
          <w:ilvl w:val="0"/>
          <w:numId w:val="29"/>
        </w:numPr>
        <w:jc w:val="both"/>
        <w:rPr>
          <w:rFonts w:ascii="Arial" w:hAnsi="Arial" w:cs="Arial"/>
          <w:sz w:val="20"/>
          <w:szCs w:val="20"/>
          <w:lang w:val="sr-Latn-RS"/>
        </w:rPr>
      </w:pPr>
      <w:r w:rsidRPr="00FA3146">
        <w:rPr>
          <w:rFonts w:ascii="Arial" w:hAnsi="Arial" w:cs="Arial"/>
          <w:sz w:val="20"/>
          <w:szCs w:val="20"/>
          <w:lang w:val="sr-Latn-RS"/>
        </w:rPr>
        <w:t>Glavno pitanje: Koliko je pristup i logika intervencije NPZP bio prikladan i relevantan u smislu njegovih ciljeva i u kontekstu Crne Gore?</w:t>
      </w:r>
    </w:p>
    <w:p w14:paraId="688BB4E7" w14:textId="77777777" w:rsidR="00E37BC5" w:rsidRPr="00FA3146" w:rsidRDefault="00E37BC5" w:rsidP="0079264D">
      <w:pPr>
        <w:pStyle w:val="ParagraphOED"/>
        <w:numPr>
          <w:ilvl w:val="0"/>
          <w:numId w:val="0"/>
        </w:numPr>
        <w:spacing w:before="0" w:after="0"/>
        <w:rPr>
          <w:rFonts w:ascii="Arial" w:hAnsi="Arial" w:cs="Arial"/>
          <w:sz w:val="20"/>
          <w:szCs w:val="20"/>
          <w:lang w:val="sr-Latn-RS"/>
        </w:rPr>
      </w:pPr>
    </w:p>
    <w:p w14:paraId="356780B8" w14:textId="10BFA879" w:rsidR="00FA3146" w:rsidRPr="00FA3146" w:rsidRDefault="00FA3146" w:rsidP="00FA3146">
      <w:pPr>
        <w:pStyle w:val="ParagraphOED"/>
        <w:numPr>
          <w:ilvl w:val="0"/>
          <w:numId w:val="0"/>
        </w:numPr>
        <w:spacing w:after="0"/>
        <w:rPr>
          <w:rFonts w:ascii="Arial" w:hAnsi="Arial" w:cs="Arial"/>
          <w:sz w:val="20"/>
          <w:szCs w:val="20"/>
          <w:lang w:val="sr-Latn-RS"/>
        </w:rPr>
      </w:pPr>
      <w:r w:rsidRPr="00FA3146">
        <w:rPr>
          <w:rFonts w:ascii="Arial" w:hAnsi="Arial" w:cs="Arial"/>
          <w:sz w:val="20"/>
          <w:szCs w:val="20"/>
          <w:lang w:val="sr-Latn-RS"/>
        </w:rPr>
        <w:t xml:space="preserve">Pristup i opseg NPZP su utvrđeni kao relevantni za celokupni strateški okvir Crne Gore, dok je hijerarhija strateških ciljeva uspostavljena u odnosu na potrebe ekonomije u oblasti zaštite potrošača. Odgovori u intervjuima su u skladu sa ovom izjavom, dok su učesnici istakli horizontalnu prirodu zaštite potrošača, usko povezanu sa različitim oblastima politike, kao što su zdravstvena zaštita, osiguranje, elektronski mediji, bankarstvo, onlajn i tradicionalna trgovina i turizam, između ostalog. U tom smislu, </w:t>
      </w:r>
      <w:r>
        <w:rPr>
          <w:rFonts w:ascii="Arial" w:hAnsi="Arial" w:cs="Arial"/>
          <w:sz w:val="20"/>
          <w:szCs w:val="20"/>
          <w:lang w:val="sr-Latn-RS"/>
        </w:rPr>
        <w:t xml:space="preserve">zaključeno </w:t>
      </w:r>
      <w:r w:rsidRPr="00FA3146">
        <w:rPr>
          <w:rFonts w:ascii="Arial" w:hAnsi="Arial" w:cs="Arial"/>
          <w:sz w:val="20"/>
          <w:szCs w:val="20"/>
          <w:lang w:val="sr-Latn-RS"/>
        </w:rPr>
        <w:t>je da je NPZP veoma relevantan u adresiranju ključnih oblasti politike, odnosno onih koje najviše pažnje posvećuju zaštiti potrošača.</w:t>
      </w:r>
    </w:p>
    <w:p w14:paraId="5EC1DE25" w14:textId="3C8741FC" w:rsidR="00FA3146" w:rsidRPr="00FA3146" w:rsidRDefault="00FA3146" w:rsidP="00FA3146">
      <w:pPr>
        <w:pStyle w:val="ParagraphOED"/>
        <w:numPr>
          <w:ilvl w:val="0"/>
          <w:numId w:val="0"/>
        </w:numPr>
        <w:spacing w:after="0"/>
        <w:rPr>
          <w:rFonts w:ascii="Arial" w:hAnsi="Arial" w:cs="Arial"/>
          <w:sz w:val="20"/>
          <w:szCs w:val="20"/>
          <w:lang w:val="sr-Latn-RS"/>
        </w:rPr>
      </w:pPr>
      <w:r w:rsidRPr="00FA3146">
        <w:rPr>
          <w:rFonts w:ascii="Arial" w:hAnsi="Arial" w:cs="Arial"/>
          <w:sz w:val="20"/>
          <w:szCs w:val="20"/>
          <w:lang w:val="sr-Latn-RS"/>
        </w:rPr>
        <w:t xml:space="preserve">Procenjeno je da je NPZP osmišljen na način zasnovan na dokazima, nadovezujući se na strateške ciljeve i aktivnostima definisanim na osnovu detaljne </w:t>
      </w:r>
      <w:proofErr w:type="spellStart"/>
      <w:r w:rsidRPr="00FA3146">
        <w:rPr>
          <w:rFonts w:ascii="Arial" w:hAnsi="Arial" w:cs="Arial"/>
          <w:sz w:val="20"/>
          <w:szCs w:val="20"/>
          <w:lang w:val="sr-Latn-RS"/>
        </w:rPr>
        <w:t>ex</w:t>
      </w:r>
      <w:proofErr w:type="spellEnd"/>
      <w:r>
        <w:rPr>
          <w:rFonts w:ascii="Arial" w:hAnsi="Arial" w:cs="Arial"/>
          <w:sz w:val="20"/>
          <w:szCs w:val="20"/>
          <w:lang w:val="sr-Latn-RS"/>
        </w:rPr>
        <w:t>-</w:t>
      </w:r>
      <w:r w:rsidRPr="00FA3146">
        <w:rPr>
          <w:rFonts w:ascii="Arial" w:hAnsi="Arial" w:cs="Arial"/>
          <w:sz w:val="20"/>
          <w:szCs w:val="20"/>
          <w:lang w:val="sr-Latn-RS"/>
        </w:rPr>
        <w:t xml:space="preserve">post analize koja obuhvata institucionalnu analizu, analizu zakonodavnog i strateškog okvira, kao i detaljnu procenu stanja u zaštiti potrošača i </w:t>
      </w:r>
      <w:r w:rsidR="00F313FF">
        <w:rPr>
          <w:rFonts w:ascii="Arial" w:hAnsi="Arial" w:cs="Arial"/>
          <w:sz w:val="20"/>
          <w:szCs w:val="20"/>
          <w:lang w:val="sr-Latn-RS"/>
        </w:rPr>
        <w:t>percepcije iste od strane opšte javnosti</w:t>
      </w:r>
      <w:r w:rsidRPr="00FA3146">
        <w:rPr>
          <w:rFonts w:ascii="Arial" w:hAnsi="Arial" w:cs="Arial"/>
          <w:sz w:val="20"/>
          <w:szCs w:val="20"/>
          <w:lang w:val="sr-Latn-RS"/>
        </w:rPr>
        <w:t>.</w:t>
      </w:r>
    </w:p>
    <w:p w14:paraId="7947CBAE" w14:textId="5487D0A4" w:rsidR="00FA3146" w:rsidRDefault="00F313FF" w:rsidP="00F313FF">
      <w:pPr>
        <w:pStyle w:val="ParagraphOED"/>
        <w:numPr>
          <w:ilvl w:val="0"/>
          <w:numId w:val="0"/>
        </w:numPr>
        <w:spacing w:after="0"/>
        <w:rPr>
          <w:rFonts w:ascii="Arial" w:hAnsi="Arial" w:cs="Arial"/>
          <w:sz w:val="20"/>
          <w:szCs w:val="20"/>
          <w:lang w:val="sr-Latn-RS"/>
        </w:rPr>
      </w:pPr>
      <w:r w:rsidRPr="00F313FF">
        <w:rPr>
          <w:rFonts w:ascii="Arial" w:hAnsi="Arial" w:cs="Arial"/>
          <w:sz w:val="20"/>
          <w:szCs w:val="20"/>
          <w:lang w:val="sr-Latn-RS"/>
        </w:rPr>
        <w:t>Koristeći</w:t>
      </w:r>
      <w:r w:rsidR="00FA3146" w:rsidRPr="00F313FF">
        <w:rPr>
          <w:rFonts w:ascii="Arial" w:hAnsi="Arial" w:cs="Arial"/>
          <w:sz w:val="20"/>
          <w:szCs w:val="20"/>
          <w:lang w:val="sr-Latn-RS"/>
        </w:rPr>
        <w:t xml:space="preserve"> </w:t>
      </w:r>
      <w:proofErr w:type="spellStart"/>
      <w:r w:rsidR="00FA3146" w:rsidRPr="00F313FF">
        <w:rPr>
          <w:rFonts w:ascii="Arial" w:hAnsi="Arial" w:cs="Arial"/>
          <w:sz w:val="20"/>
          <w:szCs w:val="20"/>
          <w:lang w:val="sr-Latn-RS"/>
        </w:rPr>
        <w:t>Likertovu</w:t>
      </w:r>
      <w:proofErr w:type="spellEnd"/>
      <w:r w:rsidR="00FA3146" w:rsidRPr="00F313FF">
        <w:rPr>
          <w:rFonts w:ascii="Arial" w:hAnsi="Arial" w:cs="Arial"/>
          <w:sz w:val="20"/>
          <w:szCs w:val="20"/>
          <w:lang w:val="sr-Latn-RS"/>
        </w:rPr>
        <w:t xml:space="preserve"> skalu, glavno pitanje ima ocenu 3,66/5, što zaključuje da je pristup i logika intervencije </w:t>
      </w:r>
      <w:r w:rsidRPr="00F313FF">
        <w:rPr>
          <w:rFonts w:ascii="Arial" w:hAnsi="Arial" w:cs="Arial"/>
          <w:sz w:val="20"/>
          <w:szCs w:val="20"/>
          <w:lang w:val="sr-Latn-RS"/>
        </w:rPr>
        <w:t>NPZP</w:t>
      </w:r>
      <w:r w:rsidR="00FA3146" w:rsidRPr="00F313FF">
        <w:rPr>
          <w:rFonts w:ascii="Arial" w:hAnsi="Arial" w:cs="Arial"/>
          <w:sz w:val="20"/>
          <w:szCs w:val="20"/>
          <w:lang w:val="sr-Latn-RS"/>
        </w:rPr>
        <w:t xml:space="preserve"> u smislu njegovih ciljeva i u kontekstu Crne Gore </w:t>
      </w:r>
      <w:r w:rsidR="00FA3146" w:rsidRPr="00F313FF">
        <w:rPr>
          <w:rFonts w:ascii="Arial" w:hAnsi="Arial" w:cs="Arial"/>
          <w:b/>
          <w:bCs/>
          <w:sz w:val="20"/>
          <w:szCs w:val="20"/>
          <w:lang w:val="sr-Latn-RS"/>
        </w:rPr>
        <w:t>veoma relevant</w:t>
      </w:r>
      <w:r>
        <w:rPr>
          <w:rFonts w:ascii="Arial" w:hAnsi="Arial" w:cs="Arial"/>
          <w:b/>
          <w:bCs/>
          <w:sz w:val="20"/>
          <w:szCs w:val="20"/>
          <w:lang w:val="sr-Latn-RS"/>
        </w:rPr>
        <w:t>an</w:t>
      </w:r>
      <w:r w:rsidR="00FA3146" w:rsidRPr="00F313FF">
        <w:rPr>
          <w:rFonts w:ascii="Arial" w:hAnsi="Arial" w:cs="Arial"/>
          <w:sz w:val="20"/>
          <w:szCs w:val="20"/>
          <w:lang w:val="sr-Latn-RS"/>
        </w:rPr>
        <w:t>.</w:t>
      </w:r>
    </w:p>
    <w:p w14:paraId="5480273E" w14:textId="77777777" w:rsidR="00F313FF" w:rsidRDefault="00F313FF" w:rsidP="00F313FF">
      <w:pPr>
        <w:pStyle w:val="ParagraphOED"/>
        <w:numPr>
          <w:ilvl w:val="0"/>
          <w:numId w:val="0"/>
        </w:numPr>
        <w:spacing w:before="0" w:after="0"/>
        <w:rPr>
          <w:rFonts w:ascii="Arial" w:hAnsi="Arial" w:cs="Arial"/>
          <w:sz w:val="20"/>
          <w:szCs w:val="20"/>
          <w:lang w:val="sr-Latn-RS"/>
        </w:rPr>
      </w:pPr>
    </w:p>
    <w:p w14:paraId="078EC1DD" w14:textId="1E222FA7" w:rsidR="00FA3146" w:rsidRPr="00F313FF" w:rsidRDefault="00F313FF" w:rsidP="00F313FF">
      <w:pPr>
        <w:pStyle w:val="ParagraphOED"/>
        <w:numPr>
          <w:ilvl w:val="0"/>
          <w:numId w:val="0"/>
        </w:numPr>
        <w:spacing w:before="0" w:after="0"/>
        <w:rPr>
          <w:rFonts w:ascii="Arial" w:hAnsi="Arial" w:cs="Arial"/>
          <w:sz w:val="20"/>
          <w:szCs w:val="20"/>
          <w:lang w:val="sr-Latn-RS"/>
        </w:rPr>
      </w:pPr>
      <w:r w:rsidRPr="00F313FF">
        <w:rPr>
          <w:rFonts w:ascii="Arial" w:hAnsi="Arial" w:cs="Arial"/>
          <w:sz w:val="20"/>
          <w:szCs w:val="20"/>
          <w:lang w:val="sr-Latn-RS"/>
        </w:rPr>
        <w:t>Uticaj NPZP</w:t>
      </w:r>
      <w:r w:rsidR="00FA3146" w:rsidRPr="00F313FF">
        <w:rPr>
          <w:rFonts w:ascii="Arial" w:hAnsi="Arial" w:cs="Arial"/>
          <w:sz w:val="20"/>
          <w:szCs w:val="20"/>
          <w:lang w:val="sr-Latn-RS"/>
        </w:rPr>
        <w:t xml:space="preserve"> se smatra prilično ograničenim jer postavlja ograničen broj aktivnosti, stoga ne rešava sva dominantna pitanja koja se odnose na sistem zaštite potrošača u Crnoj Gori. </w:t>
      </w:r>
      <w:r w:rsidRPr="00F313FF">
        <w:rPr>
          <w:rFonts w:ascii="Arial" w:hAnsi="Arial" w:cs="Arial"/>
          <w:sz w:val="20"/>
          <w:szCs w:val="20"/>
          <w:lang w:val="sr-Latn-RS"/>
        </w:rPr>
        <w:t>NPZP-u</w:t>
      </w:r>
      <w:r w:rsidR="00FA3146" w:rsidRPr="00F313FF">
        <w:rPr>
          <w:rFonts w:ascii="Arial" w:hAnsi="Arial" w:cs="Arial"/>
          <w:sz w:val="20"/>
          <w:szCs w:val="20"/>
          <w:lang w:val="sr-Latn-RS"/>
        </w:rPr>
        <w:t xml:space="preserve"> pretežno nedostaju aktivnosti u usklađivanju (harmonizaciji) nacionalnog zakonodavnog okvira sa pravnim tekovinama EU o opštoj bezbednosti proizvoda, predstavničkim tužbama i drugim relevantnim politikama zaštite potrošača.</w:t>
      </w:r>
    </w:p>
    <w:p w14:paraId="4CD7194B" w14:textId="77777777" w:rsidR="00FA3146" w:rsidRDefault="00FA3146" w:rsidP="0079264D">
      <w:pPr>
        <w:pStyle w:val="ParagraphOED"/>
        <w:numPr>
          <w:ilvl w:val="0"/>
          <w:numId w:val="0"/>
        </w:numPr>
        <w:spacing w:before="0" w:after="0"/>
        <w:rPr>
          <w:rFonts w:ascii="Arial" w:hAnsi="Arial" w:cs="Arial"/>
          <w:sz w:val="20"/>
          <w:szCs w:val="20"/>
          <w:lang w:val="en-GB"/>
        </w:rPr>
      </w:pPr>
    </w:p>
    <w:p w14:paraId="62EF2BE6" w14:textId="77777777" w:rsidR="00E37BC5" w:rsidRDefault="00E37BC5" w:rsidP="0079264D">
      <w:pPr>
        <w:pStyle w:val="ParagraphOED"/>
        <w:numPr>
          <w:ilvl w:val="0"/>
          <w:numId w:val="0"/>
        </w:numPr>
        <w:spacing w:before="0" w:after="0"/>
        <w:rPr>
          <w:rFonts w:ascii="Arial" w:hAnsi="Arial" w:cs="Arial"/>
          <w:sz w:val="20"/>
          <w:szCs w:val="20"/>
          <w:lang w:val="en-US"/>
        </w:rPr>
      </w:pPr>
    </w:p>
    <w:p w14:paraId="3E67F96F" w14:textId="6F108B10" w:rsidR="00F313FF" w:rsidRPr="00F313FF" w:rsidRDefault="00F313FF" w:rsidP="00F313FF">
      <w:pPr>
        <w:pStyle w:val="ListParagraph"/>
        <w:numPr>
          <w:ilvl w:val="0"/>
          <w:numId w:val="30"/>
        </w:numPr>
        <w:jc w:val="both"/>
        <w:rPr>
          <w:rFonts w:ascii="Arial" w:hAnsi="Arial" w:cs="Arial"/>
          <w:sz w:val="20"/>
          <w:szCs w:val="20"/>
          <w:lang w:val="sr-Latn-RS"/>
        </w:rPr>
      </w:pPr>
      <w:r w:rsidRPr="00FD45F2">
        <w:rPr>
          <w:rFonts w:ascii="Arial" w:hAnsi="Arial" w:cs="Arial"/>
          <w:sz w:val="20"/>
          <w:szCs w:val="20"/>
          <w:lang w:val="sr-Latn-RS"/>
        </w:rPr>
        <w:t>U kojoj meri je N</w:t>
      </w:r>
      <w:r>
        <w:rPr>
          <w:rFonts w:ascii="Arial" w:hAnsi="Arial" w:cs="Arial"/>
          <w:sz w:val="20"/>
          <w:szCs w:val="20"/>
          <w:lang w:val="sr-Latn-RS"/>
        </w:rPr>
        <w:t>PZP</w:t>
      </w:r>
      <w:r w:rsidRPr="00FD45F2">
        <w:rPr>
          <w:rFonts w:ascii="Arial" w:hAnsi="Arial" w:cs="Arial"/>
          <w:sz w:val="20"/>
          <w:szCs w:val="20"/>
          <w:lang w:val="sr-Latn-RS"/>
        </w:rPr>
        <w:t xml:space="preserve"> bio prikladan za promociju znanja, kapaciteta i svesti o rešenjima zaštite potrošača među donosiocima odluka, </w:t>
      </w:r>
      <w:proofErr w:type="spellStart"/>
      <w:r w:rsidRPr="00FD45F2">
        <w:rPr>
          <w:rFonts w:ascii="Arial" w:hAnsi="Arial" w:cs="Arial"/>
          <w:sz w:val="20"/>
          <w:szCs w:val="20"/>
          <w:lang w:val="sr-Latn-RS"/>
        </w:rPr>
        <w:t>implementacionim</w:t>
      </w:r>
      <w:proofErr w:type="spellEnd"/>
      <w:r w:rsidRPr="00FD45F2">
        <w:rPr>
          <w:rFonts w:ascii="Arial" w:hAnsi="Arial" w:cs="Arial"/>
          <w:sz w:val="20"/>
          <w:szCs w:val="20"/>
          <w:lang w:val="sr-Latn-RS"/>
        </w:rPr>
        <w:t xml:space="preserve"> javnim i privatnim institucijama i lokalnim zajednicama?</w:t>
      </w:r>
    </w:p>
    <w:p w14:paraId="6D3026CD" w14:textId="1AFE9C6B" w:rsidR="0079264D" w:rsidRDefault="0079264D" w:rsidP="0079264D">
      <w:pPr>
        <w:pStyle w:val="ParagraphOED"/>
        <w:numPr>
          <w:ilvl w:val="0"/>
          <w:numId w:val="0"/>
        </w:numPr>
        <w:spacing w:before="0" w:after="0"/>
        <w:rPr>
          <w:rFonts w:ascii="Arial" w:hAnsi="Arial" w:cs="Arial"/>
          <w:sz w:val="20"/>
          <w:szCs w:val="20"/>
          <w:lang w:val="en-GB"/>
        </w:rPr>
      </w:pPr>
    </w:p>
    <w:p w14:paraId="09DCBE94" w14:textId="01524C2C" w:rsidR="00F313FF" w:rsidRPr="00FE3021" w:rsidRDefault="00F313FF" w:rsidP="00E37BC5">
      <w:pPr>
        <w:pStyle w:val="ParagraphOED"/>
        <w:numPr>
          <w:ilvl w:val="0"/>
          <w:numId w:val="0"/>
        </w:numPr>
        <w:spacing w:before="0" w:after="0"/>
        <w:rPr>
          <w:rFonts w:ascii="Arial" w:hAnsi="Arial" w:cs="Arial"/>
          <w:sz w:val="20"/>
          <w:szCs w:val="20"/>
          <w:lang w:val="sr-Latn-RS"/>
        </w:rPr>
      </w:pPr>
      <w:r w:rsidRPr="00FE3021">
        <w:rPr>
          <w:rFonts w:ascii="Arial" w:hAnsi="Arial" w:cs="Arial"/>
          <w:sz w:val="20"/>
          <w:szCs w:val="20"/>
          <w:lang w:val="sr-Latn-RS"/>
        </w:rPr>
        <w:t xml:space="preserve">NPZP prepoznaje potrebe za institucionalnom izgradnjom za zaštitu potrošača i shodno tome je predvideo niz aktivnosti izgradnje kapaciteta, </w:t>
      </w:r>
      <w:r w:rsidR="00FE3021" w:rsidRPr="00FE3021">
        <w:rPr>
          <w:rFonts w:ascii="Arial" w:hAnsi="Arial" w:cs="Arial"/>
          <w:sz w:val="20"/>
          <w:szCs w:val="20"/>
          <w:lang w:val="sr-Latn-RS"/>
        </w:rPr>
        <w:t>prepoznajući</w:t>
      </w:r>
      <w:r w:rsidRPr="00FE3021">
        <w:rPr>
          <w:rFonts w:ascii="Arial" w:hAnsi="Arial" w:cs="Arial"/>
          <w:sz w:val="20"/>
          <w:szCs w:val="20"/>
          <w:lang w:val="sr-Latn-RS"/>
        </w:rPr>
        <w:t xml:space="preserve"> potrebe izgradnje kapaciteta inspekcija i drugih javnih tela koja sprovode politike zaštite potrošača. Izgradnja internih kapaciteta za primenu zakona o zaštiti potrošača je posebno važna s obzirom na nestabilnu prirodu javne uprave u Crnoj Gori. S obzirom na to da su sastav ministarstava i drugih javnih agencija, kao i njihove nadležnosti, skloni redovnim promenama, izgradnja kapaciteta je prilično oteža</w:t>
      </w:r>
      <w:r w:rsidR="00FE3021">
        <w:rPr>
          <w:rFonts w:ascii="Arial" w:hAnsi="Arial" w:cs="Arial"/>
          <w:sz w:val="20"/>
          <w:szCs w:val="20"/>
          <w:lang w:val="sr-Latn-RS"/>
        </w:rPr>
        <w:t>na</w:t>
      </w:r>
      <w:r w:rsidRPr="00FE3021">
        <w:rPr>
          <w:rFonts w:ascii="Arial" w:hAnsi="Arial" w:cs="Arial"/>
          <w:sz w:val="20"/>
          <w:szCs w:val="20"/>
          <w:lang w:val="sr-Latn-RS"/>
        </w:rPr>
        <w:t xml:space="preserve">, dok je NPZP usmerio svoje napore na rešavanje ovog problema tematskim obukama, kao što je obuka za medijatore za vansudsko rešavanje sporova. Sa druge strane, iako je obuka za inspektore bila planirana, ona nije sprovedena. Intervjui su potvrdili institucionalna pitanja, a posebno reformu Uprave za inspekcijske poslove koja prolazi kroz značajne promene, pri čemu su posebni inspektorati </w:t>
      </w:r>
      <w:r w:rsidR="00FE3021" w:rsidRPr="00FE3021">
        <w:rPr>
          <w:rFonts w:ascii="Arial" w:hAnsi="Arial" w:cs="Arial"/>
          <w:sz w:val="20"/>
          <w:szCs w:val="20"/>
          <w:lang w:val="sr-Latn-RS"/>
        </w:rPr>
        <w:t>vraćeni</w:t>
      </w:r>
      <w:r w:rsidRPr="00FE3021">
        <w:rPr>
          <w:rFonts w:ascii="Arial" w:hAnsi="Arial" w:cs="Arial"/>
          <w:sz w:val="20"/>
          <w:szCs w:val="20"/>
          <w:lang w:val="sr-Latn-RS"/>
        </w:rPr>
        <w:t xml:space="preserve"> u nadležnost ministarstava. To se pokazalo kao značajan teret za administraciju I uslovila je složenu reorganizacija javnih tela na nacionalnom i lokalnom nivou upravljanja.</w:t>
      </w:r>
    </w:p>
    <w:p w14:paraId="6A5D9E86" w14:textId="77777777" w:rsidR="00E37BC5" w:rsidRPr="00FE3021" w:rsidRDefault="00E37BC5" w:rsidP="0079264D">
      <w:pPr>
        <w:pStyle w:val="ParagraphOED"/>
        <w:numPr>
          <w:ilvl w:val="0"/>
          <w:numId w:val="0"/>
        </w:numPr>
        <w:spacing w:before="0" w:after="0"/>
        <w:rPr>
          <w:rFonts w:ascii="Arial" w:hAnsi="Arial" w:cs="Arial"/>
          <w:sz w:val="20"/>
          <w:szCs w:val="20"/>
          <w:lang w:val="sr-Latn-RS"/>
        </w:rPr>
      </w:pPr>
    </w:p>
    <w:p w14:paraId="2ADA4AD7" w14:textId="3A1551C1" w:rsidR="00F313FF" w:rsidRPr="00FE3021" w:rsidRDefault="00F313FF" w:rsidP="0079264D">
      <w:pPr>
        <w:pStyle w:val="ParagraphOED"/>
        <w:numPr>
          <w:ilvl w:val="0"/>
          <w:numId w:val="0"/>
        </w:numPr>
        <w:spacing w:before="0" w:after="0"/>
        <w:rPr>
          <w:rFonts w:ascii="Arial" w:hAnsi="Arial" w:cs="Arial"/>
          <w:sz w:val="20"/>
          <w:szCs w:val="20"/>
          <w:lang w:val="sr-Latn-RS"/>
        </w:rPr>
      </w:pPr>
      <w:r w:rsidRPr="00FE3021">
        <w:rPr>
          <w:rFonts w:ascii="Arial" w:hAnsi="Arial" w:cs="Arial"/>
          <w:sz w:val="20"/>
          <w:szCs w:val="20"/>
          <w:lang w:val="sr-Latn-RS"/>
        </w:rPr>
        <w:t xml:space="preserve">NPZP prepoznaje važnost lokalne administracije i sistematično identifikuje izazove koji mogu ometati mere zaštite potrošača. Postoji očigledan nedostatak kapaciteta na lokalnom nivou za sprovođenje politika zaštite potrošača, pri čemu je NPZP predvideo niz aktivnosti u okviru Operativnog cilja 3. </w:t>
      </w:r>
      <w:r w:rsidRPr="00FE3021">
        <w:rPr>
          <w:rFonts w:ascii="Arial" w:hAnsi="Arial" w:cs="Arial"/>
          <w:i/>
          <w:iCs/>
          <w:sz w:val="20"/>
          <w:szCs w:val="20"/>
          <w:lang w:val="sr-Latn-RS"/>
        </w:rPr>
        <w:t xml:space="preserve">Uspostavljanje efikasnog sistema saradnje i koordinacije sa različitim </w:t>
      </w:r>
      <w:proofErr w:type="spellStart"/>
      <w:r w:rsidRPr="00FE3021">
        <w:rPr>
          <w:rFonts w:ascii="Arial" w:hAnsi="Arial" w:cs="Arial"/>
          <w:i/>
          <w:iCs/>
          <w:sz w:val="20"/>
          <w:szCs w:val="20"/>
          <w:lang w:val="sr-Latn-RS"/>
        </w:rPr>
        <w:t>stejkholderima</w:t>
      </w:r>
      <w:proofErr w:type="spellEnd"/>
      <w:r w:rsidRPr="00FE3021">
        <w:rPr>
          <w:rFonts w:ascii="Arial" w:hAnsi="Arial" w:cs="Arial"/>
          <w:i/>
          <w:iCs/>
          <w:sz w:val="20"/>
          <w:szCs w:val="20"/>
          <w:lang w:val="sr-Latn-RS"/>
        </w:rPr>
        <w:t xml:space="preserve"> značajnim za implementaciju politike zaštite potrošača</w:t>
      </w:r>
      <w:r w:rsidRPr="00FE3021">
        <w:rPr>
          <w:rFonts w:ascii="Arial" w:hAnsi="Arial" w:cs="Arial"/>
          <w:sz w:val="20"/>
          <w:szCs w:val="20"/>
          <w:lang w:val="sr-Latn-RS"/>
        </w:rPr>
        <w:t>, ali se domet navedenih aktivnosti procenjuje kao prilično ograničen, te nizak nivo aktivnosti lokalnih samouprava ostaje stalni izazov.</w:t>
      </w:r>
    </w:p>
    <w:p w14:paraId="70F7E566" w14:textId="77777777" w:rsidR="00F313FF" w:rsidRPr="00FE3021" w:rsidRDefault="00F313FF" w:rsidP="0079264D">
      <w:pPr>
        <w:pStyle w:val="ParagraphOED"/>
        <w:numPr>
          <w:ilvl w:val="0"/>
          <w:numId w:val="0"/>
        </w:numPr>
        <w:spacing w:before="0" w:after="0"/>
        <w:rPr>
          <w:rFonts w:ascii="Arial" w:hAnsi="Arial" w:cs="Arial"/>
          <w:sz w:val="20"/>
          <w:szCs w:val="20"/>
          <w:lang w:val="sr-Latn-RS"/>
        </w:rPr>
      </w:pPr>
    </w:p>
    <w:p w14:paraId="37EA131B" w14:textId="58184040" w:rsidR="00F313FF" w:rsidRPr="00FE3021" w:rsidRDefault="00F313FF" w:rsidP="0079264D">
      <w:pPr>
        <w:pStyle w:val="ParagraphOED"/>
        <w:numPr>
          <w:ilvl w:val="0"/>
          <w:numId w:val="0"/>
        </w:numPr>
        <w:spacing w:before="0" w:after="0"/>
        <w:rPr>
          <w:rFonts w:ascii="Arial" w:hAnsi="Arial" w:cs="Arial"/>
          <w:sz w:val="20"/>
          <w:szCs w:val="20"/>
          <w:lang w:val="sr-Latn-RS"/>
        </w:rPr>
      </w:pPr>
      <w:r w:rsidRPr="00FE3021">
        <w:rPr>
          <w:rFonts w:ascii="Arial" w:hAnsi="Arial" w:cs="Arial"/>
          <w:sz w:val="20"/>
          <w:szCs w:val="20"/>
          <w:lang w:val="sr-Latn-RS"/>
        </w:rPr>
        <w:t>Razlozi za neaktivnost lokalnih samouprava mogu se posmatrati na dva načina: prvo, postoji očigledan nedostatak kvalitetnog osoblja u lokalnoj administraciji, sa potrebnim veštinama za sprovođenje politika zaštite potrošača, i, drugo, civilni sektor koji bi trebalo da bude sastavni partner lokalne administracije u primeni inicijativa za zaštitu potrošača procenjuje se kao nerazvijen i neaktivan. Razlozi za neaktivnost nevladinih organizacija i drugih civilnih organizacija se procenjuju da su uzrokovani niskim pristupom finansiranju i drugim podsticajima da preusmere svoje glavne napore na zaštitu potrošača kao dominantnu oblast javne politike.</w:t>
      </w:r>
    </w:p>
    <w:p w14:paraId="0F92F8D2" w14:textId="77777777" w:rsidR="00E37BC5" w:rsidRPr="00FE3021" w:rsidRDefault="00E37BC5" w:rsidP="0079264D">
      <w:pPr>
        <w:pStyle w:val="ParagraphOED"/>
        <w:numPr>
          <w:ilvl w:val="0"/>
          <w:numId w:val="0"/>
        </w:numPr>
        <w:spacing w:before="0" w:after="0"/>
        <w:rPr>
          <w:rFonts w:ascii="Arial" w:hAnsi="Arial" w:cs="Arial"/>
          <w:sz w:val="20"/>
          <w:szCs w:val="20"/>
          <w:lang w:val="sr-Latn-RS"/>
        </w:rPr>
      </w:pPr>
    </w:p>
    <w:p w14:paraId="7753DBD2" w14:textId="5966C531" w:rsidR="00FE3021" w:rsidRPr="00FE3021" w:rsidRDefault="00FE3021" w:rsidP="0079264D">
      <w:pPr>
        <w:pStyle w:val="ParagraphOED"/>
        <w:numPr>
          <w:ilvl w:val="0"/>
          <w:numId w:val="0"/>
        </w:numPr>
        <w:spacing w:before="0" w:after="0"/>
        <w:rPr>
          <w:rFonts w:ascii="Arial" w:hAnsi="Arial" w:cs="Arial"/>
          <w:sz w:val="20"/>
          <w:szCs w:val="20"/>
          <w:lang w:val="sr-Latn-RS"/>
        </w:rPr>
      </w:pPr>
      <w:r w:rsidRPr="00FE3021">
        <w:rPr>
          <w:rFonts w:ascii="Arial" w:hAnsi="Arial" w:cs="Arial"/>
          <w:sz w:val="20"/>
          <w:szCs w:val="20"/>
          <w:lang w:val="sr-Latn-RS"/>
        </w:rPr>
        <w:t xml:space="preserve">Koristeći Likerovu skalu, rezultat za ovo ključno pitanje evaluacije je 4/5, što sugeriše da je NPZP bio </w:t>
      </w:r>
      <w:r w:rsidRPr="00FE3021">
        <w:rPr>
          <w:rFonts w:ascii="Arial" w:hAnsi="Arial" w:cs="Arial"/>
          <w:b/>
          <w:bCs/>
          <w:sz w:val="20"/>
          <w:szCs w:val="20"/>
          <w:lang w:val="sr-Latn-RS"/>
        </w:rPr>
        <w:t>veoma relevantan</w:t>
      </w:r>
      <w:r w:rsidRPr="00FE3021">
        <w:rPr>
          <w:rFonts w:ascii="Arial" w:hAnsi="Arial" w:cs="Arial"/>
          <w:sz w:val="20"/>
          <w:szCs w:val="20"/>
          <w:lang w:val="sr-Latn-RS"/>
        </w:rPr>
        <w:t xml:space="preserve"> u povećanju znanja, kapaciteta i svesti među različitim akterima.</w:t>
      </w:r>
    </w:p>
    <w:p w14:paraId="00B00E28" w14:textId="77777777" w:rsidR="00FE3021" w:rsidRDefault="00FE3021" w:rsidP="0079264D">
      <w:pPr>
        <w:pStyle w:val="ParagraphOED"/>
        <w:numPr>
          <w:ilvl w:val="0"/>
          <w:numId w:val="0"/>
        </w:numPr>
        <w:spacing w:before="0" w:after="0"/>
        <w:rPr>
          <w:rFonts w:ascii="Arial" w:hAnsi="Arial" w:cs="Arial"/>
          <w:sz w:val="20"/>
          <w:szCs w:val="20"/>
          <w:lang w:val="en-GB"/>
        </w:rPr>
      </w:pPr>
    </w:p>
    <w:p w14:paraId="25B6F5E9" w14:textId="77777777" w:rsidR="00166C8B" w:rsidRDefault="00166C8B" w:rsidP="0079264D">
      <w:pPr>
        <w:pStyle w:val="ParagraphOED"/>
        <w:numPr>
          <w:ilvl w:val="0"/>
          <w:numId w:val="0"/>
        </w:numPr>
        <w:spacing w:before="0" w:after="0"/>
        <w:rPr>
          <w:rFonts w:ascii="Arial" w:hAnsi="Arial" w:cs="Arial"/>
          <w:sz w:val="20"/>
          <w:szCs w:val="20"/>
          <w:lang w:val="en-GB"/>
        </w:rPr>
      </w:pPr>
    </w:p>
    <w:p w14:paraId="4FF21FD2" w14:textId="77777777" w:rsidR="00B55268" w:rsidRDefault="00B55268" w:rsidP="00B55268">
      <w:pPr>
        <w:pStyle w:val="ListParagraph"/>
        <w:numPr>
          <w:ilvl w:val="0"/>
          <w:numId w:val="9"/>
        </w:numPr>
        <w:jc w:val="both"/>
        <w:rPr>
          <w:rFonts w:ascii="Arial" w:eastAsia="Arial" w:hAnsi="Arial" w:cs="Arial"/>
          <w:color w:val="000000"/>
          <w:sz w:val="20"/>
          <w:szCs w:val="20"/>
          <w:lang w:val="sr-Latn-RS" w:eastAsia="sr-Latn-RS"/>
        </w:rPr>
      </w:pPr>
      <w:r w:rsidRPr="00FD45F2">
        <w:rPr>
          <w:rFonts w:ascii="Arial" w:eastAsia="Arial" w:hAnsi="Arial" w:cs="Arial"/>
          <w:color w:val="000000"/>
          <w:sz w:val="20"/>
          <w:szCs w:val="20"/>
          <w:lang w:val="sr-Latn-RS" w:eastAsia="sr-Latn-RS"/>
        </w:rPr>
        <w:t>Koje su specifičnosti crnogorske ekonomije (političke, ekološke, vladavina prava, itd.) i da li ih je N</w:t>
      </w:r>
      <w:r>
        <w:rPr>
          <w:rFonts w:ascii="Arial" w:eastAsia="Arial" w:hAnsi="Arial" w:cs="Arial"/>
          <w:color w:val="000000"/>
          <w:sz w:val="20"/>
          <w:szCs w:val="20"/>
          <w:lang w:val="sr-Latn-RS" w:eastAsia="sr-Latn-RS"/>
        </w:rPr>
        <w:t>PZP</w:t>
      </w:r>
      <w:r w:rsidRPr="00FD45F2">
        <w:rPr>
          <w:rFonts w:ascii="Arial" w:eastAsia="Arial" w:hAnsi="Arial" w:cs="Arial"/>
          <w:color w:val="000000"/>
          <w:sz w:val="20"/>
          <w:szCs w:val="20"/>
          <w:lang w:val="sr-Latn-RS" w:eastAsia="sr-Latn-RS"/>
        </w:rPr>
        <w:t xml:space="preserve"> obradio na način da su ključna pitanja, akcije, ishodi i rezultati dobro isplanirani?</w:t>
      </w:r>
    </w:p>
    <w:p w14:paraId="19619732" w14:textId="6A7AFD92" w:rsidR="00B55268" w:rsidRPr="00B55268" w:rsidRDefault="00B55268" w:rsidP="00B55268">
      <w:pPr>
        <w:pStyle w:val="ListParagraph"/>
        <w:numPr>
          <w:ilvl w:val="1"/>
          <w:numId w:val="9"/>
        </w:numPr>
        <w:jc w:val="both"/>
        <w:rPr>
          <w:rFonts w:ascii="Arial" w:eastAsia="Arial" w:hAnsi="Arial" w:cs="Arial"/>
          <w:color w:val="000000"/>
          <w:sz w:val="20"/>
          <w:szCs w:val="20"/>
          <w:lang w:val="sr-Latn-RS" w:eastAsia="sr-Latn-RS"/>
        </w:rPr>
      </w:pPr>
      <w:r>
        <w:rPr>
          <w:rFonts w:ascii="Arial" w:eastAsia="Arial" w:hAnsi="Arial" w:cs="Arial"/>
          <w:color w:val="000000"/>
          <w:sz w:val="20"/>
          <w:szCs w:val="20"/>
          <w:lang w:val="sr-Latn-RS" w:eastAsia="sr-Latn-RS"/>
        </w:rPr>
        <w:t>Koliko je relevantan NPZP za opšti strateški okvir u Crnoj Gori?</w:t>
      </w:r>
    </w:p>
    <w:p w14:paraId="02BFDB51" w14:textId="77777777" w:rsidR="009B78C0" w:rsidRDefault="009B78C0" w:rsidP="009B78C0">
      <w:pPr>
        <w:jc w:val="both"/>
        <w:rPr>
          <w:rFonts w:ascii="Arial" w:eastAsia="Arial" w:hAnsi="Arial" w:cs="Arial"/>
          <w:color w:val="000000"/>
          <w:sz w:val="20"/>
          <w:szCs w:val="20"/>
          <w:lang w:val="en-US" w:eastAsia="sr-Latn-RS"/>
        </w:rPr>
      </w:pPr>
    </w:p>
    <w:p w14:paraId="593074DF" w14:textId="728BB026" w:rsidR="00B55268" w:rsidRPr="00B55268" w:rsidRDefault="00B55268" w:rsidP="009B78C0">
      <w:pPr>
        <w:jc w:val="both"/>
        <w:rPr>
          <w:rFonts w:ascii="Arial" w:eastAsia="Arial" w:hAnsi="Arial" w:cs="Arial"/>
          <w:color w:val="000000"/>
          <w:sz w:val="20"/>
          <w:szCs w:val="20"/>
          <w:lang w:eastAsia="sr-Latn-RS"/>
        </w:rPr>
      </w:pPr>
      <w:r w:rsidRPr="00B55268">
        <w:rPr>
          <w:rFonts w:ascii="Arial" w:eastAsia="Arial" w:hAnsi="Arial" w:cs="Arial"/>
          <w:color w:val="000000"/>
          <w:sz w:val="20"/>
          <w:szCs w:val="20"/>
          <w:lang w:eastAsia="sr-Latn-RS"/>
        </w:rPr>
        <w:t>NPZP se uklapa u sveukupni okvir javnih politika u Crnoj Gori, jer je utvrđeno da je NPZP komplementaran sa drugim strateškim dokumentima. Detaljnije, očigledno je da iako je zaštita potrošača kao pojam relevantna za niz različitih politika, kao što su one u energetici, transportu i turizmu, retko se prepoznaje u tim političkim dokumentima. U tom smislu, NPZP strateški pozicionira zaštitu potrošača kao horizontalno pitanje, relevantno za sve sektore koji moraju da se obavežu na prava potrošača i proizvodne standarde, u skladu sa relevantnim zakonskim okvirom.</w:t>
      </w:r>
    </w:p>
    <w:p w14:paraId="2CF969BA" w14:textId="77777777" w:rsidR="00166C8B" w:rsidRDefault="00166C8B" w:rsidP="009B78C0">
      <w:pPr>
        <w:jc w:val="both"/>
        <w:rPr>
          <w:rFonts w:ascii="Arial" w:eastAsia="Arial" w:hAnsi="Arial" w:cs="Arial"/>
          <w:color w:val="000000"/>
          <w:sz w:val="20"/>
          <w:szCs w:val="20"/>
          <w:lang w:val="en-US" w:eastAsia="sr-Latn-RS"/>
        </w:rPr>
      </w:pPr>
    </w:p>
    <w:p w14:paraId="53623A85" w14:textId="77777777" w:rsidR="00B55268" w:rsidRPr="00FD45F2" w:rsidRDefault="00B55268" w:rsidP="00B55268">
      <w:pPr>
        <w:pStyle w:val="ListParagraph"/>
        <w:numPr>
          <w:ilvl w:val="0"/>
          <w:numId w:val="9"/>
        </w:numPr>
        <w:jc w:val="both"/>
        <w:rPr>
          <w:rFonts w:ascii="Arial" w:hAnsi="Arial" w:cs="Arial"/>
          <w:sz w:val="20"/>
          <w:szCs w:val="20"/>
          <w:lang w:val="sr-Latn-RS"/>
        </w:rPr>
      </w:pPr>
      <w:r w:rsidRPr="00FD45F2">
        <w:rPr>
          <w:rFonts w:ascii="Arial" w:hAnsi="Arial" w:cs="Arial"/>
          <w:sz w:val="20"/>
          <w:szCs w:val="20"/>
          <w:lang w:val="sr-Latn-RS"/>
        </w:rPr>
        <w:t>Da li je došlo do nekih promena specifičnih za ekonomiju (osim epidemije Kovid-19) koje su ometale relevantnost N</w:t>
      </w:r>
      <w:r>
        <w:rPr>
          <w:rFonts w:ascii="Arial" w:hAnsi="Arial" w:cs="Arial"/>
          <w:sz w:val="20"/>
          <w:szCs w:val="20"/>
          <w:lang w:val="sr-Latn-RS"/>
        </w:rPr>
        <w:t>PZP</w:t>
      </w:r>
      <w:r w:rsidRPr="00FD45F2">
        <w:rPr>
          <w:rFonts w:ascii="Arial" w:hAnsi="Arial" w:cs="Arial"/>
          <w:sz w:val="20"/>
          <w:szCs w:val="20"/>
          <w:lang w:val="sr-Latn-RS"/>
        </w:rPr>
        <w:t>-a u Crnoj Gori?</w:t>
      </w:r>
    </w:p>
    <w:p w14:paraId="7A6BF50D" w14:textId="77777777" w:rsidR="00B55268" w:rsidRPr="00FD45F2" w:rsidRDefault="00B55268" w:rsidP="00B55268">
      <w:pPr>
        <w:pStyle w:val="ListParagraph"/>
        <w:numPr>
          <w:ilvl w:val="1"/>
          <w:numId w:val="9"/>
        </w:numPr>
        <w:jc w:val="both"/>
        <w:rPr>
          <w:rFonts w:ascii="Arial" w:hAnsi="Arial" w:cs="Arial"/>
          <w:b/>
          <w:bCs/>
          <w:sz w:val="20"/>
          <w:szCs w:val="20"/>
          <w:lang w:val="sr-Latn-RS"/>
        </w:rPr>
      </w:pPr>
      <w:r w:rsidRPr="00FD45F2">
        <w:rPr>
          <w:rFonts w:ascii="Arial" w:hAnsi="Arial" w:cs="Arial"/>
          <w:sz w:val="20"/>
          <w:szCs w:val="20"/>
          <w:lang w:val="sr-Latn-RS"/>
        </w:rPr>
        <w:t>Kako su ove promene uticale na aktivnosti izgradnje kapaciteta, regulatorn</w:t>
      </w:r>
      <w:r>
        <w:rPr>
          <w:rFonts w:ascii="Arial" w:hAnsi="Arial" w:cs="Arial"/>
          <w:sz w:val="20"/>
          <w:szCs w:val="20"/>
          <w:lang w:val="sr-Latn-RS"/>
        </w:rPr>
        <w:t xml:space="preserve">og okvira </w:t>
      </w:r>
      <w:r w:rsidRPr="00FD45F2">
        <w:rPr>
          <w:rFonts w:ascii="Arial" w:hAnsi="Arial" w:cs="Arial"/>
          <w:sz w:val="20"/>
          <w:szCs w:val="20"/>
          <w:lang w:val="sr-Latn-RS"/>
        </w:rPr>
        <w:t xml:space="preserve">i </w:t>
      </w:r>
      <w:r>
        <w:rPr>
          <w:rFonts w:ascii="Arial" w:hAnsi="Arial" w:cs="Arial"/>
          <w:sz w:val="20"/>
          <w:szCs w:val="20"/>
          <w:lang w:val="sr-Latn-RS"/>
        </w:rPr>
        <w:t>okvira javnih politika u oblastima koje obuhvata NPZP</w:t>
      </w:r>
      <w:r w:rsidRPr="00FD45F2">
        <w:rPr>
          <w:rFonts w:ascii="Arial" w:hAnsi="Arial" w:cs="Arial"/>
          <w:sz w:val="20"/>
          <w:szCs w:val="20"/>
          <w:lang w:val="sr-Latn-RS"/>
        </w:rPr>
        <w:t xml:space="preserve">? </w:t>
      </w:r>
    </w:p>
    <w:p w14:paraId="1AA4F3C7" w14:textId="77777777" w:rsidR="00B55268" w:rsidRPr="00FD45F2" w:rsidRDefault="00B55268" w:rsidP="00B55268">
      <w:pPr>
        <w:pStyle w:val="ListParagraph"/>
        <w:numPr>
          <w:ilvl w:val="1"/>
          <w:numId w:val="9"/>
        </w:numPr>
        <w:jc w:val="both"/>
        <w:rPr>
          <w:rFonts w:ascii="Arial" w:hAnsi="Arial" w:cs="Arial"/>
          <w:b/>
          <w:bCs/>
          <w:sz w:val="20"/>
          <w:szCs w:val="20"/>
          <w:lang w:val="sr-Latn-RS"/>
        </w:rPr>
      </w:pPr>
      <w:r>
        <w:rPr>
          <w:rFonts w:ascii="Arial" w:hAnsi="Arial" w:cs="Arial"/>
          <w:sz w:val="20"/>
          <w:szCs w:val="20"/>
          <w:lang w:val="sr-Latn-RS"/>
        </w:rPr>
        <w:t>Da li su ovi efekti i dalje tekući</w:t>
      </w:r>
      <w:r w:rsidRPr="00FD45F2">
        <w:rPr>
          <w:rFonts w:ascii="Arial" w:hAnsi="Arial" w:cs="Arial"/>
          <w:sz w:val="20"/>
          <w:szCs w:val="20"/>
          <w:lang w:val="sr-Latn-RS"/>
        </w:rPr>
        <w:t xml:space="preserve">? </w:t>
      </w:r>
    </w:p>
    <w:p w14:paraId="4528DD1A" w14:textId="77777777" w:rsidR="00B55268" w:rsidRPr="00FD45F2" w:rsidRDefault="00B55268" w:rsidP="00B55268">
      <w:pPr>
        <w:pStyle w:val="ListParagraph"/>
        <w:numPr>
          <w:ilvl w:val="1"/>
          <w:numId w:val="9"/>
        </w:numPr>
        <w:jc w:val="both"/>
        <w:rPr>
          <w:rFonts w:ascii="Arial" w:hAnsi="Arial" w:cs="Arial"/>
          <w:b/>
          <w:bCs/>
          <w:sz w:val="20"/>
          <w:szCs w:val="20"/>
          <w:lang w:val="sr-Latn-RS"/>
        </w:rPr>
      </w:pPr>
      <w:r>
        <w:rPr>
          <w:rFonts w:ascii="Arial" w:hAnsi="Arial" w:cs="Arial"/>
          <w:sz w:val="20"/>
          <w:szCs w:val="20"/>
          <w:lang w:val="sr-Latn-RS"/>
        </w:rPr>
        <w:t xml:space="preserve">Koje adaptivne mere su preduzete ili bi trebalo da budu preduzete u budućnosti kako bi se ublažili negativni efekti datih promena? </w:t>
      </w:r>
    </w:p>
    <w:p w14:paraId="3BCCF1CF" w14:textId="77777777" w:rsidR="00B55268" w:rsidRPr="00B55268" w:rsidRDefault="00B55268" w:rsidP="00B55268">
      <w:pPr>
        <w:pStyle w:val="ListParagraph"/>
        <w:jc w:val="both"/>
        <w:rPr>
          <w:rFonts w:ascii="Arial" w:hAnsi="Arial" w:cs="Arial"/>
          <w:b/>
          <w:bCs/>
          <w:sz w:val="20"/>
          <w:szCs w:val="20"/>
          <w:lang w:val="en-US"/>
        </w:rPr>
      </w:pPr>
    </w:p>
    <w:p w14:paraId="1C9DECC9" w14:textId="77777777" w:rsidR="00166C8B" w:rsidRDefault="00166C8B" w:rsidP="009B78C0">
      <w:pPr>
        <w:jc w:val="both"/>
        <w:rPr>
          <w:rFonts w:ascii="Arial" w:eastAsia="Arial" w:hAnsi="Arial" w:cs="Arial"/>
          <w:color w:val="000000"/>
          <w:sz w:val="20"/>
          <w:szCs w:val="20"/>
          <w:lang w:val="en-US" w:eastAsia="sr-Latn-RS"/>
        </w:rPr>
      </w:pPr>
    </w:p>
    <w:p w14:paraId="3480BA63" w14:textId="6FB48E87" w:rsidR="00B55268" w:rsidRPr="00CC5D10" w:rsidRDefault="00B55268" w:rsidP="00B55268">
      <w:pPr>
        <w:jc w:val="both"/>
        <w:rPr>
          <w:rFonts w:ascii="Arial" w:eastAsia="Arial" w:hAnsi="Arial" w:cs="Arial"/>
          <w:color w:val="000000"/>
          <w:sz w:val="20"/>
          <w:szCs w:val="20"/>
          <w:lang w:eastAsia="sr-Latn-RS"/>
        </w:rPr>
      </w:pPr>
      <w:r w:rsidRPr="00CC5D10">
        <w:rPr>
          <w:rFonts w:ascii="Arial" w:eastAsia="Arial" w:hAnsi="Arial" w:cs="Arial"/>
          <w:color w:val="000000"/>
          <w:sz w:val="20"/>
          <w:szCs w:val="20"/>
          <w:lang w:eastAsia="sr-Latn-RS"/>
        </w:rPr>
        <w:lastRenderedPageBreak/>
        <w:t xml:space="preserve">Tokom konsultacija sa relevantnim zainteresovanim stranama, u intervjuima se stalno pojavljivala tema političke nestabilnosti. Najočigledniji problem je opisan kao problem sa administrativnim posledicama, jer se sastav i nadležnosti ministarstava i drugih javnih tela koja učestvuju u politikama zaštite potrošača značajno menjaju u različitim političkim ciklusima koji se dešavaju prilično često. Na primer, reforma inspekcija, koja je veoma važna za zaštitu potrošača, menja strateške ciljeve u različitim političkim fazama. U najnovijem ciklusu, nadležnosti su izuzete iz Uprave za inspekcijske poslove i </w:t>
      </w:r>
      <w:r w:rsidR="00CC5D10" w:rsidRPr="00CC5D10">
        <w:rPr>
          <w:rFonts w:ascii="Arial" w:eastAsia="Arial" w:hAnsi="Arial" w:cs="Arial"/>
          <w:color w:val="000000"/>
          <w:sz w:val="20"/>
          <w:szCs w:val="20"/>
          <w:lang w:eastAsia="sr-Latn-RS"/>
        </w:rPr>
        <w:t>vraćene</w:t>
      </w:r>
      <w:r w:rsidRPr="00CC5D10">
        <w:rPr>
          <w:rFonts w:ascii="Arial" w:eastAsia="Arial" w:hAnsi="Arial" w:cs="Arial"/>
          <w:color w:val="000000"/>
          <w:sz w:val="20"/>
          <w:szCs w:val="20"/>
          <w:lang w:eastAsia="sr-Latn-RS"/>
        </w:rPr>
        <w:t xml:space="preserve"> </w:t>
      </w:r>
      <w:r w:rsidR="00CC5D10" w:rsidRPr="00CC5D10">
        <w:rPr>
          <w:rFonts w:ascii="Arial" w:eastAsia="Arial" w:hAnsi="Arial" w:cs="Arial"/>
          <w:color w:val="000000"/>
          <w:sz w:val="20"/>
          <w:szCs w:val="20"/>
          <w:lang w:eastAsia="sr-Latn-RS"/>
        </w:rPr>
        <w:t>odgovarajućim</w:t>
      </w:r>
      <w:r w:rsidRPr="00CC5D10">
        <w:rPr>
          <w:rFonts w:ascii="Arial" w:eastAsia="Arial" w:hAnsi="Arial" w:cs="Arial"/>
          <w:color w:val="000000"/>
          <w:sz w:val="20"/>
          <w:szCs w:val="20"/>
          <w:lang w:eastAsia="sr-Latn-RS"/>
        </w:rPr>
        <w:t xml:space="preserve"> ministarstvima i drugim javnim telima na nacionalnom i lokalnom nivou upravljanja. Posebno je važno da je </w:t>
      </w:r>
      <w:r w:rsidR="00CC5D10" w:rsidRPr="00CC5D10">
        <w:rPr>
          <w:rFonts w:ascii="Arial" w:eastAsia="Arial" w:hAnsi="Arial" w:cs="Arial"/>
          <w:color w:val="000000"/>
          <w:sz w:val="20"/>
          <w:szCs w:val="20"/>
          <w:lang w:eastAsia="sr-Latn-RS"/>
        </w:rPr>
        <w:t>Direkcija za</w:t>
      </w:r>
      <w:r w:rsidRPr="00CC5D10">
        <w:rPr>
          <w:rFonts w:ascii="Arial" w:eastAsia="Arial" w:hAnsi="Arial" w:cs="Arial"/>
          <w:color w:val="000000"/>
          <w:sz w:val="20"/>
          <w:szCs w:val="20"/>
          <w:lang w:eastAsia="sr-Latn-RS"/>
        </w:rPr>
        <w:t xml:space="preserve"> tržišn</w:t>
      </w:r>
      <w:r w:rsidR="00CC5D10" w:rsidRPr="00CC5D10">
        <w:rPr>
          <w:rFonts w:ascii="Arial" w:eastAsia="Arial" w:hAnsi="Arial" w:cs="Arial"/>
          <w:color w:val="000000"/>
          <w:sz w:val="20"/>
          <w:szCs w:val="20"/>
          <w:lang w:eastAsia="sr-Latn-RS"/>
        </w:rPr>
        <w:t>u</w:t>
      </w:r>
      <w:r w:rsidRPr="00CC5D10">
        <w:rPr>
          <w:rFonts w:ascii="Arial" w:eastAsia="Arial" w:hAnsi="Arial" w:cs="Arial"/>
          <w:color w:val="000000"/>
          <w:sz w:val="20"/>
          <w:szCs w:val="20"/>
          <w:lang w:eastAsia="sr-Latn-RS"/>
        </w:rPr>
        <w:t xml:space="preserve"> inspekcij</w:t>
      </w:r>
      <w:r w:rsidR="00CC5D10" w:rsidRPr="00CC5D10">
        <w:rPr>
          <w:rFonts w:ascii="Arial" w:eastAsia="Arial" w:hAnsi="Arial" w:cs="Arial"/>
          <w:color w:val="000000"/>
          <w:sz w:val="20"/>
          <w:szCs w:val="20"/>
          <w:lang w:eastAsia="sr-Latn-RS"/>
        </w:rPr>
        <w:t>u</w:t>
      </w:r>
      <w:r w:rsidRPr="00CC5D10">
        <w:rPr>
          <w:rFonts w:ascii="Arial" w:eastAsia="Arial" w:hAnsi="Arial" w:cs="Arial"/>
          <w:color w:val="000000"/>
          <w:sz w:val="20"/>
          <w:szCs w:val="20"/>
          <w:lang w:eastAsia="sr-Latn-RS"/>
        </w:rPr>
        <w:t xml:space="preserve">, kao inspektorat sa najdirektnijom </w:t>
      </w:r>
      <w:r w:rsidR="00CC5D10" w:rsidRPr="00CC5D10">
        <w:rPr>
          <w:rFonts w:ascii="Arial" w:eastAsia="Arial" w:hAnsi="Arial" w:cs="Arial"/>
          <w:color w:val="000000"/>
          <w:sz w:val="20"/>
          <w:szCs w:val="20"/>
          <w:lang w:eastAsia="sr-Latn-RS"/>
        </w:rPr>
        <w:t>nadležnošću</w:t>
      </w:r>
      <w:r w:rsidRPr="00CC5D10">
        <w:rPr>
          <w:rFonts w:ascii="Arial" w:eastAsia="Arial" w:hAnsi="Arial" w:cs="Arial"/>
          <w:color w:val="000000"/>
          <w:sz w:val="20"/>
          <w:szCs w:val="20"/>
          <w:lang w:eastAsia="sr-Latn-RS"/>
        </w:rPr>
        <w:t xml:space="preserve"> u inspekciji pitanja zaštite potrošača u </w:t>
      </w:r>
      <w:r w:rsidR="00CC5D10" w:rsidRPr="00CC5D10">
        <w:rPr>
          <w:rFonts w:ascii="Arial" w:eastAsia="Arial" w:hAnsi="Arial" w:cs="Arial"/>
          <w:color w:val="000000"/>
          <w:sz w:val="20"/>
          <w:szCs w:val="20"/>
          <w:lang w:eastAsia="sr-Latn-RS"/>
        </w:rPr>
        <w:t>prodaji</w:t>
      </w:r>
      <w:r w:rsidRPr="00CC5D10">
        <w:rPr>
          <w:rFonts w:ascii="Arial" w:eastAsia="Arial" w:hAnsi="Arial" w:cs="Arial"/>
          <w:color w:val="000000"/>
          <w:sz w:val="20"/>
          <w:szCs w:val="20"/>
          <w:lang w:eastAsia="sr-Latn-RS"/>
        </w:rPr>
        <w:t>, osnovana u Ministarstvu ekonom</w:t>
      </w:r>
      <w:r w:rsidR="00CC5D10" w:rsidRPr="00CC5D10">
        <w:rPr>
          <w:rFonts w:ascii="Arial" w:eastAsia="Arial" w:hAnsi="Arial" w:cs="Arial"/>
          <w:color w:val="000000"/>
          <w:sz w:val="20"/>
          <w:szCs w:val="20"/>
          <w:lang w:eastAsia="sr-Latn-RS"/>
        </w:rPr>
        <w:t>skog razvoja</w:t>
      </w:r>
      <w:r w:rsidRPr="00CC5D10">
        <w:rPr>
          <w:rFonts w:ascii="Arial" w:eastAsia="Arial" w:hAnsi="Arial" w:cs="Arial"/>
          <w:color w:val="000000"/>
          <w:sz w:val="20"/>
          <w:szCs w:val="20"/>
          <w:lang w:eastAsia="sr-Latn-RS"/>
        </w:rPr>
        <w:t xml:space="preserve"> od poslednjeg kvartala 2024. godine, dok je </w:t>
      </w:r>
      <w:r w:rsidR="00CC5D10" w:rsidRPr="00CC5D10">
        <w:rPr>
          <w:rFonts w:ascii="Arial" w:eastAsia="Arial" w:hAnsi="Arial" w:cs="Arial"/>
          <w:color w:val="000000"/>
          <w:sz w:val="20"/>
          <w:szCs w:val="20"/>
          <w:lang w:eastAsia="sr-Latn-RS"/>
        </w:rPr>
        <w:t xml:space="preserve">prethodno bila </w:t>
      </w:r>
      <w:r w:rsidRPr="00CC5D10">
        <w:rPr>
          <w:rFonts w:ascii="Arial" w:eastAsia="Arial" w:hAnsi="Arial" w:cs="Arial"/>
          <w:color w:val="000000"/>
          <w:sz w:val="20"/>
          <w:szCs w:val="20"/>
          <w:lang w:eastAsia="sr-Latn-RS"/>
        </w:rPr>
        <w:t>deo centralnog inspektorata od 2012. godine.</w:t>
      </w:r>
    </w:p>
    <w:p w14:paraId="14905BF0" w14:textId="32E0FAA4" w:rsidR="00B55268" w:rsidRPr="00CC5D10" w:rsidRDefault="00B55268" w:rsidP="00B55268">
      <w:pPr>
        <w:jc w:val="both"/>
        <w:rPr>
          <w:rFonts w:ascii="Arial" w:eastAsia="Arial" w:hAnsi="Arial" w:cs="Arial"/>
          <w:color w:val="000000"/>
          <w:sz w:val="20"/>
          <w:szCs w:val="20"/>
          <w:lang w:eastAsia="sr-Latn-RS"/>
        </w:rPr>
      </w:pPr>
      <w:r w:rsidRPr="00CC5D10">
        <w:rPr>
          <w:rFonts w:ascii="Arial" w:eastAsia="Arial" w:hAnsi="Arial" w:cs="Arial"/>
          <w:color w:val="000000"/>
          <w:sz w:val="20"/>
          <w:szCs w:val="20"/>
          <w:lang w:eastAsia="sr-Latn-RS"/>
        </w:rPr>
        <w:t xml:space="preserve">Još jedan primer koji ilustruje negativne posledice političke nestabilnosti identifikovan je u slučaju Agencije za elektronske medije i poštanske usluge, koja je kao regulatorno telo i sa članom u </w:t>
      </w:r>
      <w:r w:rsidR="00CC5D10" w:rsidRPr="00CC5D10">
        <w:rPr>
          <w:rFonts w:ascii="Arial" w:eastAsia="Arial" w:hAnsi="Arial" w:cs="Arial"/>
          <w:color w:val="000000"/>
          <w:sz w:val="20"/>
          <w:szCs w:val="20"/>
          <w:lang w:eastAsia="sr-Latn-RS"/>
        </w:rPr>
        <w:t>SZP</w:t>
      </w:r>
      <w:r w:rsidRPr="00CC5D10">
        <w:rPr>
          <w:rFonts w:ascii="Arial" w:eastAsia="Arial" w:hAnsi="Arial" w:cs="Arial"/>
          <w:color w:val="000000"/>
          <w:sz w:val="20"/>
          <w:szCs w:val="20"/>
          <w:lang w:eastAsia="sr-Latn-RS"/>
        </w:rPr>
        <w:t xml:space="preserve">, bila ograničenog delovanja tokom dužeg vremena zbog formiranja Vlade u poslednjem političkom ciklusu. Shodno tome, </w:t>
      </w:r>
      <w:proofErr w:type="spellStart"/>
      <w:r w:rsidRPr="00CC5D10">
        <w:rPr>
          <w:rFonts w:ascii="Arial" w:eastAsia="Arial" w:hAnsi="Arial" w:cs="Arial"/>
          <w:color w:val="000000"/>
          <w:sz w:val="20"/>
          <w:szCs w:val="20"/>
          <w:lang w:eastAsia="sr-Latn-RS"/>
        </w:rPr>
        <w:t>Sav</w:t>
      </w:r>
      <w:r w:rsidR="00CC5D10" w:rsidRPr="00CC5D10">
        <w:rPr>
          <w:rFonts w:ascii="Arial" w:eastAsia="Arial" w:hAnsi="Arial" w:cs="Arial"/>
          <w:color w:val="000000"/>
          <w:sz w:val="20"/>
          <w:szCs w:val="20"/>
          <w:lang w:eastAsia="sr-Latn-RS"/>
        </w:rPr>
        <w:t>j</w:t>
      </w:r>
      <w:r w:rsidRPr="00CC5D10">
        <w:rPr>
          <w:rFonts w:ascii="Arial" w:eastAsia="Arial" w:hAnsi="Arial" w:cs="Arial"/>
          <w:color w:val="000000"/>
          <w:sz w:val="20"/>
          <w:szCs w:val="20"/>
          <w:lang w:eastAsia="sr-Latn-RS"/>
        </w:rPr>
        <w:t>et</w:t>
      </w:r>
      <w:proofErr w:type="spellEnd"/>
      <w:r w:rsidRPr="00CC5D10">
        <w:rPr>
          <w:rFonts w:ascii="Arial" w:eastAsia="Arial" w:hAnsi="Arial" w:cs="Arial"/>
          <w:color w:val="000000"/>
          <w:sz w:val="20"/>
          <w:szCs w:val="20"/>
          <w:lang w:eastAsia="sr-Latn-RS"/>
        </w:rPr>
        <w:t xml:space="preserve"> Agencije, kao upravno telo, nije bio operativan u periodu između decembra 2023. i aprila 2024. godine, </w:t>
      </w:r>
      <w:r w:rsidR="00CC5D10" w:rsidRPr="00CC5D10">
        <w:rPr>
          <w:rFonts w:ascii="Arial" w:eastAsia="Arial" w:hAnsi="Arial" w:cs="Arial"/>
          <w:color w:val="000000"/>
          <w:sz w:val="20"/>
          <w:szCs w:val="20"/>
          <w:lang w:eastAsia="sr-Latn-RS"/>
        </w:rPr>
        <w:t>obavljajući</w:t>
      </w:r>
      <w:r w:rsidRPr="00CC5D10">
        <w:rPr>
          <w:rFonts w:ascii="Arial" w:eastAsia="Arial" w:hAnsi="Arial" w:cs="Arial"/>
          <w:color w:val="000000"/>
          <w:sz w:val="20"/>
          <w:szCs w:val="20"/>
          <w:lang w:eastAsia="sr-Latn-RS"/>
        </w:rPr>
        <w:t xml:space="preserve"> samo osnovne operacije, bez </w:t>
      </w:r>
      <w:r w:rsidR="00CC5D10" w:rsidRPr="00CC5D10">
        <w:rPr>
          <w:rFonts w:ascii="Arial" w:eastAsia="Arial" w:hAnsi="Arial" w:cs="Arial"/>
          <w:color w:val="000000"/>
          <w:sz w:val="20"/>
          <w:szCs w:val="20"/>
          <w:lang w:eastAsia="sr-Latn-RS"/>
        </w:rPr>
        <w:t>mogućnosti</w:t>
      </w:r>
      <w:r w:rsidRPr="00CC5D10">
        <w:rPr>
          <w:rFonts w:ascii="Arial" w:eastAsia="Arial" w:hAnsi="Arial" w:cs="Arial"/>
          <w:color w:val="000000"/>
          <w:sz w:val="20"/>
          <w:szCs w:val="20"/>
          <w:lang w:eastAsia="sr-Latn-RS"/>
        </w:rPr>
        <w:t xml:space="preserve"> da u potpunosti sprovodi politike.</w:t>
      </w:r>
    </w:p>
    <w:p w14:paraId="452846D0" w14:textId="1786F8A2" w:rsidR="00B55268" w:rsidRPr="00CC5D10" w:rsidRDefault="00B55268" w:rsidP="00B55268">
      <w:pPr>
        <w:jc w:val="both"/>
        <w:rPr>
          <w:rFonts w:ascii="Arial" w:eastAsia="Arial" w:hAnsi="Arial" w:cs="Arial"/>
          <w:color w:val="000000"/>
          <w:sz w:val="20"/>
          <w:szCs w:val="20"/>
          <w:lang w:eastAsia="sr-Latn-RS"/>
        </w:rPr>
      </w:pPr>
      <w:r w:rsidRPr="00CC5D10">
        <w:rPr>
          <w:rFonts w:ascii="Arial" w:eastAsia="Arial" w:hAnsi="Arial" w:cs="Arial"/>
          <w:color w:val="000000"/>
          <w:sz w:val="20"/>
          <w:szCs w:val="20"/>
          <w:lang w:eastAsia="sr-Latn-RS"/>
        </w:rPr>
        <w:t xml:space="preserve">Sve gore navedeno je rezultiralo manje efikasnim radom </w:t>
      </w:r>
      <w:r w:rsidR="00CC5D10" w:rsidRPr="00CC5D10">
        <w:rPr>
          <w:rFonts w:ascii="Arial" w:eastAsia="Arial" w:hAnsi="Arial" w:cs="Arial"/>
          <w:color w:val="000000"/>
          <w:sz w:val="20"/>
          <w:szCs w:val="20"/>
          <w:lang w:eastAsia="sr-Latn-RS"/>
        </w:rPr>
        <w:t>SZP</w:t>
      </w:r>
      <w:r w:rsidRPr="00CC5D10">
        <w:rPr>
          <w:rFonts w:ascii="Arial" w:eastAsia="Arial" w:hAnsi="Arial" w:cs="Arial"/>
          <w:color w:val="000000"/>
          <w:sz w:val="20"/>
          <w:szCs w:val="20"/>
          <w:lang w:eastAsia="sr-Latn-RS"/>
        </w:rPr>
        <w:t xml:space="preserve"> u </w:t>
      </w:r>
      <w:r w:rsidR="00CC5D10" w:rsidRPr="00CC5D10">
        <w:rPr>
          <w:rFonts w:ascii="Arial" w:eastAsia="Arial" w:hAnsi="Arial" w:cs="Arial"/>
          <w:color w:val="000000"/>
          <w:sz w:val="20"/>
          <w:szCs w:val="20"/>
          <w:lang w:eastAsia="sr-Latn-RS"/>
        </w:rPr>
        <w:t>periodima</w:t>
      </w:r>
      <w:r w:rsidRPr="00CC5D10">
        <w:rPr>
          <w:rFonts w:ascii="Arial" w:eastAsia="Arial" w:hAnsi="Arial" w:cs="Arial"/>
          <w:color w:val="000000"/>
          <w:sz w:val="20"/>
          <w:szCs w:val="20"/>
          <w:lang w:eastAsia="sr-Latn-RS"/>
        </w:rPr>
        <w:t xml:space="preserve"> političkih promena, </w:t>
      </w:r>
      <w:r w:rsidR="00CC5D10" w:rsidRPr="00CC5D10">
        <w:rPr>
          <w:rFonts w:ascii="Arial" w:eastAsia="Arial" w:hAnsi="Arial" w:cs="Arial"/>
          <w:color w:val="000000"/>
          <w:sz w:val="20"/>
          <w:szCs w:val="20"/>
          <w:lang w:eastAsia="sr-Latn-RS"/>
        </w:rPr>
        <w:t>smanjujući</w:t>
      </w:r>
      <w:r w:rsidRPr="00CC5D10">
        <w:rPr>
          <w:rFonts w:ascii="Arial" w:eastAsia="Arial" w:hAnsi="Arial" w:cs="Arial"/>
          <w:color w:val="000000"/>
          <w:sz w:val="20"/>
          <w:szCs w:val="20"/>
          <w:lang w:eastAsia="sr-Latn-RS"/>
        </w:rPr>
        <w:t xml:space="preserve"> kapacitet </w:t>
      </w:r>
      <w:r w:rsidR="00CC5D10" w:rsidRPr="00CC5D10">
        <w:rPr>
          <w:rFonts w:ascii="Arial" w:eastAsia="Arial" w:hAnsi="Arial" w:cs="Arial"/>
          <w:color w:val="000000"/>
          <w:sz w:val="20"/>
          <w:szCs w:val="20"/>
          <w:lang w:eastAsia="sr-Latn-RS"/>
        </w:rPr>
        <w:t xml:space="preserve">SZP </w:t>
      </w:r>
      <w:r w:rsidRPr="00CC5D10">
        <w:rPr>
          <w:rFonts w:ascii="Arial" w:eastAsia="Arial" w:hAnsi="Arial" w:cs="Arial"/>
          <w:color w:val="000000"/>
          <w:sz w:val="20"/>
          <w:szCs w:val="20"/>
          <w:lang w:eastAsia="sr-Latn-RS"/>
        </w:rPr>
        <w:t>za sprovođenj</w:t>
      </w:r>
      <w:r w:rsidR="00CC5D10" w:rsidRPr="00CC5D10">
        <w:rPr>
          <w:rFonts w:ascii="Arial" w:eastAsia="Arial" w:hAnsi="Arial" w:cs="Arial"/>
          <w:color w:val="000000"/>
          <w:sz w:val="20"/>
          <w:szCs w:val="20"/>
          <w:lang w:eastAsia="sr-Latn-RS"/>
        </w:rPr>
        <w:t xml:space="preserve">e svoje </w:t>
      </w:r>
      <w:proofErr w:type="spellStart"/>
      <w:r w:rsidR="00CC5D10" w:rsidRPr="00CC5D10">
        <w:rPr>
          <w:rFonts w:ascii="Arial" w:eastAsia="Arial" w:hAnsi="Arial" w:cs="Arial"/>
          <w:color w:val="000000"/>
          <w:sz w:val="20"/>
          <w:szCs w:val="20"/>
          <w:lang w:eastAsia="sr-Latn-RS"/>
        </w:rPr>
        <w:t>koordinativne</w:t>
      </w:r>
      <w:proofErr w:type="spellEnd"/>
      <w:r w:rsidR="00CC5D10" w:rsidRPr="00CC5D10">
        <w:rPr>
          <w:rFonts w:ascii="Arial" w:eastAsia="Arial" w:hAnsi="Arial" w:cs="Arial"/>
          <w:color w:val="000000"/>
          <w:sz w:val="20"/>
          <w:szCs w:val="20"/>
          <w:lang w:eastAsia="sr-Latn-RS"/>
        </w:rPr>
        <w:t xml:space="preserve"> funkcije u oblasti zaštite potrošača</w:t>
      </w:r>
      <w:r w:rsidRPr="00CC5D10">
        <w:rPr>
          <w:rFonts w:ascii="Arial" w:eastAsia="Arial" w:hAnsi="Arial" w:cs="Arial"/>
          <w:color w:val="000000"/>
          <w:sz w:val="20"/>
          <w:szCs w:val="20"/>
          <w:lang w:eastAsia="sr-Latn-RS"/>
        </w:rPr>
        <w:t>.</w:t>
      </w:r>
    </w:p>
    <w:p w14:paraId="7865A909" w14:textId="77777777" w:rsidR="0079264D" w:rsidRDefault="0079264D" w:rsidP="0079264D">
      <w:pPr>
        <w:pStyle w:val="ParagraphOED"/>
        <w:numPr>
          <w:ilvl w:val="0"/>
          <w:numId w:val="0"/>
        </w:numPr>
        <w:spacing w:before="0" w:after="0"/>
        <w:rPr>
          <w:rFonts w:ascii="Arial" w:hAnsi="Arial" w:cs="Arial"/>
          <w:sz w:val="20"/>
          <w:szCs w:val="20"/>
          <w:lang w:val="en-GB"/>
        </w:rPr>
      </w:pPr>
    </w:p>
    <w:p w14:paraId="06989386" w14:textId="77777777" w:rsidR="0079264D" w:rsidRPr="0079264D" w:rsidRDefault="0079264D" w:rsidP="0079264D">
      <w:pPr>
        <w:pStyle w:val="ParagraphOED"/>
        <w:numPr>
          <w:ilvl w:val="0"/>
          <w:numId w:val="0"/>
        </w:numPr>
        <w:spacing w:before="0" w:after="0"/>
        <w:rPr>
          <w:rFonts w:ascii="Arial" w:hAnsi="Arial" w:cs="Arial"/>
          <w:sz w:val="20"/>
          <w:szCs w:val="20"/>
          <w:lang w:val="en-GB"/>
        </w:rPr>
      </w:pPr>
    </w:p>
    <w:p w14:paraId="7C183532" w14:textId="62F7D0F2" w:rsidR="00780FF6" w:rsidRDefault="00780FF6" w:rsidP="00DE468B">
      <w:pPr>
        <w:pStyle w:val="ParagraphOED"/>
        <w:numPr>
          <w:ilvl w:val="0"/>
          <w:numId w:val="0"/>
        </w:numPr>
        <w:spacing w:before="0" w:after="0"/>
        <w:ind w:left="360" w:hanging="360"/>
        <w:outlineLvl w:val="2"/>
        <w:rPr>
          <w:rFonts w:ascii="Arial" w:hAnsi="Arial" w:cs="Arial"/>
          <w:b/>
          <w:bCs/>
          <w:sz w:val="20"/>
          <w:szCs w:val="20"/>
          <w:lang w:val="en-GB"/>
        </w:rPr>
      </w:pPr>
      <w:bookmarkStart w:id="15" w:name="_Toc199479352"/>
      <w:proofErr w:type="spellStart"/>
      <w:r w:rsidRPr="00A20BF1">
        <w:rPr>
          <w:rFonts w:ascii="Arial" w:hAnsi="Arial" w:cs="Arial"/>
          <w:b/>
          <w:bCs/>
          <w:sz w:val="20"/>
          <w:szCs w:val="20"/>
          <w:lang w:val="en-GB"/>
        </w:rPr>
        <w:t>Ef</w:t>
      </w:r>
      <w:r w:rsidR="00CC5D10">
        <w:rPr>
          <w:rFonts w:ascii="Arial" w:hAnsi="Arial" w:cs="Arial"/>
          <w:b/>
          <w:bCs/>
          <w:sz w:val="20"/>
          <w:szCs w:val="20"/>
          <w:lang w:val="en-GB"/>
        </w:rPr>
        <w:t>ektivnost</w:t>
      </w:r>
      <w:bookmarkEnd w:id="15"/>
      <w:proofErr w:type="spellEnd"/>
    </w:p>
    <w:p w14:paraId="746BA0B7" w14:textId="77777777" w:rsidR="00132EC3" w:rsidRDefault="00132EC3" w:rsidP="00DE468B">
      <w:pPr>
        <w:pStyle w:val="ParagraphOED"/>
        <w:numPr>
          <w:ilvl w:val="0"/>
          <w:numId w:val="0"/>
        </w:numPr>
        <w:spacing w:before="0" w:after="0"/>
        <w:ind w:left="360" w:hanging="360"/>
        <w:outlineLvl w:val="2"/>
        <w:rPr>
          <w:rFonts w:ascii="Arial" w:hAnsi="Arial" w:cs="Arial"/>
          <w:b/>
          <w:bCs/>
          <w:sz w:val="20"/>
          <w:szCs w:val="20"/>
          <w:lang w:val="en-GB"/>
        </w:rPr>
      </w:pPr>
    </w:p>
    <w:p w14:paraId="7DEA0D40" w14:textId="77777777" w:rsidR="00CC5D10" w:rsidRPr="00CC5D10" w:rsidRDefault="00CC5D10" w:rsidP="00CC5D10">
      <w:pPr>
        <w:pStyle w:val="ListParagraph"/>
        <w:numPr>
          <w:ilvl w:val="0"/>
          <w:numId w:val="9"/>
        </w:numPr>
        <w:jc w:val="both"/>
        <w:rPr>
          <w:rFonts w:ascii="Arial" w:hAnsi="Arial" w:cs="Arial"/>
          <w:sz w:val="20"/>
          <w:szCs w:val="20"/>
          <w:lang w:val="sr-Latn-RS"/>
        </w:rPr>
      </w:pPr>
      <w:r w:rsidRPr="00CC5D10">
        <w:rPr>
          <w:rFonts w:ascii="Arial" w:hAnsi="Arial" w:cs="Arial"/>
          <w:sz w:val="20"/>
          <w:szCs w:val="20"/>
          <w:lang w:val="sr-Latn-RS"/>
        </w:rPr>
        <w:t xml:space="preserve">Glavno pitanje: </w:t>
      </w:r>
      <w:r w:rsidRPr="00CC5D10">
        <w:rPr>
          <w:rFonts w:ascii="Arial" w:hAnsi="Arial" w:cs="Arial"/>
          <w:sz w:val="20"/>
          <w:szCs w:val="20"/>
        </w:rPr>
        <w:t>Koliko je efektivan bio NPZP</w:t>
      </w:r>
      <w:r w:rsidRPr="00CC5D10">
        <w:rPr>
          <w:rFonts w:ascii="Arial" w:hAnsi="Arial" w:cs="Arial"/>
          <w:sz w:val="20"/>
          <w:szCs w:val="20"/>
          <w:lang w:val="sr-Latn-RS"/>
        </w:rPr>
        <w:t xml:space="preserve">? </w:t>
      </w:r>
      <w:r w:rsidRPr="00CC5D10">
        <w:rPr>
          <w:rFonts w:ascii="Arial" w:hAnsi="Arial" w:cs="Arial"/>
          <w:sz w:val="20"/>
          <w:szCs w:val="20"/>
        </w:rPr>
        <w:t>Šta je dalo rezultate, a šta nije, i iz kojih razloga? Konkretno</w:t>
      </w:r>
      <w:r w:rsidRPr="00CC5D10">
        <w:rPr>
          <w:rFonts w:ascii="Arial" w:hAnsi="Arial" w:cs="Arial"/>
          <w:sz w:val="20"/>
          <w:szCs w:val="20"/>
          <w:lang w:val="sr-Latn-RS"/>
        </w:rPr>
        <w:t xml:space="preserve">: </w:t>
      </w:r>
    </w:p>
    <w:p w14:paraId="170B436B" w14:textId="77777777" w:rsidR="00CC5D10" w:rsidRDefault="00CC5D10" w:rsidP="00CC5D10">
      <w:pPr>
        <w:pStyle w:val="ParagraphOED"/>
        <w:numPr>
          <w:ilvl w:val="0"/>
          <w:numId w:val="60"/>
        </w:numPr>
        <w:spacing w:before="0" w:after="0"/>
        <w:rPr>
          <w:rFonts w:ascii="Arial" w:hAnsi="Arial" w:cs="Arial"/>
          <w:sz w:val="20"/>
          <w:szCs w:val="20"/>
          <w:lang w:val="sr-Latn-RS"/>
        </w:rPr>
      </w:pPr>
      <w:r w:rsidRPr="006E3744">
        <w:rPr>
          <w:rFonts w:ascii="Arial" w:hAnsi="Arial" w:cs="Arial"/>
          <w:sz w:val="20"/>
          <w:szCs w:val="20"/>
          <w:lang w:val="sr-Latn-RS"/>
        </w:rPr>
        <w:t>Koliko je ef</w:t>
      </w:r>
      <w:r>
        <w:rPr>
          <w:rFonts w:ascii="Arial" w:hAnsi="Arial" w:cs="Arial"/>
          <w:sz w:val="20"/>
          <w:szCs w:val="20"/>
          <w:lang w:val="sr-Latn-RS"/>
        </w:rPr>
        <w:t xml:space="preserve">ektivno </w:t>
      </w:r>
      <w:r w:rsidRPr="006E3744">
        <w:rPr>
          <w:rFonts w:ascii="Arial" w:hAnsi="Arial" w:cs="Arial"/>
          <w:sz w:val="20"/>
          <w:szCs w:val="20"/>
          <w:lang w:val="sr-Latn-RS"/>
        </w:rPr>
        <w:t>N</w:t>
      </w:r>
      <w:r>
        <w:rPr>
          <w:rFonts w:ascii="Arial" w:hAnsi="Arial" w:cs="Arial"/>
          <w:sz w:val="20"/>
          <w:szCs w:val="20"/>
          <w:lang w:val="sr-Latn-RS"/>
        </w:rPr>
        <w:t>PZP</w:t>
      </w:r>
      <w:r w:rsidRPr="006E3744">
        <w:rPr>
          <w:rFonts w:ascii="Arial" w:hAnsi="Arial" w:cs="Arial"/>
          <w:sz w:val="20"/>
          <w:szCs w:val="20"/>
          <w:lang w:val="sr-Latn-RS"/>
        </w:rPr>
        <w:t xml:space="preserve"> </w:t>
      </w:r>
      <w:r>
        <w:rPr>
          <w:rFonts w:ascii="Arial" w:hAnsi="Arial" w:cs="Arial"/>
          <w:sz w:val="20"/>
          <w:szCs w:val="20"/>
          <w:lang w:val="sr-Latn-RS"/>
        </w:rPr>
        <w:t>uticao na</w:t>
      </w:r>
      <w:r w:rsidRPr="006E3744">
        <w:rPr>
          <w:rFonts w:ascii="Arial" w:hAnsi="Arial" w:cs="Arial"/>
          <w:sz w:val="20"/>
          <w:szCs w:val="20"/>
          <w:lang w:val="sr-Latn-RS"/>
        </w:rPr>
        <w:t xml:space="preserve"> nacionaln</w:t>
      </w:r>
      <w:r>
        <w:rPr>
          <w:rFonts w:ascii="Arial" w:hAnsi="Arial" w:cs="Arial"/>
          <w:sz w:val="20"/>
          <w:szCs w:val="20"/>
          <w:lang w:val="sr-Latn-RS"/>
        </w:rPr>
        <w:t>e</w:t>
      </w:r>
      <w:r w:rsidRPr="006E3744">
        <w:rPr>
          <w:rFonts w:ascii="Arial" w:hAnsi="Arial" w:cs="Arial"/>
          <w:sz w:val="20"/>
          <w:szCs w:val="20"/>
          <w:lang w:val="sr-Latn-RS"/>
        </w:rPr>
        <w:t xml:space="preserve"> kreator</w:t>
      </w:r>
      <w:r>
        <w:rPr>
          <w:rFonts w:ascii="Arial" w:hAnsi="Arial" w:cs="Arial"/>
          <w:sz w:val="20"/>
          <w:szCs w:val="20"/>
          <w:lang w:val="sr-Latn-RS"/>
        </w:rPr>
        <w:t>e</w:t>
      </w:r>
      <w:r w:rsidRPr="006E3744">
        <w:rPr>
          <w:rFonts w:ascii="Arial" w:hAnsi="Arial" w:cs="Arial"/>
          <w:sz w:val="20"/>
          <w:szCs w:val="20"/>
          <w:lang w:val="sr-Latn-RS"/>
        </w:rPr>
        <w:t xml:space="preserve"> politik</w:t>
      </w:r>
      <w:r>
        <w:rPr>
          <w:rFonts w:ascii="Arial" w:hAnsi="Arial" w:cs="Arial"/>
          <w:sz w:val="20"/>
          <w:szCs w:val="20"/>
          <w:lang w:val="sr-Latn-RS"/>
        </w:rPr>
        <w:t>a</w:t>
      </w:r>
      <w:r w:rsidRPr="006E3744">
        <w:rPr>
          <w:rFonts w:ascii="Arial" w:hAnsi="Arial" w:cs="Arial"/>
          <w:sz w:val="20"/>
          <w:szCs w:val="20"/>
          <w:lang w:val="sr-Latn-RS"/>
        </w:rPr>
        <w:t xml:space="preserve"> i zainteresovan</w:t>
      </w:r>
      <w:r>
        <w:rPr>
          <w:rFonts w:ascii="Arial" w:hAnsi="Arial" w:cs="Arial"/>
          <w:sz w:val="20"/>
          <w:szCs w:val="20"/>
          <w:lang w:val="sr-Latn-RS"/>
        </w:rPr>
        <w:t>e</w:t>
      </w:r>
      <w:r w:rsidRPr="006E3744">
        <w:rPr>
          <w:rFonts w:ascii="Arial" w:hAnsi="Arial" w:cs="Arial"/>
          <w:sz w:val="20"/>
          <w:szCs w:val="20"/>
          <w:lang w:val="sr-Latn-RS"/>
        </w:rPr>
        <w:t xml:space="preserve"> stran</w:t>
      </w:r>
      <w:r>
        <w:rPr>
          <w:rFonts w:ascii="Arial" w:hAnsi="Arial" w:cs="Arial"/>
          <w:sz w:val="20"/>
          <w:szCs w:val="20"/>
          <w:lang w:val="sr-Latn-RS"/>
        </w:rPr>
        <w:t>e</w:t>
      </w:r>
      <w:r w:rsidRPr="006E3744">
        <w:rPr>
          <w:rFonts w:ascii="Arial" w:hAnsi="Arial" w:cs="Arial"/>
          <w:sz w:val="20"/>
          <w:szCs w:val="20"/>
          <w:lang w:val="sr-Latn-RS"/>
        </w:rPr>
        <w:t xml:space="preserve"> iz javnog sektora kako bi podigao interesovanje i razumevanje strateškog fokusa zaštite potrošača</w:t>
      </w:r>
      <w:r>
        <w:rPr>
          <w:rFonts w:ascii="Arial" w:hAnsi="Arial" w:cs="Arial"/>
          <w:sz w:val="20"/>
          <w:szCs w:val="20"/>
          <w:lang w:val="sr-Latn-RS"/>
        </w:rPr>
        <w:t>?</w:t>
      </w:r>
    </w:p>
    <w:p w14:paraId="26261A64" w14:textId="77777777" w:rsidR="00CC5D10" w:rsidRPr="00FD45F2" w:rsidRDefault="00CC5D10" w:rsidP="00CC5D10">
      <w:pPr>
        <w:pStyle w:val="ParagraphOED"/>
        <w:numPr>
          <w:ilvl w:val="0"/>
          <w:numId w:val="60"/>
        </w:numPr>
        <w:spacing w:before="0" w:after="0"/>
        <w:rPr>
          <w:rFonts w:ascii="Arial" w:hAnsi="Arial" w:cs="Arial"/>
          <w:sz w:val="20"/>
          <w:szCs w:val="20"/>
          <w:lang w:val="sr-Latn-RS"/>
        </w:rPr>
      </w:pPr>
      <w:r>
        <w:rPr>
          <w:rFonts w:ascii="Arial" w:hAnsi="Arial" w:cs="Arial"/>
          <w:sz w:val="20"/>
          <w:szCs w:val="20"/>
          <w:lang w:val="sr-Latn-RS"/>
        </w:rPr>
        <w:t xml:space="preserve">Da li je NPZP postigao zacrtane ciljeve i indikatore učinka? </w:t>
      </w:r>
    </w:p>
    <w:p w14:paraId="1E94346C" w14:textId="77777777" w:rsidR="00132EC3" w:rsidRPr="00CC5D10" w:rsidRDefault="00132EC3" w:rsidP="00CC5D10">
      <w:pPr>
        <w:pStyle w:val="ListParagraph"/>
        <w:ind w:left="1068"/>
        <w:rPr>
          <w:rFonts w:ascii="Arial" w:hAnsi="Arial" w:cs="Arial"/>
          <w:b/>
          <w:bCs/>
          <w:sz w:val="20"/>
          <w:szCs w:val="20"/>
        </w:rPr>
      </w:pPr>
    </w:p>
    <w:p w14:paraId="709EE3D2" w14:textId="54650A1D" w:rsidR="00CC5D10" w:rsidRPr="00CC5D10" w:rsidRDefault="00CC5D10" w:rsidP="00CC5D10">
      <w:pPr>
        <w:jc w:val="both"/>
        <w:rPr>
          <w:rFonts w:ascii="Arial" w:hAnsi="Arial" w:cs="Arial"/>
          <w:sz w:val="20"/>
          <w:szCs w:val="20"/>
        </w:rPr>
      </w:pPr>
      <w:r w:rsidRPr="00CC5D10">
        <w:rPr>
          <w:rFonts w:ascii="Arial" w:hAnsi="Arial" w:cs="Arial"/>
          <w:sz w:val="20"/>
          <w:szCs w:val="20"/>
        </w:rPr>
        <w:t xml:space="preserve">Logika intervencije NPZP pruža detaljan skup indikatora osmišljenih za praćenje napretka Programa. Indikatori ishoda su razvijeni za operativne ciljeve NPZP, dok su indikatori rezultata utvrđeni za aktivnosti. Za operativne ciljeve utvrđeno je ukupno 6 indikatora ishoda, svi kvantifikovani sa početnim, </w:t>
      </w:r>
      <w:proofErr w:type="spellStart"/>
      <w:r>
        <w:rPr>
          <w:rFonts w:ascii="Arial" w:hAnsi="Arial" w:cs="Arial"/>
          <w:sz w:val="20"/>
          <w:szCs w:val="20"/>
        </w:rPr>
        <w:t>međuvrednostima</w:t>
      </w:r>
      <w:proofErr w:type="spellEnd"/>
      <w:r w:rsidRPr="00CC5D10">
        <w:rPr>
          <w:rFonts w:ascii="Arial" w:hAnsi="Arial" w:cs="Arial"/>
          <w:sz w:val="20"/>
          <w:szCs w:val="20"/>
        </w:rPr>
        <w:t xml:space="preserve"> i cilj</w:t>
      </w:r>
      <w:r>
        <w:rPr>
          <w:rFonts w:ascii="Arial" w:hAnsi="Arial" w:cs="Arial"/>
          <w:sz w:val="20"/>
          <w:szCs w:val="20"/>
        </w:rPr>
        <w:t>a</w:t>
      </w:r>
      <w:r w:rsidRPr="00CC5D10">
        <w:rPr>
          <w:rFonts w:ascii="Arial" w:hAnsi="Arial" w:cs="Arial"/>
          <w:sz w:val="20"/>
          <w:szCs w:val="20"/>
        </w:rPr>
        <w:t>nim vrednostima.</w:t>
      </w:r>
    </w:p>
    <w:p w14:paraId="46EC9815" w14:textId="568172D0" w:rsidR="00CC5D10" w:rsidRPr="00CC5D10" w:rsidRDefault="00CC5D10" w:rsidP="00CC5D10">
      <w:pPr>
        <w:jc w:val="both"/>
        <w:rPr>
          <w:rFonts w:ascii="Arial" w:hAnsi="Arial" w:cs="Arial"/>
          <w:sz w:val="20"/>
          <w:szCs w:val="20"/>
        </w:rPr>
      </w:pPr>
      <w:r w:rsidRPr="00CC5D10">
        <w:rPr>
          <w:rFonts w:ascii="Arial" w:hAnsi="Arial" w:cs="Arial"/>
          <w:sz w:val="20"/>
          <w:szCs w:val="20"/>
        </w:rPr>
        <w:t xml:space="preserve">MER, u saradnji sa drugim institucijama učesnicama, uspostavilo je Okvir za praćenje i evaluaciju, koji obuhvata kontinuirano prikupljanje podataka i godišnje izveštavanje Vladi Crne Gore. Godišnji izveštaji su pripremljeni za 2022. i 2023. godinu, dok je za 2024. godinu godišnji izveštaj u pripremi, a zaključci FE </w:t>
      </w:r>
      <w:proofErr w:type="spellStart"/>
      <w:r w:rsidRPr="00CC5D10">
        <w:rPr>
          <w:rFonts w:ascii="Arial" w:hAnsi="Arial" w:cs="Arial"/>
          <w:sz w:val="20"/>
          <w:szCs w:val="20"/>
        </w:rPr>
        <w:t>će</w:t>
      </w:r>
      <w:proofErr w:type="spellEnd"/>
      <w:r w:rsidRPr="00CC5D10">
        <w:rPr>
          <w:rFonts w:ascii="Arial" w:hAnsi="Arial" w:cs="Arial"/>
          <w:sz w:val="20"/>
          <w:szCs w:val="20"/>
        </w:rPr>
        <w:t xml:space="preserve"> takođe biti uključeni u konačni izveštaj o implementaciji. Godišnji izveštaji jasno ističu ostvarenje aktivnosti utvrđenih u godišnjim akcionim planovima, a takođe pružaju procenu ostvarenja indikatora ishoda, na osnovu dokaza koje su dostavile odgovarajuće institucije. Tabela 4 daje pregled evaluiranih indikatora učinka.</w:t>
      </w:r>
    </w:p>
    <w:p w14:paraId="6D791F06" w14:textId="4E809382" w:rsidR="0079264D" w:rsidRPr="00CC5D10" w:rsidRDefault="0079264D" w:rsidP="0079264D">
      <w:pPr>
        <w:spacing w:after="0"/>
        <w:jc w:val="both"/>
        <w:rPr>
          <w:rFonts w:ascii="Arial" w:hAnsi="Arial" w:cs="Arial"/>
          <w:sz w:val="18"/>
          <w:szCs w:val="18"/>
        </w:rPr>
      </w:pPr>
      <w:r w:rsidRPr="00CC5D10">
        <w:rPr>
          <w:rFonts w:ascii="Arial" w:hAnsi="Arial" w:cs="Arial"/>
          <w:sz w:val="18"/>
          <w:szCs w:val="18"/>
        </w:rPr>
        <w:t xml:space="preserve">Table </w:t>
      </w:r>
      <w:r w:rsidR="00132EC3" w:rsidRPr="00CC5D10">
        <w:rPr>
          <w:rFonts w:ascii="Arial" w:hAnsi="Arial" w:cs="Arial"/>
          <w:sz w:val="18"/>
          <w:szCs w:val="18"/>
        </w:rPr>
        <w:t>4</w:t>
      </w:r>
      <w:r w:rsidRPr="00CC5D10">
        <w:rPr>
          <w:rFonts w:ascii="Arial" w:hAnsi="Arial" w:cs="Arial"/>
          <w:sz w:val="18"/>
          <w:szCs w:val="18"/>
        </w:rPr>
        <w:t xml:space="preserve">. </w:t>
      </w:r>
      <w:r w:rsidR="00CC5D10" w:rsidRPr="00CC5D10">
        <w:rPr>
          <w:rFonts w:ascii="Arial" w:hAnsi="Arial" w:cs="Arial"/>
          <w:sz w:val="18"/>
          <w:szCs w:val="18"/>
        </w:rPr>
        <w:t>Pregled indikatora učinka</w:t>
      </w:r>
    </w:p>
    <w:tbl>
      <w:tblPr>
        <w:tblStyle w:val="TableGrid"/>
        <w:tblW w:w="9067" w:type="dxa"/>
        <w:tblLook w:val="04A0" w:firstRow="1" w:lastRow="0" w:firstColumn="1" w:lastColumn="0" w:noHBand="0" w:noVBand="1"/>
      </w:tblPr>
      <w:tblGrid>
        <w:gridCol w:w="1147"/>
        <w:gridCol w:w="2817"/>
        <w:gridCol w:w="1701"/>
        <w:gridCol w:w="1843"/>
        <w:gridCol w:w="1559"/>
      </w:tblGrid>
      <w:tr w:rsidR="0079264D" w:rsidRPr="00CC5D10" w14:paraId="09CBD6AC" w14:textId="77777777" w:rsidTr="00DD1FEA">
        <w:trPr>
          <w:trHeight w:val="69"/>
        </w:trPr>
        <w:tc>
          <w:tcPr>
            <w:tcW w:w="1147" w:type="dxa"/>
            <w:vMerge w:val="restart"/>
          </w:tcPr>
          <w:p w14:paraId="3D1DD2F2" w14:textId="566608DA" w:rsidR="0079264D" w:rsidRPr="00CC5D10" w:rsidRDefault="00CC5D10" w:rsidP="00DD1FEA">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Operativni cilj 1</w:t>
            </w:r>
          </w:p>
        </w:tc>
        <w:tc>
          <w:tcPr>
            <w:tcW w:w="2817" w:type="dxa"/>
          </w:tcPr>
          <w:p w14:paraId="3C325ADE" w14:textId="31269ACD" w:rsidR="0079264D" w:rsidRPr="00CC5D10" w:rsidRDefault="0079264D" w:rsidP="00DD1FEA">
            <w:pPr>
              <w:autoSpaceDE w:val="0"/>
              <w:autoSpaceDN w:val="0"/>
              <w:adjustRightInd w:val="0"/>
              <w:jc w:val="both"/>
              <w:rPr>
                <w:rFonts w:ascii="Arial" w:hAnsi="Arial" w:cs="Arial"/>
                <w:b/>
                <w:bCs/>
                <w:color w:val="212121"/>
                <w:sz w:val="18"/>
                <w:szCs w:val="18"/>
              </w:rPr>
            </w:pPr>
            <w:r w:rsidRPr="00CC5D10">
              <w:rPr>
                <w:rFonts w:ascii="Arial" w:hAnsi="Arial" w:cs="Arial"/>
                <w:b/>
                <w:bCs/>
                <w:color w:val="212121"/>
                <w:sz w:val="18"/>
                <w:szCs w:val="18"/>
              </w:rPr>
              <w:t>Indi</w:t>
            </w:r>
            <w:r w:rsidR="00CC5D10" w:rsidRPr="00CC5D10">
              <w:rPr>
                <w:rFonts w:ascii="Arial" w:hAnsi="Arial" w:cs="Arial"/>
                <w:b/>
                <w:bCs/>
                <w:color w:val="212121"/>
                <w:sz w:val="18"/>
                <w:szCs w:val="18"/>
              </w:rPr>
              <w:t>kator</w:t>
            </w:r>
          </w:p>
        </w:tc>
        <w:tc>
          <w:tcPr>
            <w:tcW w:w="1701" w:type="dxa"/>
          </w:tcPr>
          <w:p w14:paraId="72D4BF07" w14:textId="310D7999" w:rsidR="0079264D" w:rsidRPr="00CC5D10" w:rsidRDefault="0079264D" w:rsidP="00DD1FEA">
            <w:pPr>
              <w:autoSpaceDE w:val="0"/>
              <w:autoSpaceDN w:val="0"/>
              <w:adjustRightInd w:val="0"/>
              <w:jc w:val="both"/>
              <w:rPr>
                <w:rFonts w:ascii="Arial" w:hAnsi="Arial" w:cs="Arial"/>
                <w:b/>
                <w:bCs/>
                <w:color w:val="212121"/>
                <w:sz w:val="18"/>
                <w:szCs w:val="18"/>
              </w:rPr>
            </w:pPr>
            <w:r w:rsidRPr="00CC5D10">
              <w:rPr>
                <w:rFonts w:ascii="Arial" w:hAnsi="Arial" w:cs="Arial"/>
                <w:b/>
                <w:bCs/>
                <w:color w:val="212121"/>
                <w:sz w:val="18"/>
                <w:szCs w:val="18"/>
              </w:rPr>
              <w:t>2023</w:t>
            </w:r>
          </w:p>
        </w:tc>
        <w:tc>
          <w:tcPr>
            <w:tcW w:w="1843" w:type="dxa"/>
          </w:tcPr>
          <w:p w14:paraId="66B15B37" w14:textId="54901C66" w:rsidR="0079264D" w:rsidRPr="00CC5D10" w:rsidRDefault="0079264D" w:rsidP="00DD1FEA">
            <w:pPr>
              <w:autoSpaceDE w:val="0"/>
              <w:autoSpaceDN w:val="0"/>
              <w:adjustRightInd w:val="0"/>
              <w:jc w:val="both"/>
              <w:rPr>
                <w:rFonts w:ascii="Arial" w:hAnsi="Arial" w:cs="Arial"/>
                <w:b/>
                <w:bCs/>
                <w:color w:val="212121"/>
                <w:sz w:val="18"/>
                <w:szCs w:val="18"/>
              </w:rPr>
            </w:pPr>
            <w:r w:rsidRPr="00CC5D10">
              <w:rPr>
                <w:rFonts w:ascii="Arial" w:hAnsi="Arial" w:cs="Arial"/>
                <w:b/>
                <w:bCs/>
                <w:color w:val="212121"/>
                <w:sz w:val="18"/>
                <w:szCs w:val="18"/>
              </w:rPr>
              <w:t>2024</w:t>
            </w:r>
          </w:p>
        </w:tc>
        <w:tc>
          <w:tcPr>
            <w:tcW w:w="1559" w:type="dxa"/>
          </w:tcPr>
          <w:p w14:paraId="3D052792" w14:textId="157813D6" w:rsidR="0079264D" w:rsidRPr="00CC5D10" w:rsidRDefault="00CC5D10" w:rsidP="00DD1FEA">
            <w:pPr>
              <w:autoSpaceDE w:val="0"/>
              <w:autoSpaceDN w:val="0"/>
              <w:adjustRightInd w:val="0"/>
              <w:jc w:val="both"/>
              <w:rPr>
                <w:rFonts w:ascii="Arial" w:hAnsi="Arial" w:cs="Arial"/>
                <w:b/>
                <w:bCs/>
                <w:color w:val="FF0000"/>
                <w:sz w:val="18"/>
                <w:szCs w:val="18"/>
              </w:rPr>
            </w:pPr>
            <w:r w:rsidRPr="00CC5D10">
              <w:rPr>
                <w:rFonts w:ascii="Arial" w:hAnsi="Arial" w:cs="Arial"/>
                <w:b/>
                <w:bCs/>
                <w:color w:val="FF0000"/>
                <w:sz w:val="18"/>
                <w:szCs w:val="18"/>
              </w:rPr>
              <w:t>Izveštaj za 2023</w:t>
            </w:r>
          </w:p>
        </w:tc>
      </w:tr>
      <w:tr w:rsidR="00CC5D10" w:rsidRPr="00CC5D10" w14:paraId="6BF3EBDC" w14:textId="77777777" w:rsidTr="00DD1FEA">
        <w:trPr>
          <w:trHeight w:val="69"/>
        </w:trPr>
        <w:tc>
          <w:tcPr>
            <w:tcW w:w="1147" w:type="dxa"/>
            <w:vMerge/>
          </w:tcPr>
          <w:p w14:paraId="6BF734A9" w14:textId="77777777" w:rsidR="00CC5D10" w:rsidRPr="00CC5D10" w:rsidRDefault="00CC5D10" w:rsidP="00CC5D10">
            <w:pPr>
              <w:autoSpaceDE w:val="0"/>
              <w:autoSpaceDN w:val="0"/>
              <w:adjustRightInd w:val="0"/>
              <w:jc w:val="both"/>
              <w:rPr>
                <w:rFonts w:ascii="Arial" w:hAnsi="Arial" w:cs="Arial"/>
                <w:color w:val="212121"/>
                <w:sz w:val="18"/>
                <w:szCs w:val="18"/>
              </w:rPr>
            </w:pPr>
          </w:p>
        </w:tc>
        <w:tc>
          <w:tcPr>
            <w:tcW w:w="2817" w:type="dxa"/>
          </w:tcPr>
          <w:p w14:paraId="05AC2FBC" w14:textId="4B95AD41"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 xml:space="preserve">1. Povećanje broja pozitivno </w:t>
            </w:r>
            <w:proofErr w:type="spellStart"/>
            <w:r w:rsidRPr="00CC5D10">
              <w:rPr>
                <w:rFonts w:ascii="Arial" w:hAnsi="Arial" w:cs="Arial"/>
                <w:color w:val="212121"/>
                <w:sz w:val="18"/>
                <w:szCs w:val="18"/>
              </w:rPr>
              <w:t>riješenih</w:t>
            </w:r>
            <w:proofErr w:type="spellEnd"/>
            <w:r w:rsidRPr="00CC5D10">
              <w:rPr>
                <w:rFonts w:ascii="Arial" w:hAnsi="Arial" w:cs="Arial"/>
                <w:color w:val="212121"/>
                <w:sz w:val="18"/>
                <w:szCs w:val="18"/>
              </w:rPr>
              <w:t xml:space="preserve"> prigovora potrošača/</w:t>
            </w:r>
            <w:proofErr w:type="spellStart"/>
            <w:r w:rsidRPr="00CC5D10">
              <w:rPr>
                <w:rFonts w:ascii="Arial" w:hAnsi="Arial" w:cs="Arial"/>
                <w:color w:val="212121"/>
                <w:sz w:val="18"/>
                <w:szCs w:val="18"/>
              </w:rPr>
              <w:t>ica</w:t>
            </w:r>
            <w:proofErr w:type="spellEnd"/>
            <w:r w:rsidRPr="00CC5D10">
              <w:rPr>
                <w:rFonts w:ascii="Arial" w:hAnsi="Arial" w:cs="Arial"/>
                <w:color w:val="212121"/>
                <w:sz w:val="18"/>
                <w:szCs w:val="18"/>
              </w:rPr>
              <w:t xml:space="preserve"> u odnosu na broj </w:t>
            </w:r>
            <w:proofErr w:type="spellStart"/>
            <w:r w:rsidRPr="00CC5D10">
              <w:rPr>
                <w:rFonts w:ascii="Arial" w:hAnsi="Arial" w:cs="Arial"/>
                <w:color w:val="212121"/>
                <w:sz w:val="18"/>
                <w:szCs w:val="18"/>
              </w:rPr>
              <w:t>podnijetih</w:t>
            </w:r>
            <w:proofErr w:type="spellEnd"/>
            <w:r w:rsidRPr="00CC5D10">
              <w:rPr>
                <w:rFonts w:ascii="Arial" w:hAnsi="Arial" w:cs="Arial"/>
                <w:color w:val="212121"/>
                <w:sz w:val="18"/>
                <w:szCs w:val="18"/>
              </w:rPr>
              <w:t xml:space="preserve"> prigovora</w:t>
            </w:r>
          </w:p>
        </w:tc>
        <w:tc>
          <w:tcPr>
            <w:tcW w:w="1701" w:type="dxa"/>
          </w:tcPr>
          <w:p w14:paraId="39AFE7D5" w14:textId="73B863BE"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3%</w:t>
            </w:r>
          </w:p>
        </w:tc>
        <w:tc>
          <w:tcPr>
            <w:tcW w:w="1843" w:type="dxa"/>
          </w:tcPr>
          <w:p w14:paraId="2C5DBA7C" w14:textId="76D48276"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5%</w:t>
            </w:r>
          </w:p>
        </w:tc>
        <w:tc>
          <w:tcPr>
            <w:tcW w:w="1559" w:type="dxa"/>
          </w:tcPr>
          <w:p w14:paraId="22C7F44D" w14:textId="77777777" w:rsidR="00CC5D10" w:rsidRPr="00CC5D10" w:rsidRDefault="00CC5D10" w:rsidP="00CC5D10">
            <w:pPr>
              <w:autoSpaceDE w:val="0"/>
              <w:autoSpaceDN w:val="0"/>
              <w:adjustRightInd w:val="0"/>
              <w:jc w:val="both"/>
              <w:rPr>
                <w:rFonts w:ascii="Arial" w:hAnsi="Arial" w:cs="Arial"/>
                <w:color w:val="FF0000"/>
                <w:sz w:val="18"/>
                <w:szCs w:val="18"/>
              </w:rPr>
            </w:pPr>
            <w:r w:rsidRPr="00CC5D10">
              <w:rPr>
                <w:rFonts w:ascii="Arial" w:hAnsi="Arial" w:cs="Arial"/>
                <w:color w:val="FF0000"/>
                <w:sz w:val="18"/>
                <w:szCs w:val="18"/>
              </w:rPr>
              <w:t>5%</w:t>
            </w:r>
          </w:p>
        </w:tc>
      </w:tr>
      <w:tr w:rsidR="00CC5D10" w:rsidRPr="00CC5D10" w14:paraId="7D78892F" w14:textId="77777777" w:rsidTr="00DD1FEA">
        <w:trPr>
          <w:trHeight w:val="69"/>
        </w:trPr>
        <w:tc>
          <w:tcPr>
            <w:tcW w:w="1147" w:type="dxa"/>
            <w:vMerge/>
          </w:tcPr>
          <w:p w14:paraId="07AC587A" w14:textId="77777777" w:rsidR="00CC5D10" w:rsidRPr="00CC5D10" w:rsidRDefault="00CC5D10" w:rsidP="00CC5D10">
            <w:pPr>
              <w:autoSpaceDE w:val="0"/>
              <w:autoSpaceDN w:val="0"/>
              <w:adjustRightInd w:val="0"/>
              <w:jc w:val="both"/>
              <w:rPr>
                <w:rFonts w:ascii="Arial" w:hAnsi="Arial" w:cs="Arial"/>
                <w:color w:val="212121"/>
                <w:sz w:val="18"/>
                <w:szCs w:val="18"/>
              </w:rPr>
            </w:pPr>
          </w:p>
        </w:tc>
        <w:tc>
          <w:tcPr>
            <w:tcW w:w="2817" w:type="dxa"/>
          </w:tcPr>
          <w:p w14:paraId="79CAF60A" w14:textId="390C230A"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 xml:space="preserve">2. Povećanje broja </w:t>
            </w:r>
            <w:proofErr w:type="spellStart"/>
            <w:r w:rsidRPr="00CC5D10">
              <w:rPr>
                <w:rFonts w:ascii="Arial" w:hAnsi="Arial" w:cs="Arial"/>
                <w:color w:val="212121"/>
                <w:sz w:val="18"/>
                <w:szCs w:val="18"/>
              </w:rPr>
              <w:t>podnijetih</w:t>
            </w:r>
            <w:proofErr w:type="spellEnd"/>
            <w:r w:rsidRPr="00CC5D10">
              <w:rPr>
                <w:rFonts w:ascii="Arial" w:hAnsi="Arial" w:cs="Arial"/>
                <w:color w:val="212121"/>
                <w:sz w:val="18"/>
                <w:szCs w:val="18"/>
              </w:rPr>
              <w:t xml:space="preserve"> </w:t>
            </w:r>
            <w:proofErr w:type="spellStart"/>
            <w:r w:rsidRPr="00CC5D10">
              <w:rPr>
                <w:rFonts w:ascii="Arial" w:hAnsi="Arial" w:cs="Arial"/>
                <w:color w:val="212121"/>
                <w:sz w:val="18"/>
                <w:szCs w:val="18"/>
              </w:rPr>
              <w:t>zahtjeva</w:t>
            </w:r>
            <w:proofErr w:type="spellEnd"/>
            <w:r w:rsidRPr="00CC5D10">
              <w:rPr>
                <w:rFonts w:ascii="Arial" w:hAnsi="Arial" w:cs="Arial"/>
                <w:color w:val="212121"/>
                <w:sz w:val="18"/>
                <w:szCs w:val="18"/>
              </w:rPr>
              <w:t xml:space="preserve"> za vansudsko </w:t>
            </w:r>
            <w:proofErr w:type="spellStart"/>
            <w:r w:rsidRPr="00CC5D10">
              <w:rPr>
                <w:rFonts w:ascii="Arial" w:hAnsi="Arial" w:cs="Arial"/>
                <w:color w:val="212121"/>
                <w:sz w:val="18"/>
                <w:szCs w:val="18"/>
              </w:rPr>
              <w:t>rješavanje</w:t>
            </w:r>
            <w:proofErr w:type="spellEnd"/>
            <w:r w:rsidRPr="00CC5D10">
              <w:rPr>
                <w:rFonts w:ascii="Arial" w:hAnsi="Arial" w:cs="Arial"/>
                <w:color w:val="212121"/>
                <w:sz w:val="18"/>
                <w:szCs w:val="18"/>
              </w:rPr>
              <w:t xml:space="preserve"> sporova</w:t>
            </w:r>
          </w:p>
        </w:tc>
        <w:tc>
          <w:tcPr>
            <w:tcW w:w="1701" w:type="dxa"/>
          </w:tcPr>
          <w:p w14:paraId="7A4DE6E6" w14:textId="2FDE21EA"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za 2</w:t>
            </w:r>
          </w:p>
        </w:tc>
        <w:tc>
          <w:tcPr>
            <w:tcW w:w="1843" w:type="dxa"/>
          </w:tcPr>
          <w:p w14:paraId="199FFCC5" w14:textId="483F0239"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za 5</w:t>
            </w:r>
          </w:p>
        </w:tc>
        <w:tc>
          <w:tcPr>
            <w:tcW w:w="1559" w:type="dxa"/>
          </w:tcPr>
          <w:p w14:paraId="29B0C4BE" w14:textId="6605530E" w:rsidR="00CC5D10" w:rsidRPr="00CC5D10" w:rsidRDefault="00CC5D10" w:rsidP="00CC5D10">
            <w:pPr>
              <w:autoSpaceDE w:val="0"/>
              <w:autoSpaceDN w:val="0"/>
              <w:adjustRightInd w:val="0"/>
              <w:jc w:val="both"/>
              <w:rPr>
                <w:rFonts w:ascii="Arial" w:hAnsi="Arial" w:cs="Arial"/>
                <w:color w:val="FF0000"/>
                <w:sz w:val="18"/>
                <w:szCs w:val="18"/>
              </w:rPr>
            </w:pPr>
            <w:r w:rsidRPr="00CC5D10">
              <w:rPr>
                <w:rFonts w:ascii="Arial" w:hAnsi="Arial" w:cs="Arial"/>
                <w:color w:val="FF0000"/>
                <w:sz w:val="18"/>
                <w:szCs w:val="18"/>
              </w:rPr>
              <w:t>2</w:t>
            </w:r>
          </w:p>
        </w:tc>
      </w:tr>
      <w:tr w:rsidR="00CC5D10" w:rsidRPr="00CC5D10" w14:paraId="1CCBA14D" w14:textId="77777777" w:rsidTr="00DD1FEA">
        <w:tc>
          <w:tcPr>
            <w:tcW w:w="1147" w:type="dxa"/>
            <w:vMerge w:val="restart"/>
          </w:tcPr>
          <w:p w14:paraId="1433B9F3" w14:textId="62C4EA09"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Operativni cilj 2</w:t>
            </w:r>
          </w:p>
        </w:tc>
        <w:tc>
          <w:tcPr>
            <w:tcW w:w="2817" w:type="dxa"/>
          </w:tcPr>
          <w:p w14:paraId="4BDDD274" w14:textId="6A23EF15"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1. Stepen povećanja informisanosti građana/</w:t>
            </w:r>
            <w:proofErr w:type="spellStart"/>
            <w:r w:rsidRPr="00CC5D10">
              <w:rPr>
                <w:rFonts w:ascii="Arial" w:hAnsi="Arial" w:cs="Arial"/>
                <w:color w:val="212121"/>
                <w:sz w:val="18"/>
                <w:szCs w:val="18"/>
              </w:rPr>
              <w:t>ki</w:t>
            </w:r>
            <w:proofErr w:type="spellEnd"/>
            <w:r w:rsidRPr="00CC5D10">
              <w:rPr>
                <w:rFonts w:ascii="Arial" w:hAnsi="Arial" w:cs="Arial"/>
                <w:color w:val="212121"/>
                <w:sz w:val="18"/>
                <w:szCs w:val="18"/>
              </w:rPr>
              <w:t xml:space="preserve"> o potrošačkim pravima u tradicionalnoj kupovini</w:t>
            </w:r>
          </w:p>
        </w:tc>
        <w:tc>
          <w:tcPr>
            <w:tcW w:w="1701" w:type="dxa"/>
          </w:tcPr>
          <w:p w14:paraId="17DF85E8" w14:textId="5BA8E768"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15% ispitanika/</w:t>
            </w:r>
            <w:proofErr w:type="spellStart"/>
            <w:r w:rsidRPr="00CC5D10">
              <w:rPr>
                <w:rFonts w:ascii="Arial" w:hAnsi="Arial" w:cs="Arial"/>
                <w:color w:val="212121"/>
                <w:sz w:val="18"/>
                <w:szCs w:val="18"/>
              </w:rPr>
              <w:t>ca</w:t>
            </w:r>
            <w:proofErr w:type="spellEnd"/>
            <w:r w:rsidRPr="00CC5D10">
              <w:rPr>
                <w:rFonts w:ascii="Arial" w:hAnsi="Arial" w:cs="Arial"/>
                <w:color w:val="212121"/>
                <w:sz w:val="18"/>
                <w:szCs w:val="18"/>
              </w:rPr>
              <w:t xml:space="preserve"> je upoznato da potrošač/</w:t>
            </w:r>
            <w:proofErr w:type="spellStart"/>
            <w:r w:rsidRPr="00CC5D10">
              <w:rPr>
                <w:rFonts w:ascii="Arial" w:hAnsi="Arial" w:cs="Arial"/>
                <w:color w:val="212121"/>
                <w:sz w:val="18"/>
                <w:szCs w:val="18"/>
              </w:rPr>
              <w:t>ica</w:t>
            </w:r>
            <w:proofErr w:type="spellEnd"/>
            <w:r w:rsidRPr="00CC5D10">
              <w:rPr>
                <w:rFonts w:ascii="Arial" w:hAnsi="Arial" w:cs="Arial"/>
                <w:color w:val="212121"/>
                <w:sz w:val="18"/>
                <w:szCs w:val="18"/>
              </w:rPr>
              <w:t xml:space="preserve"> nije dužan/na da uz prigovor podnese i račun</w:t>
            </w:r>
          </w:p>
        </w:tc>
        <w:tc>
          <w:tcPr>
            <w:tcW w:w="1843" w:type="dxa"/>
          </w:tcPr>
          <w:p w14:paraId="7520DFFB" w14:textId="346B25C6"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18%</w:t>
            </w:r>
          </w:p>
        </w:tc>
        <w:tc>
          <w:tcPr>
            <w:tcW w:w="1559" w:type="dxa"/>
          </w:tcPr>
          <w:p w14:paraId="093DA410" w14:textId="45348B59" w:rsidR="00CC5D10" w:rsidRPr="00CC5D10" w:rsidRDefault="00CC5D10" w:rsidP="00CC5D10">
            <w:pPr>
              <w:autoSpaceDE w:val="0"/>
              <w:autoSpaceDN w:val="0"/>
              <w:adjustRightInd w:val="0"/>
              <w:jc w:val="both"/>
              <w:rPr>
                <w:rFonts w:ascii="Arial" w:hAnsi="Arial" w:cs="Arial"/>
                <w:color w:val="FF0000"/>
                <w:sz w:val="18"/>
                <w:szCs w:val="18"/>
              </w:rPr>
            </w:pPr>
            <w:r w:rsidRPr="00CC5D10">
              <w:rPr>
                <w:rFonts w:ascii="Arial" w:hAnsi="Arial" w:cs="Arial"/>
                <w:color w:val="FF0000"/>
                <w:sz w:val="18"/>
                <w:szCs w:val="18"/>
              </w:rPr>
              <w:t>Nije dostupno</w:t>
            </w:r>
          </w:p>
        </w:tc>
      </w:tr>
      <w:tr w:rsidR="00CC5D10" w:rsidRPr="00CC5D10" w14:paraId="5F06702E" w14:textId="77777777" w:rsidTr="00DD1FEA">
        <w:tc>
          <w:tcPr>
            <w:tcW w:w="1147" w:type="dxa"/>
            <w:vMerge/>
          </w:tcPr>
          <w:p w14:paraId="4AF7D63F" w14:textId="77777777" w:rsidR="00CC5D10" w:rsidRPr="00CC5D10" w:rsidRDefault="00CC5D10" w:rsidP="00CC5D10">
            <w:pPr>
              <w:autoSpaceDE w:val="0"/>
              <w:autoSpaceDN w:val="0"/>
              <w:adjustRightInd w:val="0"/>
              <w:jc w:val="both"/>
              <w:rPr>
                <w:rFonts w:ascii="Arial" w:hAnsi="Arial" w:cs="Arial"/>
                <w:color w:val="212121"/>
                <w:sz w:val="18"/>
                <w:szCs w:val="18"/>
              </w:rPr>
            </w:pPr>
          </w:p>
        </w:tc>
        <w:tc>
          <w:tcPr>
            <w:tcW w:w="2817" w:type="dxa"/>
          </w:tcPr>
          <w:p w14:paraId="2F0EF313" w14:textId="7EEAD1D5"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2. Stepen povećanja informisanosti građana/</w:t>
            </w:r>
            <w:proofErr w:type="spellStart"/>
            <w:r w:rsidRPr="00CC5D10">
              <w:rPr>
                <w:rFonts w:ascii="Arial" w:hAnsi="Arial" w:cs="Arial"/>
                <w:color w:val="212121"/>
                <w:sz w:val="18"/>
                <w:szCs w:val="18"/>
              </w:rPr>
              <w:t>ki</w:t>
            </w:r>
            <w:proofErr w:type="spellEnd"/>
            <w:r w:rsidRPr="00CC5D10">
              <w:rPr>
                <w:rFonts w:ascii="Arial" w:hAnsi="Arial" w:cs="Arial"/>
                <w:color w:val="212121"/>
                <w:sz w:val="18"/>
                <w:szCs w:val="18"/>
              </w:rPr>
              <w:t xml:space="preserve"> o potrošačkim pravima u elektronskoj kupovini</w:t>
            </w:r>
          </w:p>
        </w:tc>
        <w:tc>
          <w:tcPr>
            <w:tcW w:w="1701" w:type="dxa"/>
          </w:tcPr>
          <w:p w14:paraId="6B8FE97B" w14:textId="254A8692"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15% ispitanik/</w:t>
            </w:r>
            <w:proofErr w:type="spellStart"/>
            <w:r w:rsidRPr="00CC5D10">
              <w:rPr>
                <w:rFonts w:ascii="Arial" w:hAnsi="Arial" w:cs="Arial"/>
                <w:color w:val="212121"/>
                <w:sz w:val="18"/>
                <w:szCs w:val="18"/>
              </w:rPr>
              <w:t>ca</w:t>
            </w:r>
            <w:proofErr w:type="spellEnd"/>
            <w:r w:rsidRPr="00CC5D10">
              <w:rPr>
                <w:rFonts w:ascii="Arial" w:hAnsi="Arial" w:cs="Arial"/>
                <w:color w:val="212121"/>
                <w:sz w:val="18"/>
                <w:szCs w:val="18"/>
              </w:rPr>
              <w:t xml:space="preserve"> upoznato sa tačnim rokom u kom potrošač/</w:t>
            </w:r>
            <w:proofErr w:type="spellStart"/>
            <w:r w:rsidRPr="00CC5D10">
              <w:rPr>
                <w:rFonts w:ascii="Arial" w:hAnsi="Arial" w:cs="Arial"/>
                <w:color w:val="212121"/>
                <w:sz w:val="18"/>
                <w:szCs w:val="18"/>
              </w:rPr>
              <w:t>ica</w:t>
            </w:r>
            <w:proofErr w:type="spellEnd"/>
            <w:r w:rsidRPr="00CC5D10">
              <w:rPr>
                <w:rFonts w:ascii="Arial" w:hAnsi="Arial" w:cs="Arial"/>
                <w:color w:val="212121"/>
                <w:sz w:val="18"/>
                <w:szCs w:val="18"/>
              </w:rPr>
              <w:t xml:space="preserve"> može da raskine ugovor sklopljen na daljinu (</w:t>
            </w:r>
            <w:proofErr w:type="spellStart"/>
            <w:r w:rsidRPr="00CC5D10">
              <w:rPr>
                <w:rFonts w:ascii="Arial" w:hAnsi="Arial" w:cs="Arial"/>
                <w:color w:val="212121"/>
                <w:sz w:val="18"/>
                <w:szCs w:val="18"/>
              </w:rPr>
              <w:t>online</w:t>
            </w:r>
            <w:proofErr w:type="spellEnd"/>
            <w:r w:rsidRPr="00CC5D10">
              <w:rPr>
                <w:rFonts w:ascii="Arial" w:hAnsi="Arial" w:cs="Arial"/>
                <w:color w:val="212121"/>
                <w:sz w:val="18"/>
                <w:szCs w:val="18"/>
              </w:rPr>
              <w:t>) ili van prostorija trgovca</w:t>
            </w:r>
          </w:p>
        </w:tc>
        <w:tc>
          <w:tcPr>
            <w:tcW w:w="1843" w:type="dxa"/>
          </w:tcPr>
          <w:p w14:paraId="0AFCFBC3" w14:textId="614CFA46"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18%</w:t>
            </w:r>
          </w:p>
        </w:tc>
        <w:tc>
          <w:tcPr>
            <w:tcW w:w="1559" w:type="dxa"/>
          </w:tcPr>
          <w:p w14:paraId="265326DB" w14:textId="6C10D186" w:rsidR="00CC5D10" w:rsidRPr="00CC5D10" w:rsidRDefault="00CC5D10" w:rsidP="00CC5D10">
            <w:pPr>
              <w:autoSpaceDE w:val="0"/>
              <w:autoSpaceDN w:val="0"/>
              <w:adjustRightInd w:val="0"/>
              <w:jc w:val="both"/>
              <w:rPr>
                <w:rFonts w:ascii="Arial" w:hAnsi="Arial" w:cs="Arial"/>
                <w:color w:val="FF0000"/>
                <w:sz w:val="18"/>
                <w:szCs w:val="18"/>
              </w:rPr>
            </w:pPr>
            <w:r w:rsidRPr="00CC5D10">
              <w:rPr>
                <w:rFonts w:ascii="Arial" w:hAnsi="Arial" w:cs="Arial"/>
                <w:color w:val="FF0000"/>
                <w:sz w:val="18"/>
                <w:szCs w:val="18"/>
              </w:rPr>
              <w:t>Nije dostupno</w:t>
            </w:r>
          </w:p>
        </w:tc>
      </w:tr>
      <w:tr w:rsidR="00CC5D10" w:rsidRPr="00CC5D10" w14:paraId="6D1D7BB5" w14:textId="77777777" w:rsidTr="00DD1FEA">
        <w:tc>
          <w:tcPr>
            <w:tcW w:w="1147" w:type="dxa"/>
            <w:vMerge w:val="restart"/>
          </w:tcPr>
          <w:p w14:paraId="150A7FA3" w14:textId="5C0BD287"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Operativni cilj 3</w:t>
            </w:r>
          </w:p>
        </w:tc>
        <w:tc>
          <w:tcPr>
            <w:tcW w:w="2817" w:type="dxa"/>
          </w:tcPr>
          <w:p w14:paraId="4ECF4B68" w14:textId="13FF408A"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 xml:space="preserve">1. Povećanje broja lokalnih samouprava koje su uspostavile saradnju sa udruženjem potrošača </w:t>
            </w:r>
          </w:p>
        </w:tc>
        <w:tc>
          <w:tcPr>
            <w:tcW w:w="1701" w:type="dxa"/>
          </w:tcPr>
          <w:p w14:paraId="018CC1A8" w14:textId="1EBDEEFB"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Za 1</w:t>
            </w:r>
          </w:p>
        </w:tc>
        <w:tc>
          <w:tcPr>
            <w:tcW w:w="1843" w:type="dxa"/>
          </w:tcPr>
          <w:p w14:paraId="0FEDFA97" w14:textId="1F6C60E3"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Za 1</w:t>
            </w:r>
          </w:p>
        </w:tc>
        <w:tc>
          <w:tcPr>
            <w:tcW w:w="1559" w:type="dxa"/>
          </w:tcPr>
          <w:p w14:paraId="37B31AF2" w14:textId="1412CC3B" w:rsidR="00CC5D10" w:rsidRPr="00CC5D10" w:rsidRDefault="00CC5D10" w:rsidP="00CC5D10">
            <w:pPr>
              <w:autoSpaceDE w:val="0"/>
              <w:autoSpaceDN w:val="0"/>
              <w:adjustRightInd w:val="0"/>
              <w:jc w:val="both"/>
              <w:rPr>
                <w:rFonts w:ascii="Arial" w:hAnsi="Arial" w:cs="Arial"/>
                <w:color w:val="FF0000"/>
                <w:sz w:val="18"/>
                <w:szCs w:val="18"/>
              </w:rPr>
            </w:pPr>
            <w:r w:rsidRPr="00CC5D10">
              <w:rPr>
                <w:rFonts w:ascii="Arial" w:hAnsi="Arial" w:cs="Arial"/>
                <w:color w:val="FF0000"/>
                <w:sz w:val="18"/>
                <w:szCs w:val="18"/>
              </w:rPr>
              <w:t>0</w:t>
            </w:r>
          </w:p>
        </w:tc>
      </w:tr>
      <w:tr w:rsidR="00CC5D10" w:rsidRPr="00CC5D10" w14:paraId="626D1199" w14:textId="77777777" w:rsidTr="00DD1FEA">
        <w:tc>
          <w:tcPr>
            <w:tcW w:w="1147" w:type="dxa"/>
            <w:vMerge/>
          </w:tcPr>
          <w:p w14:paraId="1F1FC36B" w14:textId="77777777" w:rsidR="00CC5D10" w:rsidRPr="00CC5D10" w:rsidRDefault="00CC5D10" w:rsidP="00CC5D10">
            <w:pPr>
              <w:autoSpaceDE w:val="0"/>
              <w:autoSpaceDN w:val="0"/>
              <w:adjustRightInd w:val="0"/>
              <w:jc w:val="both"/>
              <w:rPr>
                <w:rFonts w:ascii="Arial" w:hAnsi="Arial" w:cs="Arial"/>
                <w:color w:val="212121"/>
                <w:sz w:val="18"/>
                <w:szCs w:val="18"/>
              </w:rPr>
            </w:pPr>
          </w:p>
        </w:tc>
        <w:tc>
          <w:tcPr>
            <w:tcW w:w="2817" w:type="dxa"/>
          </w:tcPr>
          <w:p w14:paraId="2098B2AB" w14:textId="5017520F"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2. Povećanje broja inicijativa i projekata koji se odnose na zaštitu potrošača/</w:t>
            </w:r>
            <w:proofErr w:type="spellStart"/>
            <w:r w:rsidRPr="00CC5D10">
              <w:rPr>
                <w:rFonts w:ascii="Arial" w:hAnsi="Arial" w:cs="Arial"/>
                <w:color w:val="212121"/>
                <w:sz w:val="18"/>
                <w:szCs w:val="18"/>
              </w:rPr>
              <w:t>ica</w:t>
            </w:r>
            <w:proofErr w:type="spellEnd"/>
            <w:r w:rsidRPr="00CC5D10">
              <w:rPr>
                <w:rFonts w:ascii="Arial" w:hAnsi="Arial" w:cs="Arial"/>
                <w:color w:val="212121"/>
                <w:sz w:val="18"/>
                <w:szCs w:val="18"/>
              </w:rPr>
              <w:t xml:space="preserve"> pokrenutih od strane ostalih </w:t>
            </w:r>
            <w:proofErr w:type="spellStart"/>
            <w:r w:rsidRPr="00CC5D10">
              <w:rPr>
                <w:rFonts w:ascii="Arial" w:hAnsi="Arial" w:cs="Arial"/>
                <w:color w:val="212121"/>
                <w:sz w:val="18"/>
                <w:szCs w:val="18"/>
              </w:rPr>
              <w:t>stejkholdera</w:t>
            </w:r>
            <w:proofErr w:type="spellEnd"/>
          </w:p>
        </w:tc>
        <w:tc>
          <w:tcPr>
            <w:tcW w:w="1701" w:type="dxa"/>
          </w:tcPr>
          <w:p w14:paraId="1D0B18F3" w14:textId="75E3E6CD"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Za 1</w:t>
            </w:r>
          </w:p>
        </w:tc>
        <w:tc>
          <w:tcPr>
            <w:tcW w:w="1843" w:type="dxa"/>
          </w:tcPr>
          <w:p w14:paraId="4DC8D90D" w14:textId="61A5A6AF" w:rsidR="00CC5D10" w:rsidRPr="00CC5D10" w:rsidRDefault="00CC5D10" w:rsidP="00CC5D10">
            <w:pPr>
              <w:autoSpaceDE w:val="0"/>
              <w:autoSpaceDN w:val="0"/>
              <w:adjustRightInd w:val="0"/>
              <w:jc w:val="both"/>
              <w:rPr>
                <w:rFonts w:ascii="Arial" w:hAnsi="Arial" w:cs="Arial"/>
                <w:color w:val="212121"/>
                <w:sz w:val="18"/>
                <w:szCs w:val="18"/>
              </w:rPr>
            </w:pPr>
            <w:r w:rsidRPr="00CC5D10">
              <w:rPr>
                <w:rFonts w:ascii="Arial" w:hAnsi="Arial" w:cs="Arial"/>
                <w:color w:val="212121"/>
                <w:sz w:val="18"/>
                <w:szCs w:val="18"/>
              </w:rPr>
              <w:t>Za 2</w:t>
            </w:r>
          </w:p>
        </w:tc>
        <w:tc>
          <w:tcPr>
            <w:tcW w:w="1559" w:type="dxa"/>
          </w:tcPr>
          <w:p w14:paraId="2D3B9919" w14:textId="7DC89433" w:rsidR="00CC5D10" w:rsidRPr="00CC5D10" w:rsidRDefault="00CC5D10" w:rsidP="00CC5D10">
            <w:pPr>
              <w:autoSpaceDE w:val="0"/>
              <w:autoSpaceDN w:val="0"/>
              <w:adjustRightInd w:val="0"/>
              <w:jc w:val="both"/>
              <w:rPr>
                <w:rFonts w:ascii="Arial" w:hAnsi="Arial" w:cs="Arial"/>
                <w:color w:val="FF0000"/>
                <w:sz w:val="18"/>
                <w:szCs w:val="18"/>
              </w:rPr>
            </w:pPr>
            <w:r w:rsidRPr="00CC5D10">
              <w:rPr>
                <w:rFonts w:ascii="Arial" w:hAnsi="Arial" w:cs="Arial"/>
                <w:color w:val="FF0000"/>
                <w:sz w:val="18"/>
                <w:szCs w:val="18"/>
              </w:rPr>
              <w:t>1</w:t>
            </w:r>
          </w:p>
        </w:tc>
      </w:tr>
    </w:tbl>
    <w:p w14:paraId="4BB36B07" w14:textId="3FD1B4CB" w:rsidR="0079264D" w:rsidRPr="0079264D" w:rsidRDefault="00CC5D10" w:rsidP="00780FF6">
      <w:pPr>
        <w:jc w:val="both"/>
        <w:rPr>
          <w:rFonts w:ascii="Arial" w:hAnsi="Arial" w:cs="Arial"/>
          <w:sz w:val="16"/>
          <w:szCs w:val="16"/>
          <w:lang w:val="en-GB"/>
        </w:rPr>
      </w:pPr>
      <w:proofErr w:type="spellStart"/>
      <w:r>
        <w:rPr>
          <w:rFonts w:ascii="Arial" w:hAnsi="Arial" w:cs="Arial"/>
          <w:sz w:val="16"/>
          <w:szCs w:val="16"/>
          <w:lang w:val="en-GB"/>
        </w:rPr>
        <w:t>Izvor</w:t>
      </w:r>
      <w:proofErr w:type="spellEnd"/>
      <w:r>
        <w:rPr>
          <w:rFonts w:ascii="Arial" w:hAnsi="Arial" w:cs="Arial"/>
          <w:sz w:val="16"/>
          <w:szCs w:val="16"/>
          <w:lang w:val="en-GB"/>
        </w:rPr>
        <w:t xml:space="preserve">: MER, </w:t>
      </w:r>
      <w:proofErr w:type="spellStart"/>
      <w:r>
        <w:rPr>
          <w:rFonts w:ascii="Arial" w:hAnsi="Arial" w:cs="Arial"/>
          <w:sz w:val="16"/>
          <w:szCs w:val="16"/>
          <w:lang w:val="en-GB"/>
        </w:rPr>
        <w:t>Izveštaj</w:t>
      </w:r>
      <w:proofErr w:type="spellEnd"/>
      <w:r>
        <w:rPr>
          <w:rFonts w:ascii="Arial" w:hAnsi="Arial" w:cs="Arial"/>
          <w:sz w:val="16"/>
          <w:szCs w:val="16"/>
          <w:lang w:val="en-GB"/>
        </w:rPr>
        <w:t xml:space="preserve"> o </w:t>
      </w:r>
      <w:proofErr w:type="spellStart"/>
      <w:r>
        <w:rPr>
          <w:rFonts w:ascii="Arial" w:hAnsi="Arial" w:cs="Arial"/>
          <w:sz w:val="16"/>
          <w:szCs w:val="16"/>
          <w:lang w:val="en-GB"/>
        </w:rPr>
        <w:t>implementaciji</w:t>
      </w:r>
      <w:proofErr w:type="spellEnd"/>
      <w:r>
        <w:rPr>
          <w:rFonts w:ascii="Arial" w:hAnsi="Arial" w:cs="Arial"/>
          <w:sz w:val="16"/>
          <w:szCs w:val="16"/>
          <w:lang w:val="en-GB"/>
        </w:rPr>
        <w:t xml:space="preserve"> NPZP, 2023</w:t>
      </w:r>
    </w:p>
    <w:p w14:paraId="58B101C6" w14:textId="0157BC62" w:rsidR="000921E0" w:rsidRPr="000921E0" w:rsidRDefault="000921E0" w:rsidP="00132EC3">
      <w:pPr>
        <w:jc w:val="both"/>
        <w:rPr>
          <w:rFonts w:ascii="Arial" w:hAnsi="Arial" w:cs="Arial"/>
          <w:sz w:val="20"/>
          <w:szCs w:val="20"/>
        </w:rPr>
      </w:pPr>
      <w:r w:rsidRPr="000921E0">
        <w:rPr>
          <w:rFonts w:ascii="Arial" w:hAnsi="Arial" w:cs="Arial"/>
          <w:sz w:val="20"/>
          <w:szCs w:val="20"/>
        </w:rPr>
        <w:t xml:space="preserve">Tabela 4. jasno ilustruje napredak koji je postignut, </w:t>
      </w:r>
      <w:proofErr w:type="spellStart"/>
      <w:r w:rsidRPr="000921E0">
        <w:rPr>
          <w:rFonts w:ascii="Arial" w:hAnsi="Arial" w:cs="Arial"/>
          <w:sz w:val="20"/>
          <w:szCs w:val="20"/>
        </w:rPr>
        <w:t>posmatrajući</w:t>
      </w:r>
      <w:proofErr w:type="spellEnd"/>
      <w:r w:rsidRPr="000921E0">
        <w:rPr>
          <w:rFonts w:ascii="Arial" w:hAnsi="Arial" w:cs="Arial"/>
          <w:sz w:val="20"/>
          <w:szCs w:val="20"/>
        </w:rPr>
        <w:t xml:space="preserve"> indikatore učinka. </w:t>
      </w:r>
      <w:proofErr w:type="spellStart"/>
      <w:r w:rsidRPr="000921E0">
        <w:rPr>
          <w:rFonts w:ascii="Arial" w:hAnsi="Arial" w:cs="Arial"/>
          <w:sz w:val="20"/>
          <w:szCs w:val="20"/>
        </w:rPr>
        <w:t>Najveći</w:t>
      </w:r>
      <w:proofErr w:type="spellEnd"/>
      <w:r w:rsidRPr="000921E0">
        <w:rPr>
          <w:rFonts w:ascii="Arial" w:hAnsi="Arial" w:cs="Arial"/>
          <w:sz w:val="20"/>
          <w:szCs w:val="20"/>
        </w:rPr>
        <w:t xml:space="preserve"> napredak je postignut u prvom operativnom cilju, jer je ciljna vrednost za 2024. godinu u </w:t>
      </w:r>
      <w:proofErr w:type="spellStart"/>
      <w:r w:rsidRPr="000921E0">
        <w:rPr>
          <w:rFonts w:ascii="Arial" w:hAnsi="Arial" w:cs="Arial"/>
          <w:sz w:val="20"/>
          <w:szCs w:val="20"/>
        </w:rPr>
        <w:t>povećanju</w:t>
      </w:r>
      <w:proofErr w:type="spellEnd"/>
      <w:r w:rsidRPr="000921E0">
        <w:rPr>
          <w:rFonts w:ascii="Arial" w:hAnsi="Arial" w:cs="Arial"/>
          <w:sz w:val="20"/>
          <w:szCs w:val="20"/>
        </w:rPr>
        <w:t xml:space="preserve"> pozitivnih rešenja po žalbama potrošača u ukupnom broju žalbi postignuta 2023. godine. Stoga je željeni rezultat postignut godinu dana ranije nego što je bilo očekivano.</w:t>
      </w:r>
    </w:p>
    <w:p w14:paraId="1BF908BA" w14:textId="449FA7AA" w:rsidR="000921E0" w:rsidRPr="000921E0" w:rsidRDefault="000921E0" w:rsidP="00132EC3">
      <w:pPr>
        <w:jc w:val="both"/>
        <w:rPr>
          <w:rFonts w:ascii="Arial" w:hAnsi="Arial" w:cs="Arial"/>
          <w:sz w:val="20"/>
          <w:szCs w:val="20"/>
        </w:rPr>
      </w:pPr>
      <w:r w:rsidRPr="000921E0">
        <w:rPr>
          <w:rFonts w:ascii="Arial" w:hAnsi="Arial" w:cs="Arial"/>
          <w:sz w:val="20"/>
          <w:szCs w:val="20"/>
        </w:rPr>
        <w:t xml:space="preserve">FE je u ranim fazama evaluacije identifikovao objektivan problem kada je u pitanju praćenje i evaluacija indikatora u drugom operativnom cilju. Imajući u vidu da se indikatori učinka za cilj 2 izračunavaju </w:t>
      </w:r>
      <w:proofErr w:type="spellStart"/>
      <w:r w:rsidRPr="000921E0">
        <w:rPr>
          <w:rFonts w:ascii="Arial" w:hAnsi="Arial" w:cs="Arial"/>
          <w:sz w:val="20"/>
          <w:szCs w:val="20"/>
        </w:rPr>
        <w:t>participativnim</w:t>
      </w:r>
      <w:proofErr w:type="spellEnd"/>
      <w:r w:rsidRPr="000921E0">
        <w:rPr>
          <w:rFonts w:ascii="Arial" w:hAnsi="Arial" w:cs="Arial"/>
          <w:sz w:val="20"/>
          <w:szCs w:val="20"/>
        </w:rPr>
        <w:t xml:space="preserve"> istraživanjem javnog mnjenja, praćenje takvih indikatora zahteva da se detaljno istraživanje sprovodi svake godine izveštavanja. Iako su takva istraživanja bila predviđena akcionim planovima za 2022. i 2023. godinu, ona nisu sprovedena zbog nedovoljnih kapaciteta MER (u skladu sa informacijama u godišnjim izveštajima o implementaciji). Oba godišnja izveštaja jasno navode da je osoblje MER u Direkciji za zaštitu potrošača veoma preopterećeno i da je postupak zapošljavanja dodatnog osoblja planiran, ali nije realizovan. U te svrhe, primena člana 156 Zakona o zaštiti potrošača treba da se sprovede u delu gde se realizacija aktivnosti iz Akcionog plana za NPZP može ustupiti drugim pravnim ili privatnim subjektima. Stoga se očekuje da će se </w:t>
      </w:r>
      <w:proofErr w:type="spellStart"/>
      <w:r w:rsidRPr="000921E0">
        <w:rPr>
          <w:rFonts w:ascii="Arial" w:hAnsi="Arial" w:cs="Arial"/>
          <w:sz w:val="20"/>
          <w:szCs w:val="20"/>
        </w:rPr>
        <w:t>participativno</w:t>
      </w:r>
      <w:proofErr w:type="spellEnd"/>
      <w:r w:rsidRPr="000921E0">
        <w:rPr>
          <w:rFonts w:ascii="Arial" w:hAnsi="Arial" w:cs="Arial"/>
          <w:sz w:val="20"/>
          <w:szCs w:val="20"/>
        </w:rPr>
        <w:t xml:space="preserve"> istraživanje javnog mnjenja sprovesti putem javnog poziva, gde bi predviđeni zadatak bio delegiran </w:t>
      </w:r>
      <w:proofErr w:type="spellStart"/>
      <w:r w:rsidRPr="000921E0">
        <w:rPr>
          <w:rFonts w:ascii="Arial" w:hAnsi="Arial" w:cs="Arial"/>
          <w:sz w:val="20"/>
          <w:szCs w:val="20"/>
        </w:rPr>
        <w:t>nejavnom</w:t>
      </w:r>
      <w:proofErr w:type="spellEnd"/>
      <w:r w:rsidRPr="000921E0">
        <w:rPr>
          <w:rFonts w:ascii="Arial" w:hAnsi="Arial" w:cs="Arial"/>
          <w:sz w:val="20"/>
          <w:szCs w:val="20"/>
        </w:rPr>
        <w:t xml:space="preserve"> pravnom licu, odnosno instituciji koja bi sprovela istraživanje na komercijalnoj osnovi.</w:t>
      </w:r>
    </w:p>
    <w:p w14:paraId="3D0E34F5" w14:textId="537CDA2F" w:rsidR="000921E0" w:rsidRPr="000921E0" w:rsidRDefault="000921E0" w:rsidP="00132EC3">
      <w:pPr>
        <w:jc w:val="both"/>
        <w:rPr>
          <w:rFonts w:ascii="Arial" w:hAnsi="Arial" w:cs="Arial"/>
          <w:sz w:val="20"/>
          <w:szCs w:val="20"/>
        </w:rPr>
      </w:pPr>
      <w:r w:rsidRPr="000921E0">
        <w:rPr>
          <w:rFonts w:ascii="Arial" w:hAnsi="Arial" w:cs="Arial"/>
          <w:sz w:val="20"/>
          <w:szCs w:val="20"/>
        </w:rPr>
        <w:t>MER i ostali članovi SZP bili su veoma aktivni u podizanju svesti o politikama zaštite potrošača kroz sprovođenje aktivnosti NPZP. Kao što je često isticano tokom intervjua, način razmišljanja javnosti još uvek nije razvijen do tačke u kojoj prosečan građanin Crne Gore sebe smatra potrošačem sa zakonski garantovanim pravima. Stoga je najveći deo aktivnosti sproveden na podizanju svesti, uključujući obeležavanje Međunarodnog dana zaštite potrošača, poboljšanje veb stranice Centralne banke kreiranjem novog segmenta koji bi omogućio potrošaču da na osnovu podataka o uslovima kreditiranja, dobije informacije o najpovoljnijoj ponudi koja je prilagođena njegovoj finansijskoj situaciji, te razvojem raznih brošura, vodiča i informativnih paketa u različitim oblastima koje uzimaju u obzir potrošače. Sa druge strane, potpuna funkcionalnost centralnog IT sistema za zaštitu potrošača tek treba da bude u potpunosti postignuta. S obzirom na to da je zamišljeno da pomenuti portal bude vodeći kanal komunikacije sa potrošačima i da istovremeno služi kao administrativni alat za inspektore koji se bave sporovima sa potrošačima, neophodno je da se on završi jer može značajno podići svest na nacionalnom nivou. Sistem je, kako se navodi, tehnički operativan, dok će MER imenovati operatera (državnog službenika zaduženog za upravljanje ulazima/izlazima) u trećem kvartalu 2025. godine.</w:t>
      </w:r>
    </w:p>
    <w:p w14:paraId="0F76B58C" w14:textId="55BAA086" w:rsidR="000921E0" w:rsidRPr="000921E0" w:rsidRDefault="000921E0" w:rsidP="00132EC3">
      <w:pPr>
        <w:jc w:val="both"/>
        <w:rPr>
          <w:rFonts w:ascii="Arial" w:hAnsi="Arial" w:cs="Arial"/>
          <w:sz w:val="20"/>
          <w:szCs w:val="20"/>
        </w:rPr>
      </w:pPr>
      <w:r w:rsidRPr="000921E0">
        <w:rPr>
          <w:rFonts w:ascii="Arial" w:hAnsi="Arial" w:cs="Arial"/>
          <w:sz w:val="20"/>
          <w:szCs w:val="20"/>
        </w:rPr>
        <w:t xml:space="preserve">Koristeći </w:t>
      </w:r>
      <w:proofErr w:type="spellStart"/>
      <w:r w:rsidRPr="000921E0">
        <w:rPr>
          <w:rFonts w:ascii="Arial" w:hAnsi="Arial" w:cs="Arial"/>
          <w:sz w:val="20"/>
          <w:szCs w:val="20"/>
        </w:rPr>
        <w:t>Likertovu</w:t>
      </w:r>
      <w:proofErr w:type="spellEnd"/>
      <w:r w:rsidRPr="000921E0">
        <w:rPr>
          <w:rFonts w:ascii="Arial" w:hAnsi="Arial" w:cs="Arial"/>
          <w:sz w:val="20"/>
          <w:szCs w:val="20"/>
        </w:rPr>
        <w:t xml:space="preserve"> skalu, ispitanici su ocenili ovo ključno pitanje za evaluaciju sa 4,33/5, što sugeriše da je NPZP bio u proseku </w:t>
      </w:r>
      <w:r w:rsidRPr="000921E0">
        <w:rPr>
          <w:rFonts w:ascii="Arial" w:hAnsi="Arial" w:cs="Arial"/>
          <w:b/>
          <w:bCs/>
          <w:sz w:val="20"/>
          <w:szCs w:val="20"/>
        </w:rPr>
        <w:t>veoma efektivan</w:t>
      </w:r>
      <w:r w:rsidRPr="000921E0">
        <w:rPr>
          <w:rFonts w:ascii="Arial" w:hAnsi="Arial" w:cs="Arial"/>
          <w:sz w:val="20"/>
          <w:szCs w:val="20"/>
        </w:rPr>
        <w:t>, dok su neki učesnici istakli da je izuzetno efikasan. Ovaj rezultat ukazuje da je strateški cilj NPZP-a u velikoj meri postignut sa stanovišta osoblja koje je lično bilo uključeno u fazu implementacije. S druge strane, objektivno je postignut mali napredak u cilju 3, i stoga, FE zaključuje da strateški cilj nije u potpunosti postignut i da bi trebalo da posluži kao osnova za buduće politike zaštite potrošača.</w:t>
      </w:r>
    </w:p>
    <w:p w14:paraId="71CFFD1D" w14:textId="77777777" w:rsidR="00132EC3" w:rsidRDefault="00132EC3" w:rsidP="00132EC3">
      <w:pPr>
        <w:jc w:val="both"/>
        <w:rPr>
          <w:rFonts w:ascii="Arial" w:hAnsi="Arial" w:cs="Arial"/>
          <w:sz w:val="20"/>
          <w:szCs w:val="20"/>
          <w:lang w:val="en-GB"/>
        </w:rPr>
      </w:pPr>
    </w:p>
    <w:p w14:paraId="088C3D1B" w14:textId="77777777" w:rsidR="000921E0" w:rsidRDefault="000921E0" w:rsidP="000921E0">
      <w:pPr>
        <w:pStyle w:val="ParagraphOED"/>
        <w:numPr>
          <w:ilvl w:val="0"/>
          <w:numId w:val="10"/>
        </w:numPr>
        <w:spacing w:before="0" w:after="0"/>
        <w:rPr>
          <w:rFonts w:ascii="Arial" w:hAnsi="Arial" w:cs="Arial"/>
          <w:sz w:val="20"/>
          <w:szCs w:val="20"/>
          <w:lang w:val="sr-Latn-RS"/>
        </w:rPr>
      </w:pPr>
      <w:r w:rsidRPr="006E3744">
        <w:rPr>
          <w:rFonts w:ascii="Arial" w:hAnsi="Arial" w:cs="Arial"/>
          <w:sz w:val="20"/>
          <w:szCs w:val="20"/>
          <w:lang w:val="sr-Latn-RS"/>
        </w:rPr>
        <w:lastRenderedPageBreak/>
        <w:t>U kojoj meri su strategija i alati MEL-a bili adekvatni i ef</w:t>
      </w:r>
      <w:r>
        <w:rPr>
          <w:rFonts w:ascii="Arial" w:hAnsi="Arial" w:cs="Arial"/>
          <w:sz w:val="20"/>
          <w:szCs w:val="20"/>
          <w:lang w:val="sr-Latn-RS"/>
        </w:rPr>
        <w:t>ektivni</w:t>
      </w:r>
      <w:r w:rsidRPr="006E3744">
        <w:rPr>
          <w:rFonts w:ascii="Arial" w:hAnsi="Arial" w:cs="Arial"/>
          <w:sz w:val="20"/>
          <w:szCs w:val="20"/>
          <w:lang w:val="sr-Latn-RS"/>
        </w:rPr>
        <w:t xml:space="preserve"> za praćenje napretka u pogledu i) razumevanja rezultata i, na kraju krajeva, uticaja N</w:t>
      </w:r>
      <w:r>
        <w:rPr>
          <w:rFonts w:ascii="Arial" w:hAnsi="Arial" w:cs="Arial"/>
          <w:sz w:val="20"/>
          <w:szCs w:val="20"/>
          <w:lang w:val="sr-Latn-RS"/>
        </w:rPr>
        <w:t>PZP</w:t>
      </w:r>
      <w:r w:rsidRPr="006E3744">
        <w:rPr>
          <w:rFonts w:ascii="Arial" w:hAnsi="Arial" w:cs="Arial"/>
          <w:sz w:val="20"/>
          <w:szCs w:val="20"/>
          <w:lang w:val="sr-Latn-RS"/>
        </w:rPr>
        <w:t>-a i ii) otkrivanja bilo kakvih potrebnih prilagođavanja implementacije za bolji napredak ka rezultatima?</w:t>
      </w:r>
    </w:p>
    <w:p w14:paraId="0710DE83" w14:textId="77777777" w:rsidR="000921E0" w:rsidRDefault="000921E0" w:rsidP="000921E0">
      <w:pPr>
        <w:pStyle w:val="ParagraphOED"/>
        <w:numPr>
          <w:ilvl w:val="1"/>
          <w:numId w:val="3"/>
        </w:numPr>
        <w:spacing w:before="0" w:after="0"/>
        <w:rPr>
          <w:rFonts w:ascii="Arial" w:hAnsi="Arial" w:cs="Arial"/>
          <w:sz w:val="20"/>
          <w:szCs w:val="20"/>
          <w:lang w:val="sr-Latn-RS"/>
        </w:rPr>
      </w:pPr>
      <w:r w:rsidRPr="006E3744">
        <w:rPr>
          <w:rFonts w:ascii="Arial" w:hAnsi="Arial" w:cs="Arial"/>
          <w:sz w:val="20"/>
          <w:szCs w:val="20"/>
          <w:lang w:val="sr-Latn-RS"/>
        </w:rPr>
        <w:t>Koja prilagođavanja MEL sistema se preporučuju u budućim strategijama?</w:t>
      </w:r>
    </w:p>
    <w:p w14:paraId="30D222C2" w14:textId="77777777" w:rsidR="000921E0" w:rsidRDefault="000921E0" w:rsidP="000921E0">
      <w:pPr>
        <w:pStyle w:val="ParagraphOED"/>
        <w:numPr>
          <w:ilvl w:val="0"/>
          <w:numId w:val="0"/>
        </w:numPr>
        <w:spacing w:before="0" w:after="0"/>
        <w:rPr>
          <w:rFonts w:ascii="Arial" w:hAnsi="Arial" w:cs="Arial"/>
          <w:sz w:val="20"/>
          <w:szCs w:val="20"/>
          <w:lang w:val="en-GB"/>
        </w:rPr>
      </w:pPr>
    </w:p>
    <w:p w14:paraId="4ABFDF21" w14:textId="77777777" w:rsidR="00132EC3" w:rsidRDefault="00132EC3" w:rsidP="00132EC3">
      <w:pPr>
        <w:pStyle w:val="ParagraphOED"/>
        <w:numPr>
          <w:ilvl w:val="0"/>
          <w:numId w:val="0"/>
        </w:numPr>
        <w:spacing w:before="0" w:after="0"/>
        <w:ind w:left="360" w:hanging="360"/>
        <w:rPr>
          <w:rFonts w:ascii="Arial" w:hAnsi="Arial" w:cs="Arial"/>
          <w:sz w:val="20"/>
          <w:szCs w:val="20"/>
          <w:lang w:val="en-GB"/>
        </w:rPr>
      </w:pPr>
    </w:p>
    <w:p w14:paraId="6AD3CB61" w14:textId="525CB48C" w:rsidR="000921E0" w:rsidRPr="000168A5" w:rsidRDefault="000921E0" w:rsidP="000921E0">
      <w:pPr>
        <w:jc w:val="both"/>
        <w:rPr>
          <w:rFonts w:ascii="Arial" w:hAnsi="Arial" w:cs="Arial"/>
          <w:sz w:val="20"/>
          <w:szCs w:val="20"/>
        </w:rPr>
      </w:pPr>
      <w:r w:rsidRPr="000168A5">
        <w:rPr>
          <w:rFonts w:ascii="Arial" w:hAnsi="Arial" w:cs="Arial"/>
          <w:sz w:val="20"/>
          <w:szCs w:val="20"/>
        </w:rPr>
        <w:t xml:space="preserve">NPZP je predvideo detaljan sistem MEL-a, zasnovan na godišnjem izveštavanju i prikupljanju podataka od </w:t>
      </w:r>
      <w:r w:rsidR="000168A5" w:rsidRPr="000168A5">
        <w:rPr>
          <w:rFonts w:ascii="Arial" w:hAnsi="Arial" w:cs="Arial"/>
          <w:sz w:val="20"/>
          <w:szCs w:val="20"/>
        </w:rPr>
        <w:t>odgovarajućih</w:t>
      </w:r>
      <w:r w:rsidRPr="000168A5">
        <w:rPr>
          <w:rFonts w:ascii="Arial" w:hAnsi="Arial" w:cs="Arial"/>
          <w:sz w:val="20"/>
          <w:szCs w:val="20"/>
        </w:rPr>
        <w:t xml:space="preserve"> tela. Sistem je podrazumevao da tela koja su odgovorna za sprovođenje aktivnosti NPZP-a izveštavaju o svojim aktivnostima MER-u, koji bi zatim sastavio godišnji izveštaj o sprovođenju. Izveštaj bi se razmatrao na sednici SZP-a, a zatim bi se prosleđivao Vladi na usvajanje. Navedeni godišnji izveštaji su dostavljeni kako je predviđeno, izuzev konačnog izveštaja koji čeka završetak FE. Godišnji izveštaji su </w:t>
      </w:r>
      <w:r w:rsidR="000168A5" w:rsidRPr="000168A5">
        <w:rPr>
          <w:rFonts w:ascii="Arial" w:hAnsi="Arial" w:cs="Arial"/>
          <w:sz w:val="20"/>
          <w:szCs w:val="20"/>
        </w:rPr>
        <w:t>korišćeni</w:t>
      </w:r>
      <w:r w:rsidRPr="000168A5">
        <w:rPr>
          <w:rFonts w:ascii="Arial" w:hAnsi="Arial" w:cs="Arial"/>
          <w:sz w:val="20"/>
          <w:szCs w:val="20"/>
        </w:rPr>
        <w:t xml:space="preserve"> kao osnova za pripremu godišnjih akcionih planova za sprovođenje NPZP-a. Intervjui sa predstavnicima MER-a zaključili su da su akcioni planovi osmišljeni po principu gde bi se nerealizovane aktivnosti prenele u akcioni plan za </w:t>
      </w:r>
      <w:r w:rsidR="000168A5" w:rsidRPr="000168A5">
        <w:rPr>
          <w:rFonts w:ascii="Arial" w:hAnsi="Arial" w:cs="Arial"/>
          <w:sz w:val="20"/>
          <w:szCs w:val="20"/>
        </w:rPr>
        <w:t>sledeću</w:t>
      </w:r>
      <w:r w:rsidRPr="000168A5">
        <w:rPr>
          <w:rFonts w:ascii="Arial" w:hAnsi="Arial" w:cs="Arial"/>
          <w:sz w:val="20"/>
          <w:szCs w:val="20"/>
        </w:rPr>
        <w:t xml:space="preserve"> godinu.</w:t>
      </w:r>
    </w:p>
    <w:p w14:paraId="5A2E4451" w14:textId="6CF1E73D" w:rsidR="000921E0" w:rsidRPr="000168A5" w:rsidRDefault="000921E0" w:rsidP="000921E0">
      <w:pPr>
        <w:jc w:val="both"/>
        <w:rPr>
          <w:rFonts w:ascii="Arial" w:hAnsi="Arial" w:cs="Arial"/>
          <w:sz w:val="20"/>
          <w:szCs w:val="20"/>
        </w:rPr>
      </w:pPr>
      <w:r w:rsidRPr="000168A5">
        <w:rPr>
          <w:rFonts w:ascii="Arial" w:hAnsi="Arial" w:cs="Arial"/>
          <w:sz w:val="20"/>
          <w:szCs w:val="20"/>
        </w:rPr>
        <w:t xml:space="preserve">FE nije </w:t>
      </w:r>
      <w:r w:rsidR="000168A5" w:rsidRPr="000168A5">
        <w:rPr>
          <w:rFonts w:ascii="Arial" w:hAnsi="Arial" w:cs="Arial"/>
          <w:sz w:val="20"/>
          <w:szCs w:val="20"/>
        </w:rPr>
        <w:t>pribavio dokaze</w:t>
      </w:r>
      <w:r w:rsidRPr="000168A5">
        <w:rPr>
          <w:rFonts w:ascii="Arial" w:hAnsi="Arial" w:cs="Arial"/>
          <w:sz w:val="20"/>
          <w:szCs w:val="20"/>
        </w:rPr>
        <w:t xml:space="preserve"> koji govore u prilog MEL-ovog sistema koji je rezultirao prilagođavanjem kursa radi boljeg napretka ka rezultatima. Iako su godišnji izveštaji redovno pripremljeni, godišnji akcioni planovi koji su izrađivani nisu nužno odražavali potrebe za prilagođavanjem ka ostvarivanju ciljeva NPZP-a, </w:t>
      </w:r>
      <w:proofErr w:type="spellStart"/>
      <w:r w:rsidRPr="000168A5">
        <w:rPr>
          <w:rFonts w:ascii="Arial" w:hAnsi="Arial" w:cs="Arial"/>
          <w:sz w:val="20"/>
          <w:szCs w:val="20"/>
        </w:rPr>
        <w:t>vec</w:t>
      </w:r>
      <w:proofErr w:type="spellEnd"/>
      <w:r w:rsidRPr="000168A5">
        <w:rPr>
          <w:rFonts w:ascii="Arial" w:hAnsi="Arial" w:cs="Arial"/>
          <w:sz w:val="20"/>
          <w:szCs w:val="20"/>
        </w:rPr>
        <w:t xml:space="preserve">́ su se sastojali od aktivnosti koje su predložili </w:t>
      </w:r>
      <w:r w:rsidR="000168A5" w:rsidRPr="000168A5">
        <w:rPr>
          <w:rFonts w:ascii="Arial" w:hAnsi="Arial" w:cs="Arial"/>
          <w:sz w:val="20"/>
          <w:szCs w:val="20"/>
        </w:rPr>
        <w:t>odgovarajući</w:t>
      </w:r>
      <w:r w:rsidRPr="000168A5">
        <w:rPr>
          <w:rFonts w:ascii="Arial" w:hAnsi="Arial" w:cs="Arial"/>
          <w:sz w:val="20"/>
          <w:szCs w:val="20"/>
        </w:rPr>
        <w:t xml:space="preserve"> akteri, a koje su inače bile planirane za sprovođenje. U tom smislu, iako su aktivnosti sprovedene, one nisu nužno </w:t>
      </w:r>
      <w:r w:rsidR="000168A5" w:rsidRPr="000168A5">
        <w:rPr>
          <w:rFonts w:ascii="Arial" w:hAnsi="Arial" w:cs="Arial"/>
          <w:sz w:val="20"/>
          <w:szCs w:val="20"/>
        </w:rPr>
        <w:t>povećale</w:t>
      </w:r>
      <w:r w:rsidRPr="000168A5">
        <w:rPr>
          <w:rFonts w:ascii="Arial" w:hAnsi="Arial" w:cs="Arial"/>
          <w:sz w:val="20"/>
          <w:szCs w:val="20"/>
        </w:rPr>
        <w:t xml:space="preserve"> efikasnost operativnih ciljeva NPZP.</w:t>
      </w:r>
    </w:p>
    <w:p w14:paraId="568893EC" w14:textId="002D9A3D" w:rsidR="000921E0" w:rsidRPr="000168A5" w:rsidRDefault="000921E0" w:rsidP="000921E0">
      <w:pPr>
        <w:jc w:val="both"/>
        <w:rPr>
          <w:rFonts w:ascii="Arial" w:hAnsi="Arial" w:cs="Arial"/>
          <w:sz w:val="20"/>
          <w:szCs w:val="20"/>
        </w:rPr>
      </w:pPr>
      <w:r w:rsidRPr="000168A5">
        <w:rPr>
          <w:rFonts w:ascii="Arial" w:hAnsi="Arial" w:cs="Arial"/>
          <w:sz w:val="20"/>
          <w:szCs w:val="20"/>
        </w:rPr>
        <w:t xml:space="preserve">Sistem MEL-a se smatra sasvim adekvatnim s obzirom na obim i prirodu predmetnog strateškog dokumenta i proizveo je blagovremenu refleksiju o rezultatima NPZP-a. Analiza podataka i intervjui sa zainteresovanim stranama zaključili su da su takvi rezultati adekvatno saopšteni i članovima SZP. Međutim, takođe je utvrđeno da je sprovedeno malo aktivnosti na saopštavanju godišnjih rezultata široj </w:t>
      </w:r>
      <w:r w:rsidR="000168A5" w:rsidRPr="000168A5">
        <w:rPr>
          <w:rFonts w:ascii="Arial" w:hAnsi="Arial" w:cs="Arial"/>
          <w:sz w:val="20"/>
          <w:szCs w:val="20"/>
        </w:rPr>
        <w:t>javnosti</w:t>
      </w:r>
      <w:r w:rsidRPr="000168A5">
        <w:rPr>
          <w:rFonts w:ascii="Arial" w:hAnsi="Arial" w:cs="Arial"/>
          <w:sz w:val="20"/>
          <w:szCs w:val="20"/>
        </w:rPr>
        <w:t xml:space="preserve">, </w:t>
      </w:r>
      <w:r w:rsidR="000168A5" w:rsidRPr="000168A5">
        <w:rPr>
          <w:rFonts w:ascii="Arial" w:hAnsi="Arial" w:cs="Arial"/>
          <w:sz w:val="20"/>
          <w:szCs w:val="20"/>
        </w:rPr>
        <w:t>uključujući</w:t>
      </w:r>
      <w:r w:rsidRPr="000168A5">
        <w:rPr>
          <w:rFonts w:ascii="Arial" w:hAnsi="Arial" w:cs="Arial"/>
          <w:sz w:val="20"/>
          <w:szCs w:val="20"/>
        </w:rPr>
        <w:t xml:space="preserve"> prosečn</w:t>
      </w:r>
      <w:r w:rsidR="000168A5" w:rsidRPr="000168A5">
        <w:rPr>
          <w:rFonts w:ascii="Arial" w:hAnsi="Arial" w:cs="Arial"/>
          <w:sz w:val="20"/>
          <w:szCs w:val="20"/>
        </w:rPr>
        <w:t>om</w:t>
      </w:r>
      <w:r w:rsidRPr="000168A5">
        <w:rPr>
          <w:rFonts w:ascii="Arial" w:hAnsi="Arial" w:cs="Arial"/>
          <w:sz w:val="20"/>
          <w:szCs w:val="20"/>
        </w:rPr>
        <w:t xml:space="preserve"> potrošač</w:t>
      </w:r>
      <w:r w:rsidR="000168A5" w:rsidRPr="000168A5">
        <w:rPr>
          <w:rFonts w:ascii="Arial" w:hAnsi="Arial" w:cs="Arial"/>
          <w:sz w:val="20"/>
          <w:szCs w:val="20"/>
        </w:rPr>
        <w:t>u</w:t>
      </w:r>
      <w:r w:rsidRPr="000168A5">
        <w:rPr>
          <w:rFonts w:ascii="Arial" w:hAnsi="Arial" w:cs="Arial"/>
          <w:sz w:val="20"/>
          <w:szCs w:val="20"/>
        </w:rPr>
        <w:t xml:space="preserve">. Ovo se može smatrati propuštenom prilikom za podizanje svesti o strateškom značaju </w:t>
      </w:r>
      <w:r w:rsidR="000168A5" w:rsidRPr="000168A5">
        <w:rPr>
          <w:rFonts w:ascii="Arial" w:hAnsi="Arial" w:cs="Arial"/>
          <w:sz w:val="20"/>
          <w:szCs w:val="20"/>
        </w:rPr>
        <w:t xml:space="preserve">NPZP, kao </w:t>
      </w:r>
      <w:r w:rsidRPr="000168A5">
        <w:rPr>
          <w:rFonts w:ascii="Arial" w:hAnsi="Arial" w:cs="Arial"/>
          <w:sz w:val="20"/>
          <w:szCs w:val="20"/>
        </w:rPr>
        <w:t xml:space="preserve">i o </w:t>
      </w:r>
      <w:r w:rsidR="000168A5" w:rsidRPr="000168A5">
        <w:rPr>
          <w:rFonts w:ascii="Arial" w:hAnsi="Arial" w:cs="Arial"/>
          <w:sz w:val="20"/>
          <w:szCs w:val="20"/>
        </w:rPr>
        <w:t>regulatornom okviru za</w:t>
      </w:r>
      <w:r w:rsidRPr="000168A5">
        <w:rPr>
          <w:rFonts w:ascii="Arial" w:hAnsi="Arial" w:cs="Arial"/>
          <w:sz w:val="20"/>
          <w:szCs w:val="20"/>
        </w:rPr>
        <w:t xml:space="preserve"> zaštit</w:t>
      </w:r>
      <w:r w:rsidR="000168A5" w:rsidRPr="000168A5">
        <w:rPr>
          <w:rFonts w:ascii="Arial" w:hAnsi="Arial" w:cs="Arial"/>
          <w:sz w:val="20"/>
          <w:szCs w:val="20"/>
        </w:rPr>
        <w:t xml:space="preserve">u </w:t>
      </w:r>
      <w:r w:rsidRPr="000168A5">
        <w:rPr>
          <w:rFonts w:ascii="Arial" w:hAnsi="Arial" w:cs="Arial"/>
          <w:sz w:val="20"/>
          <w:szCs w:val="20"/>
        </w:rPr>
        <w:t xml:space="preserve">potrošača. Intervjui su, shodno tome, utvrdili da bi </w:t>
      </w:r>
      <w:r w:rsidR="000168A5" w:rsidRPr="000168A5">
        <w:rPr>
          <w:rFonts w:ascii="Arial" w:hAnsi="Arial" w:cs="Arial"/>
          <w:sz w:val="20"/>
          <w:szCs w:val="20"/>
        </w:rPr>
        <w:t>budući</w:t>
      </w:r>
      <w:r w:rsidRPr="000168A5">
        <w:rPr>
          <w:rFonts w:ascii="Arial" w:hAnsi="Arial" w:cs="Arial"/>
          <w:sz w:val="20"/>
          <w:szCs w:val="20"/>
        </w:rPr>
        <w:t xml:space="preserve"> sistem MEL-a trebalo da bude više fokusiran na širenje pozitivnih rezultata politike zaštite potrošača i, stoga, na podizanje svesti i interesovanja šire javnosti za tu oblast politike.</w:t>
      </w:r>
    </w:p>
    <w:p w14:paraId="18B06CB0" w14:textId="77777777" w:rsidR="00116506" w:rsidRDefault="00116506" w:rsidP="00132EC3">
      <w:pPr>
        <w:jc w:val="both"/>
        <w:rPr>
          <w:rFonts w:ascii="Arial" w:hAnsi="Arial" w:cs="Arial"/>
          <w:sz w:val="20"/>
          <w:szCs w:val="20"/>
          <w:lang w:val="en-GB"/>
        </w:rPr>
      </w:pPr>
    </w:p>
    <w:p w14:paraId="58BD6362" w14:textId="77777777" w:rsidR="000168A5" w:rsidRPr="006E3744" w:rsidRDefault="000168A5" w:rsidP="000168A5">
      <w:pPr>
        <w:pStyle w:val="ListParagraph"/>
        <w:numPr>
          <w:ilvl w:val="0"/>
          <w:numId w:val="32"/>
        </w:numPr>
        <w:jc w:val="both"/>
        <w:rPr>
          <w:rFonts w:ascii="Arial" w:hAnsi="Arial" w:cs="Arial"/>
          <w:sz w:val="20"/>
          <w:szCs w:val="20"/>
          <w:lang w:val="sr-Latn-RS"/>
        </w:rPr>
      </w:pPr>
      <w:r w:rsidRPr="006E3744">
        <w:rPr>
          <w:rFonts w:ascii="Arial" w:hAnsi="Arial" w:cs="Arial"/>
          <w:sz w:val="20"/>
          <w:szCs w:val="20"/>
          <w:lang w:val="sr-Latn-RS"/>
        </w:rPr>
        <w:t xml:space="preserve">Koje su lekcije o tome kako poboljšati komunikaciju između </w:t>
      </w:r>
      <w:r>
        <w:rPr>
          <w:rFonts w:ascii="Arial" w:hAnsi="Arial" w:cs="Arial"/>
          <w:sz w:val="20"/>
          <w:szCs w:val="20"/>
          <w:lang w:val="sr-Latn-RS"/>
        </w:rPr>
        <w:t>MER</w:t>
      </w:r>
      <w:r w:rsidRPr="006E3744">
        <w:rPr>
          <w:rFonts w:ascii="Arial" w:hAnsi="Arial" w:cs="Arial"/>
          <w:sz w:val="20"/>
          <w:szCs w:val="20"/>
          <w:lang w:val="sr-Latn-RS"/>
        </w:rPr>
        <w:t xml:space="preserve"> i zainteresovanih strana, odnosno nacionalnih i lokalnih kreatora politike?</w:t>
      </w:r>
    </w:p>
    <w:p w14:paraId="0C2DEBD8" w14:textId="5291EB12" w:rsidR="000168A5" w:rsidRPr="000168A5" w:rsidRDefault="000168A5" w:rsidP="000168A5">
      <w:pPr>
        <w:pStyle w:val="ListParagraph"/>
        <w:numPr>
          <w:ilvl w:val="1"/>
          <w:numId w:val="32"/>
        </w:numPr>
        <w:ind w:left="1701" w:hanging="283"/>
        <w:jc w:val="both"/>
        <w:rPr>
          <w:rFonts w:ascii="Arial" w:hAnsi="Arial" w:cs="Arial"/>
          <w:sz w:val="20"/>
          <w:szCs w:val="20"/>
          <w:lang w:val="sr-Latn-RS"/>
        </w:rPr>
      </w:pPr>
      <w:r w:rsidRPr="006E3744">
        <w:rPr>
          <w:rFonts w:ascii="Arial" w:hAnsi="Arial" w:cs="Arial"/>
          <w:sz w:val="20"/>
          <w:szCs w:val="20"/>
          <w:lang w:val="sr-Latn-RS"/>
        </w:rPr>
        <w:t>Koje su najbolje prakse u efikasnoj komunikaciji ciljeva i željenih rezultata N</w:t>
      </w:r>
      <w:r>
        <w:rPr>
          <w:rFonts w:ascii="Arial" w:hAnsi="Arial" w:cs="Arial"/>
          <w:sz w:val="20"/>
          <w:szCs w:val="20"/>
          <w:lang w:val="sr-Latn-RS"/>
        </w:rPr>
        <w:t>PZP</w:t>
      </w:r>
      <w:r w:rsidRPr="006E3744">
        <w:rPr>
          <w:rFonts w:ascii="Arial" w:hAnsi="Arial" w:cs="Arial"/>
          <w:sz w:val="20"/>
          <w:szCs w:val="20"/>
          <w:lang w:val="sr-Latn-RS"/>
        </w:rPr>
        <w:t>-a?</w:t>
      </w:r>
    </w:p>
    <w:p w14:paraId="7EABA149" w14:textId="77777777" w:rsidR="00116506" w:rsidRDefault="00116506" w:rsidP="00116506">
      <w:pPr>
        <w:jc w:val="both"/>
        <w:rPr>
          <w:rFonts w:ascii="Arial" w:hAnsi="Arial" w:cs="Arial"/>
          <w:b/>
          <w:bCs/>
          <w:sz w:val="20"/>
          <w:szCs w:val="20"/>
          <w:lang w:val="en-US"/>
        </w:rPr>
      </w:pPr>
    </w:p>
    <w:p w14:paraId="25AFD077" w14:textId="68B5D207" w:rsidR="000168A5" w:rsidRPr="000168A5" w:rsidRDefault="000168A5" w:rsidP="00116506">
      <w:pPr>
        <w:jc w:val="both"/>
        <w:rPr>
          <w:rFonts w:ascii="Arial" w:hAnsi="Arial" w:cs="Arial"/>
          <w:sz w:val="20"/>
          <w:szCs w:val="20"/>
        </w:rPr>
      </w:pPr>
      <w:r w:rsidRPr="000168A5">
        <w:rPr>
          <w:rFonts w:ascii="Arial" w:hAnsi="Arial" w:cs="Arial"/>
          <w:sz w:val="20"/>
          <w:szCs w:val="20"/>
        </w:rPr>
        <w:t>Za SZP je utvrđeno da ima ključnu i centralnu ulogu u celokupnoj politici zaštite potrošača. Mnogi ispitanici su potvrdili da, iako je SZP zamišljen kao koordinaciono telo, ona ima više operativnu ulogu. Sastav SZP-a je takav da obuhvata veliki broj članova iz različitih vrsta institucija, od ministarstava i javnih agencija do predstavnika nevladinog sektora. Stoga je komunikacija i rad između članova SZP-a ocenjen kao izuzetan. Uloga MER u celom procesu je takođe označena kao ključna i efikasna, dok su mnogi ispitanici priznali da je lično interesovanje za tematsku oblast i entuzijazam nekoliko zaposlenih u MER-u imao ogroman uticaj na sprovođenje Programa. FE nije identifikovao nijednu najbolju praksu u efikasnoj komunikaciji, ali je celokupna komunikacija ocenjena kao odlična.</w:t>
      </w:r>
    </w:p>
    <w:p w14:paraId="0FB97297" w14:textId="77777777" w:rsidR="00C006B9" w:rsidRDefault="00C006B9" w:rsidP="00116506">
      <w:pPr>
        <w:jc w:val="both"/>
        <w:rPr>
          <w:rFonts w:ascii="Arial" w:hAnsi="Arial" w:cs="Arial"/>
          <w:sz w:val="20"/>
          <w:szCs w:val="20"/>
          <w:lang w:val="en-US"/>
        </w:rPr>
      </w:pPr>
    </w:p>
    <w:p w14:paraId="0C92E04F" w14:textId="77777777" w:rsidR="000168A5" w:rsidRPr="006E3744" w:rsidRDefault="000168A5" w:rsidP="000168A5">
      <w:pPr>
        <w:pStyle w:val="ListParagraph"/>
        <w:numPr>
          <w:ilvl w:val="0"/>
          <w:numId w:val="33"/>
        </w:numPr>
        <w:jc w:val="both"/>
        <w:rPr>
          <w:rFonts w:ascii="Arial" w:hAnsi="Arial" w:cs="Arial"/>
          <w:sz w:val="20"/>
          <w:szCs w:val="20"/>
          <w:lang w:val="sr-Latn-RS"/>
        </w:rPr>
      </w:pPr>
      <w:r w:rsidRPr="006E3744">
        <w:rPr>
          <w:rFonts w:ascii="Arial" w:hAnsi="Arial" w:cs="Arial"/>
          <w:sz w:val="20"/>
          <w:szCs w:val="20"/>
          <w:lang w:val="sr-Latn-RS"/>
        </w:rPr>
        <w:t>Da li postoji efektivno rešenje u kojem se lokalni kreatori politike mogu dodatno uključiti u sprovođenje NPZP-a? Da li bi se ovo pokazalo efektivnim u ostvarivanju ciljeva NPZP-a u većoj meri?</w:t>
      </w:r>
    </w:p>
    <w:p w14:paraId="79B3EAC5" w14:textId="77777777" w:rsidR="000168A5" w:rsidRPr="006E3744" w:rsidRDefault="000168A5" w:rsidP="000168A5">
      <w:pPr>
        <w:pStyle w:val="ListParagraph"/>
        <w:numPr>
          <w:ilvl w:val="0"/>
          <w:numId w:val="33"/>
        </w:numPr>
        <w:jc w:val="both"/>
        <w:rPr>
          <w:rFonts w:ascii="Arial" w:hAnsi="Arial" w:cs="Arial"/>
          <w:sz w:val="20"/>
          <w:szCs w:val="20"/>
          <w:lang w:val="sr-Latn-RS"/>
        </w:rPr>
      </w:pPr>
      <w:r w:rsidRPr="006E3744">
        <w:rPr>
          <w:rFonts w:ascii="Arial" w:hAnsi="Arial" w:cs="Arial"/>
          <w:sz w:val="20"/>
          <w:szCs w:val="20"/>
          <w:lang w:val="sr-Latn-RS"/>
        </w:rPr>
        <w:t>Da li su ak</w:t>
      </w:r>
      <w:r>
        <w:rPr>
          <w:rFonts w:ascii="Arial" w:hAnsi="Arial" w:cs="Arial"/>
          <w:sz w:val="20"/>
          <w:szCs w:val="20"/>
          <w:lang w:val="sr-Latn-RS"/>
        </w:rPr>
        <w:t>tivnosti</w:t>
      </w:r>
      <w:r w:rsidRPr="006E3744">
        <w:rPr>
          <w:rFonts w:ascii="Arial" w:hAnsi="Arial" w:cs="Arial"/>
          <w:sz w:val="20"/>
          <w:szCs w:val="20"/>
          <w:lang w:val="sr-Latn-RS"/>
        </w:rPr>
        <w:t xml:space="preserve"> NPZP-a bile komplementarne tekućim </w:t>
      </w:r>
      <w:r>
        <w:rPr>
          <w:rFonts w:ascii="Arial" w:hAnsi="Arial" w:cs="Arial"/>
          <w:sz w:val="20"/>
          <w:szCs w:val="20"/>
          <w:lang w:val="sr-Latn-RS"/>
        </w:rPr>
        <w:t>aktivnostima politika</w:t>
      </w:r>
      <w:r w:rsidRPr="006E3744">
        <w:rPr>
          <w:rFonts w:ascii="Arial" w:hAnsi="Arial" w:cs="Arial"/>
          <w:sz w:val="20"/>
          <w:szCs w:val="20"/>
          <w:lang w:val="sr-Latn-RS"/>
        </w:rPr>
        <w:t xml:space="preserve"> koje proizilaze iz drugih strateških dokumenata?</w:t>
      </w:r>
    </w:p>
    <w:p w14:paraId="7B7561A8" w14:textId="77777777" w:rsidR="00C006B9" w:rsidRDefault="00C006B9" w:rsidP="000168A5">
      <w:pPr>
        <w:pStyle w:val="ListParagraph"/>
        <w:jc w:val="both"/>
        <w:rPr>
          <w:rFonts w:ascii="Arial" w:hAnsi="Arial" w:cs="Arial"/>
          <w:b/>
          <w:bCs/>
          <w:sz w:val="20"/>
          <w:szCs w:val="20"/>
          <w:lang w:val="en-US"/>
        </w:rPr>
      </w:pPr>
    </w:p>
    <w:p w14:paraId="2591D609" w14:textId="77777777" w:rsidR="000168A5" w:rsidRPr="000168A5" w:rsidRDefault="000168A5" w:rsidP="000168A5">
      <w:pPr>
        <w:pStyle w:val="ListParagraph"/>
        <w:jc w:val="both"/>
        <w:rPr>
          <w:rFonts w:ascii="Arial" w:hAnsi="Arial" w:cs="Arial"/>
          <w:b/>
          <w:bCs/>
          <w:sz w:val="20"/>
          <w:szCs w:val="20"/>
          <w:lang w:val="en-US"/>
        </w:rPr>
      </w:pPr>
    </w:p>
    <w:p w14:paraId="6A36BC52" w14:textId="77777777" w:rsidR="000168A5" w:rsidRPr="000168A5" w:rsidRDefault="000168A5" w:rsidP="000168A5">
      <w:pPr>
        <w:jc w:val="both"/>
        <w:rPr>
          <w:rFonts w:ascii="Arial" w:hAnsi="Arial" w:cs="Arial"/>
          <w:sz w:val="20"/>
          <w:szCs w:val="20"/>
        </w:rPr>
      </w:pPr>
      <w:r w:rsidRPr="000168A5">
        <w:rPr>
          <w:rFonts w:ascii="Arial" w:hAnsi="Arial" w:cs="Arial"/>
          <w:sz w:val="20"/>
          <w:szCs w:val="20"/>
        </w:rPr>
        <w:t xml:space="preserve">U skladu sa zaključcima analize i intervjua, aktivnosti i inicijative NPZP planirane su uz razmatranje drugih aktivnosti koje proizilaze iz drugih strateških dokumenata. </w:t>
      </w:r>
    </w:p>
    <w:p w14:paraId="76E27F8D" w14:textId="66BC6431" w:rsidR="000168A5" w:rsidRPr="000168A5" w:rsidRDefault="000168A5" w:rsidP="000168A5">
      <w:pPr>
        <w:jc w:val="both"/>
        <w:rPr>
          <w:rFonts w:ascii="Arial" w:hAnsi="Arial" w:cs="Arial"/>
          <w:sz w:val="20"/>
          <w:szCs w:val="20"/>
        </w:rPr>
      </w:pPr>
      <w:r w:rsidRPr="000168A5">
        <w:rPr>
          <w:rFonts w:ascii="Arial" w:hAnsi="Arial" w:cs="Arial"/>
          <w:sz w:val="20"/>
          <w:szCs w:val="20"/>
        </w:rPr>
        <w:lastRenderedPageBreak/>
        <w:t xml:space="preserve">Uključivanje lokalnih samouprava je ključno za postizanje strateškog cilja NPZP, jer je lokalna administracija obavezna da se pridržava standarda zaštite potrošača prilikom pružanja javnih usluga i da kontinuirano povećava transparentnost svojih akcija. Aktivna uloga lokalne administracije obezbeđuje podizanje svesti lokalnih zajednica kada je u pitanju zaštita potrošača, a takođe uspostavlja komunikacione linije koje se mogu koristiti tokom naknadne analize politika. </w:t>
      </w:r>
    </w:p>
    <w:p w14:paraId="5877B5F7" w14:textId="77777777" w:rsidR="000168A5" w:rsidRPr="000168A5" w:rsidRDefault="000168A5" w:rsidP="000168A5">
      <w:pPr>
        <w:jc w:val="both"/>
        <w:rPr>
          <w:rFonts w:ascii="Arial" w:hAnsi="Arial" w:cs="Arial"/>
          <w:sz w:val="20"/>
          <w:szCs w:val="20"/>
        </w:rPr>
      </w:pPr>
      <w:r w:rsidRPr="000168A5">
        <w:rPr>
          <w:rFonts w:ascii="Arial" w:hAnsi="Arial" w:cs="Arial"/>
          <w:sz w:val="20"/>
          <w:szCs w:val="20"/>
        </w:rPr>
        <w:t xml:space="preserve">FE je zaključio da lokalni kreatori politika nisu u velikoj meri angažovani u sprovođenju NPZP. Razlozi za to su različiti, ali najočigledniji su: 1. Nedostatak internih kapaciteta; 2. Nedostatak razumevanja prava i standarda potrošača u lokalnoj zajednici i 3. Nisko angažovanje civilnog društva. </w:t>
      </w:r>
    </w:p>
    <w:p w14:paraId="3487AF4C" w14:textId="6F41A8B7" w:rsidR="000168A5" w:rsidRPr="000168A5" w:rsidRDefault="000168A5" w:rsidP="000168A5">
      <w:pPr>
        <w:jc w:val="both"/>
        <w:rPr>
          <w:rFonts w:ascii="Arial" w:hAnsi="Arial" w:cs="Arial"/>
          <w:sz w:val="20"/>
          <w:szCs w:val="20"/>
        </w:rPr>
      </w:pPr>
      <w:r w:rsidRPr="000168A5">
        <w:rPr>
          <w:rFonts w:ascii="Arial" w:hAnsi="Arial" w:cs="Arial"/>
          <w:sz w:val="20"/>
          <w:szCs w:val="20"/>
        </w:rPr>
        <w:t>Za lokalnu administraciju je utvrđeno da ima niske kapacitete za sprovođenje politika zaštite potrošača. Iako je broj zaposlenih u lokalnoj administraciji više nego dovoljan, očigledan je nedostatak veština i interesovanja za sprovođenje politika zaštite potrošača. Zajednica opština, kao relevantno udruženje lokalnih samouprava, sprovodi periodične obuke o zakonskim pojmovima zaštite potrošača (koje obuhvataju i Zakon o zaštiti potrošača i Zakon o opštem upravnom postupku), u skladu sa akcionim planovima NPZP. U 2023. i 2024. godini održane su tri obuke (dve o postupcima po žalbama korisnika usluga od opšteg interesa i jedna o administrativnom nadzoru nad preduzećima i institucijama koje je osnovala opština), kojima je obuhvaćeno ukupno 62 učesnika. Međutim, primećuje se da je način razmišljanja lokalne administracije još uvek veoma daleko od razumevanja važnosti NPZP-a i njegovih aktivnosti. Stoga, lokalna administracija ima malo veština u primeni zakona i podizanju svesti lokalne zajednice.</w:t>
      </w:r>
    </w:p>
    <w:p w14:paraId="06AE2019" w14:textId="2225E9C3" w:rsidR="000168A5" w:rsidRPr="000168A5" w:rsidRDefault="000168A5" w:rsidP="000168A5">
      <w:pPr>
        <w:jc w:val="both"/>
        <w:rPr>
          <w:rFonts w:ascii="Arial" w:hAnsi="Arial" w:cs="Arial"/>
          <w:sz w:val="20"/>
          <w:szCs w:val="20"/>
        </w:rPr>
      </w:pPr>
      <w:r w:rsidRPr="000168A5">
        <w:rPr>
          <w:rFonts w:ascii="Arial" w:hAnsi="Arial" w:cs="Arial"/>
          <w:sz w:val="20"/>
          <w:szCs w:val="20"/>
        </w:rPr>
        <w:t>Intervjui su takođe identifikovali problem sa angažovanjem civilnog društva u projektima zaštite potrošača, koje finansiraju lokalne samouprave, u skladu sa Zakonom o zaštiti potrošača. Intervjui su potvrdili da postoji prilično mali broj nevladinih organizacija koje imaju zaštitu potrošača u statutima, i stoga se često sredstva za takve projekte ne mogu dodeliti. Među svim registrovanim i aktivnim civilnim društvima (više od 6000), samo 4 imaju zaštitu potrošača kao svoju primarnu oblast interesovanja. Kao rezultat toga, u 2023. godini, prema godišnjem izveštaju o sprovođenju NPZP-a za 2023. godinu, šest nevladinih organizacija je dobilo pristup sredstvima za prioritetnu oblast zaštite potrošača, u skladu sa odlukom Vlade. Zaključak FE je da je angažovanje civilnog društva veoma nisko i da bi se trebalo podsticati u budućnosti.</w:t>
      </w:r>
    </w:p>
    <w:p w14:paraId="4DCCE001" w14:textId="77777777" w:rsidR="0040118A" w:rsidRDefault="0040118A" w:rsidP="00A40ADB">
      <w:pPr>
        <w:pStyle w:val="ParagraphOED"/>
        <w:numPr>
          <w:ilvl w:val="0"/>
          <w:numId w:val="0"/>
        </w:numPr>
        <w:spacing w:before="0" w:after="0"/>
        <w:ind w:left="360" w:hanging="360"/>
        <w:outlineLvl w:val="2"/>
        <w:rPr>
          <w:rFonts w:ascii="Arial" w:hAnsi="Arial" w:cs="Arial"/>
          <w:b/>
          <w:bCs/>
          <w:sz w:val="20"/>
          <w:szCs w:val="20"/>
          <w:lang w:val="en-GB"/>
        </w:rPr>
      </w:pPr>
    </w:p>
    <w:p w14:paraId="321A0635" w14:textId="77777777" w:rsidR="00C006B9" w:rsidRDefault="00C006B9" w:rsidP="00A40ADB">
      <w:pPr>
        <w:pStyle w:val="ParagraphOED"/>
        <w:numPr>
          <w:ilvl w:val="0"/>
          <w:numId w:val="0"/>
        </w:numPr>
        <w:spacing w:before="0" w:after="0"/>
        <w:ind w:left="360" w:hanging="360"/>
        <w:outlineLvl w:val="2"/>
        <w:rPr>
          <w:rFonts w:ascii="Arial" w:hAnsi="Arial" w:cs="Arial"/>
          <w:b/>
          <w:bCs/>
          <w:sz w:val="20"/>
          <w:szCs w:val="20"/>
          <w:lang w:val="en-GB"/>
        </w:rPr>
      </w:pPr>
    </w:p>
    <w:p w14:paraId="60768636" w14:textId="1C499EA1" w:rsidR="00780FF6" w:rsidRPr="00B308E8" w:rsidRDefault="000168A5" w:rsidP="00DE468B">
      <w:pPr>
        <w:pStyle w:val="ParagraphOED"/>
        <w:numPr>
          <w:ilvl w:val="0"/>
          <w:numId w:val="0"/>
        </w:numPr>
        <w:spacing w:before="0" w:after="0"/>
        <w:ind w:left="360" w:hanging="360"/>
        <w:outlineLvl w:val="2"/>
        <w:rPr>
          <w:rFonts w:ascii="Arial" w:hAnsi="Arial" w:cs="Arial"/>
          <w:b/>
          <w:bCs/>
          <w:sz w:val="20"/>
          <w:szCs w:val="20"/>
          <w:lang w:val="sr-Latn-RS"/>
        </w:rPr>
      </w:pPr>
      <w:bookmarkStart w:id="16" w:name="_Toc199479353"/>
      <w:r w:rsidRPr="00B308E8">
        <w:rPr>
          <w:rFonts w:ascii="Arial" w:hAnsi="Arial" w:cs="Arial"/>
          <w:b/>
          <w:bCs/>
          <w:sz w:val="20"/>
          <w:szCs w:val="20"/>
          <w:lang w:val="sr-Latn-RS"/>
        </w:rPr>
        <w:t>Rezultati</w:t>
      </w:r>
      <w:bookmarkEnd w:id="16"/>
    </w:p>
    <w:p w14:paraId="69EE20C8" w14:textId="77777777" w:rsidR="000C5085" w:rsidRPr="00B308E8" w:rsidRDefault="000C5085" w:rsidP="00DE468B">
      <w:pPr>
        <w:pStyle w:val="ParagraphOED"/>
        <w:numPr>
          <w:ilvl w:val="0"/>
          <w:numId w:val="0"/>
        </w:numPr>
        <w:spacing w:before="0" w:after="0"/>
        <w:ind w:left="360" w:hanging="360"/>
        <w:outlineLvl w:val="2"/>
        <w:rPr>
          <w:rFonts w:ascii="Arial" w:hAnsi="Arial" w:cs="Arial"/>
          <w:b/>
          <w:bCs/>
          <w:sz w:val="20"/>
          <w:szCs w:val="20"/>
          <w:lang w:val="sr-Latn-RS"/>
        </w:rPr>
      </w:pPr>
    </w:p>
    <w:p w14:paraId="169B942C" w14:textId="77777777" w:rsidR="000C5085" w:rsidRPr="00B308E8" w:rsidRDefault="000C5085" w:rsidP="00DE468B">
      <w:pPr>
        <w:pStyle w:val="ParagraphOED"/>
        <w:numPr>
          <w:ilvl w:val="0"/>
          <w:numId w:val="0"/>
        </w:numPr>
        <w:spacing w:before="0" w:after="0"/>
        <w:ind w:left="360" w:hanging="360"/>
        <w:outlineLvl w:val="2"/>
        <w:rPr>
          <w:rFonts w:ascii="Arial" w:hAnsi="Arial" w:cs="Arial"/>
          <w:b/>
          <w:bCs/>
          <w:sz w:val="20"/>
          <w:szCs w:val="20"/>
          <w:lang w:val="sr-Latn-RS"/>
        </w:rPr>
      </w:pPr>
    </w:p>
    <w:p w14:paraId="660BA5A0" w14:textId="1C9B203F" w:rsidR="000168A5" w:rsidRPr="00B308E8" w:rsidRDefault="000168A5" w:rsidP="000168A5">
      <w:pPr>
        <w:pStyle w:val="ListParagraph"/>
        <w:numPr>
          <w:ilvl w:val="0"/>
          <w:numId w:val="34"/>
        </w:numPr>
        <w:jc w:val="both"/>
        <w:rPr>
          <w:rFonts w:ascii="Arial" w:hAnsi="Arial" w:cs="Arial"/>
          <w:sz w:val="20"/>
          <w:szCs w:val="20"/>
          <w:lang w:val="sr-Latn-RS"/>
        </w:rPr>
      </w:pPr>
      <w:r w:rsidRPr="00B308E8">
        <w:rPr>
          <w:rFonts w:ascii="Arial" w:hAnsi="Arial" w:cs="Arial"/>
          <w:sz w:val="20"/>
          <w:szCs w:val="20"/>
          <w:lang w:val="sr-Latn-RS"/>
        </w:rPr>
        <w:t>Glavno pitanje: U kojoj meri je NPZP postigao očekivane rezultate u svakoj od svojih ključnih oblasti intervencije?</w:t>
      </w:r>
    </w:p>
    <w:p w14:paraId="6C82299F" w14:textId="77777777" w:rsidR="00D34F46" w:rsidRPr="00A20BF1" w:rsidRDefault="00D34F46" w:rsidP="00780FF6">
      <w:pPr>
        <w:jc w:val="both"/>
        <w:rPr>
          <w:rFonts w:ascii="Arial" w:hAnsi="Arial" w:cs="Arial"/>
          <w:sz w:val="20"/>
          <w:szCs w:val="20"/>
          <w:lang w:val="en-GB"/>
        </w:rPr>
      </w:pPr>
    </w:p>
    <w:p w14:paraId="673AD5C6" w14:textId="60045C66" w:rsidR="00B308E8" w:rsidRPr="00B308E8" w:rsidRDefault="00B308E8" w:rsidP="00780FF6">
      <w:pPr>
        <w:jc w:val="both"/>
        <w:rPr>
          <w:rFonts w:ascii="Arial" w:hAnsi="Arial" w:cs="Arial"/>
          <w:sz w:val="20"/>
          <w:szCs w:val="20"/>
        </w:rPr>
      </w:pPr>
      <w:r w:rsidRPr="00B308E8">
        <w:rPr>
          <w:rFonts w:ascii="Arial" w:hAnsi="Arial" w:cs="Arial"/>
          <w:sz w:val="20"/>
          <w:szCs w:val="20"/>
        </w:rPr>
        <w:t xml:space="preserve">NPZP je postigao niz rezultata koji ukazuju na stabilan kurs ka ostvarivanju predviđanih ciljeva i ishoda. Proces implementacije je bio otežan pandemijom Covid-19 i uočenim poteškoćama u upravljanju i administraciji aktivnosti, uključujući nedostatak osoblja za implementaciju. Složenost organizacione strukture i veliki broj spoljnih zainteresovanih strana takođe predstavljaju izazov za postizanje željenih ciljeva, stoga se može uložiti dodatni napor kako bi se održao priliv rezultata i proizvoda koji su direktno u skladu sa strateškim ishodima. </w:t>
      </w:r>
    </w:p>
    <w:p w14:paraId="7612BDD5" w14:textId="66364E86" w:rsidR="00B308E8" w:rsidRPr="00B308E8" w:rsidRDefault="00B308E8" w:rsidP="00780FF6">
      <w:pPr>
        <w:jc w:val="both"/>
        <w:rPr>
          <w:rFonts w:ascii="Arial" w:hAnsi="Arial" w:cs="Arial"/>
          <w:sz w:val="20"/>
          <w:szCs w:val="20"/>
        </w:rPr>
      </w:pPr>
      <w:r w:rsidRPr="00B308E8">
        <w:rPr>
          <w:rFonts w:ascii="Arial" w:hAnsi="Arial" w:cs="Arial"/>
          <w:sz w:val="20"/>
          <w:szCs w:val="20"/>
        </w:rPr>
        <w:t xml:space="preserve">Isto kao i kod indikatora učinka, dostignuća, kada je u pitanju realizacija predviđanih aktivnosti u Akcionim planovima za 2022. i 2023. godinu, predstavljena su u godišnjim izveštajima o implementaciji koje priprema MER. Prema izveštajima o implementaciji, za 2022. godinu, od 28 aktivnosti, 12 je u potpunosti sprovedeno, 5 je delimično sprovedeno, dok 11 aktivnosti nije sprovedeno. U 2022. godini, procenat aktivnosti koje su u potpunosti ili delimično sprovedene bio je najveći za operativni cilj 3 (57%), dok je najmanji napredak postignut za operativni cilj 1, gde je samo 33% aktivnosti prijavljeno kao sprovedeno. U 2023. godini, od 29 aktivnosti, 17 je u potpunosti sprovedeno, 8 je delimično sprovedeno, dok 8 nije sprovedeno. U 2023. godini, većina aktivnosti je sprovedena u okviru operativnog cilja 2, dok je, kao i za 2022. godinu, najmanje aktivnosti sprovedeno za operativni cilj 1, što ilustruje da su i za 2022. i za 2023. godinu postignuti najmanji rezultati u poboljšanju regulatornog okvira za zaštitu </w:t>
      </w:r>
      <w:r w:rsidRPr="00B308E8">
        <w:rPr>
          <w:rFonts w:ascii="Arial" w:hAnsi="Arial" w:cs="Arial"/>
          <w:sz w:val="20"/>
          <w:szCs w:val="20"/>
        </w:rPr>
        <w:lastRenderedPageBreak/>
        <w:t xml:space="preserve">potrošača i boljoj implementaciji prava potrošača. Detaljna, najnovija tabela za praćenje aktivnosti akcionih planova napravljena je za potrebe FE i dostupna je na kao Aneks VI. Tabela za izveštavanje. </w:t>
      </w:r>
    </w:p>
    <w:p w14:paraId="278ECB58" w14:textId="0DF4C9AF" w:rsidR="00B308E8" w:rsidRPr="00B308E8" w:rsidRDefault="00B308E8" w:rsidP="00780FF6">
      <w:pPr>
        <w:jc w:val="both"/>
        <w:rPr>
          <w:rFonts w:ascii="Arial" w:hAnsi="Arial" w:cs="Arial"/>
          <w:sz w:val="20"/>
          <w:szCs w:val="20"/>
        </w:rPr>
      </w:pPr>
      <w:r w:rsidRPr="00B308E8">
        <w:rPr>
          <w:rFonts w:ascii="Arial" w:hAnsi="Arial" w:cs="Arial"/>
          <w:sz w:val="20"/>
          <w:szCs w:val="20"/>
        </w:rPr>
        <w:t xml:space="preserve">Koristeći </w:t>
      </w:r>
      <w:proofErr w:type="spellStart"/>
      <w:r w:rsidRPr="00B308E8">
        <w:rPr>
          <w:rFonts w:ascii="Arial" w:hAnsi="Arial" w:cs="Arial"/>
          <w:sz w:val="20"/>
          <w:szCs w:val="20"/>
        </w:rPr>
        <w:t>Likertovu</w:t>
      </w:r>
      <w:proofErr w:type="spellEnd"/>
      <w:r w:rsidRPr="00B308E8">
        <w:rPr>
          <w:rFonts w:ascii="Arial" w:hAnsi="Arial" w:cs="Arial"/>
          <w:sz w:val="20"/>
          <w:szCs w:val="20"/>
        </w:rPr>
        <w:t xml:space="preserve"> skalu, ispitanici su ocenili ovo ključno pitanje za evaluaciju sa 4/5, što sugeriše da je NPZP u proseku imao </w:t>
      </w:r>
      <w:r w:rsidRPr="00B308E8">
        <w:rPr>
          <w:rFonts w:ascii="Arial" w:hAnsi="Arial" w:cs="Arial"/>
          <w:b/>
          <w:bCs/>
          <w:sz w:val="20"/>
          <w:szCs w:val="20"/>
        </w:rPr>
        <w:t>veoma dobre rezultate</w:t>
      </w:r>
      <w:r w:rsidRPr="00B308E8">
        <w:rPr>
          <w:rFonts w:ascii="Arial" w:hAnsi="Arial" w:cs="Arial"/>
          <w:sz w:val="20"/>
          <w:szCs w:val="20"/>
        </w:rPr>
        <w:t xml:space="preserve">. Ovaj zaključak je u suprotnosti sa stvarnim nalazima o statusu realizacije prijavljenih aktivnosti, implicirajući da su ispitanici pridali veći značaj aktivnostima koje su u potpunosti ili delimično sprovedene, u poređenju sa onima koje nisu. </w:t>
      </w:r>
    </w:p>
    <w:p w14:paraId="1393854C" w14:textId="77777777" w:rsidR="00F31D48" w:rsidRDefault="00F31D48" w:rsidP="000C5085">
      <w:pPr>
        <w:jc w:val="both"/>
        <w:rPr>
          <w:rFonts w:ascii="Arial" w:hAnsi="Arial" w:cs="Arial"/>
          <w:sz w:val="20"/>
          <w:szCs w:val="20"/>
          <w:lang w:val="en-US"/>
        </w:rPr>
      </w:pPr>
    </w:p>
    <w:p w14:paraId="59DE8E28" w14:textId="77777777" w:rsidR="00B308E8" w:rsidRDefault="00B308E8" w:rsidP="00B308E8">
      <w:pPr>
        <w:pStyle w:val="ParagraphOED"/>
        <w:numPr>
          <w:ilvl w:val="0"/>
          <w:numId w:val="12"/>
        </w:numPr>
        <w:spacing w:before="0" w:after="0"/>
        <w:ind w:left="709"/>
        <w:rPr>
          <w:rFonts w:ascii="Arial" w:hAnsi="Arial" w:cs="Arial"/>
          <w:sz w:val="20"/>
          <w:szCs w:val="20"/>
          <w:lang w:val="sr-Latn-RS"/>
        </w:rPr>
      </w:pPr>
      <w:r w:rsidRPr="006E3744">
        <w:rPr>
          <w:rFonts w:ascii="Arial" w:hAnsi="Arial" w:cs="Arial"/>
          <w:sz w:val="20"/>
          <w:szCs w:val="20"/>
          <w:lang w:val="sr-Latn-RS"/>
        </w:rPr>
        <w:t>Koji su pokazatelji promena među donosiocima odluka/politika i drugim relevantnim partnerima koji pokazuju da je N</w:t>
      </w:r>
      <w:r>
        <w:rPr>
          <w:rFonts w:ascii="Arial" w:hAnsi="Arial" w:cs="Arial"/>
          <w:sz w:val="20"/>
          <w:szCs w:val="20"/>
          <w:lang w:val="sr-Latn-RS"/>
        </w:rPr>
        <w:t>PZP</w:t>
      </w:r>
      <w:r w:rsidRPr="006E3744">
        <w:rPr>
          <w:rFonts w:ascii="Arial" w:hAnsi="Arial" w:cs="Arial"/>
          <w:sz w:val="20"/>
          <w:szCs w:val="20"/>
          <w:lang w:val="sr-Latn-RS"/>
        </w:rPr>
        <w:t xml:space="preserve"> unapredio integraciju politika zaštite potrošača u nacionalno zakonodavstvo i praksu?</w:t>
      </w:r>
    </w:p>
    <w:p w14:paraId="53096ED1" w14:textId="77777777" w:rsidR="00F31D48" w:rsidRPr="00B308E8" w:rsidRDefault="00F31D48" w:rsidP="00B308E8">
      <w:pPr>
        <w:pStyle w:val="ParagraphOED"/>
        <w:numPr>
          <w:ilvl w:val="0"/>
          <w:numId w:val="0"/>
        </w:numPr>
        <w:spacing w:before="0" w:after="0"/>
        <w:ind w:left="709"/>
        <w:rPr>
          <w:rFonts w:ascii="Arial" w:hAnsi="Arial" w:cs="Arial"/>
          <w:sz w:val="20"/>
          <w:szCs w:val="20"/>
          <w:lang w:val="en-GB"/>
        </w:rPr>
      </w:pPr>
    </w:p>
    <w:p w14:paraId="45E9EEB5" w14:textId="77777777" w:rsidR="00F31D48" w:rsidRPr="00A20BF1" w:rsidRDefault="00F31D48" w:rsidP="00F31D48">
      <w:pPr>
        <w:pStyle w:val="ParagraphOED"/>
        <w:numPr>
          <w:ilvl w:val="0"/>
          <w:numId w:val="0"/>
        </w:numPr>
        <w:spacing w:before="0" w:after="0"/>
        <w:ind w:left="360" w:hanging="360"/>
        <w:rPr>
          <w:rFonts w:ascii="Arial" w:hAnsi="Arial" w:cs="Arial"/>
          <w:sz w:val="20"/>
          <w:szCs w:val="20"/>
          <w:lang w:val="en-GB"/>
        </w:rPr>
      </w:pPr>
    </w:p>
    <w:p w14:paraId="19C40DB9" w14:textId="04636D51" w:rsidR="00B308E8" w:rsidRPr="00B308E8" w:rsidRDefault="00B308E8" w:rsidP="00B308E8">
      <w:pPr>
        <w:jc w:val="both"/>
        <w:rPr>
          <w:rFonts w:ascii="Arial" w:hAnsi="Arial" w:cs="Arial"/>
          <w:sz w:val="20"/>
          <w:szCs w:val="20"/>
        </w:rPr>
      </w:pPr>
      <w:r w:rsidRPr="00B308E8">
        <w:rPr>
          <w:rFonts w:ascii="Arial" w:hAnsi="Arial" w:cs="Arial"/>
          <w:sz w:val="20"/>
          <w:szCs w:val="20"/>
        </w:rPr>
        <w:t>Na osnovu intervjua i desk analize, zaključuje se da je očigledno da se način razmišljanja potrošača menja, posebno u određenim oblastima koje su relevantne za zaštitu potrošača, kao što su elektronski mediji, onlajn trgovina i mobilne usluge. Način razmišljanja se i dalje razvija, ali je očigledno da građani u većoj meri preuzimaju uloge potrošača, u skladu sa zakonskim okvirom.</w:t>
      </w:r>
    </w:p>
    <w:p w14:paraId="2448BD8B" w14:textId="0478E4C1" w:rsidR="00B308E8" w:rsidRPr="00B308E8" w:rsidRDefault="00B308E8" w:rsidP="00B308E8">
      <w:pPr>
        <w:jc w:val="both"/>
        <w:rPr>
          <w:rFonts w:ascii="Arial" w:hAnsi="Arial" w:cs="Arial"/>
          <w:sz w:val="20"/>
          <w:szCs w:val="20"/>
        </w:rPr>
      </w:pPr>
      <w:r w:rsidRPr="00B308E8">
        <w:rPr>
          <w:rFonts w:ascii="Arial" w:hAnsi="Arial" w:cs="Arial"/>
          <w:sz w:val="20"/>
          <w:szCs w:val="20"/>
        </w:rPr>
        <w:t xml:space="preserve">Broj žalbi koje su podneli potrošači ukazuje na to da su potrošači više motivisani i značajnije uključeni u korišćenje raspoloživih mehanizama za zaštitu svojih prava. Istovremeno, indikatori učinka nisu prikazani razvrstani po oblastima, jer nadležni organi ne vode evidenciju na neophodan način za pravilno prikazivanje ovih vrednosti. Iz strukture podnetih prigovora može se videti da su potrošači najčešće slali svoje žalbe organizaciji potrošača (40,2%) i Upravi za inspekcijske poslove, koje se posledično unose u Centralni informacioni sistem za zaštitu potrošača (27%). Potrošači su se direktno obraćali Agenciji za elektronske komunikacije i poštansku delatnost (11,4%), Upravi za bezbednost hrane i </w:t>
      </w:r>
      <w:proofErr w:type="spellStart"/>
      <w:r w:rsidRPr="00B308E8">
        <w:rPr>
          <w:rFonts w:ascii="Arial" w:hAnsi="Arial" w:cs="Arial"/>
          <w:sz w:val="20"/>
          <w:szCs w:val="20"/>
        </w:rPr>
        <w:t>fitosanitarne</w:t>
      </w:r>
      <w:proofErr w:type="spellEnd"/>
      <w:r w:rsidRPr="00B308E8">
        <w:rPr>
          <w:rFonts w:ascii="Arial" w:hAnsi="Arial" w:cs="Arial"/>
          <w:sz w:val="20"/>
          <w:szCs w:val="20"/>
        </w:rPr>
        <w:t xml:space="preserve"> poslove (11,28%), dok su se u preostalih 10,1% slučajeva </w:t>
      </w:r>
      <w:proofErr w:type="spellStart"/>
      <w:r w:rsidRPr="00B308E8">
        <w:rPr>
          <w:rFonts w:ascii="Arial" w:hAnsi="Arial" w:cs="Arial"/>
          <w:sz w:val="20"/>
          <w:szCs w:val="20"/>
        </w:rPr>
        <w:t>obraćali</w:t>
      </w:r>
      <w:proofErr w:type="spellEnd"/>
      <w:r w:rsidRPr="00B308E8">
        <w:rPr>
          <w:rFonts w:ascii="Arial" w:hAnsi="Arial" w:cs="Arial"/>
          <w:sz w:val="20"/>
          <w:szCs w:val="20"/>
        </w:rPr>
        <w:t xml:space="preserve"> drugim relevantnim institucijama (Agencija za elektronske medije, Centralna banka Crne Gore, Agencija za nadzor osiguranja, Nacionalna turistička organizacija). Iz navedenog se može zaključiti da je dostupnost nekoliko različitih kanala za podnošenje žalbi i pritužbi potrošača prednost koju svakako treba sačuvati.</w:t>
      </w:r>
    </w:p>
    <w:p w14:paraId="3BACBEFC" w14:textId="77777777" w:rsidR="00B308E8" w:rsidRDefault="00B308E8" w:rsidP="00B308E8">
      <w:pPr>
        <w:jc w:val="both"/>
        <w:rPr>
          <w:rFonts w:ascii="Arial" w:hAnsi="Arial" w:cs="Arial"/>
          <w:sz w:val="20"/>
          <w:szCs w:val="20"/>
        </w:rPr>
      </w:pPr>
      <w:r w:rsidRPr="00B308E8">
        <w:rPr>
          <w:rFonts w:ascii="Arial" w:hAnsi="Arial" w:cs="Arial"/>
          <w:sz w:val="20"/>
          <w:szCs w:val="20"/>
        </w:rPr>
        <w:t xml:space="preserve">Takođe je veoma važno napomenuti da pored zvanične statistike žalbi, postoji veliki porast neformalnih žalbi ili zahteva za informacijama koji se nezvanično podnose putem telefona različitim agencijama. Ovi oblici žalbi su veoma važni za celokupni sistem zaštite potrošača jer, uprkos administrativnim troškovima za rešavanje takvih neformalnih zahteva, stvaraju poverenje i podižu ukupnu svest o pravima potrošača. </w:t>
      </w:r>
    </w:p>
    <w:p w14:paraId="597D9A45" w14:textId="601FB698" w:rsidR="00B308E8" w:rsidRPr="00B308E8" w:rsidRDefault="00B308E8" w:rsidP="00B308E8">
      <w:pPr>
        <w:jc w:val="both"/>
        <w:rPr>
          <w:rFonts w:ascii="Arial" w:hAnsi="Arial" w:cs="Arial"/>
          <w:sz w:val="20"/>
          <w:szCs w:val="20"/>
        </w:rPr>
      </w:pPr>
      <w:r w:rsidRPr="00B308E8">
        <w:rPr>
          <w:rFonts w:ascii="Arial" w:hAnsi="Arial" w:cs="Arial"/>
          <w:sz w:val="20"/>
          <w:szCs w:val="20"/>
        </w:rPr>
        <w:t xml:space="preserve">Sa druge strane, sa aspekta planiranja politika u oblasti zaštite potrošača, od suštinskog je značaja poboljšati sistem izveštavanja nadležnih institucija o podnetim žalbama i njihovom rešavanju, a sve kako bi se postigao bolji uvid u stanje zaštite potrošača. Dalja </w:t>
      </w:r>
      <w:proofErr w:type="spellStart"/>
      <w:r w:rsidRPr="00B308E8">
        <w:rPr>
          <w:rFonts w:ascii="Arial" w:hAnsi="Arial" w:cs="Arial"/>
          <w:sz w:val="20"/>
          <w:szCs w:val="20"/>
        </w:rPr>
        <w:t>operacionalizacija</w:t>
      </w:r>
      <w:proofErr w:type="spellEnd"/>
      <w:r w:rsidRPr="00B308E8">
        <w:rPr>
          <w:rFonts w:ascii="Arial" w:hAnsi="Arial" w:cs="Arial"/>
          <w:sz w:val="20"/>
          <w:szCs w:val="20"/>
        </w:rPr>
        <w:t xml:space="preserve"> centralnog informacionog sistema za zaštitu potrošača i izmena Zakona o zaštiti potrošača, prema kojoj </w:t>
      </w:r>
      <w:proofErr w:type="spellStart"/>
      <w:r w:rsidRPr="00B308E8">
        <w:rPr>
          <w:rFonts w:ascii="Arial" w:hAnsi="Arial" w:cs="Arial"/>
          <w:sz w:val="20"/>
          <w:szCs w:val="20"/>
        </w:rPr>
        <w:t>će</w:t>
      </w:r>
      <w:proofErr w:type="spellEnd"/>
      <w:r w:rsidRPr="00B308E8">
        <w:rPr>
          <w:rFonts w:ascii="Arial" w:hAnsi="Arial" w:cs="Arial"/>
          <w:sz w:val="20"/>
          <w:szCs w:val="20"/>
        </w:rPr>
        <w:t xml:space="preserve"> nosioci zaštite potrošača biti obavezni da vode evidenciju podataka iz nadzora, uključujući evidenciju primljenih žalbi i drugih podnesaka (pitanja, inicijativa) potrošača i njihovog rešavanja, značajno bi unapredila kapacitete za kontinuiranu </w:t>
      </w:r>
      <w:proofErr w:type="spellStart"/>
      <w:r w:rsidRPr="00B308E8">
        <w:rPr>
          <w:rFonts w:ascii="Arial" w:hAnsi="Arial" w:cs="Arial"/>
          <w:sz w:val="20"/>
          <w:szCs w:val="20"/>
        </w:rPr>
        <w:t>ex</w:t>
      </w:r>
      <w:proofErr w:type="spellEnd"/>
      <w:r w:rsidRPr="00B308E8">
        <w:rPr>
          <w:rFonts w:ascii="Arial" w:hAnsi="Arial" w:cs="Arial"/>
          <w:sz w:val="20"/>
          <w:szCs w:val="20"/>
        </w:rPr>
        <w:t>-post analizu i kreiranje politika.</w:t>
      </w:r>
    </w:p>
    <w:p w14:paraId="59B82260" w14:textId="226F38C3" w:rsidR="002830CB" w:rsidRDefault="002830CB" w:rsidP="002830CB">
      <w:pPr>
        <w:jc w:val="both"/>
        <w:rPr>
          <w:rFonts w:ascii="Arial" w:hAnsi="Arial" w:cs="Arial"/>
          <w:sz w:val="20"/>
          <w:szCs w:val="20"/>
          <w:lang w:val="en-US"/>
        </w:rPr>
      </w:pPr>
    </w:p>
    <w:p w14:paraId="5BBDAF0F" w14:textId="77777777" w:rsidR="00B308E8" w:rsidRDefault="00B308E8" w:rsidP="00B308E8">
      <w:pPr>
        <w:pStyle w:val="ParagraphOED"/>
        <w:numPr>
          <w:ilvl w:val="0"/>
          <w:numId w:val="12"/>
        </w:numPr>
        <w:spacing w:before="0" w:after="0"/>
        <w:ind w:left="709"/>
        <w:rPr>
          <w:rFonts w:ascii="Arial" w:hAnsi="Arial" w:cs="Arial"/>
          <w:sz w:val="20"/>
          <w:szCs w:val="20"/>
          <w:lang w:val="sr-Latn-RS"/>
        </w:rPr>
      </w:pPr>
      <w:r w:rsidRPr="006E3744">
        <w:rPr>
          <w:rFonts w:ascii="Arial" w:hAnsi="Arial" w:cs="Arial"/>
          <w:sz w:val="20"/>
          <w:szCs w:val="20"/>
          <w:lang w:val="sr-Latn-RS"/>
        </w:rPr>
        <w:t xml:space="preserve">Koji su bili omogućavajući/ograničavajući faktori koji su uticali na postizanje i </w:t>
      </w:r>
      <w:proofErr w:type="spellStart"/>
      <w:r w:rsidRPr="006E3744">
        <w:rPr>
          <w:rFonts w:ascii="Arial" w:hAnsi="Arial" w:cs="Arial"/>
          <w:sz w:val="20"/>
          <w:szCs w:val="20"/>
          <w:lang w:val="sr-Latn-RS"/>
        </w:rPr>
        <w:t>nepostizanje</w:t>
      </w:r>
      <w:proofErr w:type="spellEnd"/>
      <w:r w:rsidRPr="006E3744">
        <w:rPr>
          <w:rFonts w:ascii="Arial" w:hAnsi="Arial" w:cs="Arial"/>
          <w:sz w:val="20"/>
          <w:szCs w:val="20"/>
          <w:lang w:val="sr-Latn-RS"/>
        </w:rPr>
        <w:t xml:space="preserve"> ishoda?</w:t>
      </w:r>
    </w:p>
    <w:p w14:paraId="16F1BA87" w14:textId="77777777" w:rsidR="00B308E8" w:rsidRDefault="00B308E8" w:rsidP="00B308E8">
      <w:pPr>
        <w:pStyle w:val="ParagraphOED"/>
        <w:numPr>
          <w:ilvl w:val="0"/>
          <w:numId w:val="12"/>
        </w:numPr>
        <w:spacing w:before="0" w:after="0"/>
        <w:ind w:left="709"/>
        <w:rPr>
          <w:rFonts w:ascii="Arial" w:hAnsi="Arial" w:cs="Arial"/>
          <w:sz w:val="20"/>
          <w:szCs w:val="20"/>
          <w:lang w:val="sr-Latn-RS"/>
        </w:rPr>
      </w:pPr>
      <w:r w:rsidRPr="006E3744">
        <w:rPr>
          <w:rFonts w:ascii="Arial" w:hAnsi="Arial" w:cs="Arial"/>
          <w:sz w:val="20"/>
          <w:szCs w:val="20"/>
          <w:lang w:val="sr-Latn-RS"/>
        </w:rPr>
        <w:t>Da li je bilo nekih neželjenih posledica kao rezultat intervencija N</w:t>
      </w:r>
      <w:r>
        <w:rPr>
          <w:rFonts w:ascii="Arial" w:hAnsi="Arial" w:cs="Arial"/>
          <w:sz w:val="20"/>
          <w:szCs w:val="20"/>
          <w:lang w:val="sr-Latn-RS"/>
        </w:rPr>
        <w:t>PZP</w:t>
      </w:r>
      <w:r w:rsidRPr="006E3744">
        <w:rPr>
          <w:rFonts w:ascii="Arial" w:hAnsi="Arial" w:cs="Arial"/>
          <w:sz w:val="20"/>
          <w:szCs w:val="20"/>
          <w:lang w:val="sr-Latn-RS"/>
        </w:rPr>
        <w:t>-a?</w:t>
      </w:r>
    </w:p>
    <w:p w14:paraId="18AE370D" w14:textId="77777777" w:rsidR="00446F94" w:rsidRDefault="00446F94" w:rsidP="002830CB">
      <w:pPr>
        <w:jc w:val="both"/>
        <w:rPr>
          <w:rFonts w:ascii="Arial" w:hAnsi="Arial" w:cs="Arial"/>
          <w:sz w:val="20"/>
          <w:szCs w:val="20"/>
          <w:lang w:val="en-US"/>
        </w:rPr>
      </w:pPr>
    </w:p>
    <w:p w14:paraId="7C9E70E2" w14:textId="6AAA625C" w:rsidR="00BF693A" w:rsidRPr="00BF693A" w:rsidRDefault="00BF693A" w:rsidP="00BF693A">
      <w:pPr>
        <w:jc w:val="both"/>
        <w:rPr>
          <w:rFonts w:ascii="Arial" w:hAnsi="Arial" w:cs="Arial"/>
          <w:sz w:val="20"/>
          <w:szCs w:val="20"/>
        </w:rPr>
      </w:pPr>
      <w:r w:rsidRPr="00BF693A">
        <w:rPr>
          <w:rFonts w:ascii="Arial" w:hAnsi="Arial" w:cs="Arial"/>
          <w:sz w:val="20"/>
          <w:szCs w:val="20"/>
        </w:rPr>
        <w:t>FE je identifikovala nekoliko ograničavajućih faktora koji su mogli uticati na postizanje rezultata NPZP-a. Najočiglednija posledica identifikovanih problema je nedostatak kontinuiteta u sprovođenju istraživanja relevantnih za praćenje drugog operativnog cilja. Istraživanje je bilo ključno za procenu trenutnog stanja stepena povećanja svesti građana o pravima potrošača u elektronskoj i tradicionalnoj kupovini, i samim tim, pružajući vredne dokaze o tome da li je do takvog povećanja došlo i u kojem obimu.</w:t>
      </w:r>
    </w:p>
    <w:p w14:paraId="655D89E2" w14:textId="77777777" w:rsidR="00BF693A" w:rsidRPr="00BF693A" w:rsidRDefault="00BF693A" w:rsidP="00BF693A">
      <w:pPr>
        <w:jc w:val="both"/>
        <w:rPr>
          <w:rFonts w:ascii="Arial" w:hAnsi="Arial" w:cs="Arial"/>
          <w:sz w:val="20"/>
          <w:szCs w:val="20"/>
        </w:rPr>
      </w:pPr>
    </w:p>
    <w:p w14:paraId="46507691" w14:textId="4049D746" w:rsidR="00BF693A" w:rsidRPr="00BF693A" w:rsidRDefault="00BF693A" w:rsidP="00BF693A">
      <w:pPr>
        <w:jc w:val="both"/>
        <w:rPr>
          <w:rFonts w:ascii="Arial" w:hAnsi="Arial" w:cs="Arial"/>
          <w:sz w:val="20"/>
          <w:szCs w:val="20"/>
        </w:rPr>
      </w:pPr>
      <w:r w:rsidRPr="00BF693A">
        <w:rPr>
          <w:rFonts w:ascii="Arial" w:hAnsi="Arial" w:cs="Arial"/>
          <w:sz w:val="20"/>
          <w:szCs w:val="20"/>
        </w:rPr>
        <w:lastRenderedPageBreak/>
        <w:t>Najdominantniji ograničavajući faktor je na operativnoj strani NPZP-a. Postoji očigledan problem administrativnih kapaciteta u Direkciji za zaštitu potrošača što je prijavljeno u dva godišnja izveštaja o implementaciji, dok je navedeno da ako se rešenje ne pronađe u narednom periodu, potpuno postizanje postavljenih ciljeva i kretanje ka evropskom standardu zaštite potrošača biće veoma izazovan i težak proces. Pored toga, potrebno je poboljšati saradnju svih institucija uključenih u politiku zaštite potrošača i postići punu primenu člana 156. Zakona o zaštiti potrošača, omogućavajući dodeljivanje aktivnosti iz Akcionog plana organizacijama potrošača i drugim pravnim i fizičkim licima kako bi se smanjilo opterećenje javne administracije. Ovo je posebno važno jer su aktivnosti Akcionog plana osmišljene na takav način da prevazilaze obim redovnih nadležnosti i dužnosti organa za zaštitu potrošača, te institucije nisu uvek u mogućnosti da adekvatno sprovedu planirane aktivnosti.</w:t>
      </w:r>
    </w:p>
    <w:p w14:paraId="797EA86C" w14:textId="631BEE99" w:rsidR="00BF693A" w:rsidRPr="00BF693A" w:rsidRDefault="00BF693A" w:rsidP="00BF693A">
      <w:pPr>
        <w:jc w:val="both"/>
        <w:rPr>
          <w:rFonts w:ascii="Arial" w:hAnsi="Arial" w:cs="Arial"/>
          <w:sz w:val="20"/>
          <w:szCs w:val="20"/>
        </w:rPr>
      </w:pPr>
      <w:r w:rsidRPr="00BF693A">
        <w:rPr>
          <w:rFonts w:ascii="Arial" w:hAnsi="Arial" w:cs="Arial"/>
          <w:sz w:val="20"/>
          <w:szCs w:val="20"/>
        </w:rPr>
        <w:t>Ključni izazov ostaju finansijska sredstva dodeljena oblasti zaštite potrošača, jer su odobrena sredstva bila znatno manja od planiranih i traženih od strane MER. Takođe, obezbeđivanje sredstava putem donatorskih programa ili evropskih fondova moglo bi da pruži rešenje za predmetni izazov, ali su usko povezana sa prethodnim izazovom, nedostatkom administrativnih kapaciteta. S obzirom na to da krovna institucija ima veoma ograničene administrativne kapacitete, ova vrsta aktivnosti bi zahtevala angažovanje dodatnih kapaciteta i njihovu obuku za pisanje prijava za projekte i praćenje dostupnih poziva za projekte u oblasti zaštite potrošača. Prema intervjuima sa MER, zaključeno je da su kapaciteti neznatno poboljšani od poslednjeg ciklusa izveštavanja, ali da i dalje nedostaju, jer još uvek postoji jedno otvoreno radno mesto u Direkciji koje bi značajno podiglo ukupne kapacitete za sprovođenje politike zaštite potrošača. Čak i popunjavanjem tog radnog mesta, pritisak količine regulatornih i strateških zadataka bi i dalje predstavljao organizacioni rizik.</w:t>
      </w:r>
    </w:p>
    <w:p w14:paraId="50FC683D" w14:textId="77777777" w:rsidR="00715E7F" w:rsidRDefault="00715E7F" w:rsidP="00715E7F">
      <w:pPr>
        <w:jc w:val="both"/>
        <w:rPr>
          <w:rFonts w:ascii="Arial" w:hAnsi="Arial" w:cs="Arial"/>
          <w:sz w:val="20"/>
          <w:szCs w:val="20"/>
          <w:lang w:val="en-US"/>
        </w:rPr>
      </w:pPr>
    </w:p>
    <w:p w14:paraId="497960AC" w14:textId="77777777" w:rsidR="00F72F0E" w:rsidRDefault="00F72F0E" w:rsidP="00F72F0E">
      <w:pPr>
        <w:pStyle w:val="ParagraphOED"/>
        <w:numPr>
          <w:ilvl w:val="0"/>
          <w:numId w:val="35"/>
        </w:numPr>
        <w:spacing w:before="0" w:after="0"/>
        <w:rPr>
          <w:rFonts w:ascii="Arial" w:hAnsi="Arial" w:cs="Arial"/>
          <w:sz w:val="20"/>
          <w:szCs w:val="20"/>
          <w:lang w:val="sr-Latn-RS"/>
        </w:rPr>
      </w:pPr>
      <w:r w:rsidRPr="00885161">
        <w:rPr>
          <w:rFonts w:ascii="Arial" w:hAnsi="Arial" w:cs="Arial"/>
          <w:sz w:val="20"/>
          <w:szCs w:val="20"/>
          <w:lang w:val="sr-Latn-RS"/>
        </w:rPr>
        <w:t>Koji se napori ulažu kako bi se osigurala održivost rezultata N</w:t>
      </w:r>
      <w:r>
        <w:rPr>
          <w:rFonts w:ascii="Arial" w:hAnsi="Arial" w:cs="Arial"/>
          <w:sz w:val="20"/>
          <w:szCs w:val="20"/>
          <w:lang w:val="sr-Latn-RS"/>
        </w:rPr>
        <w:t>PZP</w:t>
      </w:r>
      <w:r w:rsidRPr="00885161">
        <w:rPr>
          <w:rFonts w:ascii="Arial" w:hAnsi="Arial" w:cs="Arial"/>
          <w:sz w:val="20"/>
          <w:szCs w:val="20"/>
          <w:lang w:val="sr-Latn-RS"/>
        </w:rPr>
        <w:t>-a na duži rok?</w:t>
      </w:r>
    </w:p>
    <w:p w14:paraId="4F0A1B63" w14:textId="77777777" w:rsidR="00715E7F" w:rsidRDefault="00715E7F" w:rsidP="00715E7F">
      <w:pPr>
        <w:jc w:val="both"/>
        <w:rPr>
          <w:rFonts w:ascii="Arial" w:hAnsi="Arial" w:cs="Arial"/>
          <w:sz w:val="20"/>
          <w:szCs w:val="20"/>
          <w:lang w:val="en-US"/>
        </w:rPr>
      </w:pPr>
    </w:p>
    <w:p w14:paraId="5CE7FDC2" w14:textId="36770DB4" w:rsidR="00F72F0E" w:rsidRPr="00F72F0E" w:rsidRDefault="00F72F0E" w:rsidP="00F72F0E">
      <w:pPr>
        <w:jc w:val="both"/>
        <w:rPr>
          <w:rFonts w:ascii="Arial" w:hAnsi="Arial" w:cs="Arial"/>
          <w:sz w:val="20"/>
          <w:szCs w:val="20"/>
        </w:rPr>
      </w:pPr>
      <w:r w:rsidRPr="00F72F0E">
        <w:rPr>
          <w:rFonts w:ascii="Arial" w:hAnsi="Arial" w:cs="Arial"/>
          <w:sz w:val="20"/>
          <w:szCs w:val="20"/>
        </w:rPr>
        <w:t xml:space="preserve">Održivost NPZP obezbeđena je kontinuiranim kreiranjem politika, dok je usvajanje novog Programa zaštite potrošača planirano do kraja drugog kvartala 2025. godine. Ovo, shodno tome, osigurava da </w:t>
      </w:r>
      <w:proofErr w:type="spellStart"/>
      <w:r w:rsidRPr="00F72F0E">
        <w:rPr>
          <w:rFonts w:ascii="Arial" w:hAnsi="Arial" w:cs="Arial"/>
          <w:sz w:val="20"/>
          <w:szCs w:val="20"/>
        </w:rPr>
        <w:t>će</w:t>
      </w:r>
      <w:proofErr w:type="spellEnd"/>
      <w:r w:rsidRPr="00F72F0E">
        <w:rPr>
          <w:rFonts w:ascii="Arial" w:hAnsi="Arial" w:cs="Arial"/>
          <w:sz w:val="20"/>
          <w:szCs w:val="20"/>
        </w:rPr>
        <w:t xml:space="preserve"> politika zaštite potrošača biti pokrivena strateškim dokumentom i razrađena kroz aktivnosti sprovođenja. Ideja je da će institucije učesnice </w:t>
      </w:r>
      <w:proofErr w:type="spellStart"/>
      <w:r w:rsidRPr="00F72F0E">
        <w:rPr>
          <w:rFonts w:ascii="Arial" w:hAnsi="Arial" w:cs="Arial"/>
          <w:sz w:val="20"/>
          <w:szCs w:val="20"/>
        </w:rPr>
        <w:t>nominova</w:t>
      </w:r>
      <w:r>
        <w:rPr>
          <w:rFonts w:ascii="Arial" w:hAnsi="Arial" w:cs="Arial"/>
          <w:sz w:val="20"/>
          <w:szCs w:val="20"/>
        </w:rPr>
        <w:t>t</w:t>
      </w:r>
      <w:r w:rsidRPr="00F72F0E">
        <w:rPr>
          <w:rFonts w:ascii="Arial" w:hAnsi="Arial" w:cs="Arial"/>
          <w:sz w:val="20"/>
          <w:szCs w:val="20"/>
        </w:rPr>
        <w:t>i</w:t>
      </w:r>
      <w:proofErr w:type="spellEnd"/>
      <w:r w:rsidRPr="00F72F0E">
        <w:rPr>
          <w:rFonts w:ascii="Arial" w:hAnsi="Arial" w:cs="Arial"/>
          <w:sz w:val="20"/>
          <w:szCs w:val="20"/>
        </w:rPr>
        <w:t xml:space="preserve"> nerealizovane aktivnosti u budućoj politici zaštite potrošača.</w:t>
      </w:r>
    </w:p>
    <w:p w14:paraId="0993225E" w14:textId="39BB6A18" w:rsidR="00F72F0E" w:rsidRPr="00F72F0E" w:rsidRDefault="00F72F0E" w:rsidP="00F72F0E">
      <w:pPr>
        <w:jc w:val="both"/>
        <w:rPr>
          <w:rFonts w:ascii="Arial" w:hAnsi="Arial" w:cs="Arial"/>
          <w:sz w:val="20"/>
          <w:szCs w:val="20"/>
        </w:rPr>
      </w:pPr>
      <w:r w:rsidRPr="00F72F0E">
        <w:rPr>
          <w:rFonts w:ascii="Arial" w:hAnsi="Arial" w:cs="Arial"/>
          <w:sz w:val="20"/>
          <w:szCs w:val="20"/>
        </w:rPr>
        <w:t xml:space="preserve">Efikasno funkcionisanje SZP pokazalo se ključnim za celokupnu oblast politike zaštite potrošača i sprovođenje NPZP. Održivost SZP je u poslednje vreme pod operativnom pretnjom. Naime, članovi SZP su dobijali malu, prilično simboličnu naknadu za prisustvovanje sednicama </w:t>
      </w:r>
      <w:proofErr w:type="spellStart"/>
      <w:r w:rsidRPr="00F72F0E">
        <w:rPr>
          <w:rFonts w:ascii="Arial" w:hAnsi="Arial" w:cs="Arial"/>
          <w:sz w:val="20"/>
          <w:szCs w:val="20"/>
        </w:rPr>
        <w:t>Savjeta</w:t>
      </w:r>
      <w:proofErr w:type="spellEnd"/>
      <w:r w:rsidRPr="00F72F0E">
        <w:rPr>
          <w:rFonts w:ascii="Arial" w:hAnsi="Arial" w:cs="Arial"/>
          <w:sz w:val="20"/>
          <w:szCs w:val="20"/>
        </w:rPr>
        <w:t xml:space="preserve">, ali odlukom Agencije za sprečavanje korupcije, članovi vladinih saveta se smatraju javnim funkcionerima i stoga, prihvatanjem naknade, krše zakone o borbi protiv korupcije. To je dovelo do toga da je nekoliko članova SZP prošlo kroz prekršajni postupak. Ovo se smatra prilično neuobičajenom praksom, posebno imajući u vidu da su neki članovi vladinih saveta </w:t>
      </w:r>
      <w:proofErr w:type="spellStart"/>
      <w:r w:rsidRPr="00F72F0E">
        <w:rPr>
          <w:rFonts w:ascii="Arial" w:hAnsi="Arial" w:cs="Arial"/>
          <w:sz w:val="20"/>
          <w:szCs w:val="20"/>
        </w:rPr>
        <w:t>nejavne</w:t>
      </w:r>
      <w:proofErr w:type="spellEnd"/>
      <w:r w:rsidRPr="00F72F0E">
        <w:rPr>
          <w:rFonts w:ascii="Arial" w:hAnsi="Arial" w:cs="Arial"/>
          <w:sz w:val="20"/>
          <w:szCs w:val="20"/>
        </w:rPr>
        <w:t xml:space="preserve"> ličnosti iz nevladinih organizacija, udruženja i slično. Procesi su još uvek u toku, ali dok se čekaju odluke nadležnog suda, predstavljaju značajan rizik za održivost KPK.</w:t>
      </w:r>
    </w:p>
    <w:p w14:paraId="4DBBDA2F" w14:textId="77777777" w:rsidR="00715E7F" w:rsidRDefault="00715E7F" w:rsidP="00715E7F">
      <w:pPr>
        <w:jc w:val="both"/>
        <w:rPr>
          <w:rFonts w:ascii="Arial" w:hAnsi="Arial" w:cs="Arial"/>
          <w:sz w:val="20"/>
          <w:szCs w:val="20"/>
          <w:lang w:val="en-US"/>
        </w:rPr>
      </w:pPr>
    </w:p>
    <w:p w14:paraId="6C0085E0" w14:textId="77777777" w:rsidR="00F72F0E" w:rsidRDefault="00F72F0E" w:rsidP="00F72F0E">
      <w:pPr>
        <w:pStyle w:val="ParagraphOED"/>
        <w:numPr>
          <w:ilvl w:val="0"/>
          <w:numId w:val="35"/>
        </w:numPr>
        <w:spacing w:before="0" w:after="0"/>
        <w:rPr>
          <w:rFonts w:ascii="Arial" w:hAnsi="Arial" w:cs="Arial"/>
          <w:sz w:val="20"/>
          <w:szCs w:val="20"/>
          <w:lang w:val="en-GB"/>
        </w:rPr>
      </w:pPr>
      <w:r w:rsidRPr="00885161">
        <w:rPr>
          <w:rFonts w:ascii="Arial" w:hAnsi="Arial" w:cs="Arial"/>
          <w:sz w:val="20"/>
          <w:szCs w:val="20"/>
          <w:lang w:val="sr-Latn-RS"/>
        </w:rPr>
        <w:t>Kako je N</w:t>
      </w:r>
      <w:r>
        <w:rPr>
          <w:rFonts w:ascii="Arial" w:hAnsi="Arial" w:cs="Arial"/>
          <w:sz w:val="20"/>
          <w:szCs w:val="20"/>
          <w:lang w:val="sr-Latn-RS"/>
        </w:rPr>
        <w:t>PZP</w:t>
      </w:r>
      <w:r w:rsidRPr="00885161">
        <w:rPr>
          <w:rFonts w:ascii="Arial" w:hAnsi="Arial" w:cs="Arial"/>
          <w:sz w:val="20"/>
          <w:szCs w:val="20"/>
          <w:lang w:val="sr-Latn-RS"/>
        </w:rPr>
        <w:t xml:space="preserve"> uticao na regulatorni okvir za zaštitu potrošača?</w:t>
      </w:r>
    </w:p>
    <w:p w14:paraId="1161A83F" w14:textId="77777777" w:rsidR="00715E7F" w:rsidRDefault="00715E7F" w:rsidP="00715E7F">
      <w:pPr>
        <w:jc w:val="both"/>
        <w:rPr>
          <w:rFonts w:ascii="Arial" w:hAnsi="Arial" w:cs="Arial"/>
          <w:sz w:val="20"/>
          <w:szCs w:val="20"/>
          <w:lang w:val="en-US"/>
        </w:rPr>
      </w:pPr>
    </w:p>
    <w:p w14:paraId="6AC88E4D" w14:textId="33A8DAE2" w:rsidR="00D736D1" w:rsidRPr="00D736D1" w:rsidRDefault="00D736D1" w:rsidP="00715E7F">
      <w:pPr>
        <w:jc w:val="both"/>
        <w:rPr>
          <w:rFonts w:ascii="Arial" w:hAnsi="Arial" w:cs="Arial"/>
          <w:sz w:val="20"/>
          <w:szCs w:val="20"/>
        </w:rPr>
      </w:pPr>
      <w:r w:rsidRPr="00D736D1">
        <w:rPr>
          <w:rFonts w:ascii="Arial" w:hAnsi="Arial" w:cs="Arial"/>
          <w:sz w:val="20"/>
          <w:szCs w:val="20"/>
        </w:rPr>
        <w:t>Evolucija crnogorskog regulatornog okvira za zaštitu potrošača je veoma važna za postizanje strateškog cilja NPZP, istovremeno približavajući crnogorsko društvo standardima EU za zaštitu potrošača. NPZP je predvideo sprovođenje aktivnosti koje zavise od usvajanje sledećih zakona:</w:t>
      </w:r>
    </w:p>
    <w:p w14:paraId="1D23F792" w14:textId="77777777" w:rsidR="00D736D1" w:rsidRPr="00D736D1" w:rsidRDefault="00D736D1" w:rsidP="00D736D1">
      <w:pPr>
        <w:pStyle w:val="ListParagraph"/>
        <w:numPr>
          <w:ilvl w:val="0"/>
          <w:numId w:val="61"/>
        </w:numPr>
        <w:jc w:val="both"/>
        <w:rPr>
          <w:rFonts w:ascii="Arial" w:hAnsi="Arial" w:cs="Arial"/>
          <w:sz w:val="20"/>
          <w:szCs w:val="20"/>
          <w:lang w:val="sr-Latn-RS"/>
        </w:rPr>
      </w:pPr>
      <w:r w:rsidRPr="00D736D1">
        <w:rPr>
          <w:rFonts w:ascii="Arial" w:hAnsi="Arial" w:cs="Arial"/>
          <w:sz w:val="20"/>
          <w:szCs w:val="20"/>
          <w:lang w:val="sr-Latn-RS"/>
        </w:rPr>
        <w:t>Zakon o kolektivnim tužbama</w:t>
      </w:r>
    </w:p>
    <w:p w14:paraId="07DD4CD2" w14:textId="71B40693" w:rsidR="00D736D1" w:rsidRPr="00D736D1" w:rsidRDefault="00D736D1" w:rsidP="00D736D1">
      <w:pPr>
        <w:pStyle w:val="ListParagraph"/>
        <w:numPr>
          <w:ilvl w:val="0"/>
          <w:numId w:val="61"/>
        </w:numPr>
        <w:jc w:val="both"/>
        <w:rPr>
          <w:rFonts w:ascii="Arial" w:hAnsi="Arial" w:cs="Arial"/>
          <w:sz w:val="20"/>
          <w:szCs w:val="20"/>
          <w:lang w:val="sr-Latn-RS"/>
        </w:rPr>
      </w:pPr>
      <w:r w:rsidRPr="00D736D1">
        <w:rPr>
          <w:rFonts w:ascii="Arial" w:hAnsi="Arial" w:cs="Arial"/>
          <w:sz w:val="20"/>
          <w:szCs w:val="20"/>
          <w:lang w:val="sr-Latn-RS"/>
        </w:rPr>
        <w:t>Novi zakon o zaštiti potrošača</w:t>
      </w:r>
    </w:p>
    <w:p w14:paraId="4FD8D148" w14:textId="4F24D5B8" w:rsidR="00D736D1" w:rsidRPr="00D736D1" w:rsidRDefault="00D736D1" w:rsidP="00D736D1">
      <w:pPr>
        <w:pStyle w:val="ListParagraph"/>
        <w:numPr>
          <w:ilvl w:val="0"/>
          <w:numId w:val="61"/>
        </w:numPr>
        <w:jc w:val="both"/>
        <w:rPr>
          <w:rFonts w:ascii="Arial" w:hAnsi="Arial" w:cs="Arial"/>
          <w:sz w:val="20"/>
          <w:szCs w:val="20"/>
          <w:lang w:val="sr-Latn-RS"/>
        </w:rPr>
      </w:pPr>
      <w:r w:rsidRPr="00D736D1">
        <w:rPr>
          <w:rFonts w:ascii="Arial" w:hAnsi="Arial" w:cs="Arial"/>
          <w:sz w:val="20"/>
          <w:szCs w:val="20"/>
          <w:lang w:val="sr-Latn-RS"/>
        </w:rPr>
        <w:t>Zakon o potrošačkim kreditima</w:t>
      </w:r>
    </w:p>
    <w:p w14:paraId="4BE18B73" w14:textId="380AAFC2" w:rsidR="00D736D1" w:rsidRPr="00D736D1" w:rsidRDefault="00D736D1" w:rsidP="00D736D1">
      <w:pPr>
        <w:pStyle w:val="ListParagraph"/>
        <w:numPr>
          <w:ilvl w:val="0"/>
          <w:numId w:val="61"/>
        </w:numPr>
        <w:jc w:val="both"/>
        <w:rPr>
          <w:rFonts w:ascii="Arial" w:hAnsi="Arial" w:cs="Arial"/>
          <w:sz w:val="20"/>
          <w:szCs w:val="20"/>
          <w:lang w:val="sr-Latn-RS"/>
        </w:rPr>
      </w:pPr>
      <w:r w:rsidRPr="00D736D1">
        <w:rPr>
          <w:rFonts w:ascii="Arial" w:hAnsi="Arial" w:cs="Arial"/>
          <w:sz w:val="20"/>
          <w:szCs w:val="20"/>
          <w:lang w:val="sr-Latn-RS"/>
        </w:rPr>
        <w:t>Izmene i dopune Zakona o elektronskim medijima</w:t>
      </w:r>
    </w:p>
    <w:p w14:paraId="26AFA1E1" w14:textId="245A15F9" w:rsidR="00D736D1" w:rsidRPr="00D736D1" w:rsidRDefault="00D736D1" w:rsidP="00D736D1">
      <w:pPr>
        <w:pStyle w:val="ListParagraph"/>
        <w:numPr>
          <w:ilvl w:val="0"/>
          <w:numId w:val="61"/>
        </w:numPr>
        <w:jc w:val="both"/>
        <w:rPr>
          <w:rFonts w:ascii="Arial" w:hAnsi="Arial" w:cs="Arial"/>
          <w:sz w:val="20"/>
          <w:szCs w:val="20"/>
          <w:lang w:val="sr-Latn-RS"/>
        </w:rPr>
      </w:pPr>
      <w:r w:rsidRPr="00D736D1">
        <w:rPr>
          <w:rFonts w:ascii="Arial" w:hAnsi="Arial" w:cs="Arial"/>
          <w:sz w:val="20"/>
          <w:szCs w:val="20"/>
          <w:lang w:val="sr-Latn-RS"/>
        </w:rPr>
        <w:t>Zakon o turizmu i ugostiteljstvu i</w:t>
      </w:r>
    </w:p>
    <w:p w14:paraId="6D9EBE6A" w14:textId="24A6A158" w:rsidR="00715E7F" w:rsidRPr="00D736D1" w:rsidRDefault="00D736D1" w:rsidP="00D736D1">
      <w:pPr>
        <w:pStyle w:val="ListParagraph"/>
        <w:numPr>
          <w:ilvl w:val="0"/>
          <w:numId w:val="61"/>
        </w:numPr>
        <w:jc w:val="both"/>
        <w:rPr>
          <w:rFonts w:ascii="Arial" w:hAnsi="Arial" w:cs="Arial"/>
          <w:sz w:val="20"/>
          <w:szCs w:val="20"/>
          <w:lang w:val="sr-Latn-RS"/>
        </w:rPr>
      </w:pPr>
      <w:r w:rsidRPr="00D736D1">
        <w:rPr>
          <w:rFonts w:ascii="Arial" w:hAnsi="Arial" w:cs="Arial"/>
          <w:sz w:val="20"/>
          <w:szCs w:val="20"/>
          <w:lang w:val="sr-Latn-RS"/>
        </w:rPr>
        <w:t>Izmene i dopune Zakona o nadzoru nad tržištem proizvoda</w:t>
      </w:r>
    </w:p>
    <w:p w14:paraId="711D0086" w14:textId="77777777" w:rsidR="00D736D1" w:rsidRPr="00D736D1" w:rsidRDefault="00D736D1" w:rsidP="00715E7F">
      <w:pPr>
        <w:jc w:val="both"/>
        <w:rPr>
          <w:rFonts w:ascii="Arial" w:hAnsi="Arial" w:cs="Arial"/>
          <w:sz w:val="20"/>
          <w:szCs w:val="20"/>
        </w:rPr>
      </w:pPr>
    </w:p>
    <w:p w14:paraId="14AE7049" w14:textId="47D2FFFE" w:rsidR="00D736D1" w:rsidRPr="00D736D1" w:rsidRDefault="00D736D1" w:rsidP="00715E7F">
      <w:pPr>
        <w:jc w:val="both"/>
        <w:rPr>
          <w:rFonts w:ascii="Arial" w:hAnsi="Arial" w:cs="Arial"/>
          <w:sz w:val="20"/>
          <w:szCs w:val="20"/>
        </w:rPr>
      </w:pPr>
      <w:r w:rsidRPr="00D736D1">
        <w:rPr>
          <w:rFonts w:ascii="Arial" w:hAnsi="Arial" w:cs="Arial"/>
          <w:sz w:val="20"/>
          <w:szCs w:val="20"/>
        </w:rPr>
        <w:lastRenderedPageBreak/>
        <w:t>Tokom sprovođenja NPZP-a, nijedan od gore pomenutih zakona nije usvojen sa izuzetnom Zakona o potrošačkim kreditima za koji je utvrđen da će svakako morati iznova biti menjan zbog dodatnog usklađivanja sa EU pravnim tekovinama. Stoga je potrebna usvajanje ovih i drugih zakona, u skladu sa Programom pristupanja Crne Gore Evropskoj uniji, 2024-2027</w:t>
      </w:r>
      <w:r w:rsidRPr="00D736D1">
        <w:rPr>
          <w:rStyle w:val="FootnoteReference"/>
          <w:rFonts w:cs="Arial"/>
        </w:rPr>
        <w:footnoteReference w:id="3"/>
      </w:r>
      <w:r w:rsidRPr="00D736D1">
        <w:rPr>
          <w:rFonts w:ascii="Arial" w:hAnsi="Arial" w:cs="Arial"/>
          <w:sz w:val="20"/>
          <w:szCs w:val="20"/>
        </w:rPr>
        <w:t>.</w:t>
      </w:r>
    </w:p>
    <w:p w14:paraId="1D7235AC" w14:textId="50F686D4" w:rsidR="00780FF6" w:rsidRDefault="00780FF6" w:rsidP="00DE468B">
      <w:pPr>
        <w:pStyle w:val="Heading3"/>
        <w:numPr>
          <w:ilvl w:val="0"/>
          <w:numId w:val="0"/>
        </w:numPr>
        <w:rPr>
          <w:rFonts w:ascii="Arial" w:hAnsi="Arial"/>
          <w:b/>
          <w:bCs/>
          <w:sz w:val="20"/>
          <w:szCs w:val="20"/>
        </w:rPr>
      </w:pPr>
      <w:bookmarkStart w:id="17" w:name="_Toc199479354"/>
      <w:proofErr w:type="spellStart"/>
      <w:r w:rsidRPr="00A20BF1">
        <w:rPr>
          <w:rFonts w:ascii="Arial" w:hAnsi="Arial"/>
          <w:b/>
          <w:bCs/>
          <w:sz w:val="20"/>
          <w:szCs w:val="20"/>
        </w:rPr>
        <w:t>Ef</w:t>
      </w:r>
      <w:r w:rsidR="00D736D1">
        <w:rPr>
          <w:rFonts w:ascii="Arial" w:hAnsi="Arial"/>
          <w:b/>
          <w:bCs/>
          <w:sz w:val="20"/>
          <w:szCs w:val="20"/>
        </w:rPr>
        <w:t>ikasnost</w:t>
      </w:r>
      <w:bookmarkEnd w:id="17"/>
      <w:proofErr w:type="spellEnd"/>
    </w:p>
    <w:p w14:paraId="7BBC0DE9" w14:textId="77777777" w:rsidR="00D736D1" w:rsidRPr="00D736D1" w:rsidRDefault="00D736D1" w:rsidP="00D736D1">
      <w:pPr>
        <w:pStyle w:val="ListParagraph"/>
        <w:numPr>
          <w:ilvl w:val="0"/>
          <w:numId w:val="35"/>
        </w:numPr>
        <w:jc w:val="both"/>
        <w:rPr>
          <w:rFonts w:ascii="Arial" w:hAnsi="Arial" w:cs="Arial"/>
          <w:sz w:val="20"/>
          <w:szCs w:val="20"/>
        </w:rPr>
      </w:pPr>
      <w:r w:rsidRPr="00D736D1">
        <w:rPr>
          <w:rFonts w:ascii="Arial" w:hAnsi="Arial" w:cs="Arial"/>
          <w:sz w:val="20"/>
          <w:szCs w:val="20"/>
        </w:rPr>
        <w:t>Glavno pitanje: Koliko je NPZP bio efikasan u smislu raspodele raspoloživih sredstava?</w:t>
      </w:r>
    </w:p>
    <w:p w14:paraId="786EA425" w14:textId="77777777" w:rsidR="00D736D1" w:rsidRPr="00885161" w:rsidRDefault="00D736D1" w:rsidP="00D736D1">
      <w:pPr>
        <w:spacing w:after="0"/>
        <w:jc w:val="both"/>
        <w:rPr>
          <w:rFonts w:ascii="Arial" w:hAnsi="Arial" w:cs="Arial"/>
          <w:sz w:val="20"/>
          <w:szCs w:val="20"/>
        </w:rPr>
      </w:pPr>
    </w:p>
    <w:p w14:paraId="479C0D10" w14:textId="77777777" w:rsidR="00D736D1" w:rsidRDefault="00D736D1" w:rsidP="00D736D1">
      <w:pPr>
        <w:pStyle w:val="ListParagraph"/>
        <w:numPr>
          <w:ilvl w:val="1"/>
          <w:numId w:val="12"/>
        </w:numPr>
        <w:jc w:val="both"/>
        <w:rPr>
          <w:rFonts w:ascii="Arial" w:hAnsi="Arial" w:cs="Arial"/>
          <w:sz w:val="20"/>
          <w:szCs w:val="20"/>
          <w:lang w:val="sr-Latn-RS"/>
        </w:rPr>
      </w:pPr>
      <w:r w:rsidRPr="00885161">
        <w:rPr>
          <w:rFonts w:ascii="Arial" w:hAnsi="Arial" w:cs="Arial"/>
          <w:sz w:val="20"/>
          <w:szCs w:val="20"/>
          <w:lang w:val="sr-Latn-RS"/>
        </w:rPr>
        <w:t>Da li je budžet N</w:t>
      </w:r>
      <w:r>
        <w:rPr>
          <w:rFonts w:ascii="Arial" w:hAnsi="Arial" w:cs="Arial"/>
          <w:sz w:val="20"/>
          <w:szCs w:val="20"/>
          <w:lang w:val="sr-Latn-RS"/>
        </w:rPr>
        <w:t>PZP</w:t>
      </w:r>
      <w:r w:rsidRPr="00885161">
        <w:rPr>
          <w:rFonts w:ascii="Arial" w:hAnsi="Arial" w:cs="Arial"/>
          <w:sz w:val="20"/>
          <w:szCs w:val="20"/>
          <w:lang w:val="sr-Latn-RS"/>
        </w:rPr>
        <w:t xml:space="preserve">-a korišćen u skladu sa </w:t>
      </w:r>
      <w:r>
        <w:rPr>
          <w:rFonts w:ascii="Arial" w:hAnsi="Arial" w:cs="Arial"/>
          <w:sz w:val="20"/>
          <w:szCs w:val="20"/>
          <w:lang w:val="sr-Latn-RS"/>
        </w:rPr>
        <w:t>isprogramiranom/planiranim iznosima</w:t>
      </w:r>
      <w:r w:rsidRPr="00885161">
        <w:rPr>
          <w:rFonts w:ascii="Arial" w:hAnsi="Arial" w:cs="Arial"/>
          <w:sz w:val="20"/>
          <w:szCs w:val="20"/>
          <w:lang w:val="sr-Latn-RS"/>
        </w:rPr>
        <w:t xml:space="preserve"> ili je bilo potrebe za prilagođavanjem budžeta i zašto?</w:t>
      </w:r>
    </w:p>
    <w:p w14:paraId="48ADEEC3" w14:textId="77777777" w:rsidR="00D736D1" w:rsidRPr="00885161" w:rsidRDefault="00D736D1" w:rsidP="00D736D1">
      <w:pPr>
        <w:pStyle w:val="ListParagraph"/>
        <w:numPr>
          <w:ilvl w:val="1"/>
          <w:numId w:val="12"/>
        </w:numPr>
        <w:jc w:val="both"/>
        <w:rPr>
          <w:rFonts w:ascii="Arial" w:hAnsi="Arial" w:cs="Arial"/>
          <w:sz w:val="20"/>
          <w:szCs w:val="20"/>
          <w:lang w:val="sr-Latn-RS"/>
        </w:rPr>
      </w:pPr>
      <w:r w:rsidRPr="00885161">
        <w:rPr>
          <w:rFonts w:ascii="Arial" w:hAnsi="Arial" w:cs="Arial"/>
          <w:sz w:val="20"/>
          <w:szCs w:val="20"/>
          <w:lang w:val="sr-Latn-RS"/>
        </w:rPr>
        <w:t>Da li se programirani budžet pokazao adekvatnim u skladu sa potrebama?</w:t>
      </w:r>
    </w:p>
    <w:p w14:paraId="6B005003" w14:textId="77777777" w:rsidR="001D2CB4" w:rsidRPr="001D2CB4" w:rsidRDefault="001D2CB4" w:rsidP="001D2CB4">
      <w:pPr>
        <w:rPr>
          <w:lang w:val="en-GB" w:eastAsia="de-DE"/>
        </w:rPr>
      </w:pPr>
    </w:p>
    <w:p w14:paraId="3989BBCB" w14:textId="2128B2F3" w:rsidR="00D736D1" w:rsidRPr="00D736D1" w:rsidRDefault="00D736D1" w:rsidP="00D736D1">
      <w:pPr>
        <w:jc w:val="both"/>
        <w:rPr>
          <w:rFonts w:ascii="Arial" w:hAnsi="Arial" w:cs="Arial"/>
          <w:sz w:val="20"/>
          <w:szCs w:val="20"/>
        </w:rPr>
      </w:pPr>
      <w:r w:rsidRPr="00D736D1">
        <w:rPr>
          <w:rFonts w:ascii="Arial" w:hAnsi="Arial" w:cs="Arial"/>
          <w:sz w:val="20"/>
          <w:szCs w:val="20"/>
        </w:rPr>
        <w:t xml:space="preserve">Upravljački procesi NPZP-a su prilično složeni i </w:t>
      </w:r>
      <w:proofErr w:type="spellStart"/>
      <w:r w:rsidRPr="00D736D1">
        <w:rPr>
          <w:rFonts w:ascii="Arial" w:hAnsi="Arial" w:cs="Arial"/>
          <w:sz w:val="20"/>
          <w:szCs w:val="20"/>
        </w:rPr>
        <w:t>omogućavaju</w:t>
      </w:r>
      <w:proofErr w:type="spellEnd"/>
      <w:r w:rsidRPr="00D736D1">
        <w:rPr>
          <w:rFonts w:ascii="Arial" w:hAnsi="Arial" w:cs="Arial"/>
          <w:sz w:val="20"/>
          <w:szCs w:val="20"/>
        </w:rPr>
        <w:t xml:space="preserve"> višestruke nivoe nadzora i kontrole, efikasnu koordinaciju između različitih institucionalnih komponenti i jedinica, kao i visok nivo transparentnosti preduzetih akcija i odgovornosti uključenih partnera. Ovo obezbeđuje veliki broj pojedinačnih sastanaka i drugih oblika komunikacije sa različitim zainteresovanim stranama, što uzrokuje značajno </w:t>
      </w:r>
      <w:proofErr w:type="spellStart"/>
      <w:r w:rsidRPr="00D736D1">
        <w:rPr>
          <w:rFonts w:ascii="Arial" w:hAnsi="Arial" w:cs="Arial"/>
          <w:sz w:val="20"/>
          <w:szCs w:val="20"/>
        </w:rPr>
        <w:t>opterećenje</w:t>
      </w:r>
      <w:proofErr w:type="spellEnd"/>
      <w:r w:rsidRPr="00D736D1">
        <w:rPr>
          <w:rFonts w:ascii="Arial" w:hAnsi="Arial" w:cs="Arial"/>
          <w:sz w:val="20"/>
          <w:szCs w:val="20"/>
        </w:rPr>
        <w:t xml:space="preserve"> za MER, a posebno za Direkciju za zaštitu potrošača. Takva složenost je uticala na postizanje ciljeva i ishoda NPZP, posebno u pogledu postizanja rezultata za koje je MER jedina odgovorna strana, što potvrđuje organizacioni rizik. Politika zaštite potrošača, na nivou upravljanja, nalazi se u okviru SZP, tela koje je prilično </w:t>
      </w:r>
      <w:proofErr w:type="spellStart"/>
      <w:r w:rsidRPr="00D736D1">
        <w:rPr>
          <w:rFonts w:ascii="Arial" w:hAnsi="Arial" w:cs="Arial"/>
          <w:sz w:val="20"/>
          <w:szCs w:val="20"/>
        </w:rPr>
        <w:t>inkluzivno</w:t>
      </w:r>
      <w:proofErr w:type="spellEnd"/>
      <w:r w:rsidRPr="00D736D1">
        <w:rPr>
          <w:rFonts w:ascii="Arial" w:hAnsi="Arial" w:cs="Arial"/>
          <w:sz w:val="20"/>
          <w:szCs w:val="20"/>
        </w:rPr>
        <w:t xml:space="preserve"> i ima veliki broj članova iz javnog i privatnog sektora. Administrativnu podršku Savetu takođe pruža MER.</w:t>
      </w:r>
    </w:p>
    <w:p w14:paraId="081D9973" w14:textId="73F6284B" w:rsidR="00D736D1" w:rsidRPr="00D736D1" w:rsidRDefault="00D736D1" w:rsidP="00D736D1">
      <w:pPr>
        <w:jc w:val="both"/>
        <w:rPr>
          <w:rFonts w:ascii="Arial" w:hAnsi="Arial" w:cs="Arial"/>
          <w:sz w:val="20"/>
          <w:szCs w:val="20"/>
        </w:rPr>
      </w:pPr>
      <w:r w:rsidRPr="00D736D1">
        <w:rPr>
          <w:rFonts w:ascii="Arial" w:hAnsi="Arial" w:cs="Arial"/>
          <w:sz w:val="20"/>
          <w:szCs w:val="20"/>
        </w:rPr>
        <w:t xml:space="preserve">Utvrđeno je da je upravljanje budžetom adekvatno, jer se redovno izveštava o rashodima i oni su uključeni u godišnje izveštaje o sprovođenju. U tabelama 5 i 6 prikazan je raspoređeni i </w:t>
      </w:r>
      <w:proofErr w:type="spellStart"/>
      <w:r w:rsidRPr="00D736D1">
        <w:rPr>
          <w:rFonts w:ascii="Arial" w:hAnsi="Arial" w:cs="Arial"/>
          <w:sz w:val="20"/>
          <w:szCs w:val="20"/>
        </w:rPr>
        <w:t>korišćeni</w:t>
      </w:r>
      <w:proofErr w:type="spellEnd"/>
      <w:r w:rsidRPr="00D736D1">
        <w:rPr>
          <w:rFonts w:ascii="Arial" w:hAnsi="Arial" w:cs="Arial"/>
          <w:sz w:val="20"/>
          <w:szCs w:val="20"/>
        </w:rPr>
        <w:t xml:space="preserve"> budžet za 2022. i 2023. godinu.</w:t>
      </w:r>
    </w:p>
    <w:p w14:paraId="142EED28" w14:textId="30684A64" w:rsidR="007910AB" w:rsidRPr="002F434E" w:rsidRDefault="007910AB" w:rsidP="007910AB">
      <w:pPr>
        <w:spacing w:after="0" w:line="240" w:lineRule="auto"/>
        <w:jc w:val="both"/>
        <w:rPr>
          <w:rFonts w:ascii="Arial" w:hAnsi="Arial" w:cs="Arial"/>
          <w:sz w:val="18"/>
          <w:szCs w:val="18"/>
        </w:rPr>
      </w:pPr>
      <w:r w:rsidRPr="002F434E">
        <w:rPr>
          <w:rFonts w:ascii="Arial" w:hAnsi="Arial" w:cs="Arial"/>
          <w:sz w:val="18"/>
          <w:szCs w:val="18"/>
        </w:rPr>
        <w:t>Tab</w:t>
      </w:r>
      <w:r w:rsidR="00D736D1" w:rsidRPr="002F434E">
        <w:rPr>
          <w:rFonts w:ascii="Arial" w:hAnsi="Arial" w:cs="Arial"/>
          <w:sz w:val="18"/>
          <w:szCs w:val="18"/>
        </w:rPr>
        <w:t>ela</w:t>
      </w:r>
      <w:r w:rsidRPr="002F434E">
        <w:rPr>
          <w:rFonts w:ascii="Arial" w:hAnsi="Arial" w:cs="Arial"/>
          <w:sz w:val="18"/>
          <w:szCs w:val="18"/>
        </w:rPr>
        <w:t xml:space="preserve"> </w:t>
      </w:r>
      <w:r w:rsidR="001D2CB4" w:rsidRPr="002F434E">
        <w:rPr>
          <w:rFonts w:ascii="Arial" w:hAnsi="Arial" w:cs="Arial"/>
          <w:sz w:val="18"/>
          <w:szCs w:val="18"/>
        </w:rPr>
        <w:t>5</w:t>
      </w:r>
      <w:r w:rsidRPr="002F434E">
        <w:rPr>
          <w:rFonts w:ascii="Arial" w:hAnsi="Arial" w:cs="Arial"/>
          <w:sz w:val="18"/>
          <w:szCs w:val="18"/>
        </w:rPr>
        <w:t xml:space="preserve">. </w:t>
      </w:r>
      <w:r w:rsidR="00D736D1" w:rsidRPr="002F434E">
        <w:rPr>
          <w:rFonts w:ascii="Arial" w:hAnsi="Arial" w:cs="Arial"/>
          <w:sz w:val="18"/>
          <w:szCs w:val="18"/>
        </w:rPr>
        <w:t>NPZP Budžet za 2022</w:t>
      </w:r>
    </w:p>
    <w:tbl>
      <w:tblPr>
        <w:tblStyle w:val="TableGrid"/>
        <w:tblW w:w="0" w:type="auto"/>
        <w:tblLook w:val="04A0" w:firstRow="1" w:lastRow="0" w:firstColumn="1" w:lastColumn="0" w:noHBand="0" w:noVBand="1"/>
      </w:tblPr>
      <w:tblGrid>
        <w:gridCol w:w="2265"/>
        <w:gridCol w:w="2265"/>
        <w:gridCol w:w="2266"/>
        <w:gridCol w:w="2266"/>
      </w:tblGrid>
      <w:tr w:rsidR="001D2CB4" w:rsidRPr="002F434E" w14:paraId="7ADCFA79" w14:textId="77777777" w:rsidTr="001D2CB4">
        <w:tc>
          <w:tcPr>
            <w:tcW w:w="2265" w:type="dxa"/>
            <w:shd w:val="clear" w:color="auto" w:fill="D9E2F3" w:themeFill="accent1" w:themeFillTint="33"/>
          </w:tcPr>
          <w:p w14:paraId="4105015C" w14:textId="65873C31" w:rsidR="001D2CB4" w:rsidRPr="002F434E" w:rsidRDefault="00D736D1" w:rsidP="007910AB">
            <w:pPr>
              <w:jc w:val="both"/>
              <w:rPr>
                <w:rFonts w:ascii="Arial" w:hAnsi="Arial" w:cs="Arial"/>
                <w:b/>
                <w:bCs/>
                <w:sz w:val="18"/>
                <w:szCs w:val="18"/>
              </w:rPr>
            </w:pPr>
            <w:r w:rsidRPr="002F434E">
              <w:rPr>
                <w:rFonts w:ascii="Arial" w:hAnsi="Arial" w:cs="Arial"/>
                <w:b/>
                <w:bCs/>
                <w:sz w:val="18"/>
                <w:szCs w:val="18"/>
              </w:rPr>
              <w:t>Resursi</w:t>
            </w:r>
          </w:p>
        </w:tc>
        <w:tc>
          <w:tcPr>
            <w:tcW w:w="2265" w:type="dxa"/>
            <w:shd w:val="clear" w:color="auto" w:fill="D9E2F3" w:themeFill="accent1" w:themeFillTint="33"/>
          </w:tcPr>
          <w:p w14:paraId="78120846" w14:textId="141CDF17" w:rsidR="001D2CB4" w:rsidRPr="002F434E" w:rsidRDefault="00D736D1" w:rsidP="007910AB">
            <w:pPr>
              <w:jc w:val="both"/>
              <w:rPr>
                <w:rFonts w:ascii="Arial" w:hAnsi="Arial" w:cs="Arial"/>
                <w:b/>
                <w:bCs/>
                <w:sz w:val="18"/>
                <w:szCs w:val="18"/>
              </w:rPr>
            </w:pPr>
            <w:r w:rsidRPr="002F434E">
              <w:rPr>
                <w:rFonts w:ascii="Arial" w:hAnsi="Arial" w:cs="Arial"/>
                <w:b/>
                <w:bCs/>
                <w:sz w:val="18"/>
                <w:szCs w:val="18"/>
              </w:rPr>
              <w:t>Potrošeno</w:t>
            </w:r>
          </w:p>
        </w:tc>
        <w:tc>
          <w:tcPr>
            <w:tcW w:w="2266" w:type="dxa"/>
            <w:shd w:val="clear" w:color="auto" w:fill="D9E2F3" w:themeFill="accent1" w:themeFillTint="33"/>
          </w:tcPr>
          <w:p w14:paraId="66D46E2C" w14:textId="0452236B" w:rsidR="001D2CB4" w:rsidRPr="002F434E" w:rsidRDefault="00D736D1" w:rsidP="007910AB">
            <w:pPr>
              <w:jc w:val="both"/>
              <w:rPr>
                <w:rFonts w:ascii="Arial" w:hAnsi="Arial" w:cs="Arial"/>
                <w:b/>
                <w:bCs/>
                <w:sz w:val="18"/>
                <w:szCs w:val="18"/>
              </w:rPr>
            </w:pPr>
            <w:r w:rsidRPr="002F434E">
              <w:rPr>
                <w:rFonts w:ascii="Arial" w:hAnsi="Arial" w:cs="Arial"/>
                <w:b/>
                <w:bCs/>
                <w:sz w:val="18"/>
                <w:szCs w:val="18"/>
              </w:rPr>
              <w:t>Planirano</w:t>
            </w:r>
          </w:p>
        </w:tc>
        <w:tc>
          <w:tcPr>
            <w:tcW w:w="2266" w:type="dxa"/>
            <w:shd w:val="clear" w:color="auto" w:fill="D9E2F3" w:themeFill="accent1" w:themeFillTint="33"/>
          </w:tcPr>
          <w:p w14:paraId="7E937ADA" w14:textId="72264E5D" w:rsidR="001D2CB4" w:rsidRPr="002F434E" w:rsidRDefault="00D736D1" w:rsidP="007910AB">
            <w:pPr>
              <w:jc w:val="both"/>
              <w:rPr>
                <w:rFonts w:ascii="Arial" w:hAnsi="Arial" w:cs="Arial"/>
                <w:b/>
                <w:bCs/>
                <w:sz w:val="18"/>
                <w:szCs w:val="18"/>
              </w:rPr>
            </w:pPr>
            <w:r w:rsidRPr="002F434E">
              <w:rPr>
                <w:rFonts w:ascii="Arial" w:hAnsi="Arial" w:cs="Arial"/>
                <w:b/>
                <w:bCs/>
                <w:sz w:val="18"/>
                <w:szCs w:val="18"/>
              </w:rPr>
              <w:t>Izvor</w:t>
            </w:r>
          </w:p>
        </w:tc>
      </w:tr>
      <w:tr w:rsidR="001D2CB4" w:rsidRPr="002F434E" w14:paraId="0315934A" w14:textId="77777777" w:rsidTr="001D2CB4">
        <w:tc>
          <w:tcPr>
            <w:tcW w:w="2265" w:type="dxa"/>
            <w:vMerge w:val="restart"/>
          </w:tcPr>
          <w:p w14:paraId="0A81E8C6" w14:textId="32D43230" w:rsidR="001D2CB4" w:rsidRPr="002F434E" w:rsidRDefault="00D736D1" w:rsidP="007910AB">
            <w:pPr>
              <w:jc w:val="both"/>
              <w:rPr>
                <w:rFonts w:ascii="Arial" w:hAnsi="Arial" w:cs="Arial"/>
                <w:sz w:val="18"/>
                <w:szCs w:val="18"/>
              </w:rPr>
            </w:pPr>
            <w:r w:rsidRPr="002F434E">
              <w:rPr>
                <w:rFonts w:ascii="Arial" w:hAnsi="Arial" w:cs="Arial"/>
                <w:sz w:val="18"/>
                <w:szCs w:val="18"/>
              </w:rPr>
              <w:t>Operativni cilj 1</w:t>
            </w:r>
          </w:p>
        </w:tc>
        <w:tc>
          <w:tcPr>
            <w:tcW w:w="2265" w:type="dxa"/>
          </w:tcPr>
          <w:p w14:paraId="34CBAE4D" w14:textId="463CDBB3" w:rsidR="001D2CB4" w:rsidRPr="002F434E" w:rsidRDefault="001D2CB4" w:rsidP="007910AB">
            <w:pPr>
              <w:jc w:val="both"/>
              <w:rPr>
                <w:rFonts w:ascii="Arial" w:hAnsi="Arial" w:cs="Arial"/>
                <w:sz w:val="18"/>
                <w:szCs w:val="18"/>
              </w:rPr>
            </w:pPr>
            <w:r w:rsidRPr="002F434E">
              <w:rPr>
                <w:rFonts w:ascii="Arial" w:hAnsi="Arial" w:cs="Arial"/>
                <w:sz w:val="18"/>
                <w:szCs w:val="18"/>
              </w:rPr>
              <w:t>/</w:t>
            </w:r>
          </w:p>
        </w:tc>
        <w:tc>
          <w:tcPr>
            <w:tcW w:w="2266" w:type="dxa"/>
          </w:tcPr>
          <w:p w14:paraId="04EA868F" w14:textId="6F4A7D71" w:rsidR="001D2CB4" w:rsidRPr="002F434E" w:rsidRDefault="001D2CB4" w:rsidP="007910AB">
            <w:pPr>
              <w:jc w:val="both"/>
              <w:rPr>
                <w:rFonts w:ascii="Arial" w:hAnsi="Arial" w:cs="Arial"/>
                <w:sz w:val="18"/>
                <w:szCs w:val="18"/>
              </w:rPr>
            </w:pPr>
            <w:r w:rsidRPr="002F434E">
              <w:rPr>
                <w:rFonts w:ascii="Arial" w:hAnsi="Arial" w:cs="Arial"/>
                <w:sz w:val="18"/>
                <w:szCs w:val="18"/>
              </w:rPr>
              <w:t>2 000</w:t>
            </w:r>
          </w:p>
        </w:tc>
        <w:tc>
          <w:tcPr>
            <w:tcW w:w="2266" w:type="dxa"/>
          </w:tcPr>
          <w:p w14:paraId="3438D379" w14:textId="4E1289EF" w:rsidR="001D2CB4" w:rsidRPr="002F434E" w:rsidRDefault="00D736D1" w:rsidP="007910AB">
            <w:pPr>
              <w:jc w:val="both"/>
              <w:rPr>
                <w:rFonts w:ascii="Arial" w:hAnsi="Arial" w:cs="Arial"/>
                <w:sz w:val="18"/>
                <w:szCs w:val="18"/>
              </w:rPr>
            </w:pPr>
            <w:r w:rsidRPr="002F434E">
              <w:rPr>
                <w:rFonts w:ascii="Arial" w:hAnsi="Arial" w:cs="Arial"/>
                <w:sz w:val="18"/>
                <w:szCs w:val="18"/>
              </w:rPr>
              <w:t>Budžet</w:t>
            </w:r>
          </w:p>
        </w:tc>
      </w:tr>
      <w:tr w:rsidR="001D2CB4" w:rsidRPr="002F434E" w14:paraId="54140BC7" w14:textId="77777777" w:rsidTr="001D2CB4">
        <w:tc>
          <w:tcPr>
            <w:tcW w:w="2265" w:type="dxa"/>
            <w:vMerge/>
          </w:tcPr>
          <w:p w14:paraId="6DC0388D" w14:textId="77777777" w:rsidR="001D2CB4" w:rsidRPr="002F434E" w:rsidRDefault="001D2CB4" w:rsidP="007910AB">
            <w:pPr>
              <w:jc w:val="both"/>
              <w:rPr>
                <w:rFonts w:ascii="Arial" w:hAnsi="Arial" w:cs="Arial"/>
                <w:sz w:val="18"/>
                <w:szCs w:val="18"/>
              </w:rPr>
            </w:pPr>
          </w:p>
        </w:tc>
        <w:tc>
          <w:tcPr>
            <w:tcW w:w="2265" w:type="dxa"/>
          </w:tcPr>
          <w:p w14:paraId="02465BAF" w14:textId="35406309" w:rsidR="001D2CB4" w:rsidRPr="002F434E" w:rsidRDefault="001D2CB4" w:rsidP="007910AB">
            <w:pPr>
              <w:jc w:val="both"/>
              <w:rPr>
                <w:rFonts w:ascii="Arial" w:hAnsi="Arial" w:cs="Arial"/>
                <w:sz w:val="18"/>
                <w:szCs w:val="18"/>
              </w:rPr>
            </w:pPr>
            <w:r w:rsidRPr="002F434E">
              <w:rPr>
                <w:rFonts w:ascii="Arial" w:hAnsi="Arial" w:cs="Arial"/>
                <w:sz w:val="18"/>
                <w:szCs w:val="18"/>
              </w:rPr>
              <w:t>/</w:t>
            </w:r>
          </w:p>
        </w:tc>
        <w:tc>
          <w:tcPr>
            <w:tcW w:w="2266" w:type="dxa"/>
          </w:tcPr>
          <w:p w14:paraId="6038068A" w14:textId="02242D42" w:rsidR="001D2CB4" w:rsidRPr="002F434E" w:rsidRDefault="001D2CB4" w:rsidP="007910AB">
            <w:pPr>
              <w:jc w:val="both"/>
              <w:rPr>
                <w:rFonts w:ascii="Arial" w:hAnsi="Arial" w:cs="Arial"/>
                <w:sz w:val="18"/>
                <w:szCs w:val="18"/>
              </w:rPr>
            </w:pPr>
            <w:r w:rsidRPr="002F434E">
              <w:rPr>
                <w:rFonts w:ascii="Arial" w:hAnsi="Arial" w:cs="Arial"/>
                <w:sz w:val="18"/>
                <w:szCs w:val="18"/>
              </w:rPr>
              <w:t>/</w:t>
            </w:r>
          </w:p>
        </w:tc>
        <w:tc>
          <w:tcPr>
            <w:tcW w:w="2266" w:type="dxa"/>
          </w:tcPr>
          <w:p w14:paraId="605FBE4A" w14:textId="7D7D0D75" w:rsidR="001D2CB4" w:rsidRPr="002F434E" w:rsidRDefault="00D736D1" w:rsidP="007910AB">
            <w:pPr>
              <w:jc w:val="both"/>
              <w:rPr>
                <w:rFonts w:ascii="Arial" w:hAnsi="Arial" w:cs="Arial"/>
                <w:sz w:val="18"/>
                <w:szCs w:val="18"/>
              </w:rPr>
            </w:pPr>
            <w:proofErr w:type="spellStart"/>
            <w:r w:rsidRPr="002F434E">
              <w:rPr>
                <w:rFonts w:ascii="Arial" w:hAnsi="Arial" w:cs="Arial"/>
                <w:sz w:val="18"/>
                <w:szCs w:val="18"/>
              </w:rPr>
              <w:t>Donori</w:t>
            </w:r>
            <w:proofErr w:type="spellEnd"/>
          </w:p>
        </w:tc>
      </w:tr>
      <w:tr w:rsidR="001D2CB4" w:rsidRPr="002F434E" w14:paraId="0004AAFD" w14:textId="77777777" w:rsidTr="001D2CB4">
        <w:tc>
          <w:tcPr>
            <w:tcW w:w="2265" w:type="dxa"/>
            <w:vMerge w:val="restart"/>
          </w:tcPr>
          <w:p w14:paraId="2014A48A" w14:textId="049C05F5" w:rsidR="001D2CB4" w:rsidRPr="002F434E" w:rsidRDefault="00D736D1" w:rsidP="007910AB">
            <w:pPr>
              <w:jc w:val="both"/>
              <w:rPr>
                <w:rFonts w:ascii="Arial" w:hAnsi="Arial" w:cs="Arial"/>
                <w:sz w:val="18"/>
                <w:szCs w:val="18"/>
              </w:rPr>
            </w:pPr>
            <w:r w:rsidRPr="002F434E">
              <w:rPr>
                <w:rFonts w:ascii="Arial" w:hAnsi="Arial" w:cs="Arial"/>
                <w:sz w:val="18"/>
                <w:szCs w:val="18"/>
              </w:rPr>
              <w:t>Operativni cilj 2</w:t>
            </w:r>
          </w:p>
        </w:tc>
        <w:tc>
          <w:tcPr>
            <w:tcW w:w="2265" w:type="dxa"/>
          </w:tcPr>
          <w:p w14:paraId="52F91467" w14:textId="660760E1" w:rsidR="001D2CB4" w:rsidRPr="002F434E" w:rsidRDefault="001D2CB4" w:rsidP="007910AB">
            <w:pPr>
              <w:jc w:val="both"/>
              <w:rPr>
                <w:rFonts w:ascii="Arial" w:hAnsi="Arial" w:cs="Arial"/>
                <w:sz w:val="18"/>
                <w:szCs w:val="18"/>
              </w:rPr>
            </w:pPr>
            <w:r w:rsidRPr="002F434E">
              <w:rPr>
                <w:rFonts w:ascii="Arial" w:hAnsi="Arial" w:cs="Arial"/>
                <w:sz w:val="18"/>
                <w:szCs w:val="18"/>
              </w:rPr>
              <w:t>60 919,81</w:t>
            </w:r>
          </w:p>
        </w:tc>
        <w:tc>
          <w:tcPr>
            <w:tcW w:w="2266" w:type="dxa"/>
          </w:tcPr>
          <w:p w14:paraId="38909E31" w14:textId="1BA4B936" w:rsidR="001D2CB4" w:rsidRPr="002F434E" w:rsidRDefault="001D2CB4" w:rsidP="007910AB">
            <w:pPr>
              <w:jc w:val="both"/>
              <w:rPr>
                <w:rFonts w:ascii="Arial" w:hAnsi="Arial" w:cs="Arial"/>
                <w:sz w:val="18"/>
                <w:szCs w:val="18"/>
              </w:rPr>
            </w:pPr>
            <w:r w:rsidRPr="002F434E">
              <w:rPr>
                <w:rFonts w:ascii="Arial" w:hAnsi="Arial" w:cs="Arial"/>
                <w:sz w:val="18"/>
                <w:szCs w:val="18"/>
              </w:rPr>
              <w:t>82 000</w:t>
            </w:r>
          </w:p>
        </w:tc>
        <w:tc>
          <w:tcPr>
            <w:tcW w:w="2266" w:type="dxa"/>
          </w:tcPr>
          <w:p w14:paraId="1F11916C" w14:textId="111FC430" w:rsidR="001D2CB4" w:rsidRPr="002F434E" w:rsidRDefault="00D736D1" w:rsidP="007910AB">
            <w:pPr>
              <w:jc w:val="both"/>
              <w:rPr>
                <w:rFonts w:ascii="Arial" w:hAnsi="Arial" w:cs="Arial"/>
                <w:sz w:val="18"/>
                <w:szCs w:val="18"/>
              </w:rPr>
            </w:pPr>
            <w:r w:rsidRPr="002F434E">
              <w:rPr>
                <w:rFonts w:ascii="Arial" w:hAnsi="Arial" w:cs="Arial"/>
                <w:sz w:val="18"/>
                <w:szCs w:val="18"/>
              </w:rPr>
              <w:t>Budžet</w:t>
            </w:r>
          </w:p>
        </w:tc>
      </w:tr>
      <w:tr w:rsidR="001D2CB4" w:rsidRPr="002F434E" w14:paraId="411C5037" w14:textId="77777777" w:rsidTr="001D2CB4">
        <w:tc>
          <w:tcPr>
            <w:tcW w:w="2265" w:type="dxa"/>
            <w:vMerge/>
          </w:tcPr>
          <w:p w14:paraId="4E205BB7" w14:textId="77777777" w:rsidR="001D2CB4" w:rsidRPr="002F434E" w:rsidRDefault="001D2CB4" w:rsidP="007910AB">
            <w:pPr>
              <w:jc w:val="both"/>
              <w:rPr>
                <w:rFonts w:ascii="Arial" w:hAnsi="Arial" w:cs="Arial"/>
                <w:sz w:val="18"/>
                <w:szCs w:val="18"/>
              </w:rPr>
            </w:pPr>
          </w:p>
        </w:tc>
        <w:tc>
          <w:tcPr>
            <w:tcW w:w="2265" w:type="dxa"/>
          </w:tcPr>
          <w:p w14:paraId="4A6B50FA" w14:textId="03F719DA" w:rsidR="001D2CB4" w:rsidRPr="002F434E" w:rsidRDefault="001D2CB4" w:rsidP="007910AB">
            <w:pPr>
              <w:jc w:val="both"/>
              <w:rPr>
                <w:rFonts w:ascii="Arial" w:hAnsi="Arial" w:cs="Arial"/>
                <w:sz w:val="18"/>
                <w:szCs w:val="18"/>
              </w:rPr>
            </w:pPr>
            <w:r w:rsidRPr="002F434E">
              <w:rPr>
                <w:rFonts w:ascii="Arial" w:hAnsi="Arial" w:cs="Arial"/>
                <w:sz w:val="18"/>
                <w:szCs w:val="18"/>
              </w:rPr>
              <w:t>3 714</w:t>
            </w:r>
          </w:p>
        </w:tc>
        <w:tc>
          <w:tcPr>
            <w:tcW w:w="2266" w:type="dxa"/>
          </w:tcPr>
          <w:p w14:paraId="120E51D4" w14:textId="501B00BE" w:rsidR="001D2CB4" w:rsidRPr="002F434E" w:rsidRDefault="001D2CB4" w:rsidP="007910AB">
            <w:pPr>
              <w:jc w:val="both"/>
              <w:rPr>
                <w:rFonts w:ascii="Arial" w:hAnsi="Arial" w:cs="Arial"/>
                <w:sz w:val="18"/>
                <w:szCs w:val="18"/>
              </w:rPr>
            </w:pPr>
            <w:r w:rsidRPr="002F434E">
              <w:rPr>
                <w:rFonts w:ascii="Arial" w:hAnsi="Arial" w:cs="Arial"/>
                <w:sz w:val="18"/>
                <w:szCs w:val="18"/>
              </w:rPr>
              <w:t>1200</w:t>
            </w:r>
          </w:p>
        </w:tc>
        <w:tc>
          <w:tcPr>
            <w:tcW w:w="2266" w:type="dxa"/>
          </w:tcPr>
          <w:p w14:paraId="4A65DEAC" w14:textId="53B3D44D" w:rsidR="001D2CB4" w:rsidRPr="002F434E" w:rsidRDefault="00D736D1" w:rsidP="007910AB">
            <w:pPr>
              <w:jc w:val="both"/>
              <w:rPr>
                <w:rFonts w:ascii="Arial" w:hAnsi="Arial" w:cs="Arial"/>
                <w:sz w:val="18"/>
                <w:szCs w:val="18"/>
              </w:rPr>
            </w:pPr>
            <w:proofErr w:type="spellStart"/>
            <w:r w:rsidRPr="002F434E">
              <w:rPr>
                <w:rFonts w:ascii="Arial" w:hAnsi="Arial" w:cs="Arial"/>
                <w:sz w:val="18"/>
                <w:szCs w:val="18"/>
              </w:rPr>
              <w:t>Donori</w:t>
            </w:r>
            <w:proofErr w:type="spellEnd"/>
          </w:p>
        </w:tc>
      </w:tr>
      <w:tr w:rsidR="001D2CB4" w:rsidRPr="002F434E" w14:paraId="0A98ED64" w14:textId="77777777" w:rsidTr="001D2CB4">
        <w:tc>
          <w:tcPr>
            <w:tcW w:w="2265" w:type="dxa"/>
            <w:vMerge w:val="restart"/>
          </w:tcPr>
          <w:p w14:paraId="763E1EC0" w14:textId="303EFE09" w:rsidR="001D2CB4" w:rsidRPr="002F434E" w:rsidRDefault="00D736D1" w:rsidP="007910AB">
            <w:pPr>
              <w:jc w:val="both"/>
              <w:rPr>
                <w:rFonts w:ascii="Arial" w:hAnsi="Arial" w:cs="Arial"/>
                <w:sz w:val="18"/>
                <w:szCs w:val="18"/>
              </w:rPr>
            </w:pPr>
            <w:r w:rsidRPr="002F434E">
              <w:rPr>
                <w:rFonts w:ascii="Arial" w:hAnsi="Arial" w:cs="Arial"/>
                <w:sz w:val="18"/>
                <w:szCs w:val="18"/>
              </w:rPr>
              <w:t>Operativni cilj 3</w:t>
            </w:r>
          </w:p>
        </w:tc>
        <w:tc>
          <w:tcPr>
            <w:tcW w:w="2265" w:type="dxa"/>
          </w:tcPr>
          <w:p w14:paraId="482EA49C" w14:textId="08B5EB49" w:rsidR="001D2CB4" w:rsidRPr="002F434E" w:rsidRDefault="001D2CB4" w:rsidP="007910AB">
            <w:pPr>
              <w:jc w:val="both"/>
              <w:rPr>
                <w:rFonts w:ascii="Arial" w:hAnsi="Arial" w:cs="Arial"/>
                <w:sz w:val="18"/>
                <w:szCs w:val="18"/>
              </w:rPr>
            </w:pPr>
            <w:r w:rsidRPr="002F434E">
              <w:rPr>
                <w:rFonts w:ascii="Arial" w:hAnsi="Arial" w:cs="Arial"/>
                <w:sz w:val="18"/>
                <w:szCs w:val="18"/>
              </w:rPr>
              <w:t>38 060,60</w:t>
            </w:r>
          </w:p>
        </w:tc>
        <w:tc>
          <w:tcPr>
            <w:tcW w:w="2266" w:type="dxa"/>
          </w:tcPr>
          <w:p w14:paraId="406DCE10" w14:textId="305770B9" w:rsidR="001D2CB4" w:rsidRPr="002F434E" w:rsidRDefault="001D2CB4" w:rsidP="007910AB">
            <w:pPr>
              <w:jc w:val="both"/>
              <w:rPr>
                <w:rFonts w:ascii="Arial" w:hAnsi="Arial" w:cs="Arial"/>
                <w:sz w:val="18"/>
                <w:szCs w:val="18"/>
              </w:rPr>
            </w:pPr>
            <w:r w:rsidRPr="002F434E">
              <w:rPr>
                <w:rFonts w:ascii="Arial" w:hAnsi="Arial" w:cs="Arial"/>
                <w:sz w:val="18"/>
                <w:szCs w:val="18"/>
              </w:rPr>
              <w:t>57 000</w:t>
            </w:r>
          </w:p>
        </w:tc>
        <w:tc>
          <w:tcPr>
            <w:tcW w:w="2266" w:type="dxa"/>
          </w:tcPr>
          <w:p w14:paraId="4F870A09" w14:textId="716C7DF8" w:rsidR="001D2CB4" w:rsidRPr="002F434E" w:rsidRDefault="00D736D1" w:rsidP="007910AB">
            <w:pPr>
              <w:jc w:val="both"/>
              <w:rPr>
                <w:rFonts w:ascii="Arial" w:hAnsi="Arial" w:cs="Arial"/>
                <w:sz w:val="18"/>
                <w:szCs w:val="18"/>
              </w:rPr>
            </w:pPr>
            <w:r w:rsidRPr="002F434E">
              <w:rPr>
                <w:rFonts w:ascii="Arial" w:hAnsi="Arial" w:cs="Arial"/>
                <w:sz w:val="18"/>
                <w:szCs w:val="18"/>
              </w:rPr>
              <w:t>Budžet</w:t>
            </w:r>
          </w:p>
        </w:tc>
      </w:tr>
      <w:tr w:rsidR="001D2CB4" w:rsidRPr="002F434E" w14:paraId="1229F7B0" w14:textId="77777777" w:rsidTr="001D2CB4">
        <w:tc>
          <w:tcPr>
            <w:tcW w:w="2265" w:type="dxa"/>
            <w:vMerge/>
          </w:tcPr>
          <w:p w14:paraId="1C7A9C3D" w14:textId="77777777" w:rsidR="001D2CB4" w:rsidRPr="002F434E" w:rsidRDefault="001D2CB4" w:rsidP="007910AB">
            <w:pPr>
              <w:jc w:val="both"/>
              <w:rPr>
                <w:rFonts w:ascii="Arial" w:hAnsi="Arial" w:cs="Arial"/>
                <w:sz w:val="18"/>
                <w:szCs w:val="18"/>
              </w:rPr>
            </w:pPr>
          </w:p>
        </w:tc>
        <w:tc>
          <w:tcPr>
            <w:tcW w:w="2265" w:type="dxa"/>
          </w:tcPr>
          <w:p w14:paraId="26C89BFD" w14:textId="5E183C1F" w:rsidR="001D2CB4" w:rsidRPr="002F434E" w:rsidRDefault="001D2CB4" w:rsidP="007910AB">
            <w:pPr>
              <w:jc w:val="both"/>
              <w:rPr>
                <w:rFonts w:ascii="Arial" w:hAnsi="Arial" w:cs="Arial"/>
                <w:sz w:val="18"/>
                <w:szCs w:val="18"/>
              </w:rPr>
            </w:pPr>
            <w:r w:rsidRPr="002F434E">
              <w:rPr>
                <w:rFonts w:ascii="Arial" w:hAnsi="Arial" w:cs="Arial"/>
                <w:sz w:val="18"/>
                <w:szCs w:val="18"/>
              </w:rPr>
              <w:t>6 000</w:t>
            </w:r>
          </w:p>
        </w:tc>
        <w:tc>
          <w:tcPr>
            <w:tcW w:w="2266" w:type="dxa"/>
          </w:tcPr>
          <w:p w14:paraId="79150BDA" w14:textId="74B966C6" w:rsidR="001D2CB4" w:rsidRPr="002F434E" w:rsidRDefault="001D2CB4" w:rsidP="007910AB">
            <w:pPr>
              <w:jc w:val="both"/>
              <w:rPr>
                <w:rFonts w:ascii="Arial" w:hAnsi="Arial" w:cs="Arial"/>
                <w:sz w:val="18"/>
                <w:szCs w:val="18"/>
              </w:rPr>
            </w:pPr>
            <w:r w:rsidRPr="002F434E">
              <w:rPr>
                <w:rFonts w:ascii="Arial" w:hAnsi="Arial" w:cs="Arial"/>
                <w:sz w:val="18"/>
                <w:szCs w:val="18"/>
              </w:rPr>
              <w:t>2 000</w:t>
            </w:r>
          </w:p>
        </w:tc>
        <w:tc>
          <w:tcPr>
            <w:tcW w:w="2266" w:type="dxa"/>
          </w:tcPr>
          <w:p w14:paraId="3774AD52" w14:textId="3980A776" w:rsidR="001D2CB4" w:rsidRPr="002F434E" w:rsidRDefault="00D736D1" w:rsidP="007910AB">
            <w:pPr>
              <w:jc w:val="both"/>
              <w:rPr>
                <w:rFonts w:ascii="Arial" w:hAnsi="Arial" w:cs="Arial"/>
                <w:sz w:val="18"/>
                <w:szCs w:val="18"/>
              </w:rPr>
            </w:pPr>
            <w:proofErr w:type="spellStart"/>
            <w:r w:rsidRPr="002F434E">
              <w:rPr>
                <w:rFonts w:ascii="Arial" w:hAnsi="Arial" w:cs="Arial"/>
                <w:sz w:val="18"/>
                <w:szCs w:val="18"/>
              </w:rPr>
              <w:t>Donori</w:t>
            </w:r>
            <w:proofErr w:type="spellEnd"/>
          </w:p>
        </w:tc>
      </w:tr>
      <w:tr w:rsidR="001D2CB4" w:rsidRPr="002F434E" w14:paraId="7E13A94F" w14:textId="77777777" w:rsidTr="001D2CB4">
        <w:tc>
          <w:tcPr>
            <w:tcW w:w="2265" w:type="dxa"/>
            <w:vMerge w:val="restart"/>
          </w:tcPr>
          <w:p w14:paraId="12C7455C" w14:textId="46F256F1" w:rsidR="001D2CB4" w:rsidRPr="002F434E" w:rsidRDefault="00D736D1" w:rsidP="007910AB">
            <w:pPr>
              <w:jc w:val="both"/>
              <w:rPr>
                <w:rFonts w:ascii="Arial" w:hAnsi="Arial" w:cs="Arial"/>
                <w:b/>
                <w:bCs/>
                <w:sz w:val="18"/>
                <w:szCs w:val="18"/>
              </w:rPr>
            </w:pPr>
            <w:r w:rsidRPr="002F434E">
              <w:rPr>
                <w:rFonts w:ascii="Arial" w:hAnsi="Arial" w:cs="Arial"/>
                <w:b/>
                <w:bCs/>
                <w:sz w:val="18"/>
                <w:szCs w:val="18"/>
              </w:rPr>
              <w:t>Ukupno</w:t>
            </w:r>
          </w:p>
        </w:tc>
        <w:tc>
          <w:tcPr>
            <w:tcW w:w="2265" w:type="dxa"/>
          </w:tcPr>
          <w:p w14:paraId="01BC8E5A" w14:textId="190DFC21" w:rsidR="001D2CB4" w:rsidRPr="002F434E" w:rsidRDefault="001D2CB4" w:rsidP="007910AB">
            <w:pPr>
              <w:jc w:val="both"/>
              <w:rPr>
                <w:rFonts w:ascii="Arial" w:hAnsi="Arial" w:cs="Arial"/>
                <w:b/>
                <w:bCs/>
                <w:sz w:val="18"/>
                <w:szCs w:val="18"/>
              </w:rPr>
            </w:pPr>
            <w:r w:rsidRPr="002F434E">
              <w:rPr>
                <w:rFonts w:ascii="Arial" w:hAnsi="Arial" w:cs="Arial"/>
                <w:b/>
                <w:bCs/>
                <w:sz w:val="18"/>
                <w:szCs w:val="18"/>
              </w:rPr>
              <w:t>98 980, 41</w:t>
            </w:r>
          </w:p>
        </w:tc>
        <w:tc>
          <w:tcPr>
            <w:tcW w:w="2266" w:type="dxa"/>
          </w:tcPr>
          <w:p w14:paraId="39ADC174" w14:textId="02C62B74" w:rsidR="001D2CB4" w:rsidRPr="002F434E" w:rsidRDefault="001D2CB4" w:rsidP="007910AB">
            <w:pPr>
              <w:jc w:val="both"/>
              <w:rPr>
                <w:rFonts w:ascii="Arial" w:hAnsi="Arial" w:cs="Arial"/>
                <w:b/>
                <w:bCs/>
                <w:sz w:val="18"/>
                <w:szCs w:val="18"/>
              </w:rPr>
            </w:pPr>
            <w:r w:rsidRPr="002F434E">
              <w:rPr>
                <w:rFonts w:ascii="Arial" w:hAnsi="Arial" w:cs="Arial"/>
                <w:b/>
                <w:bCs/>
                <w:sz w:val="18"/>
                <w:szCs w:val="18"/>
              </w:rPr>
              <w:t>141 000</w:t>
            </w:r>
          </w:p>
        </w:tc>
        <w:tc>
          <w:tcPr>
            <w:tcW w:w="2266" w:type="dxa"/>
          </w:tcPr>
          <w:p w14:paraId="59E33FCE" w14:textId="54D44115" w:rsidR="001D2CB4" w:rsidRPr="002F434E" w:rsidRDefault="00D736D1" w:rsidP="007910AB">
            <w:pPr>
              <w:jc w:val="both"/>
              <w:rPr>
                <w:rFonts w:ascii="Arial" w:hAnsi="Arial" w:cs="Arial"/>
                <w:b/>
                <w:bCs/>
                <w:sz w:val="18"/>
                <w:szCs w:val="18"/>
              </w:rPr>
            </w:pPr>
            <w:r w:rsidRPr="002F434E">
              <w:rPr>
                <w:rFonts w:ascii="Arial" w:hAnsi="Arial" w:cs="Arial"/>
                <w:b/>
                <w:bCs/>
                <w:sz w:val="18"/>
                <w:szCs w:val="18"/>
              </w:rPr>
              <w:t>Budžet</w:t>
            </w:r>
          </w:p>
        </w:tc>
      </w:tr>
      <w:tr w:rsidR="001D2CB4" w:rsidRPr="002F434E" w14:paraId="5FDAAE1F" w14:textId="77777777" w:rsidTr="001D2CB4">
        <w:tc>
          <w:tcPr>
            <w:tcW w:w="2265" w:type="dxa"/>
            <w:vMerge/>
          </w:tcPr>
          <w:p w14:paraId="7F00BC06" w14:textId="77777777" w:rsidR="001D2CB4" w:rsidRPr="002F434E" w:rsidRDefault="001D2CB4" w:rsidP="007910AB">
            <w:pPr>
              <w:jc w:val="both"/>
              <w:rPr>
                <w:rFonts w:ascii="Arial" w:hAnsi="Arial" w:cs="Arial"/>
                <w:b/>
                <w:bCs/>
                <w:sz w:val="18"/>
                <w:szCs w:val="18"/>
              </w:rPr>
            </w:pPr>
          </w:p>
        </w:tc>
        <w:tc>
          <w:tcPr>
            <w:tcW w:w="2265" w:type="dxa"/>
          </w:tcPr>
          <w:p w14:paraId="5A3A2558" w14:textId="6524A028" w:rsidR="001D2CB4" w:rsidRPr="002F434E" w:rsidRDefault="001D2CB4" w:rsidP="007910AB">
            <w:pPr>
              <w:jc w:val="both"/>
              <w:rPr>
                <w:rFonts w:ascii="Arial" w:hAnsi="Arial" w:cs="Arial"/>
                <w:b/>
                <w:bCs/>
                <w:sz w:val="18"/>
                <w:szCs w:val="18"/>
              </w:rPr>
            </w:pPr>
            <w:r w:rsidRPr="002F434E">
              <w:rPr>
                <w:rFonts w:ascii="Arial" w:hAnsi="Arial" w:cs="Arial"/>
                <w:b/>
                <w:bCs/>
                <w:sz w:val="18"/>
                <w:szCs w:val="18"/>
              </w:rPr>
              <w:t>9 714</w:t>
            </w:r>
          </w:p>
        </w:tc>
        <w:tc>
          <w:tcPr>
            <w:tcW w:w="2266" w:type="dxa"/>
          </w:tcPr>
          <w:p w14:paraId="03B781DB" w14:textId="300ECC20" w:rsidR="001D2CB4" w:rsidRPr="002F434E" w:rsidRDefault="001D2CB4" w:rsidP="007910AB">
            <w:pPr>
              <w:jc w:val="both"/>
              <w:rPr>
                <w:rFonts w:ascii="Arial" w:hAnsi="Arial" w:cs="Arial"/>
                <w:b/>
                <w:bCs/>
                <w:sz w:val="18"/>
                <w:szCs w:val="18"/>
              </w:rPr>
            </w:pPr>
            <w:r w:rsidRPr="002F434E">
              <w:rPr>
                <w:rFonts w:ascii="Arial" w:hAnsi="Arial" w:cs="Arial"/>
                <w:b/>
                <w:bCs/>
                <w:sz w:val="18"/>
                <w:szCs w:val="18"/>
              </w:rPr>
              <w:t>3 200</w:t>
            </w:r>
          </w:p>
        </w:tc>
        <w:tc>
          <w:tcPr>
            <w:tcW w:w="2266" w:type="dxa"/>
          </w:tcPr>
          <w:p w14:paraId="31FD5CB7" w14:textId="22D26202" w:rsidR="001D2CB4" w:rsidRPr="002F434E" w:rsidRDefault="00D736D1" w:rsidP="007910AB">
            <w:pPr>
              <w:jc w:val="both"/>
              <w:rPr>
                <w:rFonts w:ascii="Arial" w:hAnsi="Arial" w:cs="Arial"/>
                <w:b/>
                <w:bCs/>
                <w:sz w:val="18"/>
                <w:szCs w:val="18"/>
              </w:rPr>
            </w:pPr>
            <w:proofErr w:type="spellStart"/>
            <w:r w:rsidRPr="002F434E">
              <w:rPr>
                <w:rFonts w:ascii="Arial" w:hAnsi="Arial" w:cs="Arial"/>
                <w:b/>
                <w:bCs/>
                <w:sz w:val="18"/>
                <w:szCs w:val="18"/>
              </w:rPr>
              <w:t>Donori</w:t>
            </w:r>
            <w:proofErr w:type="spellEnd"/>
          </w:p>
        </w:tc>
      </w:tr>
    </w:tbl>
    <w:p w14:paraId="23E3DF71" w14:textId="4A4FAB96" w:rsidR="00780FF6" w:rsidRPr="002F434E" w:rsidRDefault="00D736D1" w:rsidP="00780FF6">
      <w:pPr>
        <w:pStyle w:val="ParagraphOED"/>
        <w:numPr>
          <w:ilvl w:val="0"/>
          <w:numId w:val="0"/>
        </w:numPr>
        <w:spacing w:before="0" w:after="0"/>
        <w:ind w:left="360" w:hanging="360"/>
        <w:rPr>
          <w:rFonts w:ascii="Arial" w:hAnsi="Arial" w:cs="Arial"/>
          <w:sz w:val="16"/>
          <w:szCs w:val="16"/>
          <w:lang w:val="sr-Latn-RS"/>
        </w:rPr>
      </w:pPr>
      <w:r w:rsidRPr="002F434E">
        <w:rPr>
          <w:rFonts w:ascii="Arial" w:hAnsi="Arial" w:cs="Arial"/>
          <w:sz w:val="16"/>
          <w:szCs w:val="16"/>
          <w:lang w:val="sr-Latn-RS"/>
        </w:rPr>
        <w:t xml:space="preserve">Izvor: </w:t>
      </w:r>
      <w:r w:rsidR="002F434E" w:rsidRPr="002F434E">
        <w:rPr>
          <w:rFonts w:ascii="Arial" w:hAnsi="Arial" w:cs="Arial"/>
          <w:sz w:val="16"/>
          <w:szCs w:val="16"/>
          <w:lang w:val="sr-Latn-RS"/>
        </w:rPr>
        <w:t>MER, Godišnji izveštaj o implementaciji NPZP</w:t>
      </w:r>
    </w:p>
    <w:p w14:paraId="66994D63" w14:textId="77777777" w:rsidR="007910AB" w:rsidRPr="002F434E" w:rsidRDefault="007910AB" w:rsidP="00780FF6">
      <w:pPr>
        <w:pStyle w:val="ParagraphOED"/>
        <w:numPr>
          <w:ilvl w:val="0"/>
          <w:numId w:val="0"/>
        </w:numPr>
        <w:spacing w:before="0" w:after="0"/>
        <w:ind w:left="360" w:hanging="360"/>
        <w:rPr>
          <w:rFonts w:ascii="Arial" w:hAnsi="Arial" w:cs="Arial"/>
          <w:sz w:val="16"/>
          <w:szCs w:val="16"/>
          <w:lang w:val="sr-Latn-RS"/>
        </w:rPr>
      </w:pPr>
    </w:p>
    <w:p w14:paraId="4358B14B" w14:textId="17818C39" w:rsidR="007910AB" w:rsidRPr="002F434E" w:rsidRDefault="007910AB" w:rsidP="007910AB">
      <w:pPr>
        <w:spacing w:after="0" w:line="240" w:lineRule="auto"/>
        <w:jc w:val="both"/>
        <w:rPr>
          <w:rFonts w:ascii="Arial" w:hAnsi="Arial" w:cs="Arial"/>
          <w:sz w:val="18"/>
          <w:szCs w:val="18"/>
        </w:rPr>
      </w:pPr>
      <w:r w:rsidRPr="002F434E">
        <w:rPr>
          <w:rFonts w:ascii="Arial" w:hAnsi="Arial" w:cs="Arial"/>
          <w:sz w:val="18"/>
          <w:szCs w:val="18"/>
        </w:rPr>
        <w:t>Tab</w:t>
      </w:r>
      <w:r w:rsidR="00D736D1" w:rsidRPr="002F434E">
        <w:rPr>
          <w:rFonts w:ascii="Arial" w:hAnsi="Arial" w:cs="Arial"/>
          <w:sz w:val="18"/>
          <w:szCs w:val="18"/>
        </w:rPr>
        <w:t>ela 6</w:t>
      </w:r>
      <w:r w:rsidRPr="002F434E">
        <w:rPr>
          <w:rFonts w:ascii="Arial" w:hAnsi="Arial" w:cs="Arial"/>
          <w:sz w:val="18"/>
          <w:szCs w:val="18"/>
        </w:rPr>
        <w:t xml:space="preserve">. </w:t>
      </w:r>
      <w:r w:rsidR="00D736D1" w:rsidRPr="002F434E">
        <w:rPr>
          <w:rFonts w:ascii="Arial" w:hAnsi="Arial" w:cs="Arial"/>
          <w:sz w:val="18"/>
          <w:szCs w:val="18"/>
        </w:rPr>
        <w:t>NPZP Budžet za 2023</w:t>
      </w:r>
    </w:p>
    <w:tbl>
      <w:tblPr>
        <w:tblStyle w:val="TableGrid"/>
        <w:tblW w:w="0" w:type="auto"/>
        <w:tblLook w:val="04A0" w:firstRow="1" w:lastRow="0" w:firstColumn="1" w:lastColumn="0" w:noHBand="0" w:noVBand="1"/>
      </w:tblPr>
      <w:tblGrid>
        <w:gridCol w:w="2265"/>
        <w:gridCol w:w="2265"/>
        <w:gridCol w:w="2266"/>
        <w:gridCol w:w="2266"/>
      </w:tblGrid>
      <w:tr w:rsidR="00D736D1" w:rsidRPr="002F434E" w14:paraId="77BF9770" w14:textId="77777777" w:rsidTr="001D2CB4">
        <w:tc>
          <w:tcPr>
            <w:tcW w:w="2265" w:type="dxa"/>
            <w:shd w:val="clear" w:color="auto" w:fill="D9E2F3" w:themeFill="accent1" w:themeFillTint="33"/>
          </w:tcPr>
          <w:p w14:paraId="6532465D" w14:textId="10E1F8AE"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Resursi</w:t>
            </w:r>
          </w:p>
        </w:tc>
        <w:tc>
          <w:tcPr>
            <w:tcW w:w="2265" w:type="dxa"/>
            <w:shd w:val="clear" w:color="auto" w:fill="D9E2F3" w:themeFill="accent1" w:themeFillTint="33"/>
          </w:tcPr>
          <w:p w14:paraId="54C2458F" w14:textId="4D73AFD4"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Potrošeno</w:t>
            </w:r>
          </w:p>
        </w:tc>
        <w:tc>
          <w:tcPr>
            <w:tcW w:w="2266" w:type="dxa"/>
            <w:shd w:val="clear" w:color="auto" w:fill="D9E2F3" w:themeFill="accent1" w:themeFillTint="33"/>
          </w:tcPr>
          <w:p w14:paraId="3BF36EBE" w14:textId="61B93D6C"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Planirano</w:t>
            </w:r>
          </w:p>
        </w:tc>
        <w:tc>
          <w:tcPr>
            <w:tcW w:w="2266" w:type="dxa"/>
            <w:shd w:val="clear" w:color="auto" w:fill="D9E2F3" w:themeFill="accent1" w:themeFillTint="33"/>
          </w:tcPr>
          <w:p w14:paraId="04EC492B" w14:textId="431B5832"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Izvor</w:t>
            </w:r>
          </w:p>
        </w:tc>
      </w:tr>
      <w:tr w:rsidR="00D736D1" w:rsidRPr="002F434E" w14:paraId="088A06A7" w14:textId="77777777" w:rsidTr="00DD1FEA">
        <w:tc>
          <w:tcPr>
            <w:tcW w:w="2265" w:type="dxa"/>
            <w:vMerge w:val="restart"/>
          </w:tcPr>
          <w:p w14:paraId="0C2192F6" w14:textId="282340E6" w:rsidR="00D736D1" w:rsidRPr="002F434E" w:rsidRDefault="00D736D1" w:rsidP="00D736D1">
            <w:pPr>
              <w:jc w:val="both"/>
              <w:rPr>
                <w:rFonts w:ascii="Arial" w:hAnsi="Arial" w:cs="Arial"/>
                <w:sz w:val="18"/>
                <w:szCs w:val="18"/>
              </w:rPr>
            </w:pPr>
            <w:r w:rsidRPr="002F434E">
              <w:rPr>
                <w:rFonts w:ascii="Arial" w:hAnsi="Arial" w:cs="Arial"/>
                <w:sz w:val="18"/>
                <w:szCs w:val="18"/>
              </w:rPr>
              <w:t>Operativni cilj 1</w:t>
            </w:r>
          </w:p>
        </w:tc>
        <w:tc>
          <w:tcPr>
            <w:tcW w:w="2265" w:type="dxa"/>
          </w:tcPr>
          <w:p w14:paraId="7F0F90CD" w14:textId="79618724" w:rsidR="00D736D1" w:rsidRPr="002F434E" w:rsidRDefault="00D736D1" w:rsidP="00D736D1">
            <w:pPr>
              <w:jc w:val="both"/>
              <w:rPr>
                <w:rFonts w:ascii="Arial" w:hAnsi="Arial" w:cs="Arial"/>
                <w:sz w:val="18"/>
                <w:szCs w:val="18"/>
              </w:rPr>
            </w:pPr>
            <w:r w:rsidRPr="002F434E">
              <w:rPr>
                <w:rFonts w:ascii="Arial" w:hAnsi="Arial" w:cs="Arial"/>
                <w:sz w:val="18"/>
                <w:szCs w:val="18"/>
              </w:rPr>
              <w:t>6 582,88</w:t>
            </w:r>
          </w:p>
        </w:tc>
        <w:tc>
          <w:tcPr>
            <w:tcW w:w="2266" w:type="dxa"/>
          </w:tcPr>
          <w:p w14:paraId="1332F379" w14:textId="3CAE4A65" w:rsidR="00D736D1" w:rsidRPr="002F434E" w:rsidRDefault="00D736D1" w:rsidP="00D736D1">
            <w:pPr>
              <w:jc w:val="both"/>
              <w:rPr>
                <w:rFonts w:ascii="Arial" w:hAnsi="Arial" w:cs="Arial"/>
                <w:sz w:val="18"/>
                <w:szCs w:val="18"/>
              </w:rPr>
            </w:pPr>
            <w:r w:rsidRPr="002F434E">
              <w:rPr>
                <w:rFonts w:ascii="Arial" w:hAnsi="Arial" w:cs="Arial"/>
                <w:sz w:val="18"/>
                <w:szCs w:val="18"/>
              </w:rPr>
              <w:t>7 150</w:t>
            </w:r>
          </w:p>
        </w:tc>
        <w:tc>
          <w:tcPr>
            <w:tcW w:w="2266" w:type="dxa"/>
          </w:tcPr>
          <w:p w14:paraId="24B32B1F" w14:textId="31A17B10" w:rsidR="00D736D1" w:rsidRPr="002F434E" w:rsidRDefault="00D736D1" w:rsidP="00D736D1">
            <w:pPr>
              <w:jc w:val="both"/>
              <w:rPr>
                <w:rFonts w:ascii="Arial" w:hAnsi="Arial" w:cs="Arial"/>
                <w:sz w:val="18"/>
                <w:szCs w:val="18"/>
              </w:rPr>
            </w:pPr>
            <w:r w:rsidRPr="002F434E">
              <w:rPr>
                <w:rFonts w:ascii="Arial" w:hAnsi="Arial" w:cs="Arial"/>
                <w:sz w:val="18"/>
                <w:szCs w:val="18"/>
              </w:rPr>
              <w:t>Budžet</w:t>
            </w:r>
          </w:p>
        </w:tc>
      </w:tr>
      <w:tr w:rsidR="00D736D1" w:rsidRPr="002F434E" w14:paraId="3DF91D5C" w14:textId="77777777" w:rsidTr="00DD1FEA">
        <w:tc>
          <w:tcPr>
            <w:tcW w:w="2265" w:type="dxa"/>
            <w:vMerge/>
          </w:tcPr>
          <w:p w14:paraId="322DE599" w14:textId="77777777" w:rsidR="00D736D1" w:rsidRPr="002F434E" w:rsidRDefault="00D736D1" w:rsidP="00D736D1">
            <w:pPr>
              <w:jc w:val="both"/>
              <w:rPr>
                <w:rFonts w:ascii="Arial" w:hAnsi="Arial" w:cs="Arial"/>
                <w:sz w:val="18"/>
                <w:szCs w:val="18"/>
              </w:rPr>
            </w:pPr>
          </w:p>
        </w:tc>
        <w:tc>
          <w:tcPr>
            <w:tcW w:w="2265" w:type="dxa"/>
          </w:tcPr>
          <w:p w14:paraId="25CDE983" w14:textId="43DB0504" w:rsidR="00D736D1" w:rsidRPr="002F434E" w:rsidRDefault="00D736D1" w:rsidP="00D736D1">
            <w:pPr>
              <w:jc w:val="both"/>
              <w:rPr>
                <w:rFonts w:ascii="Arial" w:hAnsi="Arial" w:cs="Arial"/>
                <w:sz w:val="18"/>
                <w:szCs w:val="18"/>
              </w:rPr>
            </w:pPr>
            <w:r w:rsidRPr="002F434E">
              <w:rPr>
                <w:rFonts w:ascii="Arial" w:hAnsi="Arial" w:cs="Arial"/>
                <w:sz w:val="18"/>
                <w:szCs w:val="18"/>
              </w:rPr>
              <w:t>3 445</w:t>
            </w:r>
          </w:p>
        </w:tc>
        <w:tc>
          <w:tcPr>
            <w:tcW w:w="2266" w:type="dxa"/>
          </w:tcPr>
          <w:p w14:paraId="678412A4" w14:textId="5137A4E8" w:rsidR="00D736D1" w:rsidRPr="002F434E" w:rsidRDefault="00D736D1" w:rsidP="00D736D1">
            <w:pPr>
              <w:jc w:val="both"/>
              <w:rPr>
                <w:rFonts w:ascii="Arial" w:hAnsi="Arial" w:cs="Arial"/>
                <w:sz w:val="18"/>
                <w:szCs w:val="18"/>
              </w:rPr>
            </w:pPr>
            <w:r w:rsidRPr="002F434E">
              <w:rPr>
                <w:rFonts w:ascii="Arial" w:hAnsi="Arial" w:cs="Arial"/>
                <w:sz w:val="18"/>
                <w:szCs w:val="18"/>
              </w:rPr>
              <w:t>3 470</w:t>
            </w:r>
          </w:p>
        </w:tc>
        <w:tc>
          <w:tcPr>
            <w:tcW w:w="2266" w:type="dxa"/>
          </w:tcPr>
          <w:p w14:paraId="50CC056E" w14:textId="0D86AC52" w:rsidR="00D736D1" w:rsidRPr="002F434E" w:rsidRDefault="00D736D1" w:rsidP="00D736D1">
            <w:pPr>
              <w:jc w:val="both"/>
              <w:rPr>
                <w:rFonts w:ascii="Arial" w:hAnsi="Arial" w:cs="Arial"/>
                <w:sz w:val="18"/>
                <w:szCs w:val="18"/>
              </w:rPr>
            </w:pPr>
            <w:proofErr w:type="spellStart"/>
            <w:r w:rsidRPr="002F434E">
              <w:rPr>
                <w:rFonts w:ascii="Arial" w:hAnsi="Arial" w:cs="Arial"/>
                <w:sz w:val="18"/>
                <w:szCs w:val="18"/>
              </w:rPr>
              <w:t>Donori</w:t>
            </w:r>
            <w:proofErr w:type="spellEnd"/>
          </w:p>
        </w:tc>
      </w:tr>
      <w:tr w:rsidR="00D736D1" w:rsidRPr="002F434E" w14:paraId="7F847E93" w14:textId="77777777" w:rsidTr="00DD1FEA">
        <w:tc>
          <w:tcPr>
            <w:tcW w:w="2265" w:type="dxa"/>
            <w:vMerge w:val="restart"/>
          </w:tcPr>
          <w:p w14:paraId="18E82871" w14:textId="4720B0D3" w:rsidR="00D736D1" w:rsidRPr="002F434E" w:rsidRDefault="00D736D1" w:rsidP="00D736D1">
            <w:pPr>
              <w:jc w:val="both"/>
              <w:rPr>
                <w:rFonts w:ascii="Arial" w:hAnsi="Arial" w:cs="Arial"/>
                <w:sz w:val="18"/>
                <w:szCs w:val="18"/>
              </w:rPr>
            </w:pPr>
            <w:r w:rsidRPr="002F434E">
              <w:rPr>
                <w:rFonts w:ascii="Arial" w:hAnsi="Arial" w:cs="Arial"/>
                <w:sz w:val="18"/>
                <w:szCs w:val="18"/>
              </w:rPr>
              <w:t>Operativni cilj 2</w:t>
            </w:r>
          </w:p>
        </w:tc>
        <w:tc>
          <w:tcPr>
            <w:tcW w:w="2265" w:type="dxa"/>
          </w:tcPr>
          <w:p w14:paraId="1D643E9C" w14:textId="5B3C1400" w:rsidR="00D736D1" w:rsidRPr="002F434E" w:rsidRDefault="00D736D1" w:rsidP="00D736D1">
            <w:pPr>
              <w:jc w:val="both"/>
              <w:rPr>
                <w:rFonts w:ascii="Arial" w:hAnsi="Arial" w:cs="Arial"/>
                <w:sz w:val="18"/>
                <w:szCs w:val="18"/>
              </w:rPr>
            </w:pPr>
            <w:r w:rsidRPr="002F434E">
              <w:rPr>
                <w:rFonts w:ascii="Arial" w:hAnsi="Arial" w:cs="Arial"/>
                <w:sz w:val="18"/>
                <w:szCs w:val="18"/>
              </w:rPr>
              <w:t>14 075</w:t>
            </w:r>
          </w:p>
        </w:tc>
        <w:tc>
          <w:tcPr>
            <w:tcW w:w="2266" w:type="dxa"/>
          </w:tcPr>
          <w:p w14:paraId="29C2AC0F" w14:textId="2C14636D" w:rsidR="00D736D1" w:rsidRPr="002F434E" w:rsidRDefault="00D736D1" w:rsidP="00D736D1">
            <w:pPr>
              <w:jc w:val="both"/>
              <w:rPr>
                <w:rFonts w:ascii="Arial" w:hAnsi="Arial" w:cs="Arial"/>
                <w:sz w:val="18"/>
                <w:szCs w:val="18"/>
              </w:rPr>
            </w:pPr>
            <w:r w:rsidRPr="002F434E">
              <w:rPr>
                <w:rFonts w:ascii="Arial" w:hAnsi="Arial" w:cs="Arial"/>
                <w:sz w:val="18"/>
                <w:szCs w:val="18"/>
              </w:rPr>
              <w:t>19 000</w:t>
            </w:r>
          </w:p>
        </w:tc>
        <w:tc>
          <w:tcPr>
            <w:tcW w:w="2266" w:type="dxa"/>
          </w:tcPr>
          <w:p w14:paraId="2C4F7692" w14:textId="497E9786" w:rsidR="00D736D1" w:rsidRPr="002F434E" w:rsidRDefault="00D736D1" w:rsidP="00D736D1">
            <w:pPr>
              <w:jc w:val="both"/>
              <w:rPr>
                <w:rFonts w:ascii="Arial" w:hAnsi="Arial" w:cs="Arial"/>
                <w:sz w:val="18"/>
                <w:szCs w:val="18"/>
              </w:rPr>
            </w:pPr>
            <w:r w:rsidRPr="002F434E">
              <w:rPr>
                <w:rFonts w:ascii="Arial" w:hAnsi="Arial" w:cs="Arial"/>
                <w:sz w:val="18"/>
                <w:szCs w:val="18"/>
              </w:rPr>
              <w:t>Budžet</w:t>
            </w:r>
          </w:p>
        </w:tc>
      </w:tr>
      <w:tr w:rsidR="00D736D1" w:rsidRPr="002F434E" w14:paraId="14674D6D" w14:textId="77777777" w:rsidTr="00DD1FEA">
        <w:tc>
          <w:tcPr>
            <w:tcW w:w="2265" w:type="dxa"/>
            <w:vMerge/>
          </w:tcPr>
          <w:p w14:paraId="18F8CECE" w14:textId="77777777" w:rsidR="00D736D1" w:rsidRPr="002F434E" w:rsidRDefault="00D736D1" w:rsidP="00D736D1">
            <w:pPr>
              <w:jc w:val="both"/>
              <w:rPr>
                <w:rFonts w:ascii="Arial" w:hAnsi="Arial" w:cs="Arial"/>
                <w:sz w:val="18"/>
                <w:szCs w:val="18"/>
              </w:rPr>
            </w:pPr>
          </w:p>
        </w:tc>
        <w:tc>
          <w:tcPr>
            <w:tcW w:w="2265" w:type="dxa"/>
          </w:tcPr>
          <w:p w14:paraId="1C2282FD" w14:textId="12F56E11" w:rsidR="00D736D1" w:rsidRPr="002F434E" w:rsidRDefault="00D736D1" w:rsidP="00D736D1">
            <w:pPr>
              <w:jc w:val="both"/>
              <w:rPr>
                <w:rFonts w:ascii="Arial" w:hAnsi="Arial" w:cs="Arial"/>
                <w:sz w:val="18"/>
                <w:szCs w:val="18"/>
              </w:rPr>
            </w:pPr>
            <w:r w:rsidRPr="002F434E">
              <w:rPr>
                <w:rFonts w:ascii="Arial" w:hAnsi="Arial" w:cs="Arial"/>
                <w:sz w:val="18"/>
                <w:szCs w:val="18"/>
              </w:rPr>
              <w:t>4 744,73</w:t>
            </w:r>
          </w:p>
        </w:tc>
        <w:tc>
          <w:tcPr>
            <w:tcW w:w="2266" w:type="dxa"/>
          </w:tcPr>
          <w:p w14:paraId="7307E8B1" w14:textId="6377D60C" w:rsidR="00D736D1" w:rsidRPr="002F434E" w:rsidRDefault="00D736D1" w:rsidP="00D736D1">
            <w:pPr>
              <w:jc w:val="both"/>
              <w:rPr>
                <w:rFonts w:ascii="Arial" w:hAnsi="Arial" w:cs="Arial"/>
                <w:sz w:val="18"/>
                <w:szCs w:val="18"/>
              </w:rPr>
            </w:pPr>
            <w:r w:rsidRPr="002F434E">
              <w:rPr>
                <w:rFonts w:ascii="Arial" w:hAnsi="Arial" w:cs="Arial"/>
                <w:sz w:val="18"/>
                <w:szCs w:val="18"/>
              </w:rPr>
              <w:t>5 250</w:t>
            </w:r>
          </w:p>
        </w:tc>
        <w:tc>
          <w:tcPr>
            <w:tcW w:w="2266" w:type="dxa"/>
          </w:tcPr>
          <w:p w14:paraId="1176C4C4" w14:textId="185F5018" w:rsidR="00D736D1" w:rsidRPr="002F434E" w:rsidRDefault="00D736D1" w:rsidP="00D736D1">
            <w:pPr>
              <w:jc w:val="both"/>
              <w:rPr>
                <w:rFonts w:ascii="Arial" w:hAnsi="Arial" w:cs="Arial"/>
                <w:sz w:val="18"/>
                <w:szCs w:val="18"/>
              </w:rPr>
            </w:pPr>
            <w:proofErr w:type="spellStart"/>
            <w:r w:rsidRPr="002F434E">
              <w:rPr>
                <w:rFonts w:ascii="Arial" w:hAnsi="Arial" w:cs="Arial"/>
                <w:sz w:val="18"/>
                <w:szCs w:val="18"/>
              </w:rPr>
              <w:t>Donori</w:t>
            </w:r>
            <w:proofErr w:type="spellEnd"/>
          </w:p>
        </w:tc>
      </w:tr>
      <w:tr w:rsidR="00D736D1" w:rsidRPr="002F434E" w14:paraId="4517BD22" w14:textId="77777777" w:rsidTr="00DD1FEA">
        <w:tc>
          <w:tcPr>
            <w:tcW w:w="2265" w:type="dxa"/>
            <w:vMerge w:val="restart"/>
          </w:tcPr>
          <w:p w14:paraId="5A12073E" w14:textId="6112E007" w:rsidR="00D736D1" w:rsidRPr="002F434E" w:rsidRDefault="00D736D1" w:rsidP="00D736D1">
            <w:pPr>
              <w:jc w:val="both"/>
              <w:rPr>
                <w:rFonts w:ascii="Arial" w:hAnsi="Arial" w:cs="Arial"/>
                <w:sz w:val="18"/>
                <w:szCs w:val="18"/>
              </w:rPr>
            </w:pPr>
            <w:r w:rsidRPr="002F434E">
              <w:rPr>
                <w:rFonts w:ascii="Arial" w:hAnsi="Arial" w:cs="Arial"/>
                <w:sz w:val="18"/>
                <w:szCs w:val="18"/>
              </w:rPr>
              <w:t>Operativni cilj 3</w:t>
            </w:r>
          </w:p>
        </w:tc>
        <w:tc>
          <w:tcPr>
            <w:tcW w:w="2265" w:type="dxa"/>
          </w:tcPr>
          <w:p w14:paraId="00ACBBA8" w14:textId="0A7F1BAA" w:rsidR="00D736D1" w:rsidRPr="002F434E" w:rsidRDefault="00D736D1" w:rsidP="00D736D1">
            <w:pPr>
              <w:jc w:val="both"/>
              <w:rPr>
                <w:rFonts w:ascii="Arial" w:hAnsi="Arial" w:cs="Arial"/>
                <w:sz w:val="18"/>
                <w:szCs w:val="18"/>
              </w:rPr>
            </w:pPr>
            <w:r w:rsidRPr="002F434E">
              <w:rPr>
                <w:rFonts w:ascii="Arial" w:hAnsi="Arial" w:cs="Arial"/>
                <w:sz w:val="18"/>
                <w:szCs w:val="18"/>
              </w:rPr>
              <w:t>7 545,5</w:t>
            </w:r>
          </w:p>
        </w:tc>
        <w:tc>
          <w:tcPr>
            <w:tcW w:w="2266" w:type="dxa"/>
          </w:tcPr>
          <w:p w14:paraId="7DA7BF3E" w14:textId="47B801E4" w:rsidR="00D736D1" w:rsidRPr="002F434E" w:rsidRDefault="00D736D1" w:rsidP="00D736D1">
            <w:pPr>
              <w:jc w:val="both"/>
              <w:rPr>
                <w:rFonts w:ascii="Arial" w:hAnsi="Arial" w:cs="Arial"/>
                <w:sz w:val="18"/>
                <w:szCs w:val="18"/>
              </w:rPr>
            </w:pPr>
            <w:r w:rsidRPr="002F434E">
              <w:rPr>
                <w:rFonts w:ascii="Arial" w:hAnsi="Arial" w:cs="Arial"/>
                <w:sz w:val="18"/>
                <w:szCs w:val="18"/>
              </w:rPr>
              <w:t>13 650</w:t>
            </w:r>
          </w:p>
        </w:tc>
        <w:tc>
          <w:tcPr>
            <w:tcW w:w="2266" w:type="dxa"/>
          </w:tcPr>
          <w:p w14:paraId="2760BBF7" w14:textId="2E9AEA59" w:rsidR="00D736D1" w:rsidRPr="002F434E" w:rsidRDefault="00D736D1" w:rsidP="00D736D1">
            <w:pPr>
              <w:jc w:val="both"/>
              <w:rPr>
                <w:rFonts w:ascii="Arial" w:hAnsi="Arial" w:cs="Arial"/>
                <w:sz w:val="18"/>
                <w:szCs w:val="18"/>
              </w:rPr>
            </w:pPr>
            <w:r w:rsidRPr="002F434E">
              <w:rPr>
                <w:rFonts w:ascii="Arial" w:hAnsi="Arial" w:cs="Arial"/>
                <w:sz w:val="18"/>
                <w:szCs w:val="18"/>
              </w:rPr>
              <w:t>Budžet</w:t>
            </w:r>
          </w:p>
        </w:tc>
      </w:tr>
      <w:tr w:rsidR="00D736D1" w:rsidRPr="002F434E" w14:paraId="2991B972" w14:textId="77777777" w:rsidTr="00DD1FEA">
        <w:tc>
          <w:tcPr>
            <w:tcW w:w="2265" w:type="dxa"/>
            <w:vMerge/>
          </w:tcPr>
          <w:p w14:paraId="3ABFA95A" w14:textId="77777777" w:rsidR="00D736D1" w:rsidRPr="002F434E" w:rsidRDefault="00D736D1" w:rsidP="00D736D1">
            <w:pPr>
              <w:jc w:val="both"/>
              <w:rPr>
                <w:rFonts w:ascii="Arial" w:hAnsi="Arial" w:cs="Arial"/>
                <w:sz w:val="18"/>
                <w:szCs w:val="18"/>
              </w:rPr>
            </w:pPr>
          </w:p>
        </w:tc>
        <w:tc>
          <w:tcPr>
            <w:tcW w:w="2265" w:type="dxa"/>
          </w:tcPr>
          <w:p w14:paraId="65D0C007" w14:textId="5229A7B2" w:rsidR="00D736D1" w:rsidRPr="002F434E" w:rsidRDefault="00D736D1" w:rsidP="00D736D1">
            <w:pPr>
              <w:jc w:val="both"/>
              <w:rPr>
                <w:rFonts w:ascii="Arial" w:hAnsi="Arial" w:cs="Arial"/>
                <w:sz w:val="18"/>
                <w:szCs w:val="18"/>
              </w:rPr>
            </w:pPr>
            <w:r w:rsidRPr="002F434E">
              <w:rPr>
                <w:rFonts w:ascii="Arial" w:hAnsi="Arial" w:cs="Arial"/>
                <w:sz w:val="18"/>
                <w:szCs w:val="18"/>
              </w:rPr>
              <w:t>2 800</w:t>
            </w:r>
          </w:p>
        </w:tc>
        <w:tc>
          <w:tcPr>
            <w:tcW w:w="2266" w:type="dxa"/>
          </w:tcPr>
          <w:p w14:paraId="1463C0AF" w14:textId="2ACC459B" w:rsidR="00D736D1" w:rsidRPr="002F434E" w:rsidRDefault="00D736D1" w:rsidP="00D736D1">
            <w:pPr>
              <w:jc w:val="both"/>
              <w:rPr>
                <w:rFonts w:ascii="Arial" w:hAnsi="Arial" w:cs="Arial"/>
                <w:sz w:val="18"/>
                <w:szCs w:val="18"/>
              </w:rPr>
            </w:pPr>
            <w:r w:rsidRPr="002F434E">
              <w:rPr>
                <w:rFonts w:ascii="Arial" w:hAnsi="Arial" w:cs="Arial"/>
                <w:sz w:val="18"/>
                <w:szCs w:val="18"/>
              </w:rPr>
              <w:t>2 800</w:t>
            </w:r>
          </w:p>
        </w:tc>
        <w:tc>
          <w:tcPr>
            <w:tcW w:w="2266" w:type="dxa"/>
          </w:tcPr>
          <w:p w14:paraId="51E3C1E1" w14:textId="2713EF02" w:rsidR="00D736D1" w:rsidRPr="002F434E" w:rsidRDefault="00D736D1" w:rsidP="00D736D1">
            <w:pPr>
              <w:jc w:val="both"/>
              <w:rPr>
                <w:rFonts w:ascii="Arial" w:hAnsi="Arial" w:cs="Arial"/>
                <w:sz w:val="18"/>
                <w:szCs w:val="18"/>
              </w:rPr>
            </w:pPr>
            <w:proofErr w:type="spellStart"/>
            <w:r w:rsidRPr="002F434E">
              <w:rPr>
                <w:rFonts w:ascii="Arial" w:hAnsi="Arial" w:cs="Arial"/>
                <w:sz w:val="18"/>
                <w:szCs w:val="18"/>
              </w:rPr>
              <w:t>Donori</w:t>
            </w:r>
            <w:proofErr w:type="spellEnd"/>
          </w:p>
        </w:tc>
      </w:tr>
      <w:tr w:rsidR="00D736D1" w:rsidRPr="002F434E" w14:paraId="13F32975" w14:textId="77777777" w:rsidTr="00DD1FEA">
        <w:tc>
          <w:tcPr>
            <w:tcW w:w="2265" w:type="dxa"/>
            <w:vMerge w:val="restart"/>
          </w:tcPr>
          <w:p w14:paraId="568402AF" w14:textId="47BA210C"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Ukupno</w:t>
            </w:r>
          </w:p>
        </w:tc>
        <w:tc>
          <w:tcPr>
            <w:tcW w:w="2265" w:type="dxa"/>
          </w:tcPr>
          <w:p w14:paraId="2167DD3A" w14:textId="72DD364B"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28 203,38</w:t>
            </w:r>
          </w:p>
        </w:tc>
        <w:tc>
          <w:tcPr>
            <w:tcW w:w="2266" w:type="dxa"/>
          </w:tcPr>
          <w:p w14:paraId="289EB1E5" w14:textId="203270D2"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39 800</w:t>
            </w:r>
          </w:p>
        </w:tc>
        <w:tc>
          <w:tcPr>
            <w:tcW w:w="2266" w:type="dxa"/>
          </w:tcPr>
          <w:p w14:paraId="6B1B5E07" w14:textId="243CC577" w:rsidR="00D736D1" w:rsidRPr="002F434E" w:rsidRDefault="00D736D1" w:rsidP="00D736D1">
            <w:pPr>
              <w:jc w:val="both"/>
              <w:rPr>
                <w:rFonts w:ascii="Arial" w:hAnsi="Arial" w:cs="Arial"/>
                <w:b/>
                <w:bCs/>
                <w:sz w:val="18"/>
                <w:szCs w:val="18"/>
              </w:rPr>
            </w:pPr>
            <w:r w:rsidRPr="002F434E">
              <w:rPr>
                <w:rFonts w:ascii="Arial" w:hAnsi="Arial" w:cs="Arial"/>
                <w:b/>
                <w:bCs/>
                <w:sz w:val="18"/>
                <w:szCs w:val="18"/>
              </w:rPr>
              <w:t>Budžet</w:t>
            </w:r>
          </w:p>
        </w:tc>
      </w:tr>
      <w:tr w:rsidR="001D2CB4" w:rsidRPr="002F434E" w14:paraId="60B0A2CC" w14:textId="77777777" w:rsidTr="00DD1FEA">
        <w:tc>
          <w:tcPr>
            <w:tcW w:w="2265" w:type="dxa"/>
            <w:vMerge/>
          </w:tcPr>
          <w:p w14:paraId="728A2B2B" w14:textId="77777777" w:rsidR="001D2CB4" w:rsidRPr="002F434E" w:rsidRDefault="001D2CB4" w:rsidP="00DD1FEA">
            <w:pPr>
              <w:jc w:val="both"/>
              <w:rPr>
                <w:rFonts w:ascii="Arial" w:hAnsi="Arial" w:cs="Arial"/>
                <w:b/>
                <w:bCs/>
                <w:sz w:val="18"/>
                <w:szCs w:val="18"/>
              </w:rPr>
            </w:pPr>
          </w:p>
        </w:tc>
        <w:tc>
          <w:tcPr>
            <w:tcW w:w="2265" w:type="dxa"/>
          </w:tcPr>
          <w:p w14:paraId="39A6FD45" w14:textId="118A8CEA" w:rsidR="001D2CB4" w:rsidRPr="002F434E" w:rsidRDefault="001D2CB4" w:rsidP="00DD1FEA">
            <w:pPr>
              <w:jc w:val="both"/>
              <w:rPr>
                <w:rFonts w:ascii="Arial" w:hAnsi="Arial" w:cs="Arial"/>
                <w:b/>
                <w:bCs/>
                <w:sz w:val="18"/>
                <w:szCs w:val="18"/>
              </w:rPr>
            </w:pPr>
            <w:r w:rsidRPr="002F434E">
              <w:rPr>
                <w:rFonts w:ascii="Arial" w:hAnsi="Arial" w:cs="Arial"/>
                <w:b/>
                <w:bCs/>
                <w:sz w:val="18"/>
                <w:szCs w:val="18"/>
              </w:rPr>
              <w:t>10 990,63</w:t>
            </w:r>
          </w:p>
        </w:tc>
        <w:tc>
          <w:tcPr>
            <w:tcW w:w="2266" w:type="dxa"/>
          </w:tcPr>
          <w:p w14:paraId="564F0214" w14:textId="739CDE6B" w:rsidR="001D2CB4" w:rsidRPr="002F434E" w:rsidRDefault="001D2CB4" w:rsidP="00DD1FEA">
            <w:pPr>
              <w:jc w:val="both"/>
              <w:rPr>
                <w:rFonts w:ascii="Arial" w:hAnsi="Arial" w:cs="Arial"/>
                <w:b/>
                <w:bCs/>
                <w:sz w:val="18"/>
                <w:szCs w:val="18"/>
              </w:rPr>
            </w:pPr>
            <w:r w:rsidRPr="002F434E">
              <w:rPr>
                <w:rFonts w:ascii="Arial" w:hAnsi="Arial" w:cs="Arial"/>
                <w:b/>
                <w:bCs/>
                <w:sz w:val="18"/>
                <w:szCs w:val="18"/>
              </w:rPr>
              <w:t>11 520</w:t>
            </w:r>
          </w:p>
        </w:tc>
        <w:tc>
          <w:tcPr>
            <w:tcW w:w="2266" w:type="dxa"/>
          </w:tcPr>
          <w:p w14:paraId="300F9414" w14:textId="33F7A3E1" w:rsidR="001D2CB4" w:rsidRPr="002F434E" w:rsidRDefault="00D736D1" w:rsidP="00DD1FEA">
            <w:pPr>
              <w:jc w:val="both"/>
              <w:rPr>
                <w:rFonts w:ascii="Arial" w:hAnsi="Arial" w:cs="Arial"/>
                <w:b/>
                <w:bCs/>
                <w:sz w:val="18"/>
                <w:szCs w:val="18"/>
              </w:rPr>
            </w:pPr>
            <w:proofErr w:type="spellStart"/>
            <w:r w:rsidRPr="002F434E">
              <w:rPr>
                <w:rFonts w:ascii="Arial" w:hAnsi="Arial" w:cs="Arial"/>
                <w:b/>
                <w:bCs/>
                <w:sz w:val="18"/>
                <w:szCs w:val="18"/>
              </w:rPr>
              <w:t>Donori</w:t>
            </w:r>
            <w:proofErr w:type="spellEnd"/>
          </w:p>
        </w:tc>
      </w:tr>
    </w:tbl>
    <w:p w14:paraId="11F223C5" w14:textId="77777777" w:rsidR="002F434E" w:rsidRPr="002F434E" w:rsidRDefault="002F434E" w:rsidP="002F434E">
      <w:pPr>
        <w:pStyle w:val="ParagraphOED"/>
        <w:numPr>
          <w:ilvl w:val="0"/>
          <w:numId w:val="0"/>
        </w:numPr>
        <w:spacing w:before="0" w:after="0"/>
        <w:ind w:left="360" w:hanging="360"/>
        <w:rPr>
          <w:rFonts w:ascii="Arial" w:hAnsi="Arial" w:cs="Arial"/>
          <w:sz w:val="16"/>
          <w:szCs w:val="16"/>
          <w:lang w:val="sr-Latn-RS"/>
        </w:rPr>
      </w:pPr>
      <w:r w:rsidRPr="002F434E">
        <w:rPr>
          <w:rFonts w:ascii="Arial" w:hAnsi="Arial" w:cs="Arial"/>
          <w:sz w:val="16"/>
          <w:szCs w:val="16"/>
          <w:lang w:val="sr-Latn-RS"/>
        </w:rPr>
        <w:t>Izvor: MER, Godišnji izveštaj o implementaciji NPZP</w:t>
      </w:r>
    </w:p>
    <w:p w14:paraId="6EC00C11" w14:textId="77777777" w:rsidR="007910AB" w:rsidRPr="002F434E" w:rsidRDefault="007910AB" w:rsidP="007910AB">
      <w:pPr>
        <w:pStyle w:val="ParagraphOED"/>
        <w:numPr>
          <w:ilvl w:val="0"/>
          <w:numId w:val="0"/>
        </w:numPr>
        <w:spacing w:before="0" w:after="0"/>
        <w:ind w:left="360" w:hanging="360"/>
        <w:rPr>
          <w:rFonts w:ascii="Arial" w:hAnsi="Arial" w:cs="Arial"/>
          <w:sz w:val="16"/>
          <w:szCs w:val="16"/>
          <w:lang w:val="sr-Latn-RS"/>
        </w:rPr>
      </w:pPr>
    </w:p>
    <w:p w14:paraId="0C0C0AAC" w14:textId="77777777" w:rsidR="002F434E" w:rsidRDefault="002F434E" w:rsidP="007910AB">
      <w:pPr>
        <w:pStyle w:val="ParagraphOED"/>
        <w:numPr>
          <w:ilvl w:val="0"/>
          <w:numId w:val="0"/>
        </w:numPr>
        <w:spacing w:before="0" w:after="0"/>
        <w:rPr>
          <w:rFonts w:ascii="Arial" w:hAnsi="Arial" w:cs="Arial"/>
          <w:sz w:val="20"/>
          <w:szCs w:val="20"/>
          <w:lang w:val="en-GB"/>
        </w:rPr>
      </w:pPr>
    </w:p>
    <w:p w14:paraId="438E3026" w14:textId="77777777" w:rsidR="002F434E" w:rsidRPr="002F434E" w:rsidRDefault="002F434E" w:rsidP="002F434E">
      <w:pPr>
        <w:pStyle w:val="ParagraphOED"/>
        <w:numPr>
          <w:ilvl w:val="0"/>
          <w:numId w:val="0"/>
        </w:numPr>
        <w:spacing w:after="0"/>
        <w:rPr>
          <w:rFonts w:ascii="Arial" w:hAnsi="Arial" w:cs="Arial"/>
          <w:sz w:val="20"/>
          <w:szCs w:val="20"/>
          <w:lang w:val="sr-Latn-RS"/>
        </w:rPr>
      </w:pPr>
      <w:r w:rsidRPr="002F434E">
        <w:rPr>
          <w:rFonts w:ascii="Arial" w:hAnsi="Arial" w:cs="Arial"/>
          <w:sz w:val="20"/>
          <w:szCs w:val="20"/>
          <w:lang w:val="sr-Latn-RS"/>
        </w:rPr>
        <w:t>Tabela raspodele budžeta jasno pokazuje da je raspoloživi budžet bio prilično ograničen i da je značajno smanjen u poređenju između 2022. i 2023. godine, iako postoji gotovo isti broj aktivnosti (28 u 2022. u odnosu na 29 u 2023. godini), sa sličnim obimom.</w:t>
      </w:r>
    </w:p>
    <w:p w14:paraId="40DA0323" w14:textId="77777777" w:rsidR="002F434E" w:rsidRPr="002F434E" w:rsidRDefault="002F434E" w:rsidP="002F434E">
      <w:pPr>
        <w:pStyle w:val="ParagraphOED"/>
        <w:numPr>
          <w:ilvl w:val="0"/>
          <w:numId w:val="0"/>
        </w:numPr>
        <w:spacing w:after="0"/>
        <w:rPr>
          <w:rFonts w:ascii="Arial" w:hAnsi="Arial" w:cs="Arial"/>
          <w:sz w:val="20"/>
          <w:szCs w:val="20"/>
          <w:lang w:val="sr-Latn-RS"/>
        </w:rPr>
      </w:pPr>
    </w:p>
    <w:p w14:paraId="008BB7B3" w14:textId="539166CE" w:rsidR="002F434E" w:rsidRPr="002F434E" w:rsidRDefault="002F434E" w:rsidP="002F434E">
      <w:pPr>
        <w:pStyle w:val="ParagraphOED"/>
        <w:numPr>
          <w:ilvl w:val="0"/>
          <w:numId w:val="0"/>
        </w:numPr>
        <w:spacing w:before="0" w:after="0"/>
        <w:rPr>
          <w:rFonts w:ascii="Arial" w:hAnsi="Arial" w:cs="Arial"/>
          <w:sz w:val="20"/>
          <w:szCs w:val="20"/>
          <w:lang w:val="sr-Latn-RS"/>
        </w:rPr>
      </w:pPr>
      <w:r w:rsidRPr="002F434E">
        <w:rPr>
          <w:rFonts w:ascii="Arial" w:hAnsi="Arial" w:cs="Arial"/>
          <w:sz w:val="20"/>
          <w:szCs w:val="20"/>
          <w:lang w:val="sr-Latn-RS"/>
        </w:rPr>
        <w:lastRenderedPageBreak/>
        <w:t xml:space="preserve">Koristeći </w:t>
      </w:r>
      <w:proofErr w:type="spellStart"/>
      <w:r w:rsidRPr="002F434E">
        <w:rPr>
          <w:rFonts w:ascii="Arial" w:hAnsi="Arial" w:cs="Arial"/>
          <w:sz w:val="20"/>
          <w:szCs w:val="20"/>
          <w:lang w:val="sr-Latn-RS"/>
        </w:rPr>
        <w:t>Likertovu</w:t>
      </w:r>
      <w:proofErr w:type="spellEnd"/>
      <w:r w:rsidRPr="002F434E">
        <w:rPr>
          <w:rFonts w:ascii="Arial" w:hAnsi="Arial" w:cs="Arial"/>
          <w:sz w:val="20"/>
          <w:szCs w:val="20"/>
          <w:lang w:val="sr-Latn-RS"/>
        </w:rPr>
        <w:t xml:space="preserve"> skalu, učesnici FE su ocenili NPZP kao </w:t>
      </w:r>
      <w:r w:rsidRPr="002F434E">
        <w:rPr>
          <w:rFonts w:ascii="Arial" w:hAnsi="Arial" w:cs="Arial"/>
          <w:b/>
          <w:bCs/>
          <w:sz w:val="20"/>
          <w:szCs w:val="20"/>
          <w:lang w:val="sr-Latn-RS"/>
        </w:rPr>
        <w:t>umereno efikasan</w:t>
      </w:r>
      <w:r w:rsidRPr="002F434E">
        <w:rPr>
          <w:rFonts w:ascii="Arial" w:hAnsi="Arial" w:cs="Arial"/>
          <w:sz w:val="20"/>
          <w:szCs w:val="20"/>
          <w:lang w:val="sr-Latn-RS"/>
        </w:rPr>
        <w:t>, sa ocenom 3,5/5. Ova ocena potvrđuje da postoje značajna ograničenja u raspoloživom budžetu, kao i da postoje problemi u njegovoj potrošnji.</w:t>
      </w:r>
    </w:p>
    <w:p w14:paraId="6E5901DD" w14:textId="77777777" w:rsidR="002F434E" w:rsidRDefault="002F434E" w:rsidP="002F434E">
      <w:pPr>
        <w:pStyle w:val="ParagraphOED"/>
        <w:numPr>
          <w:ilvl w:val="0"/>
          <w:numId w:val="0"/>
        </w:numPr>
        <w:spacing w:before="0" w:after="0"/>
        <w:rPr>
          <w:rFonts w:ascii="Arial" w:hAnsi="Arial" w:cs="Arial"/>
          <w:sz w:val="20"/>
          <w:szCs w:val="20"/>
          <w:lang w:val="en-GB"/>
        </w:rPr>
      </w:pPr>
    </w:p>
    <w:p w14:paraId="48A79D95" w14:textId="77777777" w:rsidR="001D2CB4" w:rsidRDefault="001D2CB4" w:rsidP="007910AB">
      <w:pPr>
        <w:pStyle w:val="ParagraphOED"/>
        <w:numPr>
          <w:ilvl w:val="0"/>
          <w:numId w:val="0"/>
        </w:numPr>
        <w:spacing w:before="0" w:after="0"/>
        <w:rPr>
          <w:rFonts w:ascii="Arial" w:hAnsi="Arial" w:cs="Arial"/>
          <w:sz w:val="20"/>
          <w:szCs w:val="20"/>
          <w:lang w:val="en-GB"/>
        </w:rPr>
      </w:pPr>
    </w:p>
    <w:p w14:paraId="70923CFF" w14:textId="77777777" w:rsidR="002F434E" w:rsidRPr="00885161" w:rsidRDefault="002F434E" w:rsidP="002F434E">
      <w:pPr>
        <w:pStyle w:val="ListParagraph"/>
        <w:numPr>
          <w:ilvl w:val="0"/>
          <w:numId w:val="37"/>
        </w:numPr>
        <w:jc w:val="both"/>
        <w:rPr>
          <w:rFonts w:ascii="Arial" w:hAnsi="Arial" w:cs="Arial"/>
          <w:sz w:val="20"/>
          <w:szCs w:val="20"/>
          <w:lang w:val="sr-Latn-RS"/>
        </w:rPr>
      </w:pPr>
      <w:r w:rsidRPr="00885161">
        <w:rPr>
          <w:rFonts w:ascii="Arial" w:hAnsi="Arial" w:cs="Arial"/>
          <w:sz w:val="20"/>
          <w:szCs w:val="20"/>
          <w:lang w:val="sr-Latn-RS"/>
        </w:rPr>
        <w:t xml:space="preserve">Da li je bilo problema sa zapošljavanjem ili nabavkom i kako su oni uticali na sprovođenje </w:t>
      </w:r>
      <w:r>
        <w:rPr>
          <w:rFonts w:ascii="Arial" w:hAnsi="Arial" w:cs="Arial"/>
          <w:sz w:val="20"/>
          <w:szCs w:val="20"/>
          <w:lang w:val="sr-Latn-RS"/>
        </w:rPr>
        <w:t>NPZP?</w:t>
      </w:r>
    </w:p>
    <w:p w14:paraId="353AE8C4" w14:textId="77777777" w:rsidR="002F434E" w:rsidRPr="00885161" w:rsidRDefault="002F434E" w:rsidP="002F434E">
      <w:pPr>
        <w:pStyle w:val="ListParagraph"/>
        <w:numPr>
          <w:ilvl w:val="0"/>
          <w:numId w:val="37"/>
        </w:numPr>
        <w:jc w:val="both"/>
        <w:rPr>
          <w:rFonts w:ascii="Arial" w:hAnsi="Arial" w:cs="Arial"/>
          <w:sz w:val="20"/>
          <w:szCs w:val="20"/>
          <w:lang w:val="sr-Latn-RS"/>
        </w:rPr>
      </w:pPr>
      <w:r w:rsidRPr="00885161">
        <w:rPr>
          <w:rFonts w:ascii="Arial" w:hAnsi="Arial" w:cs="Arial"/>
          <w:sz w:val="20"/>
          <w:szCs w:val="20"/>
          <w:lang w:val="sr-Latn-RS"/>
        </w:rPr>
        <w:t xml:space="preserve">S obzirom na složenost organizacione i upravljačke strukture </w:t>
      </w:r>
      <w:r>
        <w:rPr>
          <w:rFonts w:ascii="Arial" w:hAnsi="Arial" w:cs="Arial"/>
          <w:sz w:val="20"/>
          <w:szCs w:val="20"/>
          <w:lang w:val="sr-Latn-RS"/>
        </w:rPr>
        <w:t>NPZP</w:t>
      </w:r>
      <w:r w:rsidRPr="00885161">
        <w:rPr>
          <w:rFonts w:ascii="Arial" w:hAnsi="Arial" w:cs="Arial"/>
          <w:sz w:val="20"/>
          <w:szCs w:val="20"/>
          <w:lang w:val="sr-Latn-RS"/>
        </w:rPr>
        <w:t>, da li je bilo negativnih uticaja koji su nastali kao direktna posledica takve strukture?</w:t>
      </w:r>
    </w:p>
    <w:p w14:paraId="1F1623A7" w14:textId="77777777" w:rsidR="001D2CB4" w:rsidRDefault="001D2CB4" w:rsidP="007910AB">
      <w:pPr>
        <w:pStyle w:val="ParagraphOED"/>
        <w:numPr>
          <w:ilvl w:val="0"/>
          <w:numId w:val="0"/>
        </w:numPr>
        <w:spacing w:before="0" w:after="0"/>
        <w:rPr>
          <w:rFonts w:ascii="Arial" w:hAnsi="Arial" w:cs="Arial"/>
          <w:sz w:val="20"/>
          <w:szCs w:val="20"/>
          <w:lang w:val="en-GB"/>
        </w:rPr>
      </w:pPr>
    </w:p>
    <w:p w14:paraId="722AA11D" w14:textId="77777777" w:rsidR="001D2CB4" w:rsidRDefault="001D2CB4" w:rsidP="007910AB">
      <w:pPr>
        <w:pStyle w:val="ParagraphOED"/>
        <w:numPr>
          <w:ilvl w:val="0"/>
          <w:numId w:val="0"/>
        </w:numPr>
        <w:spacing w:before="0" w:after="0"/>
        <w:rPr>
          <w:rFonts w:ascii="Arial" w:hAnsi="Arial" w:cs="Arial"/>
          <w:sz w:val="20"/>
          <w:szCs w:val="20"/>
          <w:lang w:val="en-GB"/>
        </w:rPr>
      </w:pPr>
    </w:p>
    <w:p w14:paraId="4BF91ED1" w14:textId="6E0E09AE" w:rsidR="002F434E" w:rsidRPr="002F434E" w:rsidRDefault="002F434E" w:rsidP="007910AB">
      <w:pPr>
        <w:pStyle w:val="ParagraphOED"/>
        <w:numPr>
          <w:ilvl w:val="0"/>
          <w:numId w:val="0"/>
        </w:numPr>
        <w:spacing w:before="0" w:after="0"/>
        <w:rPr>
          <w:rFonts w:ascii="Arial" w:hAnsi="Arial" w:cs="Arial"/>
          <w:sz w:val="20"/>
          <w:szCs w:val="20"/>
          <w:lang w:val="sr-Latn-RS"/>
        </w:rPr>
      </w:pPr>
      <w:r w:rsidRPr="002F434E">
        <w:rPr>
          <w:rFonts w:ascii="Arial" w:hAnsi="Arial" w:cs="Arial"/>
          <w:sz w:val="20"/>
          <w:szCs w:val="20"/>
          <w:lang w:val="sr-Latn-RS"/>
        </w:rPr>
        <w:t>Iz liste rashoda, FE zaključuje da planirani budžet NPZP nije u potpunosti iskorišćen, odnosno 70% planiranih budžetskih sredstava je potrošeno i u 2022. godini i u 2023. godini, što pokazuje da javna sredstva nisu u potpunosti potrošena, uglavnom za operativne ciljeve 2 i 3. Velika količina neiskorišćenih sredstava potiče iz budžeta MED-a, što odgovara nerealizovanim aktivnostima.</w:t>
      </w:r>
    </w:p>
    <w:p w14:paraId="7B2D26C7" w14:textId="77777777" w:rsidR="002F434E" w:rsidRPr="002F434E" w:rsidRDefault="002F434E" w:rsidP="007910AB">
      <w:pPr>
        <w:pStyle w:val="ParagraphOED"/>
        <w:numPr>
          <w:ilvl w:val="0"/>
          <w:numId w:val="0"/>
        </w:numPr>
        <w:spacing w:before="0" w:after="0"/>
        <w:rPr>
          <w:rFonts w:ascii="Arial" w:hAnsi="Arial" w:cs="Arial"/>
          <w:sz w:val="20"/>
          <w:szCs w:val="20"/>
          <w:lang w:val="sr-Latn-RS"/>
        </w:rPr>
      </w:pPr>
    </w:p>
    <w:p w14:paraId="0BD9CD6D" w14:textId="77777777" w:rsidR="002F434E" w:rsidRPr="002F434E" w:rsidRDefault="002F434E" w:rsidP="002F434E">
      <w:pPr>
        <w:pStyle w:val="ParagraphOED"/>
        <w:numPr>
          <w:ilvl w:val="0"/>
          <w:numId w:val="0"/>
        </w:numPr>
        <w:spacing w:after="0"/>
        <w:rPr>
          <w:rFonts w:ascii="Arial" w:hAnsi="Arial" w:cs="Arial"/>
          <w:sz w:val="20"/>
          <w:szCs w:val="20"/>
          <w:lang w:val="sr-Latn-RS"/>
        </w:rPr>
      </w:pPr>
      <w:r w:rsidRPr="002F434E">
        <w:rPr>
          <w:rFonts w:ascii="Arial" w:hAnsi="Arial" w:cs="Arial"/>
          <w:sz w:val="20"/>
          <w:szCs w:val="20"/>
          <w:lang w:val="sr-Latn-RS"/>
        </w:rPr>
        <w:t>Neke od tih aktivnosti su:</w:t>
      </w:r>
    </w:p>
    <w:p w14:paraId="3DAA8958" w14:textId="77777777" w:rsidR="002F434E" w:rsidRPr="002F434E" w:rsidRDefault="002F434E" w:rsidP="002F434E">
      <w:pPr>
        <w:pStyle w:val="ParagraphOED"/>
        <w:numPr>
          <w:ilvl w:val="0"/>
          <w:numId w:val="0"/>
        </w:numPr>
        <w:spacing w:after="0"/>
        <w:ind w:left="360" w:hanging="360"/>
        <w:rPr>
          <w:rFonts w:ascii="Arial" w:hAnsi="Arial" w:cs="Arial"/>
          <w:sz w:val="20"/>
          <w:szCs w:val="20"/>
          <w:lang w:val="sr-Latn-RS"/>
        </w:rPr>
      </w:pPr>
    </w:p>
    <w:p w14:paraId="5263B807" w14:textId="095A6EB8" w:rsidR="002F434E" w:rsidRPr="002F434E" w:rsidRDefault="002F434E" w:rsidP="002F434E">
      <w:pPr>
        <w:pStyle w:val="ParagraphOED"/>
        <w:numPr>
          <w:ilvl w:val="0"/>
          <w:numId w:val="62"/>
        </w:numPr>
        <w:spacing w:after="0"/>
        <w:rPr>
          <w:rFonts w:ascii="Arial" w:hAnsi="Arial" w:cs="Arial"/>
          <w:sz w:val="20"/>
          <w:szCs w:val="20"/>
          <w:lang w:val="sr-Latn-RS"/>
        </w:rPr>
      </w:pPr>
      <w:r w:rsidRPr="002F434E">
        <w:rPr>
          <w:rFonts w:ascii="Arial" w:hAnsi="Arial" w:cs="Arial"/>
          <w:sz w:val="20"/>
          <w:szCs w:val="20"/>
          <w:lang w:val="sr-Latn-RS"/>
        </w:rPr>
        <w:t>Kampanja za podizanje svesti o kolektivnoj zaštiti prava potrošača</w:t>
      </w:r>
    </w:p>
    <w:p w14:paraId="19B401A4" w14:textId="4EE77AB0" w:rsidR="002F434E" w:rsidRPr="002F434E" w:rsidRDefault="002F434E" w:rsidP="002F434E">
      <w:pPr>
        <w:pStyle w:val="ParagraphOED"/>
        <w:numPr>
          <w:ilvl w:val="1"/>
          <w:numId w:val="63"/>
        </w:numPr>
        <w:spacing w:after="0"/>
        <w:rPr>
          <w:rFonts w:ascii="Arial" w:hAnsi="Arial" w:cs="Arial"/>
          <w:sz w:val="20"/>
          <w:szCs w:val="20"/>
          <w:lang w:val="sr-Latn-RS"/>
        </w:rPr>
      </w:pPr>
      <w:r w:rsidRPr="002F434E">
        <w:rPr>
          <w:rFonts w:ascii="Arial" w:hAnsi="Arial" w:cs="Arial"/>
          <w:sz w:val="20"/>
          <w:szCs w:val="20"/>
          <w:lang w:val="sr-Latn-RS"/>
        </w:rPr>
        <w:t>S obzirom da Zakon o kolektivnim tužbama nije usvojen, kampanja nije osmišljena i sprovedena.</w:t>
      </w:r>
    </w:p>
    <w:p w14:paraId="29AFC001" w14:textId="6413326A" w:rsidR="002F434E" w:rsidRPr="002F434E" w:rsidRDefault="002F434E" w:rsidP="002F434E">
      <w:pPr>
        <w:pStyle w:val="ParagraphOED"/>
        <w:numPr>
          <w:ilvl w:val="0"/>
          <w:numId w:val="62"/>
        </w:numPr>
        <w:spacing w:after="0"/>
        <w:rPr>
          <w:rFonts w:ascii="Arial" w:hAnsi="Arial" w:cs="Arial"/>
          <w:sz w:val="20"/>
          <w:szCs w:val="20"/>
          <w:lang w:val="sr-Latn-RS"/>
        </w:rPr>
      </w:pPr>
      <w:r w:rsidRPr="002F434E">
        <w:rPr>
          <w:rFonts w:ascii="Arial" w:hAnsi="Arial" w:cs="Arial"/>
          <w:sz w:val="20"/>
          <w:szCs w:val="20"/>
          <w:lang w:val="sr-Latn-RS"/>
        </w:rPr>
        <w:t>Kreiranje Vodiča o novim pravilima usklađenosti i garancije sa fokusom na robu sa digitalnim elementom, digitalni sadržaj i usluge</w:t>
      </w:r>
    </w:p>
    <w:p w14:paraId="15E4FB16" w14:textId="4CEAAF2E" w:rsidR="002F434E" w:rsidRPr="002F434E" w:rsidRDefault="002F434E" w:rsidP="002F434E">
      <w:pPr>
        <w:pStyle w:val="ParagraphOED"/>
        <w:numPr>
          <w:ilvl w:val="1"/>
          <w:numId w:val="63"/>
        </w:numPr>
        <w:spacing w:after="0"/>
        <w:rPr>
          <w:rFonts w:ascii="Arial" w:hAnsi="Arial" w:cs="Arial"/>
          <w:sz w:val="20"/>
          <w:szCs w:val="20"/>
          <w:lang w:val="sr-Latn-RS"/>
        </w:rPr>
      </w:pPr>
      <w:r w:rsidRPr="002F434E">
        <w:rPr>
          <w:rFonts w:ascii="Arial" w:hAnsi="Arial" w:cs="Arial"/>
          <w:sz w:val="20"/>
          <w:szCs w:val="20"/>
          <w:lang w:val="sr-Latn-RS"/>
        </w:rPr>
        <w:t>Pošto novi Zakon o zaštiti potrošača nije usvojen, kampanja nije osmišljena i sprovedena.</w:t>
      </w:r>
    </w:p>
    <w:p w14:paraId="0C813B82" w14:textId="215A7EF7" w:rsidR="002F434E" w:rsidRPr="002F434E" w:rsidRDefault="002F434E" w:rsidP="002F434E">
      <w:pPr>
        <w:pStyle w:val="ParagraphOED"/>
        <w:numPr>
          <w:ilvl w:val="0"/>
          <w:numId w:val="62"/>
        </w:numPr>
        <w:spacing w:after="0"/>
        <w:rPr>
          <w:rFonts w:ascii="Arial" w:hAnsi="Arial" w:cs="Arial"/>
          <w:sz w:val="20"/>
          <w:szCs w:val="20"/>
          <w:lang w:val="sr-Latn-RS"/>
        </w:rPr>
      </w:pPr>
      <w:r w:rsidRPr="002F434E">
        <w:rPr>
          <w:rFonts w:ascii="Arial" w:hAnsi="Arial" w:cs="Arial"/>
          <w:sz w:val="20"/>
          <w:szCs w:val="20"/>
          <w:lang w:val="sr-Latn-RS"/>
        </w:rPr>
        <w:t>Unapređenje evidencije podnetih žalbi u centralnoj elektronskoj bazi za zaštitu potrošača (CIZSP)</w:t>
      </w:r>
    </w:p>
    <w:p w14:paraId="54D4ACC3" w14:textId="3E35B56F" w:rsidR="002F434E" w:rsidRPr="002F434E" w:rsidRDefault="002F434E" w:rsidP="002F434E">
      <w:pPr>
        <w:pStyle w:val="ParagraphOED"/>
        <w:numPr>
          <w:ilvl w:val="1"/>
          <w:numId w:val="63"/>
        </w:numPr>
        <w:spacing w:after="0"/>
        <w:rPr>
          <w:rFonts w:ascii="Arial" w:hAnsi="Arial" w:cs="Arial"/>
          <w:sz w:val="20"/>
          <w:szCs w:val="20"/>
          <w:lang w:val="sr-Latn-RS"/>
        </w:rPr>
      </w:pPr>
      <w:r w:rsidRPr="002F434E">
        <w:rPr>
          <w:rFonts w:ascii="Arial" w:hAnsi="Arial" w:cs="Arial"/>
          <w:sz w:val="20"/>
          <w:szCs w:val="20"/>
          <w:lang w:val="sr-Latn-RS"/>
        </w:rPr>
        <w:t xml:space="preserve">Zbog promene organizacione strukture, Tržišna inspekcija trenutno nema osobu koja ima pristup CIZSP-u u ime ove institucije, pa samim tim u ovom trenutku se ne evidentiraju žalbe kroz sistem. Planirano je da se u budućnosti zaposli osoba koja </w:t>
      </w:r>
      <w:proofErr w:type="spellStart"/>
      <w:r w:rsidRPr="002F434E">
        <w:rPr>
          <w:rFonts w:ascii="Arial" w:hAnsi="Arial" w:cs="Arial"/>
          <w:sz w:val="20"/>
          <w:szCs w:val="20"/>
          <w:lang w:val="sr-Latn-RS"/>
        </w:rPr>
        <w:t>će</w:t>
      </w:r>
      <w:proofErr w:type="spellEnd"/>
      <w:r w:rsidRPr="002F434E">
        <w:rPr>
          <w:rFonts w:ascii="Arial" w:hAnsi="Arial" w:cs="Arial"/>
          <w:sz w:val="20"/>
          <w:szCs w:val="20"/>
          <w:lang w:val="sr-Latn-RS"/>
        </w:rPr>
        <w:t xml:space="preserve"> imati uvid i delegirati odgovornosti u ovom delu, prema izveštajima o implementaciji.</w:t>
      </w:r>
    </w:p>
    <w:p w14:paraId="7DF49A11" w14:textId="10A92DB9" w:rsidR="002F434E" w:rsidRPr="002F434E" w:rsidRDefault="002F434E" w:rsidP="002F434E">
      <w:pPr>
        <w:pStyle w:val="ParagraphOED"/>
        <w:numPr>
          <w:ilvl w:val="0"/>
          <w:numId w:val="62"/>
        </w:numPr>
        <w:spacing w:after="0"/>
        <w:rPr>
          <w:rFonts w:ascii="Arial" w:hAnsi="Arial" w:cs="Arial"/>
          <w:sz w:val="20"/>
          <w:szCs w:val="20"/>
          <w:lang w:val="sr-Latn-RS"/>
        </w:rPr>
      </w:pPr>
      <w:r w:rsidRPr="002F434E">
        <w:rPr>
          <w:rFonts w:ascii="Arial" w:hAnsi="Arial" w:cs="Arial"/>
          <w:sz w:val="20"/>
          <w:szCs w:val="20"/>
          <w:lang w:val="sr-Latn-RS"/>
        </w:rPr>
        <w:t>Sprovođenje istraživanja radi utvrđivanja nivoa znanja i svesti građana o pravima potrošača, uključujući elektronsku trgovinu</w:t>
      </w:r>
    </w:p>
    <w:p w14:paraId="1BCFE8E0" w14:textId="6075D4FC" w:rsidR="002F434E" w:rsidRPr="002F434E" w:rsidRDefault="002F434E" w:rsidP="002F434E">
      <w:pPr>
        <w:pStyle w:val="ParagraphOED"/>
        <w:numPr>
          <w:ilvl w:val="1"/>
          <w:numId w:val="63"/>
        </w:numPr>
        <w:spacing w:after="0"/>
        <w:rPr>
          <w:rFonts w:ascii="Arial" w:hAnsi="Arial" w:cs="Arial"/>
          <w:sz w:val="20"/>
          <w:szCs w:val="20"/>
          <w:lang w:val="sr-Latn-RS"/>
        </w:rPr>
      </w:pPr>
      <w:r w:rsidRPr="002F434E">
        <w:rPr>
          <w:rFonts w:ascii="Arial" w:hAnsi="Arial" w:cs="Arial"/>
          <w:sz w:val="20"/>
          <w:szCs w:val="20"/>
          <w:lang w:val="sr-Latn-RS"/>
        </w:rPr>
        <w:t xml:space="preserve">Nerealizovano zbog nedostatka kapaciteta u MER. U budućnosti, prema izveštajima o implementaciji, takva istraživanja </w:t>
      </w:r>
      <w:proofErr w:type="spellStart"/>
      <w:r w:rsidRPr="002F434E">
        <w:rPr>
          <w:rFonts w:ascii="Arial" w:hAnsi="Arial" w:cs="Arial"/>
          <w:sz w:val="20"/>
          <w:szCs w:val="20"/>
          <w:lang w:val="sr-Latn-RS"/>
        </w:rPr>
        <w:t>će</w:t>
      </w:r>
      <w:proofErr w:type="spellEnd"/>
      <w:r w:rsidRPr="002F434E">
        <w:rPr>
          <w:rFonts w:ascii="Arial" w:hAnsi="Arial" w:cs="Arial"/>
          <w:sz w:val="20"/>
          <w:szCs w:val="20"/>
          <w:lang w:val="sr-Latn-RS"/>
        </w:rPr>
        <w:t xml:space="preserve"> se sprovoditi putem eksternog angažovanja civilnih društava ili pravnih/privatnih lica.</w:t>
      </w:r>
    </w:p>
    <w:p w14:paraId="122593D2" w14:textId="19D8981B" w:rsidR="002F434E" w:rsidRPr="002F434E" w:rsidRDefault="002F434E" w:rsidP="002F434E">
      <w:pPr>
        <w:pStyle w:val="ParagraphOED"/>
        <w:numPr>
          <w:ilvl w:val="0"/>
          <w:numId w:val="62"/>
        </w:numPr>
        <w:spacing w:after="0"/>
        <w:rPr>
          <w:rFonts w:ascii="Arial" w:hAnsi="Arial" w:cs="Arial"/>
          <w:sz w:val="20"/>
          <w:szCs w:val="20"/>
          <w:lang w:val="sr-Latn-RS"/>
        </w:rPr>
      </w:pPr>
      <w:r w:rsidRPr="002F434E">
        <w:rPr>
          <w:rFonts w:ascii="Arial" w:hAnsi="Arial" w:cs="Arial"/>
          <w:sz w:val="20"/>
          <w:szCs w:val="20"/>
          <w:lang w:val="sr-Latn-RS"/>
        </w:rPr>
        <w:t>Izrada studije podsticajnih mera za vansudsko rešavanje potrošačkih sporova</w:t>
      </w:r>
    </w:p>
    <w:p w14:paraId="0C20323E" w14:textId="6B1847FB" w:rsidR="001D2CB4" w:rsidRPr="002F434E" w:rsidRDefault="002F434E" w:rsidP="002F434E">
      <w:pPr>
        <w:pStyle w:val="ParagraphOED"/>
        <w:numPr>
          <w:ilvl w:val="1"/>
          <w:numId w:val="63"/>
        </w:numPr>
        <w:spacing w:before="0" w:after="0"/>
        <w:rPr>
          <w:rFonts w:ascii="Arial" w:hAnsi="Arial" w:cs="Arial"/>
          <w:sz w:val="20"/>
          <w:szCs w:val="20"/>
          <w:lang w:val="sr-Latn-RS"/>
        </w:rPr>
      </w:pPr>
      <w:r w:rsidRPr="002F434E">
        <w:rPr>
          <w:rFonts w:ascii="Arial" w:hAnsi="Arial" w:cs="Arial"/>
          <w:sz w:val="20"/>
          <w:szCs w:val="20"/>
          <w:lang w:val="sr-Latn-RS"/>
        </w:rPr>
        <w:t xml:space="preserve">Nerealizovano zbog nedostatka kapaciteta u MER. U budućnosti, prema izveštajima o implementaciji, takva istraživanja </w:t>
      </w:r>
      <w:proofErr w:type="spellStart"/>
      <w:r w:rsidRPr="002F434E">
        <w:rPr>
          <w:rFonts w:ascii="Arial" w:hAnsi="Arial" w:cs="Arial"/>
          <w:sz w:val="20"/>
          <w:szCs w:val="20"/>
          <w:lang w:val="sr-Latn-RS"/>
        </w:rPr>
        <w:t>će</w:t>
      </w:r>
      <w:proofErr w:type="spellEnd"/>
      <w:r w:rsidRPr="002F434E">
        <w:rPr>
          <w:rFonts w:ascii="Arial" w:hAnsi="Arial" w:cs="Arial"/>
          <w:sz w:val="20"/>
          <w:szCs w:val="20"/>
          <w:lang w:val="sr-Latn-RS"/>
        </w:rPr>
        <w:t xml:space="preserve"> se sprovoditi putem eksternog angažovanja civilnih društava ili pravnih/privatnih lica.</w:t>
      </w:r>
    </w:p>
    <w:p w14:paraId="6E0EA6A0" w14:textId="77777777" w:rsidR="002F434E" w:rsidRDefault="002F434E" w:rsidP="002F434E">
      <w:pPr>
        <w:pStyle w:val="ParagraphOED"/>
        <w:numPr>
          <w:ilvl w:val="0"/>
          <w:numId w:val="0"/>
        </w:numPr>
        <w:spacing w:before="0" w:after="0"/>
        <w:ind w:left="1080"/>
        <w:rPr>
          <w:rFonts w:ascii="Arial" w:hAnsi="Arial" w:cs="Arial"/>
          <w:sz w:val="20"/>
          <w:szCs w:val="20"/>
          <w:lang w:val="en-GB"/>
        </w:rPr>
      </w:pPr>
    </w:p>
    <w:p w14:paraId="0433754E" w14:textId="77777777" w:rsidR="001D2CB4" w:rsidRPr="002F434E" w:rsidRDefault="001D2CB4" w:rsidP="001D2CB4">
      <w:pPr>
        <w:pStyle w:val="ParagraphOED"/>
        <w:numPr>
          <w:ilvl w:val="0"/>
          <w:numId w:val="0"/>
        </w:numPr>
        <w:spacing w:before="0" w:after="0"/>
        <w:ind w:left="360" w:hanging="360"/>
        <w:rPr>
          <w:rFonts w:ascii="Arial" w:hAnsi="Arial" w:cs="Arial"/>
          <w:sz w:val="20"/>
          <w:szCs w:val="20"/>
          <w:lang w:val="sr-Latn-RS"/>
        </w:rPr>
      </w:pPr>
    </w:p>
    <w:p w14:paraId="7905A9A1" w14:textId="0D27F9E4" w:rsidR="002F434E" w:rsidRPr="002F434E" w:rsidRDefault="002F434E" w:rsidP="001D2CB4">
      <w:pPr>
        <w:pStyle w:val="ParagraphOED"/>
        <w:numPr>
          <w:ilvl w:val="0"/>
          <w:numId w:val="0"/>
        </w:numPr>
        <w:spacing w:before="0" w:after="0"/>
        <w:rPr>
          <w:rFonts w:ascii="Arial" w:hAnsi="Arial" w:cs="Arial"/>
          <w:sz w:val="20"/>
          <w:szCs w:val="20"/>
          <w:lang w:val="sr-Latn-RS"/>
        </w:rPr>
      </w:pPr>
      <w:r w:rsidRPr="002F434E">
        <w:rPr>
          <w:rFonts w:ascii="Arial" w:hAnsi="Arial" w:cs="Arial"/>
          <w:sz w:val="20"/>
          <w:szCs w:val="20"/>
          <w:lang w:val="sr-Latn-RS"/>
        </w:rPr>
        <w:t>Ove aktivnosti ilustruju negativne efekte koji su nastali zbog problema sa kadrovima, jer mnoge važne aktivnosti nisu direktno sprovedene zbog nedostatka osoblja u vodećem ministarstvu. Stoga, iako je budžet prvobitno bio prilično ograničen, čak ni on nije iskorišćen u potpunosti.</w:t>
      </w:r>
    </w:p>
    <w:p w14:paraId="560684FB" w14:textId="77777777" w:rsidR="002F434E" w:rsidRDefault="002F434E" w:rsidP="001D2CB4">
      <w:pPr>
        <w:pStyle w:val="ParagraphOED"/>
        <w:numPr>
          <w:ilvl w:val="0"/>
          <w:numId w:val="0"/>
        </w:numPr>
        <w:spacing w:before="0" w:after="0"/>
        <w:rPr>
          <w:rFonts w:ascii="Arial" w:hAnsi="Arial" w:cs="Arial"/>
          <w:sz w:val="20"/>
          <w:szCs w:val="20"/>
          <w:lang w:val="en-GB"/>
        </w:rPr>
      </w:pPr>
    </w:p>
    <w:p w14:paraId="1932B7B8" w14:textId="77777777" w:rsidR="003058D8" w:rsidRDefault="003058D8" w:rsidP="001D2CB4">
      <w:pPr>
        <w:pStyle w:val="ParagraphOED"/>
        <w:numPr>
          <w:ilvl w:val="0"/>
          <w:numId w:val="0"/>
        </w:numPr>
        <w:spacing w:before="0" w:after="0"/>
        <w:rPr>
          <w:rFonts w:ascii="Arial" w:hAnsi="Arial" w:cs="Arial"/>
          <w:sz w:val="20"/>
          <w:szCs w:val="20"/>
          <w:lang w:val="en-GB"/>
        </w:rPr>
      </w:pPr>
    </w:p>
    <w:p w14:paraId="6B1F8088" w14:textId="77777777" w:rsidR="00897D21" w:rsidRPr="00885161" w:rsidRDefault="00897D21" w:rsidP="00897D21">
      <w:pPr>
        <w:pStyle w:val="ListParagraph"/>
        <w:numPr>
          <w:ilvl w:val="0"/>
          <w:numId w:val="38"/>
        </w:numPr>
        <w:ind w:left="851"/>
        <w:jc w:val="both"/>
        <w:rPr>
          <w:rFonts w:ascii="Arial" w:hAnsi="Arial" w:cs="Arial"/>
          <w:sz w:val="20"/>
          <w:szCs w:val="20"/>
          <w:lang w:val="sr-Latn-RS"/>
        </w:rPr>
      </w:pPr>
      <w:r w:rsidRPr="00885161">
        <w:rPr>
          <w:rFonts w:ascii="Arial" w:hAnsi="Arial" w:cs="Arial"/>
          <w:sz w:val="20"/>
          <w:szCs w:val="20"/>
          <w:lang w:val="sr-Latn-RS"/>
        </w:rPr>
        <w:t>Da li je bilo uskih grla u komunikaciji?</w:t>
      </w:r>
    </w:p>
    <w:p w14:paraId="4C730B5D" w14:textId="77777777" w:rsidR="003058D8" w:rsidRDefault="003058D8" w:rsidP="003058D8">
      <w:pPr>
        <w:jc w:val="both"/>
        <w:rPr>
          <w:rFonts w:ascii="Arial" w:hAnsi="Arial" w:cs="Arial"/>
          <w:sz w:val="20"/>
          <w:szCs w:val="20"/>
          <w:lang w:val="en-US"/>
        </w:rPr>
      </w:pPr>
    </w:p>
    <w:p w14:paraId="5A9BE064" w14:textId="6CD98DE2" w:rsidR="00897D21" w:rsidRPr="00897D21" w:rsidRDefault="00897D21" w:rsidP="003058D8">
      <w:pPr>
        <w:jc w:val="both"/>
        <w:rPr>
          <w:rFonts w:ascii="Arial" w:hAnsi="Arial" w:cs="Arial"/>
          <w:sz w:val="20"/>
          <w:szCs w:val="20"/>
        </w:rPr>
      </w:pPr>
      <w:r w:rsidRPr="00897D21">
        <w:rPr>
          <w:rFonts w:ascii="Arial" w:hAnsi="Arial" w:cs="Arial"/>
          <w:sz w:val="20"/>
          <w:szCs w:val="20"/>
        </w:rPr>
        <w:t xml:space="preserve">U skladu sa rezultatima konsultacija sa relevantnim zainteresovanim stranama, nisu identifikovana uska grla u komunikaciji. Smatra se da je dobra komunikacija između aktera uglavnom uzrokovana efikasnim radom SZP i MER kao vodećeg ministarstva. Sa druge strane, u više navrata je primećeno da je efikasnost komunikacionih linija i </w:t>
      </w:r>
      <w:proofErr w:type="spellStart"/>
      <w:r w:rsidRPr="00897D21">
        <w:rPr>
          <w:rFonts w:ascii="Arial" w:hAnsi="Arial" w:cs="Arial"/>
          <w:sz w:val="20"/>
          <w:szCs w:val="20"/>
        </w:rPr>
        <w:t>operacionalizacija</w:t>
      </w:r>
      <w:proofErr w:type="spellEnd"/>
      <w:r w:rsidRPr="00897D21">
        <w:rPr>
          <w:rFonts w:ascii="Arial" w:hAnsi="Arial" w:cs="Arial"/>
          <w:sz w:val="20"/>
          <w:szCs w:val="20"/>
        </w:rPr>
        <w:t xml:space="preserve"> SZP isključivo posvećena entuzijazmu nekoliko </w:t>
      </w:r>
      <w:r w:rsidRPr="00897D21">
        <w:rPr>
          <w:rFonts w:ascii="Arial" w:hAnsi="Arial" w:cs="Arial"/>
          <w:sz w:val="20"/>
          <w:szCs w:val="20"/>
        </w:rPr>
        <w:lastRenderedPageBreak/>
        <w:t>vodećih ličnosti u MER. Stoga je zaključak da ne postoje uska grla u komunikaciji, ali da postoji značajan organizacioni rizik koji bi mogao izazvati negativne posledice u budućnosti.</w:t>
      </w:r>
    </w:p>
    <w:p w14:paraId="39AEB150" w14:textId="77777777" w:rsidR="00897D21" w:rsidRPr="00885161" w:rsidRDefault="00897D21" w:rsidP="00897D21">
      <w:pPr>
        <w:pStyle w:val="ListParagraph"/>
        <w:numPr>
          <w:ilvl w:val="0"/>
          <w:numId w:val="38"/>
        </w:numPr>
        <w:ind w:left="851"/>
        <w:jc w:val="both"/>
        <w:rPr>
          <w:rFonts w:ascii="Arial" w:hAnsi="Arial" w:cs="Arial"/>
          <w:sz w:val="20"/>
          <w:szCs w:val="20"/>
          <w:lang w:val="sr-Latn-RS"/>
        </w:rPr>
      </w:pPr>
      <w:r w:rsidRPr="00885161">
        <w:rPr>
          <w:rFonts w:ascii="Arial" w:hAnsi="Arial" w:cs="Arial"/>
          <w:sz w:val="20"/>
          <w:szCs w:val="20"/>
          <w:lang w:val="sr-Latn-RS"/>
        </w:rPr>
        <w:t>Da li postoji organizacioni problem specifičan za ekonomiju</w:t>
      </w:r>
      <w:r>
        <w:rPr>
          <w:rFonts w:ascii="Arial" w:hAnsi="Arial" w:cs="Arial"/>
          <w:sz w:val="20"/>
          <w:szCs w:val="20"/>
          <w:lang w:val="sr-Latn-RS"/>
        </w:rPr>
        <w:t xml:space="preserve"> Crne Gore</w:t>
      </w:r>
      <w:r w:rsidRPr="00885161">
        <w:rPr>
          <w:rFonts w:ascii="Arial" w:hAnsi="Arial" w:cs="Arial"/>
          <w:sz w:val="20"/>
          <w:szCs w:val="20"/>
          <w:lang w:val="sr-Latn-RS"/>
        </w:rPr>
        <w:t>?</w:t>
      </w:r>
    </w:p>
    <w:p w14:paraId="46297EF4" w14:textId="77777777" w:rsidR="003058D8" w:rsidRDefault="003058D8" w:rsidP="003058D8">
      <w:pPr>
        <w:jc w:val="both"/>
        <w:rPr>
          <w:rFonts w:ascii="Arial" w:hAnsi="Arial" w:cs="Arial"/>
          <w:b/>
          <w:bCs/>
          <w:sz w:val="20"/>
          <w:szCs w:val="20"/>
          <w:lang w:val="en-US"/>
        </w:rPr>
      </w:pPr>
    </w:p>
    <w:p w14:paraId="5D562D3A" w14:textId="348EF905" w:rsidR="00897D21" w:rsidRPr="00897D21" w:rsidRDefault="00897D21" w:rsidP="003058D8">
      <w:pPr>
        <w:jc w:val="both"/>
        <w:rPr>
          <w:rFonts w:ascii="Arial" w:hAnsi="Arial" w:cs="Arial"/>
          <w:sz w:val="20"/>
          <w:szCs w:val="20"/>
        </w:rPr>
      </w:pPr>
      <w:r w:rsidRPr="00897D21">
        <w:rPr>
          <w:rFonts w:ascii="Arial" w:hAnsi="Arial" w:cs="Arial"/>
          <w:sz w:val="20"/>
          <w:szCs w:val="20"/>
        </w:rPr>
        <w:t xml:space="preserve">Kao što je </w:t>
      </w:r>
      <w:proofErr w:type="spellStart"/>
      <w:r w:rsidRPr="00897D21">
        <w:rPr>
          <w:rFonts w:ascii="Arial" w:hAnsi="Arial" w:cs="Arial"/>
          <w:sz w:val="20"/>
          <w:szCs w:val="20"/>
        </w:rPr>
        <w:t>vec</w:t>
      </w:r>
      <w:proofErr w:type="spellEnd"/>
      <w:r w:rsidRPr="00897D21">
        <w:rPr>
          <w:rFonts w:ascii="Arial" w:hAnsi="Arial" w:cs="Arial"/>
          <w:sz w:val="20"/>
          <w:szCs w:val="20"/>
        </w:rPr>
        <w:t xml:space="preserve">́ pomenuto u </w:t>
      </w:r>
      <w:proofErr w:type="spellStart"/>
      <w:r w:rsidRPr="00897D21">
        <w:rPr>
          <w:rFonts w:ascii="Arial" w:hAnsi="Arial" w:cs="Arial"/>
          <w:sz w:val="20"/>
          <w:szCs w:val="20"/>
        </w:rPr>
        <w:t>potpoglavlju</w:t>
      </w:r>
      <w:proofErr w:type="spellEnd"/>
      <w:r w:rsidRPr="00897D21">
        <w:rPr>
          <w:rFonts w:ascii="Arial" w:hAnsi="Arial" w:cs="Arial"/>
          <w:sz w:val="20"/>
          <w:szCs w:val="20"/>
        </w:rPr>
        <w:t xml:space="preserve"> o efikasnosti, postoji očigledan problem u obliku političke nestabilnosti koja utiče na javnu upravu sa mnogim organizacionim rizicima. To uzrokuje nedovoljan broj zaposlenih kod određenih aktera, ali i nisku koherentnost u komunikacionim linijama jer se vodeće osoblje često menja.</w:t>
      </w:r>
    </w:p>
    <w:p w14:paraId="2DFE0E04" w14:textId="77777777" w:rsidR="007910AB" w:rsidRPr="007910AB" w:rsidRDefault="007910AB" w:rsidP="00780FF6">
      <w:pPr>
        <w:pStyle w:val="ParagraphOED"/>
        <w:numPr>
          <w:ilvl w:val="0"/>
          <w:numId w:val="0"/>
        </w:numPr>
        <w:spacing w:before="0" w:after="0"/>
        <w:ind w:left="360" w:hanging="360"/>
        <w:rPr>
          <w:rFonts w:ascii="Arial" w:hAnsi="Arial" w:cs="Arial"/>
          <w:sz w:val="16"/>
          <w:szCs w:val="16"/>
          <w:lang w:val="en-GB"/>
        </w:rPr>
      </w:pPr>
    </w:p>
    <w:p w14:paraId="77FFC7C4" w14:textId="160E2EF9" w:rsidR="00780FF6" w:rsidRDefault="00146F9D" w:rsidP="00DE468B">
      <w:pPr>
        <w:pStyle w:val="ParagraphOED"/>
        <w:numPr>
          <w:ilvl w:val="0"/>
          <w:numId w:val="0"/>
        </w:numPr>
        <w:spacing w:before="0" w:after="0"/>
        <w:outlineLvl w:val="2"/>
        <w:rPr>
          <w:rFonts w:ascii="Arial" w:hAnsi="Arial" w:cs="Arial"/>
          <w:b/>
          <w:sz w:val="20"/>
          <w:szCs w:val="20"/>
          <w:lang w:val="en-GB"/>
        </w:rPr>
      </w:pPr>
      <w:bookmarkStart w:id="18" w:name="_Toc199479355"/>
      <w:proofErr w:type="spellStart"/>
      <w:r>
        <w:rPr>
          <w:rFonts w:ascii="Arial" w:hAnsi="Arial" w:cs="Arial"/>
          <w:b/>
          <w:bCs/>
          <w:sz w:val="20"/>
          <w:szCs w:val="20"/>
          <w:lang w:val="en-GB"/>
        </w:rPr>
        <w:t>K</w:t>
      </w:r>
      <w:r w:rsidR="00780FF6" w:rsidRPr="00A20BF1">
        <w:rPr>
          <w:rFonts w:ascii="Arial" w:hAnsi="Arial" w:cs="Arial"/>
          <w:b/>
          <w:bCs/>
          <w:sz w:val="20"/>
          <w:szCs w:val="20"/>
          <w:lang w:val="en-GB"/>
        </w:rPr>
        <w:t>oheren</w:t>
      </w:r>
      <w:r w:rsidR="00897D21">
        <w:rPr>
          <w:rFonts w:ascii="Arial" w:hAnsi="Arial" w:cs="Arial"/>
          <w:b/>
          <w:bCs/>
          <w:sz w:val="20"/>
          <w:szCs w:val="20"/>
          <w:lang w:val="en-GB"/>
        </w:rPr>
        <w:t>tnost</w:t>
      </w:r>
      <w:bookmarkEnd w:id="18"/>
      <w:proofErr w:type="spellEnd"/>
    </w:p>
    <w:p w14:paraId="7D3F6385" w14:textId="77777777" w:rsidR="003058D8" w:rsidRDefault="003058D8" w:rsidP="00DE468B">
      <w:pPr>
        <w:pStyle w:val="ParagraphOED"/>
        <w:numPr>
          <w:ilvl w:val="0"/>
          <w:numId w:val="0"/>
        </w:numPr>
        <w:spacing w:before="0" w:after="0"/>
        <w:outlineLvl w:val="2"/>
        <w:rPr>
          <w:rFonts w:ascii="Arial" w:hAnsi="Arial" w:cs="Arial"/>
          <w:b/>
          <w:sz w:val="20"/>
          <w:szCs w:val="20"/>
          <w:lang w:val="en-GB"/>
        </w:rPr>
      </w:pPr>
    </w:p>
    <w:p w14:paraId="7CDC0442" w14:textId="77777777" w:rsidR="00897D21" w:rsidRPr="00897D21" w:rsidRDefault="00897D21" w:rsidP="00897D21">
      <w:pPr>
        <w:pStyle w:val="ListParagraph"/>
        <w:numPr>
          <w:ilvl w:val="1"/>
          <w:numId w:val="63"/>
        </w:numPr>
        <w:ind w:left="851"/>
        <w:jc w:val="both"/>
        <w:rPr>
          <w:rFonts w:ascii="Arial" w:hAnsi="Arial" w:cs="Arial"/>
          <w:sz w:val="20"/>
          <w:szCs w:val="20"/>
        </w:rPr>
      </w:pPr>
      <w:r w:rsidRPr="00897D21">
        <w:rPr>
          <w:rFonts w:ascii="Arial" w:hAnsi="Arial" w:cs="Arial"/>
          <w:sz w:val="20"/>
          <w:szCs w:val="20"/>
        </w:rPr>
        <w:t>Glavno pitanje: U kojoj meri je NPZP bio usklađen sa prioritetima i potrebama zemlje i u podržavanju integracije pristupa zaštite potrošača koji ispunjavaju standarde EU?</w:t>
      </w:r>
    </w:p>
    <w:p w14:paraId="1F9C4C44" w14:textId="77777777" w:rsidR="00897D21" w:rsidRPr="00885161" w:rsidRDefault="00897D21" w:rsidP="00897D21">
      <w:pPr>
        <w:pStyle w:val="ListParagraph"/>
        <w:numPr>
          <w:ilvl w:val="1"/>
          <w:numId w:val="38"/>
        </w:numPr>
        <w:jc w:val="both"/>
        <w:rPr>
          <w:rFonts w:ascii="Arial" w:hAnsi="Arial" w:cs="Arial"/>
          <w:sz w:val="20"/>
          <w:szCs w:val="20"/>
          <w:lang w:val="sr-Latn-RS"/>
        </w:rPr>
      </w:pPr>
      <w:r w:rsidRPr="00885161">
        <w:rPr>
          <w:rFonts w:ascii="Arial" w:hAnsi="Arial" w:cs="Arial"/>
          <w:sz w:val="20"/>
          <w:szCs w:val="20"/>
          <w:lang w:val="sr-Latn-RS"/>
        </w:rPr>
        <w:t>Koliko su aktivnosti NPZP koherentne i komplementarne u odnosu na druge politike i inicijative koje preduzimaju Vlada i drugi regionalni i međunarodni partneri angažovani u promociji zaštite potrošača u Crnoj Gori?</w:t>
      </w:r>
    </w:p>
    <w:p w14:paraId="57D7019E" w14:textId="77777777" w:rsidR="003058D8" w:rsidRPr="00A20BF1" w:rsidRDefault="003058D8" w:rsidP="00DE468B">
      <w:pPr>
        <w:pStyle w:val="ParagraphOED"/>
        <w:numPr>
          <w:ilvl w:val="0"/>
          <w:numId w:val="0"/>
        </w:numPr>
        <w:spacing w:before="0" w:after="0"/>
        <w:outlineLvl w:val="2"/>
        <w:rPr>
          <w:rFonts w:ascii="Arial" w:hAnsi="Arial" w:cs="Arial"/>
          <w:b/>
          <w:sz w:val="20"/>
          <w:szCs w:val="20"/>
          <w:lang w:val="en-GB"/>
        </w:rPr>
      </w:pPr>
    </w:p>
    <w:p w14:paraId="0CFFFBC6" w14:textId="536AA46F" w:rsidR="00780FF6" w:rsidRPr="00A20BF1" w:rsidRDefault="00780FF6" w:rsidP="00780FF6">
      <w:pPr>
        <w:pStyle w:val="ParagraphOED"/>
        <w:numPr>
          <w:ilvl w:val="0"/>
          <w:numId w:val="0"/>
        </w:numPr>
        <w:spacing w:before="0" w:after="0"/>
        <w:rPr>
          <w:rFonts w:ascii="Arial" w:hAnsi="Arial" w:cs="Arial"/>
          <w:b/>
          <w:sz w:val="20"/>
          <w:szCs w:val="20"/>
          <w:lang w:val="en-GB"/>
        </w:rPr>
      </w:pPr>
    </w:p>
    <w:p w14:paraId="062F84E8" w14:textId="50C317CC" w:rsidR="00BD4E98" w:rsidRPr="00BD4E98" w:rsidRDefault="00BD4E98" w:rsidP="00BD4E98">
      <w:pPr>
        <w:pStyle w:val="ParagraphOED"/>
        <w:numPr>
          <w:ilvl w:val="0"/>
          <w:numId w:val="0"/>
        </w:numPr>
        <w:spacing w:after="0"/>
        <w:rPr>
          <w:rFonts w:ascii="Arial" w:hAnsi="Arial" w:cs="Arial"/>
          <w:bCs/>
          <w:sz w:val="20"/>
          <w:szCs w:val="20"/>
          <w:lang w:val="sr-Latn-RS"/>
        </w:rPr>
      </w:pPr>
      <w:r w:rsidRPr="00BD4E98">
        <w:rPr>
          <w:rFonts w:ascii="Arial" w:hAnsi="Arial" w:cs="Arial"/>
          <w:bCs/>
          <w:sz w:val="20"/>
          <w:szCs w:val="20"/>
          <w:lang w:val="sr-Latn-RS"/>
        </w:rPr>
        <w:t>Prema analizi dokumenta, NPZP je prepoznao mogućnosti za saradnju sa relevantnim zainteresovanim stranama, te se angažovao u umrežavanju sa tematski relevantnim inicijativama. U tom smislu, MER i partneri u implementaciji su uspešno sarađivali sa brojnim globalnim, regionalnim i nacionalnim organizacijama/inicijativama kako bi otvorili dijalog ka sprovođenju NPZP i osigurali minimalna preklapanja sa tekućim projektima.</w:t>
      </w:r>
    </w:p>
    <w:p w14:paraId="680A7D4A" w14:textId="0945A452" w:rsidR="00BD4E98" w:rsidRPr="00BD4E98" w:rsidRDefault="00BD4E98" w:rsidP="00BD4E98">
      <w:pPr>
        <w:pStyle w:val="ParagraphOED"/>
        <w:numPr>
          <w:ilvl w:val="0"/>
          <w:numId w:val="0"/>
        </w:numPr>
        <w:spacing w:after="0"/>
        <w:rPr>
          <w:rFonts w:ascii="Arial" w:hAnsi="Arial" w:cs="Arial"/>
          <w:bCs/>
          <w:sz w:val="20"/>
          <w:szCs w:val="20"/>
          <w:lang w:val="sr-Latn-RS"/>
        </w:rPr>
      </w:pPr>
      <w:r w:rsidRPr="00BD4E98">
        <w:rPr>
          <w:rFonts w:ascii="Arial" w:hAnsi="Arial" w:cs="Arial"/>
          <w:bCs/>
          <w:sz w:val="20"/>
          <w:szCs w:val="20"/>
          <w:lang w:val="sr-Latn-RS"/>
        </w:rPr>
        <w:t>NPZP jasno identifikuje zakonodavni i strateški okvir za zaštitu potrošača, pružajući detaljan spisak zakona i strategija koji utiču na sistem zaštite potrošača u Crnoj Gori. FE je dalje istražio koherentnost NPZP i došao do zaključka da nema značajnih uskih grla ili problema.</w:t>
      </w:r>
    </w:p>
    <w:p w14:paraId="68804D93" w14:textId="77777777" w:rsidR="00BD4E98" w:rsidRPr="00BD4E98" w:rsidRDefault="00BD4E98" w:rsidP="00BD4E98">
      <w:pPr>
        <w:pStyle w:val="ParagraphOED"/>
        <w:numPr>
          <w:ilvl w:val="0"/>
          <w:numId w:val="0"/>
        </w:numPr>
        <w:spacing w:before="0" w:after="0"/>
        <w:rPr>
          <w:rFonts w:ascii="Arial" w:hAnsi="Arial" w:cs="Arial"/>
          <w:bCs/>
          <w:sz w:val="20"/>
          <w:szCs w:val="20"/>
          <w:lang w:val="sr-Latn-RS"/>
        </w:rPr>
      </w:pPr>
    </w:p>
    <w:p w14:paraId="659F2087" w14:textId="73A6FE8D" w:rsidR="00BD4E98" w:rsidRPr="00BD4E98" w:rsidRDefault="00BD4E98" w:rsidP="00BD4E98">
      <w:pPr>
        <w:pStyle w:val="ParagraphOED"/>
        <w:numPr>
          <w:ilvl w:val="0"/>
          <w:numId w:val="0"/>
        </w:numPr>
        <w:spacing w:before="0" w:after="0"/>
        <w:rPr>
          <w:rFonts w:ascii="Arial" w:hAnsi="Arial" w:cs="Arial"/>
          <w:bCs/>
          <w:sz w:val="20"/>
          <w:szCs w:val="20"/>
          <w:lang w:val="sr-Latn-RS"/>
        </w:rPr>
      </w:pPr>
      <w:r w:rsidRPr="00BD4E98">
        <w:rPr>
          <w:rFonts w:ascii="Arial" w:hAnsi="Arial" w:cs="Arial"/>
          <w:bCs/>
          <w:sz w:val="20"/>
          <w:szCs w:val="20"/>
          <w:lang w:val="sr-Latn-RS"/>
        </w:rPr>
        <w:t xml:space="preserve">Tokom intervjua, učesnici su istakli da je NCPP </w:t>
      </w:r>
      <w:r w:rsidRPr="00BD4E98">
        <w:rPr>
          <w:rFonts w:ascii="Arial" w:hAnsi="Arial" w:cs="Arial"/>
          <w:b/>
          <w:sz w:val="20"/>
          <w:szCs w:val="20"/>
          <w:lang w:val="sr-Latn-RS"/>
        </w:rPr>
        <w:t>veoma koherentan</w:t>
      </w:r>
      <w:r w:rsidRPr="00BD4E98">
        <w:rPr>
          <w:rFonts w:ascii="Arial" w:hAnsi="Arial" w:cs="Arial"/>
          <w:bCs/>
          <w:sz w:val="20"/>
          <w:szCs w:val="20"/>
          <w:lang w:val="sr-Latn-RS"/>
        </w:rPr>
        <w:t xml:space="preserve"> sa drugim politikama i inicijativama koje preduzima crnogorska vlada i da je postigao ocenu 4,2/5 na </w:t>
      </w:r>
      <w:proofErr w:type="spellStart"/>
      <w:r w:rsidRPr="00BD4E98">
        <w:rPr>
          <w:rFonts w:ascii="Arial" w:hAnsi="Arial" w:cs="Arial"/>
          <w:bCs/>
          <w:sz w:val="20"/>
          <w:szCs w:val="20"/>
          <w:lang w:val="sr-Latn-RS"/>
        </w:rPr>
        <w:t>Likertovoj</w:t>
      </w:r>
      <w:proofErr w:type="spellEnd"/>
      <w:r w:rsidRPr="00BD4E98">
        <w:rPr>
          <w:rFonts w:ascii="Arial" w:hAnsi="Arial" w:cs="Arial"/>
          <w:bCs/>
          <w:sz w:val="20"/>
          <w:szCs w:val="20"/>
          <w:lang w:val="sr-Latn-RS"/>
        </w:rPr>
        <w:t xml:space="preserve"> skali.</w:t>
      </w:r>
    </w:p>
    <w:p w14:paraId="5D6F862D" w14:textId="77777777" w:rsidR="00BD4E98" w:rsidRDefault="00BD4E98" w:rsidP="00BD4E98">
      <w:pPr>
        <w:pStyle w:val="ParagraphOED"/>
        <w:numPr>
          <w:ilvl w:val="0"/>
          <w:numId w:val="0"/>
        </w:numPr>
        <w:spacing w:before="0" w:after="0"/>
        <w:rPr>
          <w:rFonts w:ascii="Arial" w:hAnsi="Arial" w:cs="Arial"/>
          <w:bCs/>
          <w:sz w:val="20"/>
          <w:szCs w:val="20"/>
          <w:lang w:val="en-GB"/>
        </w:rPr>
      </w:pPr>
    </w:p>
    <w:p w14:paraId="7E29090B" w14:textId="08829CCD" w:rsidR="003119F6" w:rsidRPr="00BD4E98" w:rsidRDefault="00176DC5" w:rsidP="00176DC5">
      <w:pPr>
        <w:pStyle w:val="Heading1"/>
        <w:numPr>
          <w:ilvl w:val="0"/>
          <w:numId w:val="0"/>
        </w:numPr>
        <w:rPr>
          <w:rFonts w:ascii="Arial" w:hAnsi="Arial"/>
          <w:b/>
          <w:bCs/>
          <w:i/>
          <w:iCs/>
          <w:szCs w:val="18"/>
          <w:lang w:val="sr-Latn-RS"/>
        </w:rPr>
      </w:pPr>
      <w:bookmarkStart w:id="19" w:name="_Toc199479356"/>
      <w:r w:rsidRPr="00BD4E98">
        <w:rPr>
          <w:rFonts w:ascii="Arial" w:hAnsi="Arial"/>
          <w:b/>
          <w:bCs/>
          <w:i/>
          <w:iCs/>
          <w:szCs w:val="18"/>
          <w:lang w:val="sr-Latn-RS"/>
        </w:rPr>
        <w:t xml:space="preserve">4. </w:t>
      </w:r>
      <w:r w:rsidR="00BD4E98" w:rsidRPr="00BD4E98">
        <w:rPr>
          <w:rFonts w:ascii="Arial" w:hAnsi="Arial"/>
          <w:b/>
          <w:bCs/>
          <w:i/>
          <w:iCs/>
          <w:szCs w:val="18"/>
          <w:lang w:val="sr-Latn-RS"/>
        </w:rPr>
        <w:t>Preporuke</w:t>
      </w:r>
      <w:bookmarkEnd w:id="19"/>
    </w:p>
    <w:p w14:paraId="23BE3B25" w14:textId="629A85DE" w:rsidR="00BD4E98" w:rsidRPr="00BD4E98" w:rsidRDefault="00BD4E98" w:rsidP="00176DC5">
      <w:pPr>
        <w:jc w:val="both"/>
        <w:rPr>
          <w:rFonts w:ascii="Arial" w:hAnsi="Arial" w:cs="Arial"/>
          <w:sz w:val="20"/>
          <w:szCs w:val="20"/>
          <w:lang w:eastAsia="de-DE"/>
        </w:rPr>
      </w:pPr>
      <w:r w:rsidRPr="00BD4E98">
        <w:rPr>
          <w:rFonts w:ascii="Arial" w:hAnsi="Arial" w:cs="Arial"/>
          <w:sz w:val="20"/>
          <w:szCs w:val="20"/>
          <w:lang w:eastAsia="de-DE"/>
        </w:rPr>
        <w:t xml:space="preserve">Preporuke FE su zasnovane na doprinosima koje su učesnici dali tokom faze konsultacija, analizi dokumenata i stručnom mišljenju o najboljim praksama koje mogu dodatno poboljšati </w:t>
      </w:r>
      <w:proofErr w:type="spellStart"/>
      <w:r w:rsidRPr="00BD4E98">
        <w:rPr>
          <w:rFonts w:ascii="Arial" w:hAnsi="Arial" w:cs="Arial"/>
          <w:sz w:val="20"/>
          <w:szCs w:val="20"/>
          <w:lang w:eastAsia="de-DE"/>
        </w:rPr>
        <w:t>buduću</w:t>
      </w:r>
      <w:proofErr w:type="spellEnd"/>
      <w:r w:rsidRPr="00BD4E98">
        <w:rPr>
          <w:rFonts w:ascii="Arial" w:hAnsi="Arial" w:cs="Arial"/>
          <w:sz w:val="20"/>
          <w:szCs w:val="20"/>
          <w:lang w:eastAsia="de-DE"/>
        </w:rPr>
        <w:t xml:space="preserve"> implementaciju politike zaštite potrošača u Crnoj Gori. Preporuke su predstavljene nasumičnim redosledom, a ne po značaju.</w:t>
      </w:r>
    </w:p>
    <w:p w14:paraId="6D79D90D" w14:textId="77777777" w:rsidR="00BD4E98" w:rsidRPr="00BD4E98" w:rsidRDefault="00BD4E98" w:rsidP="00BD4E98">
      <w:pPr>
        <w:jc w:val="both"/>
        <w:rPr>
          <w:rFonts w:ascii="Arial" w:hAnsi="Arial" w:cs="Arial"/>
          <w:b/>
          <w:bCs/>
          <w:i/>
          <w:iCs/>
          <w:sz w:val="20"/>
          <w:szCs w:val="20"/>
          <w:lang w:eastAsia="de-DE"/>
        </w:rPr>
      </w:pPr>
      <w:r w:rsidRPr="00BD4E98">
        <w:rPr>
          <w:rFonts w:ascii="Arial" w:hAnsi="Arial" w:cs="Arial"/>
          <w:b/>
          <w:bCs/>
          <w:i/>
          <w:iCs/>
          <w:sz w:val="20"/>
          <w:szCs w:val="20"/>
          <w:lang w:eastAsia="de-DE"/>
        </w:rPr>
        <w:t>Preporuka 1. Uključivanje dodatnih indikatora učinka</w:t>
      </w:r>
    </w:p>
    <w:p w14:paraId="4E2D3EEC" w14:textId="77777777" w:rsidR="00BD4E98" w:rsidRDefault="00BD4E98" w:rsidP="00BD4E98">
      <w:pPr>
        <w:jc w:val="both"/>
        <w:rPr>
          <w:rFonts w:ascii="Arial" w:hAnsi="Arial" w:cs="Arial"/>
          <w:sz w:val="20"/>
          <w:szCs w:val="20"/>
          <w:lang w:eastAsia="de-DE"/>
        </w:rPr>
      </w:pPr>
      <w:r>
        <w:rPr>
          <w:rFonts w:ascii="Arial" w:hAnsi="Arial" w:cs="Arial"/>
          <w:sz w:val="20"/>
          <w:szCs w:val="20"/>
          <w:lang w:eastAsia="de-DE"/>
        </w:rPr>
        <w:t>Zaključeno je</w:t>
      </w:r>
      <w:r w:rsidRPr="00B213CF">
        <w:rPr>
          <w:rFonts w:ascii="Arial" w:hAnsi="Arial" w:cs="Arial"/>
          <w:sz w:val="20"/>
          <w:szCs w:val="20"/>
          <w:lang w:eastAsia="de-DE"/>
        </w:rPr>
        <w:t xml:space="preserve"> da su indikatori učinka adekvatno postavljeni u </w:t>
      </w:r>
      <w:r>
        <w:rPr>
          <w:rFonts w:ascii="Arial" w:hAnsi="Arial" w:cs="Arial"/>
          <w:sz w:val="20"/>
          <w:szCs w:val="20"/>
          <w:lang w:eastAsia="de-DE"/>
        </w:rPr>
        <w:t>Programu.</w:t>
      </w:r>
      <w:r w:rsidRPr="00B213CF">
        <w:rPr>
          <w:rFonts w:ascii="Arial" w:hAnsi="Arial" w:cs="Arial"/>
          <w:sz w:val="20"/>
          <w:szCs w:val="20"/>
          <w:lang w:eastAsia="de-DE"/>
        </w:rPr>
        <w:t xml:space="preserve"> Međutim, za obim javne politike u oblasti zaštite potrošača, uključivanje dodatnih indikatora učinka na nivou ishoda bi koristilo ukupnom praćenju i evaluaciji navedene javne politike. Pored toga, </w:t>
      </w:r>
      <w:r>
        <w:rPr>
          <w:rFonts w:ascii="Arial" w:hAnsi="Arial" w:cs="Arial"/>
          <w:sz w:val="20"/>
          <w:szCs w:val="20"/>
          <w:lang w:eastAsia="de-DE"/>
        </w:rPr>
        <w:t>zaključeno</w:t>
      </w:r>
      <w:r w:rsidRPr="00B213CF">
        <w:rPr>
          <w:rFonts w:ascii="Arial" w:hAnsi="Arial" w:cs="Arial"/>
          <w:sz w:val="20"/>
          <w:szCs w:val="20"/>
          <w:lang w:eastAsia="de-DE"/>
        </w:rPr>
        <w:t xml:space="preserve"> da je </w:t>
      </w:r>
      <w:r>
        <w:rPr>
          <w:rFonts w:ascii="Arial" w:hAnsi="Arial" w:cs="Arial"/>
          <w:sz w:val="20"/>
          <w:szCs w:val="20"/>
          <w:lang w:eastAsia="de-DE"/>
        </w:rPr>
        <w:t>da je za</w:t>
      </w:r>
      <w:r w:rsidRPr="00B213CF">
        <w:rPr>
          <w:rFonts w:ascii="Arial" w:hAnsi="Arial" w:cs="Arial"/>
          <w:sz w:val="20"/>
          <w:szCs w:val="20"/>
          <w:lang w:eastAsia="de-DE"/>
        </w:rPr>
        <w:t xml:space="preserve"> neke indikatore (uglavnom za operativni cilj </w:t>
      </w:r>
      <w:r>
        <w:rPr>
          <w:rFonts w:ascii="Arial" w:hAnsi="Arial" w:cs="Arial"/>
          <w:sz w:val="20"/>
          <w:szCs w:val="20"/>
          <w:lang w:eastAsia="de-DE"/>
        </w:rPr>
        <w:t>dva</w:t>
      </w:r>
      <w:r w:rsidRPr="00B213CF">
        <w:rPr>
          <w:rFonts w:ascii="Arial" w:hAnsi="Arial" w:cs="Arial"/>
          <w:sz w:val="20"/>
          <w:szCs w:val="20"/>
          <w:lang w:eastAsia="de-DE"/>
        </w:rPr>
        <w:t>) došlo do problema u praćenju zbog nedostatka kapaciteta za blagovremeno sprovođenje istraživanja. Stoga je preporuka da se indikatori formulišu korišćenjem fiša indikatora</w:t>
      </w:r>
      <w:r>
        <w:rPr>
          <w:rFonts w:ascii="Arial" w:hAnsi="Arial" w:cs="Arial"/>
          <w:sz w:val="20"/>
          <w:szCs w:val="20"/>
          <w:lang w:eastAsia="de-DE"/>
        </w:rPr>
        <w:t xml:space="preserve"> (</w:t>
      </w:r>
      <w:proofErr w:type="spellStart"/>
      <w:r>
        <w:rPr>
          <w:rFonts w:ascii="Arial" w:hAnsi="Arial" w:cs="Arial"/>
          <w:sz w:val="20"/>
          <w:szCs w:val="20"/>
          <w:lang w:eastAsia="de-DE"/>
        </w:rPr>
        <w:t>eng</w:t>
      </w:r>
      <w:proofErr w:type="spellEnd"/>
      <w:r>
        <w:rPr>
          <w:rFonts w:ascii="Arial" w:hAnsi="Arial" w:cs="Arial"/>
          <w:sz w:val="20"/>
          <w:szCs w:val="20"/>
          <w:lang w:eastAsia="de-DE"/>
        </w:rPr>
        <w:t xml:space="preserve">. </w:t>
      </w:r>
      <w:proofErr w:type="spellStart"/>
      <w:r>
        <w:rPr>
          <w:rFonts w:ascii="Arial" w:hAnsi="Arial" w:cs="Arial"/>
          <w:sz w:val="20"/>
          <w:szCs w:val="20"/>
          <w:lang w:eastAsia="de-DE"/>
        </w:rPr>
        <w:t>Indicator</w:t>
      </w:r>
      <w:proofErr w:type="spellEnd"/>
      <w:r>
        <w:rPr>
          <w:rFonts w:ascii="Arial" w:hAnsi="Arial" w:cs="Arial"/>
          <w:sz w:val="20"/>
          <w:szCs w:val="20"/>
          <w:lang w:eastAsia="de-DE"/>
        </w:rPr>
        <w:t xml:space="preserve"> </w:t>
      </w:r>
      <w:proofErr w:type="spellStart"/>
      <w:r>
        <w:rPr>
          <w:rFonts w:ascii="Arial" w:hAnsi="Arial" w:cs="Arial"/>
          <w:sz w:val="20"/>
          <w:szCs w:val="20"/>
          <w:lang w:eastAsia="de-DE"/>
        </w:rPr>
        <w:t>fiche</w:t>
      </w:r>
      <w:proofErr w:type="spellEnd"/>
      <w:r>
        <w:rPr>
          <w:rFonts w:ascii="Arial" w:hAnsi="Arial" w:cs="Arial"/>
          <w:sz w:val="20"/>
          <w:szCs w:val="20"/>
          <w:lang w:eastAsia="de-DE"/>
        </w:rPr>
        <w:t>)</w:t>
      </w:r>
      <w:r w:rsidRPr="00B213CF">
        <w:rPr>
          <w:rFonts w:ascii="Arial" w:hAnsi="Arial" w:cs="Arial"/>
          <w:sz w:val="20"/>
          <w:szCs w:val="20"/>
          <w:lang w:eastAsia="de-DE"/>
        </w:rPr>
        <w:t xml:space="preserve"> koji bi jasno naveo mere ublažavanja</w:t>
      </w:r>
      <w:r>
        <w:rPr>
          <w:rFonts w:ascii="Arial" w:hAnsi="Arial" w:cs="Arial"/>
          <w:sz w:val="20"/>
          <w:szCs w:val="20"/>
          <w:lang w:eastAsia="de-DE"/>
        </w:rPr>
        <w:t>, odnosno alternativne mere</w:t>
      </w:r>
      <w:r w:rsidRPr="00B213CF">
        <w:rPr>
          <w:rFonts w:ascii="Arial" w:hAnsi="Arial" w:cs="Arial"/>
          <w:sz w:val="20"/>
          <w:szCs w:val="20"/>
          <w:lang w:eastAsia="de-DE"/>
        </w:rPr>
        <w:t xml:space="preserve"> koje treba preduzeti u slučajevima kada se indikator ne može pravilno pratiti. Ovo bi osiguralo da čak i ako se ne može sagledati puni obim indikatora učinka, postoji rezervni mehanizam koji bi obezbedio barem delimičnu procenu postignutih rezultata u korelaciji sa ciljevima operativnih ciljeva.</w:t>
      </w:r>
      <w:r>
        <w:rPr>
          <w:rFonts w:ascii="Arial" w:hAnsi="Arial" w:cs="Arial"/>
          <w:sz w:val="20"/>
          <w:szCs w:val="20"/>
          <w:lang w:eastAsia="de-DE"/>
        </w:rPr>
        <w:t xml:space="preserve"> </w:t>
      </w:r>
    </w:p>
    <w:p w14:paraId="776EDF85" w14:textId="02838E99" w:rsidR="00BD4E98" w:rsidRPr="007C3CD4" w:rsidRDefault="00BD4E98" w:rsidP="00BD4E98">
      <w:pPr>
        <w:jc w:val="both"/>
        <w:rPr>
          <w:rFonts w:ascii="Arial" w:hAnsi="Arial" w:cs="Arial"/>
          <w:sz w:val="20"/>
          <w:szCs w:val="20"/>
          <w:lang w:eastAsia="de-DE"/>
        </w:rPr>
      </w:pPr>
      <w:r w:rsidRPr="007C3CD4">
        <w:rPr>
          <w:rFonts w:ascii="Arial" w:hAnsi="Arial" w:cs="Arial"/>
          <w:sz w:val="20"/>
          <w:szCs w:val="20"/>
          <w:lang w:eastAsia="de-DE"/>
        </w:rPr>
        <w:t xml:space="preserve">Tabela 7 ilustruje sadržaj fiša indikatora koji treba pripremiti za svaki indikator učinka. </w:t>
      </w:r>
    </w:p>
    <w:p w14:paraId="7381DEEF" w14:textId="07E172C4" w:rsidR="00BD4E98" w:rsidRPr="007C3CD4" w:rsidRDefault="00BD4E98" w:rsidP="00BD4E98">
      <w:pPr>
        <w:spacing w:after="0"/>
        <w:jc w:val="both"/>
        <w:rPr>
          <w:rFonts w:ascii="Arial" w:hAnsi="Arial" w:cs="Arial"/>
          <w:sz w:val="18"/>
          <w:szCs w:val="18"/>
          <w:lang w:eastAsia="de-DE"/>
        </w:rPr>
      </w:pPr>
      <w:r w:rsidRPr="007C3CD4">
        <w:rPr>
          <w:rFonts w:ascii="Arial" w:hAnsi="Arial" w:cs="Arial"/>
          <w:sz w:val="18"/>
          <w:szCs w:val="18"/>
          <w:lang w:eastAsia="de-DE"/>
        </w:rPr>
        <w:t>Tabela 7. Obrazac indikatora</w:t>
      </w:r>
    </w:p>
    <w:tbl>
      <w:tblPr>
        <w:tblStyle w:val="TableGrid"/>
        <w:tblW w:w="0" w:type="auto"/>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794"/>
        <w:gridCol w:w="3227"/>
        <w:gridCol w:w="4938"/>
      </w:tblGrid>
      <w:tr w:rsidR="00BD4E98" w:rsidRPr="007C3CD4" w14:paraId="267915DD" w14:textId="77777777" w:rsidTr="00BD4E98">
        <w:trPr>
          <w:trHeight w:val="20"/>
          <w:tblHeader/>
        </w:trPr>
        <w:tc>
          <w:tcPr>
            <w:tcW w:w="794" w:type="dxa"/>
            <w:hideMark/>
          </w:tcPr>
          <w:p w14:paraId="58526D23" w14:textId="69C31DC3" w:rsidR="00BD4E98" w:rsidRPr="007C3CD4" w:rsidRDefault="00BD4E98" w:rsidP="00A04045">
            <w:pPr>
              <w:pStyle w:val="Tabelle"/>
              <w:keepNext/>
              <w:rPr>
                <w:rFonts w:ascii="Calibri" w:hAnsi="Calibri" w:cs="Calibri"/>
                <w:lang w:val="sr-Latn-RS"/>
              </w:rPr>
            </w:pPr>
            <w:r w:rsidRPr="007C3CD4">
              <w:rPr>
                <w:rFonts w:ascii="Calibri" w:hAnsi="Calibri" w:cs="Calibri"/>
                <w:lang w:val="sr-Latn-RS"/>
              </w:rPr>
              <w:t>Red</w:t>
            </w:r>
          </w:p>
        </w:tc>
        <w:tc>
          <w:tcPr>
            <w:tcW w:w="3227" w:type="dxa"/>
            <w:hideMark/>
          </w:tcPr>
          <w:p w14:paraId="6D31AA5C" w14:textId="474017C7" w:rsidR="00BD4E98" w:rsidRPr="007C3CD4" w:rsidRDefault="00BD4E98" w:rsidP="00A04045">
            <w:pPr>
              <w:pStyle w:val="Tabelle"/>
              <w:keepNext/>
              <w:rPr>
                <w:rFonts w:ascii="Calibri" w:hAnsi="Calibri" w:cs="Calibri"/>
                <w:lang w:val="sr-Latn-RS"/>
              </w:rPr>
            </w:pPr>
            <w:r w:rsidRPr="007C3CD4">
              <w:rPr>
                <w:rFonts w:ascii="Calibri" w:hAnsi="Calibri" w:cs="Calibri"/>
                <w:lang w:val="sr-Latn-RS"/>
              </w:rPr>
              <w:t>Polje</w:t>
            </w:r>
          </w:p>
        </w:tc>
        <w:tc>
          <w:tcPr>
            <w:tcW w:w="4938" w:type="dxa"/>
            <w:hideMark/>
          </w:tcPr>
          <w:p w14:paraId="256172AD" w14:textId="205741D1" w:rsidR="00BD4E98" w:rsidRPr="007C3CD4" w:rsidRDefault="00BD4E98" w:rsidP="00A04045">
            <w:pPr>
              <w:pStyle w:val="Tabelle"/>
              <w:keepNext/>
              <w:rPr>
                <w:rFonts w:ascii="Calibri" w:hAnsi="Calibri" w:cs="Calibri"/>
                <w:lang w:val="sr-Latn-RS"/>
              </w:rPr>
            </w:pPr>
            <w:proofErr w:type="spellStart"/>
            <w:r w:rsidRPr="007C3CD4">
              <w:rPr>
                <w:rFonts w:ascii="Calibri" w:hAnsi="Calibri" w:cs="Calibri"/>
                <w:lang w:val="sr-Latn-RS"/>
              </w:rPr>
              <w:t>Metapodaci</w:t>
            </w:r>
            <w:proofErr w:type="spellEnd"/>
          </w:p>
        </w:tc>
      </w:tr>
      <w:tr w:rsidR="00BD4E98" w:rsidRPr="007C3CD4" w14:paraId="74EEB048" w14:textId="77777777" w:rsidTr="00BD4E98">
        <w:trPr>
          <w:trHeight w:val="20"/>
        </w:trPr>
        <w:tc>
          <w:tcPr>
            <w:tcW w:w="794" w:type="dxa"/>
            <w:hideMark/>
          </w:tcPr>
          <w:p w14:paraId="0E488FE9" w14:textId="77777777" w:rsidR="00BD4E98" w:rsidRPr="007C3CD4" w:rsidRDefault="00BD4E98" w:rsidP="00A04045">
            <w:pPr>
              <w:pStyle w:val="Tabelle"/>
              <w:rPr>
                <w:lang w:val="sr-Latn-RS"/>
              </w:rPr>
            </w:pPr>
            <w:r w:rsidRPr="007C3CD4">
              <w:rPr>
                <w:lang w:val="sr-Latn-RS"/>
              </w:rPr>
              <w:t>1</w:t>
            </w:r>
          </w:p>
        </w:tc>
        <w:tc>
          <w:tcPr>
            <w:tcW w:w="3227" w:type="dxa"/>
            <w:hideMark/>
          </w:tcPr>
          <w:p w14:paraId="10C5A235" w14:textId="37B7492B" w:rsidR="00BD4E98" w:rsidRPr="007C3CD4" w:rsidRDefault="00BD4E98" w:rsidP="00A04045">
            <w:pPr>
              <w:pStyle w:val="Tabelle"/>
              <w:rPr>
                <w:lang w:val="sr-Latn-RS"/>
              </w:rPr>
            </w:pPr>
            <w:r w:rsidRPr="007C3CD4">
              <w:rPr>
                <w:lang w:val="sr-Latn-RS"/>
              </w:rPr>
              <w:t>Ime indikatora</w:t>
            </w:r>
          </w:p>
        </w:tc>
        <w:tc>
          <w:tcPr>
            <w:tcW w:w="4938" w:type="dxa"/>
          </w:tcPr>
          <w:p w14:paraId="08EC8673" w14:textId="77777777" w:rsidR="00BD4E98" w:rsidRPr="007C3CD4" w:rsidRDefault="00BD4E98" w:rsidP="00A04045">
            <w:pPr>
              <w:pStyle w:val="Tabelle"/>
              <w:rPr>
                <w:lang w:val="sr-Latn-RS"/>
              </w:rPr>
            </w:pPr>
          </w:p>
        </w:tc>
      </w:tr>
      <w:tr w:rsidR="00BD4E98" w:rsidRPr="007C3CD4" w14:paraId="0C9D877E" w14:textId="77777777" w:rsidTr="00BD4E98">
        <w:trPr>
          <w:trHeight w:val="20"/>
        </w:trPr>
        <w:tc>
          <w:tcPr>
            <w:tcW w:w="794" w:type="dxa"/>
            <w:hideMark/>
          </w:tcPr>
          <w:p w14:paraId="03EDB771" w14:textId="77777777" w:rsidR="00BD4E98" w:rsidRPr="007C3CD4" w:rsidRDefault="00BD4E98" w:rsidP="00A04045">
            <w:pPr>
              <w:pStyle w:val="Tabelle"/>
              <w:rPr>
                <w:lang w:val="sr-Latn-RS"/>
              </w:rPr>
            </w:pPr>
            <w:r w:rsidRPr="007C3CD4">
              <w:rPr>
                <w:lang w:val="sr-Latn-RS"/>
              </w:rPr>
              <w:lastRenderedPageBreak/>
              <w:t>2</w:t>
            </w:r>
          </w:p>
        </w:tc>
        <w:tc>
          <w:tcPr>
            <w:tcW w:w="3227" w:type="dxa"/>
            <w:hideMark/>
          </w:tcPr>
          <w:p w14:paraId="51A31223" w14:textId="284ECDD7" w:rsidR="00BD4E98" w:rsidRPr="007C3CD4" w:rsidRDefault="00BD4E98" w:rsidP="00A04045">
            <w:pPr>
              <w:pStyle w:val="Tabelle"/>
              <w:rPr>
                <w:lang w:val="sr-Latn-RS"/>
              </w:rPr>
            </w:pPr>
            <w:r w:rsidRPr="007C3CD4">
              <w:rPr>
                <w:lang w:val="sr-Latn-RS"/>
              </w:rPr>
              <w:t>Merna jedinica</w:t>
            </w:r>
          </w:p>
        </w:tc>
        <w:tc>
          <w:tcPr>
            <w:tcW w:w="4938" w:type="dxa"/>
          </w:tcPr>
          <w:p w14:paraId="77FBA95F" w14:textId="77777777" w:rsidR="00BD4E98" w:rsidRPr="007C3CD4" w:rsidRDefault="00BD4E98" w:rsidP="00A04045">
            <w:pPr>
              <w:pStyle w:val="Tabelle"/>
              <w:rPr>
                <w:lang w:val="sr-Latn-RS"/>
              </w:rPr>
            </w:pPr>
          </w:p>
        </w:tc>
      </w:tr>
      <w:tr w:rsidR="00BD4E98" w:rsidRPr="007C3CD4" w14:paraId="06DBD329" w14:textId="77777777" w:rsidTr="00BD4E98">
        <w:trPr>
          <w:trHeight w:val="20"/>
        </w:trPr>
        <w:tc>
          <w:tcPr>
            <w:tcW w:w="794" w:type="dxa"/>
            <w:hideMark/>
          </w:tcPr>
          <w:p w14:paraId="1263A87F" w14:textId="77777777" w:rsidR="00BD4E98" w:rsidRPr="007C3CD4" w:rsidRDefault="00BD4E98" w:rsidP="00A04045">
            <w:pPr>
              <w:pStyle w:val="Tabelle"/>
              <w:rPr>
                <w:lang w:val="sr-Latn-RS"/>
              </w:rPr>
            </w:pPr>
            <w:r w:rsidRPr="007C3CD4">
              <w:rPr>
                <w:lang w:val="sr-Latn-RS"/>
              </w:rPr>
              <w:t>3</w:t>
            </w:r>
          </w:p>
        </w:tc>
        <w:tc>
          <w:tcPr>
            <w:tcW w:w="3227" w:type="dxa"/>
            <w:hideMark/>
          </w:tcPr>
          <w:p w14:paraId="1443BAB3" w14:textId="2B9923E6" w:rsidR="00BD4E98" w:rsidRPr="007C3CD4" w:rsidRDefault="00BD4E98" w:rsidP="00A04045">
            <w:pPr>
              <w:pStyle w:val="Tabelle"/>
              <w:rPr>
                <w:lang w:val="sr-Latn-RS"/>
              </w:rPr>
            </w:pPr>
            <w:r w:rsidRPr="007C3CD4">
              <w:rPr>
                <w:lang w:val="sr-Latn-RS"/>
              </w:rPr>
              <w:t>Definicija I koncept</w:t>
            </w:r>
          </w:p>
        </w:tc>
        <w:tc>
          <w:tcPr>
            <w:tcW w:w="4938" w:type="dxa"/>
          </w:tcPr>
          <w:p w14:paraId="055E1F1A" w14:textId="77777777" w:rsidR="00BD4E98" w:rsidRPr="007C3CD4" w:rsidRDefault="00BD4E98" w:rsidP="00A04045">
            <w:pPr>
              <w:pStyle w:val="Tabelle"/>
              <w:rPr>
                <w:lang w:val="sr-Latn-RS"/>
              </w:rPr>
            </w:pPr>
          </w:p>
        </w:tc>
      </w:tr>
      <w:tr w:rsidR="00BD4E98" w:rsidRPr="007C3CD4" w14:paraId="3B4C6033" w14:textId="77777777" w:rsidTr="00BD4E98">
        <w:trPr>
          <w:trHeight w:val="20"/>
        </w:trPr>
        <w:tc>
          <w:tcPr>
            <w:tcW w:w="794" w:type="dxa"/>
            <w:hideMark/>
          </w:tcPr>
          <w:p w14:paraId="3A406D8A" w14:textId="77777777" w:rsidR="00BD4E98" w:rsidRPr="007C3CD4" w:rsidRDefault="00BD4E98" w:rsidP="00A04045">
            <w:pPr>
              <w:pStyle w:val="Tabelle"/>
              <w:rPr>
                <w:lang w:val="sr-Latn-RS"/>
              </w:rPr>
            </w:pPr>
            <w:r w:rsidRPr="007C3CD4">
              <w:rPr>
                <w:lang w:val="sr-Latn-RS"/>
              </w:rPr>
              <w:t>4</w:t>
            </w:r>
          </w:p>
        </w:tc>
        <w:tc>
          <w:tcPr>
            <w:tcW w:w="3227" w:type="dxa"/>
            <w:hideMark/>
          </w:tcPr>
          <w:p w14:paraId="54B70FF6" w14:textId="6E78D918" w:rsidR="00BD4E98" w:rsidRPr="007C3CD4" w:rsidRDefault="00BD4E98" w:rsidP="00A04045">
            <w:pPr>
              <w:pStyle w:val="Tabelle"/>
              <w:rPr>
                <w:lang w:val="sr-Latn-RS"/>
              </w:rPr>
            </w:pPr>
            <w:r w:rsidRPr="007C3CD4">
              <w:rPr>
                <w:lang w:val="sr-Latn-RS"/>
              </w:rPr>
              <w:t>Tip indikatora</w:t>
            </w:r>
          </w:p>
        </w:tc>
        <w:tc>
          <w:tcPr>
            <w:tcW w:w="4938" w:type="dxa"/>
          </w:tcPr>
          <w:p w14:paraId="0DEC3F7D" w14:textId="77777777" w:rsidR="00BD4E98" w:rsidRPr="007C3CD4" w:rsidRDefault="00BD4E98" w:rsidP="00A04045">
            <w:pPr>
              <w:pStyle w:val="Tabelle"/>
              <w:rPr>
                <w:lang w:val="sr-Latn-RS"/>
              </w:rPr>
            </w:pPr>
          </w:p>
        </w:tc>
      </w:tr>
      <w:tr w:rsidR="00BD4E98" w:rsidRPr="007C3CD4" w14:paraId="26762D81" w14:textId="77777777" w:rsidTr="00BD4E98">
        <w:trPr>
          <w:trHeight w:val="20"/>
        </w:trPr>
        <w:tc>
          <w:tcPr>
            <w:tcW w:w="794" w:type="dxa"/>
            <w:hideMark/>
          </w:tcPr>
          <w:p w14:paraId="7C134A6F" w14:textId="77777777" w:rsidR="00BD4E98" w:rsidRPr="007C3CD4" w:rsidRDefault="00BD4E98" w:rsidP="00A04045">
            <w:pPr>
              <w:pStyle w:val="Tabelle"/>
              <w:rPr>
                <w:lang w:val="sr-Latn-RS"/>
              </w:rPr>
            </w:pPr>
            <w:r w:rsidRPr="007C3CD4">
              <w:rPr>
                <w:lang w:val="sr-Latn-RS"/>
              </w:rPr>
              <w:t>5</w:t>
            </w:r>
          </w:p>
        </w:tc>
        <w:tc>
          <w:tcPr>
            <w:tcW w:w="3227" w:type="dxa"/>
            <w:hideMark/>
          </w:tcPr>
          <w:p w14:paraId="0B1B7039" w14:textId="21BA029E" w:rsidR="00BD4E98" w:rsidRPr="007C3CD4" w:rsidRDefault="00BD4E98" w:rsidP="00A04045">
            <w:pPr>
              <w:pStyle w:val="Tabelle"/>
              <w:rPr>
                <w:lang w:val="sr-Latn-RS"/>
              </w:rPr>
            </w:pPr>
            <w:r w:rsidRPr="007C3CD4">
              <w:rPr>
                <w:lang w:val="sr-Latn-RS"/>
              </w:rPr>
              <w:t>Početna vrednost</w:t>
            </w:r>
          </w:p>
        </w:tc>
        <w:tc>
          <w:tcPr>
            <w:tcW w:w="4938" w:type="dxa"/>
          </w:tcPr>
          <w:p w14:paraId="36AD03C3" w14:textId="77777777" w:rsidR="00BD4E98" w:rsidRPr="007C3CD4" w:rsidRDefault="00BD4E98" w:rsidP="00A04045">
            <w:pPr>
              <w:pStyle w:val="Tabelle"/>
              <w:rPr>
                <w:lang w:val="sr-Latn-RS"/>
              </w:rPr>
            </w:pPr>
          </w:p>
        </w:tc>
      </w:tr>
      <w:tr w:rsidR="00BD4E98" w:rsidRPr="007C3CD4" w14:paraId="405C3F92" w14:textId="77777777" w:rsidTr="00BD4E98">
        <w:trPr>
          <w:trHeight w:val="20"/>
        </w:trPr>
        <w:tc>
          <w:tcPr>
            <w:tcW w:w="794" w:type="dxa"/>
            <w:hideMark/>
          </w:tcPr>
          <w:p w14:paraId="1EBC634A" w14:textId="77777777" w:rsidR="00BD4E98" w:rsidRPr="007C3CD4" w:rsidRDefault="00BD4E98" w:rsidP="00A04045">
            <w:pPr>
              <w:pStyle w:val="Tabelle"/>
              <w:rPr>
                <w:lang w:val="sr-Latn-RS"/>
              </w:rPr>
            </w:pPr>
            <w:r w:rsidRPr="007C3CD4">
              <w:rPr>
                <w:lang w:val="sr-Latn-RS"/>
              </w:rPr>
              <w:t>6</w:t>
            </w:r>
          </w:p>
        </w:tc>
        <w:tc>
          <w:tcPr>
            <w:tcW w:w="3227" w:type="dxa"/>
            <w:hideMark/>
          </w:tcPr>
          <w:p w14:paraId="3C39D4EA" w14:textId="02269FBA" w:rsidR="00BD4E98" w:rsidRPr="007C3CD4" w:rsidRDefault="00BD4E98" w:rsidP="00A04045">
            <w:pPr>
              <w:pStyle w:val="Tabelle"/>
              <w:rPr>
                <w:lang w:val="sr-Latn-RS"/>
              </w:rPr>
            </w:pPr>
            <w:r w:rsidRPr="007C3CD4">
              <w:rPr>
                <w:lang w:val="sr-Latn-RS"/>
              </w:rPr>
              <w:t>Srednja vrednost</w:t>
            </w:r>
          </w:p>
        </w:tc>
        <w:tc>
          <w:tcPr>
            <w:tcW w:w="4938" w:type="dxa"/>
          </w:tcPr>
          <w:p w14:paraId="11A9F658" w14:textId="77777777" w:rsidR="00BD4E98" w:rsidRPr="007C3CD4" w:rsidRDefault="00BD4E98" w:rsidP="00A04045">
            <w:pPr>
              <w:pStyle w:val="Tabelle"/>
              <w:rPr>
                <w:lang w:val="sr-Latn-RS"/>
              </w:rPr>
            </w:pPr>
          </w:p>
        </w:tc>
      </w:tr>
      <w:tr w:rsidR="00BD4E98" w:rsidRPr="007C3CD4" w14:paraId="3B85928B" w14:textId="77777777" w:rsidTr="00BD4E98">
        <w:trPr>
          <w:trHeight w:val="20"/>
        </w:trPr>
        <w:tc>
          <w:tcPr>
            <w:tcW w:w="794" w:type="dxa"/>
            <w:hideMark/>
          </w:tcPr>
          <w:p w14:paraId="2DFFA752" w14:textId="77777777" w:rsidR="00BD4E98" w:rsidRPr="007C3CD4" w:rsidRDefault="00BD4E98" w:rsidP="00A04045">
            <w:pPr>
              <w:pStyle w:val="Tabelle"/>
              <w:rPr>
                <w:lang w:val="sr-Latn-RS"/>
              </w:rPr>
            </w:pPr>
            <w:r w:rsidRPr="007C3CD4">
              <w:rPr>
                <w:lang w:val="sr-Latn-RS"/>
              </w:rPr>
              <w:t>7</w:t>
            </w:r>
          </w:p>
        </w:tc>
        <w:tc>
          <w:tcPr>
            <w:tcW w:w="3227" w:type="dxa"/>
            <w:hideMark/>
          </w:tcPr>
          <w:p w14:paraId="43C2C21D" w14:textId="1261FCCB" w:rsidR="00BD4E98" w:rsidRPr="007C3CD4" w:rsidRDefault="00BD4E98" w:rsidP="00A04045">
            <w:pPr>
              <w:pStyle w:val="Tabelle"/>
              <w:rPr>
                <w:lang w:val="sr-Latn-RS"/>
              </w:rPr>
            </w:pPr>
            <w:r w:rsidRPr="007C3CD4">
              <w:rPr>
                <w:lang w:val="sr-Latn-RS"/>
              </w:rPr>
              <w:t>Ciljna vrednost</w:t>
            </w:r>
          </w:p>
        </w:tc>
        <w:tc>
          <w:tcPr>
            <w:tcW w:w="4938" w:type="dxa"/>
          </w:tcPr>
          <w:p w14:paraId="219DBDC2" w14:textId="77777777" w:rsidR="00BD4E98" w:rsidRPr="007C3CD4" w:rsidRDefault="00BD4E98" w:rsidP="00A04045">
            <w:pPr>
              <w:pStyle w:val="Tabelle"/>
              <w:rPr>
                <w:lang w:val="sr-Latn-RS"/>
              </w:rPr>
            </w:pPr>
          </w:p>
        </w:tc>
      </w:tr>
      <w:tr w:rsidR="00BD4E98" w:rsidRPr="007C3CD4" w14:paraId="6CD7AC2C" w14:textId="77777777" w:rsidTr="00BD4E98">
        <w:trPr>
          <w:trHeight w:val="20"/>
        </w:trPr>
        <w:tc>
          <w:tcPr>
            <w:tcW w:w="794" w:type="dxa"/>
            <w:hideMark/>
          </w:tcPr>
          <w:p w14:paraId="0E53BAE3" w14:textId="77777777" w:rsidR="00BD4E98" w:rsidRPr="007C3CD4" w:rsidRDefault="00BD4E98" w:rsidP="00A04045">
            <w:pPr>
              <w:pStyle w:val="Tabelle"/>
              <w:rPr>
                <w:lang w:val="sr-Latn-RS"/>
              </w:rPr>
            </w:pPr>
            <w:r w:rsidRPr="007C3CD4">
              <w:rPr>
                <w:lang w:val="sr-Latn-RS"/>
              </w:rPr>
              <w:t>8</w:t>
            </w:r>
          </w:p>
        </w:tc>
        <w:tc>
          <w:tcPr>
            <w:tcW w:w="3227" w:type="dxa"/>
            <w:hideMark/>
          </w:tcPr>
          <w:p w14:paraId="3D354884" w14:textId="20729EC3" w:rsidR="00BD4E98" w:rsidRPr="007C3CD4" w:rsidRDefault="00BD4E98" w:rsidP="00A04045">
            <w:pPr>
              <w:pStyle w:val="Tabelle"/>
              <w:rPr>
                <w:lang w:val="sr-Latn-RS"/>
              </w:rPr>
            </w:pPr>
            <w:r w:rsidRPr="007C3CD4">
              <w:rPr>
                <w:lang w:val="sr-Latn-RS"/>
              </w:rPr>
              <w:t>NPZP relevantni cilj</w:t>
            </w:r>
          </w:p>
        </w:tc>
        <w:tc>
          <w:tcPr>
            <w:tcW w:w="4938" w:type="dxa"/>
          </w:tcPr>
          <w:p w14:paraId="402BD6AE" w14:textId="77777777" w:rsidR="00BD4E98" w:rsidRPr="007C3CD4" w:rsidRDefault="00BD4E98" w:rsidP="00A04045">
            <w:pPr>
              <w:pStyle w:val="Tabelle"/>
              <w:rPr>
                <w:lang w:val="sr-Latn-RS"/>
              </w:rPr>
            </w:pPr>
          </w:p>
        </w:tc>
      </w:tr>
      <w:tr w:rsidR="00BD4E98" w:rsidRPr="007C3CD4" w14:paraId="340C37BD" w14:textId="77777777" w:rsidTr="00BD4E98">
        <w:trPr>
          <w:trHeight w:val="20"/>
        </w:trPr>
        <w:tc>
          <w:tcPr>
            <w:tcW w:w="794" w:type="dxa"/>
            <w:hideMark/>
          </w:tcPr>
          <w:p w14:paraId="28F50175" w14:textId="77777777" w:rsidR="00BD4E98" w:rsidRPr="007C3CD4" w:rsidRDefault="00BD4E98" w:rsidP="00A04045">
            <w:pPr>
              <w:pStyle w:val="Tabelle"/>
              <w:rPr>
                <w:lang w:val="sr-Latn-RS"/>
              </w:rPr>
            </w:pPr>
            <w:r w:rsidRPr="007C3CD4">
              <w:rPr>
                <w:lang w:val="sr-Latn-RS"/>
              </w:rPr>
              <w:t>9</w:t>
            </w:r>
          </w:p>
        </w:tc>
        <w:tc>
          <w:tcPr>
            <w:tcW w:w="3227" w:type="dxa"/>
            <w:hideMark/>
          </w:tcPr>
          <w:p w14:paraId="5A45A784" w14:textId="26E37972" w:rsidR="00BD4E98" w:rsidRPr="007C3CD4" w:rsidRDefault="00BD4E98" w:rsidP="00A04045">
            <w:pPr>
              <w:pStyle w:val="Tabelle"/>
              <w:rPr>
                <w:lang w:val="sr-Latn-RS"/>
              </w:rPr>
            </w:pPr>
            <w:r w:rsidRPr="007C3CD4">
              <w:rPr>
                <w:lang w:val="sr-Latn-RS"/>
              </w:rPr>
              <w:t>Metod prikupljanja podataka</w:t>
            </w:r>
          </w:p>
        </w:tc>
        <w:tc>
          <w:tcPr>
            <w:tcW w:w="4938" w:type="dxa"/>
          </w:tcPr>
          <w:p w14:paraId="3D384DC4" w14:textId="77777777" w:rsidR="00BD4E98" w:rsidRPr="007C3CD4" w:rsidRDefault="00BD4E98" w:rsidP="00A04045">
            <w:pPr>
              <w:pStyle w:val="Tabelle"/>
              <w:rPr>
                <w:lang w:val="sr-Latn-RS"/>
              </w:rPr>
            </w:pPr>
          </w:p>
        </w:tc>
      </w:tr>
      <w:tr w:rsidR="00BD4E98" w:rsidRPr="007C3CD4" w14:paraId="4D0B86B9" w14:textId="77777777" w:rsidTr="00BD4E98">
        <w:trPr>
          <w:trHeight w:val="20"/>
        </w:trPr>
        <w:tc>
          <w:tcPr>
            <w:tcW w:w="794" w:type="dxa"/>
            <w:hideMark/>
          </w:tcPr>
          <w:p w14:paraId="53C317D7" w14:textId="77777777" w:rsidR="00BD4E98" w:rsidRPr="007C3CD4" w:rsidRDefault="00BD4E98" w:rsidP="00A04045">
            <w:pPr>
              <w:pStyle w:val="Tabelle"/>
              <w:rPr>
                <w:lang w:val="sr-Latn-RS"/>
              </w:rPr>
            </w:pPr>
            <w:r w:rsidRPr="007C3CD4">
              <w:rPr>
                <w:lang w:val="sr-Latn-RS"/>
              </w:rPr>
              <w:t>10</w:t>
            </w:r>
          </w:p>
        </w:tc>
        <w:tc>
          <w:tcPr>
            <w:tcW w:w="3227" w:type="dxa"/>
            <w:hideMark/>
          </w:tcPr>
          <w:p w14:paraId="7E766633" w14:textId="65665083" w:rsidR="00BD4E98" w:rsidRPr="007C3CD4" w:rsidRDefault="00BD4E98" w:rsidP="00A04045">
            <w:pPr>
              <w:pStyle w:val="Tabelle"/>
              <w:rPr>
                <w:lang w:val="sr-Latn-RS"/>
              </w:rPr>
            </w:pPr>
            <w:r w:rsidRPr="007C3CD4">
              <w:rPr>
                <w:lang w:val="sr-Latn-RS"/>
              </w:rPr>
              <w:t>Uloge I odgo</w:t>
            </w:r>
            <w:r w:rsidR="007C3CD4">
              <w:rPr>
                <w:lang w:val="sr-Latn-RS"/>
              </w:rPr>
              <w:t>vo</w:t>
            </w:r>
            <w:r w:rsidRPr="007C3CD4">
              <w:rPr>
                <w:lang w:val="sr-Latn-RS"/>
              </w:rPr>
              <w:t>rnosti</w:t>
            </w:r>
          </w:p>
        </w:tc>
        <w:tc>
          <w:tcPr>
            <w:tcW w:w="4938" w:type="dxa"/>
          </w:tcPr>
          <w:p w14:paraId="1F3B9D3A" w14:textId="77777777" w:rsidR="00BD4E98" w:rsidRPr="007C3CD4" w:rsidRDefault="00BD4E98" w:rsidP="00A04045">
            <w:pPr>
              <w:pStyle w:val="Tabelle"/>
              <w:rPr>
                <w:lang w:val="sr-Latn-RS"/>
              </w:rPr>
            </w:pPr>
          </w:p>
        </w:tc>
      </w:tr>
      <w:tr w:rsidR="00BD4E98" w:rsidRPr="007C3CD4" w14:paraId="6A56BDFA" w14:textId="77777777" w:rsidTr="00BD4E98">
        <w:trPr>
          <w:trHeight w:val="20"/>
        </w:trPr>
        <w:tc>
          <w:tcPr>
            <w:tcW w:w="794" w:type="dxa"/>
            <w:hideMark/>
          </w:tcPr>
          <w:p w14:paraId="4E3C3A14" w14:textId="77777777" w:rsidR="00BD4E98" w:rsidRPr="007C3CD4" w:rsidRDefault="00BD4E98" w:rsidP="00A04045">
            <w:pPr>
              <w:pStyle w:val="Tabelle"/>
              <w:rPr>
                <w:lang w:val="sr-Latn-RS"/>
              </w:rPr>
            </w:pPr>
            <w:r w:rsidRPr="007C3CD4">
              <w:rPr>
                <w:lang w:val="sr-Latn-RS"/>
              </w:rPr>
              <w:t>11</w:t>
            </w:r>
          </w:p>
        </w:tc>
        <w:tc>
          <w:tcPr>
            <w:tcW w:w="3227" w:type="dxa"/>
            <w:hideMark/>
          </w:tcPr>
          <w:p w14:paraId="778CE70E" w14:textId="4A1FCBB9" w:rsidR="00BD4E98" w:rsidRPr="007C3CD4" w:rsidRDefault="00BD4E98" w:rsidP="00A04045">
            <w:pPr>
              <w:pStyle w:val="Tabelle"/>
              <w:rPr>
                <w:lang w:val="sr-Latn-RS"/>
              </w:rPr>
            </w:pPr>
            <w:r w:rsidRPr="007C3CD4">
              <w:rPr>
                <w:lang w:val="sr-Latn-RS"/>
              </w:rPr>
              <w:t>Vremenski okvir praćenja</w:t>
            </w:r>
          </w:p>
        </w:tc>
        <w:tc>
          <w:tcPr>
            <w:tcW w:w="4938" w:type="dxa"/>
          </w:tcPr>
          <w:p w14:paraId="73890376" w14:textId="77777777" w:rsidR="00BD4E98" w:rsidRPr="007C3CD4" w:rsidRDefault="00BD4E98" w:rsidP="00A04045">
            <w:pPr>
              <w:pStyle w:val="Tabelle"/>
              <w:rPr>
                <w:lang w:val="sr-Latn-RS"/>
              </w:rPr>
            </w:pPr>
          </w:p>
        </w:tc>
      </w:tr>
      <w:tr w:rsidR="00BD4E98" w:rsidRPr="007C3CD4" w14:paraId="0D8EB5D3" w14:textId="77777777" w:rsidTr="00BD4E98">
        <w:trPr>
          <w:trHeight w:val="20"/>
        </w:trPr>
        <w:tc>
          <w:tcPr>
            <w:tcW w:w="794" w:type="dxa"/>
            <w:hideMark/>
          </w:tcPr>
          <w:p w14:paraId="1CC30041" w14:textId="77777777" w:rsidR="00BD4E98" w:rsidRPr="007C3CD4" w:rsidRDefault="00BD4E98" w:rsidP="00A04045">
            <w:pPr>
              <w:pStyle w:val="Tabelle"/>
              <w:rPr>
                <w:lang w:val="sr-Latn-RS"/>
              </w:rPr>
            </w:pPr>
            <w:r w:rsidRPr="007C3CD4">
              <w:rPr>
                <w:lang w:val="sr-Latn-RS"/>
              </w:rPr>
              <w:t>12</w:t>
            </w:r>
          </w:p>
        </w:tc>
        <w:tc>
          <w:tcPr>
            <w:tcW w:w="3227" w:type="dxa"/>
            <w:hideMark/>
          </w:tcPr>
          <w:p w14:paraId="7FED8EAF" w14:textId="0B4ACF1F" w:rsidR="00BD4E98" w:rsidRPr="007C3CD4" w:rsidRDefault="00BD4E98" w:rsidP="00A04045">
            <w:pPr>
              <w:pStyle w:val="Tabelle"/>
              <w:rPr>
                <w:lang w:val="sr-Latn-RS"/>
              </w:rPr>
            </w:pPr>
            <w:r w:rsidRPr="007C3CD4">
              <w:rPr>
                <w:lang w:val="sr-Latn-RS"/>
              </w:rPr>
              <w:t>Problemi u agregaciji</w:t>
            </w:r>
          </w:p>
        </w:tc>
        <w:tc>
          <w:tcPr>
            <w:tcW w:w="4938" w:type="dxa"/>
          </w:tcPr>
          <w:p w14:paraId="5787BDF1" w14:textId="77777777" w:rsidR="00BD4E98" w:rsidRPr="007C3CD4" w:rsidRDefault="00BD4E98" w:rsidP="00A04045">
            <w:pPr>
              <w:pStyle w:val="Tabelle"/>
              <w:rPr>
                <w:lang w:val="sr-Latn-RS"/>
              </w:rPr>
            </w:pPr>
          </w:p>
        </w:tc>
      </w:tr>
      <w:tr w:rsidR="00BD4E98" w:rsidRPr="007C3CD4" w14:paraId="1A7E17E0" w14:textId="77777777" w:rsidTr="00BD4E98">
        <w:trPr>
          <w:trHeight w:val="20"/>
        </w:trPr>
        <w:tc>
          <w:tcPr>
            <w:tcW w:w="794" w:type="dxa"/>
          </w:tcPr>
          <w:p w14:paraId="36E20903" w14:textId="77777777" w:rsidR="00BD4E98" w:rsidRPr="007C3CD4" w:rsidRDefault="00BD4E98" w:rsidP="00A04045">
            <w:pPr>
              <w:pStyle w:val="Tabelle"/>
              <w:rPr>
                <w:lang w:val="sr-Latn-RS"/>
              </w:rPr>
            </w:pPr>
            <w:r w:rsidRPr="007C3CD4">
              <w:rPr>
                <w:lang w:val="sr-Latn-RS"/>
              </w:rPr>
              <w:t>13</w:t>
            </w:r>
          </w:p>
        </w:tc>
        <w:tc>
          <w:tcPr>
            <w:tcW w:w="3227" w:type="dxa"/>
          </w:tcPr>
          <w:p w14:paraId="18809C1F" w14:textId="5A68A80F" w:rsidR="00BD4E98" w:rsidRPr="007C3CD4" w:rsidRDefault="00BD4E98" w:rsidP="00A04045">
            <w:pPr>
              <w:pStyle w:val="Tabelle"/>
              <w:rPr>
                <w:lang w:val="sr-Latn-RS"/>
              </w:rPr>
            </w:pPr>
            <w:r w:rsidRPr="007C3CD4">
              <w:rPr>
                <w:lang w:val="sr-Latn-RS"/>
              </w:rPr>
              <w:t>Mere za ublažavanje problema u agregaciji</w:t>
            </w:r>
          </w:p>
        </w:tc>
        <w:tc>
          <w:tcPr>
            <w:tcW w:w="4938" w:type="dxa"/>
          </w:tcPr>
          <w:p w14:paraId="18F2178C" w14:textId="77777777" w:rsidR="00BD4E98" w:rsidRPr="007C3CD4" w:rsidRDefault="00BD4E98" w:rsidP="00A04045">
            <w:pPr>
              <w:pStyle w:val="Tabelle"/>
              <w:rPr>
                <w:lang w:val="sr-Latn-RS"/>
              </w:rPr>
            </w:pPr>
          </w:p>
        </w:tc>
      </w:tr>
      <w:tr w:rsidR="00BD4E98" w:rsidRPr="007C3CD4" w14:paraId="62A19D5D" w14:textId="77777777" w:rsidTr="00BD4E98">
        <w:trPr>
          <w:trHeight w:val="20"/>
        </w:trPr>
        <w:tc>
          <w:tcPr>
            <w:tcW w:w="794" w:type="dxa"/>
            <w:hideMark/>
          </w:tcPr>
          <w:p w14:paraId="7266A0D2" w14:textId="77777777" w:rsidR="00BD4E98" w:rsidRPr="007C3CD4" w:rsidRDefault="00BD4E98" w:rsidP="00A04045">
            <w:pPr>
              <w:pStyle w:val="Tabelle"/>
              <w:rPr>
                <w:lang w:val="sr-Latn-RS"/>
              </w:rPr>
            </w:pPr>
            <w:r w:rsidRPr="007C3CD4">
              <w:rPr>
                <w:lang w:val="sr-Latn-RS"/>
              </w:rPr>
              <w:t>14</w:t>
            </w:r>
          </w:p>
        </w:tc>
        <w:tc>
          <w:tcPr>
            <w:tcW w:w="3227" w:type="dxa"/>
            <w:hideMark/>
          </w:tcPr>
          <w:p w14:paraId="66349E2F" w14:textId="091F099D" w:rsidR="00BD4E98" w:rsidRPr="007C3CD4" w:rsidRDefault="00BD4E98" w:rsidP="00A04045">
            <w:pPr>
              <w:pStyle w:val="Tabelle"/>
              <w:rPr>
                <w:lang w:val="sr-Latn-RS"/>
              </w:rPr>
            </w:pPr>
            <w:r w:rsidRPr="007C3CD4">
              <w:rPr>
                <w:lang w:val="sr-Latn-RS"/>
              </w:rPr>
              <w:t>Izveštavanje</w:t>
            </w:r>
          </w:p>
        </w:tc>
        <w:tc>
          <w:tcPr>
            <w:tcW w:w="4938" w:type="dxa"/>
          </w:tcPr>
          <w:p w14:paraId="0BA561B2" w14:textId="77777777" w:rsidR="00BD4E98" w:rsidRPr="007C3CD4" w:rsidRDefault="00BD4E98" w:rsidP="00A04045">
            <w:pPr>
              <w:pStyle w:val="Tabelle"/>
              <w:rPr>
                <w:lang w:val="sr-Latn-RS"/>
              </w:rPr>
            </w:pPr>
          </w:p>
        </w:tc>
      </w:tr>
      <w:tr w:rsidR="00BD4E98" w:rsidRPr="007C3CD4" w14:paraId="56E19B32" w14:textId="77777777" w:rsidTr="00BD4E98">
        <w:trPr>
          <w:trHeight w:val="20"/>
        </w:trPr>
        <w:tc>
          <w:tcPr>
            <w:tcW w:w="794" w:type="dxa"/>
            <w:hideMark/>
          </w:tcPr>
          <w:p w14:paraId="6D1EDF5C" w14:textId="77777777" w:rsidR="00BD4E98" w:rsidRPr="007C3CD4" w:rsidRDefault="00BD4E98" w:rsidP="00A04045">
            <w:pPr>
              <w:pStyle w:val="Tabelle"/>
              <w:rPr>
                <w:lang w:val="sr-Latn-RS"/>
              </w:rPr>
            </w:pPr>
            <w:r w:rsidRPr="007C3CD4">
              <w:rPr>
                <w:lang w:val="sr-Latn-RS"/>
              </w:rPr>
              <w:t>15</w:t>
            </w:r>
          </w:p>
        </w:tc>
        <w:tc>
          <w:tcPr>
            <w:tcW w:w="3227" w:type="dxa"/>
            <w:hideMark/>
          </w:tcPr>
          <w:p w14:paraId="546BBFCF" w14:textId="75DAD3A7" w:rsidR="00BD4E98" w:rsidRPr="007C3CD4" w:rsidRDefault="00BD4E98" w:rsidP="00A04045">
            <w:pPr>
              <w:pStyle w:val="Tabelle"/>
              <w:rPr>
                <w:lang w:val="sr-Latn-RS"/>
              </w:rPr>
            </w:pPr>
            <w:r w:rsidRPr="007C3CD4">
              <w:rPr>
                <w:lang w:val="sr-Latn-RS"/>
              </w:rPr>
              <w:t>Reference</w:t>
            </w:r>
          </w:p>
        </w:tc>
        <w:tc>
          <w:tcPr>
            <w:tcW w:w="4938" w:type="dxa"/>
          </w:tcPr>
          <w:p w14:paraId="44AA5DE9" w14:textId="77777777" w:rsidR="00BD4E98" w:rsidRPr="007C3CD4" w:rsidRDefault="00BD4E98" w:rsidP="00A04045">
            <w:pPr>
              <w:pStyle w:val="Tabelle"/>
              <w:rPr>
                <w:lang w:val="sr-Latn-RS"/>
              </w:rPr>
            </w:pPr>
          </w:p>
        </w:tc>
      </w:tr>
      <w:tr w:rsidR="00BD4E98" w:rsidRPr="007C3CD4" w14:paraId="18DFA976" w14:textId="77777777" w:rsidTr="00BD4E98">
        <w:trPr>
          <w:trHeight w:val="20"/>
        </w:trPr>
        <w:tc>
          <w:tcPr>
            <w:tcW w:w="794" w:type="dxa"/>
            <w:hideMark/>
          </w:tcPr>
          <w:p w14:paraId="280BA80E" w14:textId="77777777" w:rsidR="00BD4E98" w:rsidRPr="007C3CD4" w:rsidRDefault="00BD4E98" w:rsidP="00A04045">
            <w:pPr>
              <w:pStyle w:val="Tabelle"/>
              <w:rPr>
                <w:lang w:val="sr-Latn-RS"/>
              </w:rPr>
            </w:pPr>
            <w:r w:rsidRPr="007C3CD4">
              <w:rPr>
                <w:lang w:val="sr-Latn-RS"/>
              </w:rPr>
              <w:t>16</w:t>
            </w:r>
          </w:p>
        </w:tc>
        <w:tc>
          <w:tcPr>
            <w:tcW w:w="3227" w:type="dxa"/>
            <w:hideMark/>
          </w:tcPr>
          <w:p w14:paraId="623AE139" w14:textId="56994CA8" w:rsidR="00BD4E98" w:rsidRPr="007C3CD4" w:rsidRDefault="00BD4E98" w:rsidP="00A04045">
            <w:pPr>
              <w:pStyle w:val="Tabelle"/>
              <w:rPr>
                <w:lang w:val="sr-Latn-RS"/>
              </w:rPr>
            </w:pPr>
            <w:r w:rsidRPr="007C3CD4">
              <w:rPr>
                <w:lang w:val="sr-Latn-RS"/>
              </w:rPr>
              <w:t>Komentari</w:t>
            </w:r>
          </w:p>
        </w:tc>
        <w:tc>
          <w:tcPr>
            <w:tcW w:w="4938" w:type="dxa"/>
          </w:tcPr>
          <w:p w14:paraId="07DF3422" w14:textId="77777777" w:rsidR="00BD4E98" w:rsidRPr="007C3CD4" w:rsidRDefault="00BD4E98" w:rsidP="00A04045">
            <w:pPr>
              <w:pStyle w:val="Tabelle"/>
              <w:rPr>
                <w:lang w:val="sr-Latn-RS"/>
              </w:rPr>
            </w:pPr>
          </w:p>
        </w:tc>
      </w:tr>
    </w:tbl>
    <w:p w14:paraId="5774D4AE" w14:textId="1059BBCB" w:rsidR="00BD4E98" w:rsidRPr="007C3CD4" w:rsidRDefault="00BD4E98" w:rsidP="00BD4E98">
      <w:pPr>
        <w:jc w:val="both"/>
        <w:rPr>
          <w:rFonts w:ascii="Arial" w:hAnsi="Arial" w:cs="Arial"/>
          <w:sz w:val="16"/>
          <w:szCs w:val="16"/>
          <w:lang w:eastAsia="de-DE"/>
        </w:rPr>
      </w:pPr>
      <w:r w:rsidRPr="007C3CD4">
        <w:rPr>
          <w:rFonts w:ascii="Arial" w:hAnsi="Arial" w:cs="Arial"/>
          <w:sz w:val="16"/>
          <w:szCs w:val="16"/>
          <w:lang w:eastAsia="de-DE"/>
        </w:rPr>
        <w:t>Izvor: Evaluator</w:t>
      </w:r>
    </w:p>
    <w:p w14:paraId="2CC0B1B9" w14:textId="77777777" w:rsidR="00BD4E98" w:rsidRDefault="00BD4E98" w:rsidP="00BD4E98">
      <w:pPr>
        <w:jc w:val="both"/>
        <w:rPr>
          <w:rFonts w:ascii="Arial" w:hAnsi="Arial" w:cs="Arial"/>
          <w:sz w:val="20"/>
          <w:szCs w:val="20"/>
          <w:lang w:eastAsia="de-DE"/>
        </w:rPr>
      </w:pPr>
    </w:p>
    <w:p w14:paraId="26E1BEE8" w14:textId="13A83B84" w:rsidR="00BD4E98" w:rsidRDefault="00BD4E98" w:rsidP="00BD4E98">
      <w:pPr>
        <w:jc w:val="both"/>
        <w:rPr>
          <w:rFonts w:ascii="Arial" w:hAnsi="Arial" w:cs="Arial"/>
          <w:sz w:val="20"/>
          <w:szCs w:val="20"/>
          <w:lang w:eastAsia="de-DE"/>
        </w:rPr>
      </w:pPr>
      <w:r w:rsidRPr="00BD4E98">
        <w:rPr>
          <w:rFonts w:ascii="Arial" w:hAnsi="Arial" w:cs="Arial"/>
          <w:sz w:val="20"/>
          <w:szCs w:val="20"/>
          <w:lang w:eastAsia="de-DE"/>
        </w:rPr>
        <w:t xml:space="preserve">Kreator politike treba da revidira niz različitih indikatora koji </w:t>
      </w:r>
      <w:r w:rsidR="007C3CD4" w:rsidRPr="00BD4E98">
        <w:rPr>
          <w:rFonts w:ascii="Arial" w:hAnsi="Arial" w:cs="Arial"/>
          <w:sz w:val="20"/>
          <w:szCs w:val="20"/>
          <w:lang w:eastAsia="de-DE"/>
        </w:rPr>
        <w:t>će</w:t>
      </w:r>
      <w:r w:rsidRPr="00BD4E98">
        <w:rPr>
          <w:rFonts w:ascii="Arial" w:hAnsi="Arial" w:cs="Arial"/>
          <w:sz w:val="20"/>
          <w:szCs w:val="20"/>
          <w:lang w:eastAsia="de-DE"/>
        </w:rPr>
        <w:t xml:space="preserve"> biti uključeni, dok FE predlaže da se uključ</w:t>
      </w:r>
      <w:r>
        <w:rPr>
          <w:rFonts w:ascii="Arial" w:hAnsi="Arial" w:cs="Arial"/>
          <w:sz w:val="20"/>
          <w:szCs w:val="20"/>
          <w:lang w:eastAsia="de-DE"/>
        </w:rPr>
        <w:t>e</w:t>
      </w:r>
      <w:r w:rsidRPr="00BD4E98">
        <w:rPr>
          <w:rFonts w:ascii="Arial" w:hAnsi="Arial" w:cs="Arial"/>
          <w:sz w:val="20"/>
          <w:szCs w:val="20"/>
          <w:lang w:eastAsia="de-DE"/>
        </w:rPr>
        <w:t xml:space="preserve"> </w:t>
      </w:r>
      <w:r w:rsidR="007C3CD4" w:rsidRPr="00BD4E98">
        <w:rPr>
          <w:rFonts w:ascii="Arial" w:hAnsi="Arial" w:cs="Arial"/>
          <w:sz w:val="20"/>
          <w:szCs w:val="20"/>
          <w:lang w:eastAsia="de-DE"/>
        </w:rPr>
        <w:t>sledeći</w:t>
      </w:r>
      <w:r w:rsidRPr="00BD4E98">
        <w:rPr>
          <w:rFonts w:ascii="Arial" w:hAnsi="Arial" w:cs="Arial"/>
          <w:sz w:val="20"/>
          <w:szCs w:val="20"/>
          <w:lang w:eastAsia="de-DE"/>
        </w:rPr>
        <w:t xml:space="preserve"> dodatni indikator</w:t>
      </w:r>
      <w:r>
        <w:rPr>
          <w:rFonts w:ascii="Arial" w:hAnsi="Arial" w:cs="Arial"/>
          <w:sz w:val="20"/>
          <w:szCs w:val="20"/>
          <w:lang w:eastAsia="de-DE"/>
        </w:rPr>
        <w:t>i</w:t>
      </w:r>
      <w:r w:rsidRPr="00BD4E98">
        <w:rPr>
          <w:rFonts w:ascii="Arial" w:hAnsi="Arial" w:cs="Arial"/>
          <w:sz w:val="20"/>
          <w:szCs w:val="20"/>
          <w:lang w:eastAsia="de-DE"/>
        </w:rPr>
        <w:t>:</w:t>
      </w:r>
    </w:p>
    <w:p w14:paraId="78454273" w14:textId="302F6FD3" w:rsidR="00BD4E98" w:rsidRPr="007C3CD4" w:rsidRDefault="00BD4E98" w:rsidP="00BD4E98">
      <w:pPr>
        <w:pStyle w:val="ListParagraph"/>
        <w:numPr>
          <w:ilvl w:val="1"/>
          <w:numId w:val="63"/>
        </w:numPr>
        <w:ind w:left="709"/>
        <w:jc w:val="both"/>
        <w:rPr>
          <w:rFonts w:ascii="Arial" w:hAnsi="Arial" w:cs="Arial"/>
          <w:sz w:val="20"/>
          <w:szCs w:val="20"/>
          <w:lang w:val="sr-Latn-RS" w:eastAsia="de-DE"/>
        </w:rPr>
      </w:pPr>
      <w:r w:rsidRPr="007C3CD4">
        <w:rPr>
          <w:rFonts w:ascii="Arial" w:hAnsi="Arial" w:cs="Arial"/>
          <w:sz w:val="20"/>
          <w:szCs w:val="20"/>
          <w:lang w:val="sr-Latn-RS" w:eastAsia="de-DE"/>
        </w:rPr>
        <w:t>Broj preventivnih savetodavnih poseta u skladu sa Zakonom o zaštiti potrošača</w:t>
      </w:r>
    </w:p>
    <w:p w14:paraId="14131E75" w14:textId="77777777" w:rsidR="00BD4E98" w:rsidRPr="007C3CD4" w:rsidRDefault="00BD4E98" w:rsidP="00BD4E98">
      <w:pPr>
        <w:pStyle w:val="ListParagraph"/>
        <w:numPr>
          <w:ilvl w:val="0"/>
          <w:numId w:val="47"/>
        </w:numPr>
        <w:jc w:val="both"/>
        <w:rPr>
          <w:rFonts w:ascii="Arial" w:hAnsi="Arial" w:cs="Arial"/>
          <w:sz w:val="20"/>
          <w:szCs w:val="20"/>
          <w:lang w:val="sr-Latn-RS" w:eastAsia="de-DE"/>
        </w:rPr>
      </w:pPr>
      <w:r w:rsidRPr="007C3CD4">
        <w:rPr>
          <w:rFonts w:ascii="Arial" w:hAnsi="Arial" w:cs="Arial"/>
          <w:sz w:val="20"/>
          <w:szCs w:val="20"/>
          <w:lang w:val="sr-Latn-RS" w:eastAsia="de-DE"/>
        </w:rPr>
        <w:t>Broj uspešno rešenih vansudskih postupaka</w:t>
      </w:r>
    </w:p>
    <w:p w14:paraId="3C84188A" w14:textId="77777777" w:rsidR="00BD4E98" w:rsidRPr="007C3CD4" w:rsidRDefault="00BD4E98" w:rsidP="00BD4E98">
      <w:pPr>
        <w:pStyle w:val="ListParagraph"/>
        <w:numPr>
          <w:ilvl w:val="0"/>
          <w:numId w:val="47"/>
        </w:numPr>
        <w:jc w:val="both"/>
        <w:rPr>
          <w:rFonts w:ascii="Arial" w:hAnsi="Arial" w:cs="Arial"/>
          <w:sz w:val="20"/>
          <w:szCs w:val="20"/>
          <w:lang w:val="sr-Latn-RS" w:eastAsia="de-DE"/>
        </w:rPr>
      </w:pPr>
      <w:r w:rsidRPr="007C3CD4">
        <w:rPr>
          <w:rFonts w:ascii="Arial" w:hAnsi="Arial" w:cs="Arial"/>
          <w:sz w:val="20"/>
          <w:szCs w:val="20"/>
          <w:lang w:val="sr-Latn-RS" w:eastAsia="de-DE"/>
        </w:rPr>
        <w:t>Broj obučenih državnih službenika za primenu standarda zaštite potrošača, na lokalnom nivou vlasti</w:t>
      </w:r>
    </w:p>
    <w:p w14:paraId="32AE3C27" w14:textId="77777777" w:rsidR="00BD4E98" w:rsidRPr="007C3CD4" w:rsidRDefault="00BD4E98" w:rsidP="00BD4E98">
      <w:pPr>
        <w:pStyle w:val="ListParagraph"/>
        <w:numPr>
          <w:ilvl w:val="0"/>
          <w:numId w:val="47"/>
        </w:numPr>
        <w:jc w:val="both"/>
        <w:rPr>
          <w:rFonts w:ascii="Arial" w:hAnsi="Arial" w:cs="Arial"/>
          <w:sz w:val="20"/>
          <w:szCs w:val="20"/>
          <w:lang w:val="sr-Latn-RS" w:eastAsia="de-DE"/>
        </w:rPr>
      </w:pPr>
      <w:r w:rsidRPr="007C3CD4">
        <w:rPr>
          <w:rFonts w:ascii="Arial" w:hAnsi="Arial" w:cs="Arial"/>
          <w:sz w:val="20"/>
          <w:szCs w:val="20"/>
          <w:lang w:val="sr-Latn-RS" w:eastAsia="de-DE"/>
        </w:rPr>
        <w:t>Broj civilnih društava (NVO) koja su uspostavila saradnju sa nacionalnim i lokalnim vlastima, u vezi sa zaštitom potrošača</w:t>
      </w:r>
    </w:p>
    <w:p w14:paraId="61466BB9" w14:textId="77777777" w:rsidR="00BD4E98" w:rsidRPr="007C3CD4" w:rsidRDefault="00BD4E98" w:rsidP="00BD4E98">
      <w:pPr>
        <w:pStyle w:val="ListParagraph"/>
        <w:numPr>
          <w:ilvl w:val="0"/>
          <w:numId w:val="47"/>
        </w:numPr>
        <w:jc w:val="both"/>
        <w:rPr>
          <w:rFonts w:ascii="Arial" w:hAnsi="Arial" w:cs="Arial"/>
          <w:sz w:val="20"/>
          <w:szCs w:val="20"/>
          <w:lang w:val="sr-Latn-RS" w:eastAsia="de-DE"/>
        </w:rPr>
      </w:pPr>
      <w:r w:rsidRPr="007C3CD4">
        <w:rPr>
          <w:rFonts w:ascii="Arial" w:hAnsi="Arial" w:cs="Arial"/>
          <w:sz w:val="20"/>
          <w:szCs w:val="20"/>
          <w:lang w:val="sr-Latn-RS" w:eastAsia="de-DE"/>
        </w:rPr>
        <w:t>Broj unosa u centralni IT sistem za zaštitu potrošača</w:t>
      </w:r>
    </w:p>
    <w:p w14:paraId="659F83F4" w14:textId="77777777" w:rsidR="00BD4E98" w:rsidRPr="007C3CD4" w:rsidRDefault="00BD4E98" w:rsidP="00BD4E98">
      <w:pPr>
        <w:pStyle w:val="ListParagraph"/>
        <w:numPr>
          <w:ilvl w:val="0"/>
          <w:numId w:val="47"/>
        </w:numPr>
        <w:jc w:val="both"/>
        <w:rPr>
          <w:rFonts w:ascii="Arial" w:hAnsi="Arial" w:cs="Arial"/>
          <w:sz w:val="20"/>
          <w:szCs w:val="20"/>
          <w:lang w:val="sr-Latn-RS" w:eastAsia="de-DE"/>
        </w:rPr>
      </w:pPr>
      <w:r w:rsidRPr="007C3CD4">
        <w:rPr>
          <w:rFonts w:ascii="Arial" w:hAnsi="Arial" w:cs="Arial"/>
          <w:sz w:val="20"/>
          <w:szCs w:val="20"/>
          <w:lang w:val="sr-Latn-RS" w:eastAsia="de-DE"/>
        </w:rPr>
        <w:t>Broj građana obuhvaćenih informativnim kampanjama o zaštiti potrošača</w:t>
      </w:r>
    </w:p>
    <w:p w14:paraId="59EF8515" w14:textId="77777777" w:rsidR="007C3CD4" w:rsidRDefault="007C3CD4" w:rsidP="007C3CD4">
      <w:pPr>
        <w:jc w:val="both"/>
        <w:rPr>
          <w:rFonts w:ascii="Arial" w:hAnsi="Arial" w:cs="Arial"/>
          <w:sz w:val="20"/>
          <w:szCs w:val="20"/>
          <w:lang w:eastAsia="de-DE"/>
        </w:rPr>
      </w:pPr>
    </w:p>
    <w:p w14:paraId="3A92A87B" w14:textId="53CC3CD2" w:rsidR="007C3CD4" w:rsidRPr="007C3CD4" w:rsidRDefault="007C3CD4" w:rsidP="007C3CD4">
      <w:pPr>
        <w:jc w:val="both"/>
        <w:rPr>
          <w:rFonts w:ascii="Arial" w:hAnsi="Arial" w:cs="Arial"/>
          <w:sz w:val="20"/>
          <w:szCs w:val="20"/>
          <w:lang w:eastAsia="de-DE"/>
        </w:rPr>
      </w:pPr>
      <w:r w:rsidRPr="007C3CD4">
        <w:rPr>
          <w:rFonts w:ascii="Arial" w:hAnsi="Arial" w:cs="Arial"/>
          <w:sz w:val="20"/>
          <w:szCs w:val="20"/>
          <w:lang w:eastAsia="de-DE"/>
        </w:rPr>
        <w:t xml:space="preserve">Za svaki indikator je ključno odrediti početnu vrednost i </w:t>
      </w:r>
      <w:r>
        <w:rPr>
          <w:rFonts w:ascii="Arial" w:hAnsi="Arial" w:cs="Arial"/>
          <w:sz w:val="20"/>
          <w:szCs w:val="20"/>
          <w:lang w:eastAsia="de-DE"/>
        </w:rPr>
        <w:t>metode prikupljanja podataka</w:t>
      </w:r>
      <w:r w:rsidRPr="007C3CD4">
        <w:rPr>
          <w:rFonts w:ascii="Arial" w:hAnsi="Arial" w:cs="Arial"/>
          <w:sz w:val="20"/>
          <w:szCs w:val="20"/>
          <w:lang w:eastAsia="de-DE"/>
        </w:rPr>
        <w:t xml:space="preserve"> koj</w:t>
      </w:r>
      <w:r>
        <w:rPr>
          <w:rFonts w:ascii="Arial" w:hAnsi="Arial" w:cs="Arial"/>
          <w:sz w:val="20"/>
          <w:szCs w:val="20"/>
          <w:lang w:eastAsia="de-DE"/>
        </w:rPr>
        <w:t>e</w:t>
      </w:r>
      <w:r w:rsidRPr="007C3CD4">
        <w:rPr>
          <w:rFonts w:ascii="Arial" w:hAnsi="Arial" w:cs="Arial"/>
          <w:sz w:val="20"/>
          <w:szCs w:val="20"/>
          <w:lang w:eastAsia="de-DE"/>
        </w:rPr>
        <w:t xml:space="preserve"> treba</w:t>
      </w:r>
      <w:r>
        <w:rPr>
          <w:rFonts w:ascii="Arial" w:hAnsi="Arial" w:cs="Arial"/>
          <w:sz w:val="20"/>
          <w:szCs w:val="20"/>
          <w:lang w:eastAsia="de-DE"/>
        </w:rPr>
        <w:t xml:space="preserve"> primeniti</w:t>
      </w:r>
      <w:r w:rsidRPr="007C3CD4">
        <w:rPr>
          <w:rFonts w:ascii="Arial" w:hAnsi="Arial" w:cs="Arial"/>
          <w:sz w:val="20"/>
          <w:szCs w:val="20"/>
          <w:lang w:eastAsia="de-DE"/>
        </w:rPr>
        <w:t xml:space="preserve"> kako bi se procenil</w:t>
      </w:r>
      <w:r>
        <w:rPr>
          <w:rFonts w:ascii="Arial" w:hAnsi="Arial" w:cs="Arial"/>
          <w:sz w:val="20"/>
          <w:szCs w:val="20"/>
          <w:lang w:eastAsia="de-DE"/>
        </w:rPr>
        <w:t>e srednje i ciljane vrednosti indikatora</w:t>
      </w:r>
      <w:r w:rsidRPr="007C3CD4">
        <w:rPr>
          <w:rFonts w:ascii="Arial" w:hAnsi="Arial" w:cs="Arial"/>
          <w:sz w:val="20"/>
          <w:szCs w:val="20"/>
          <w:lang w:eastAsia="de-DE"/>
        </w:rPr>
        <w:t>. Delegiranje uloga i odgovornosti za praćenje indikatora učinka takođe treba jasno definisati.</w:t>
      </w:r>
    </w:p>
    <w:p w14:paraId="33960920" w14:textId="77777777" w:rsidR="00BD4E98" w:rsidRDefault="00BD4E98" w:rsidP="00BD4E98">
      <w:pPr>
        <w:jc w:val="both"/>
        <w:rPr>
          <w:rFonts w:ascii="Arial" w:hAnsi="Arial" w:cs="Arial"/>
          <w:sz w:val="20"/>
          <w:szCs w:val="20"/>
          <w:lang w:eastAsia="de-DE"/>
        </w:rPr>
      </w:pPr>
    </w:p>
    <w:p w14:paraId="1DE8D02B" w14:textId="77777777" w:rsidR="00BD4E98" w:rsidRPr="00905010" w:rsidRDefault="00BD4E98" w:rsidP="00BD4E98">
      <w:pPr>
        <w:jc w:val="both"/>
        <w:rPr>
          <w:rFonts w:ascii="Arial" w:hAnsi="Arial" w:cs="Arial"/>
          <w:b/>
          <w:bCs/>
          <w:i/>
          <w:iCs/>
          <w:sz w:val="20"/>
          <w:szCs w:val="20"/>
          <w:lang w:eastAsia="de-DE"/>
        </w:rPr>
      </w:pPr>
      <w:r w:rsidRPr="00905010">
        <w:rPr>
          <w:rFonts w:ascii="Arial" w:hAnsi="Arial" w:cs="Arial"/>
          <w:b/>
          <w:bCs/>
          <w:i/>
          <w:iCs/>
          <w:sz w:val="20"/>
          <w:szCs w:val="20"/>
          <w:lang w:eastAsia="de-DE"/>
        </w:rPr>
        <w:t>Preporuka 2. Razvoj komunikacione strategije</w:t>
      </w:r>
    </w:p>
    <w:p w14:paraId="0786B64D" w14:textId="2BE84D98" w:rsidR="00BD4E98" w:rsidRPr="00B213CF" w:rsidRDefault="00BD4E98" w:rsidP="00BD4E98">
      <w:pPr>
        <w:jc w:val="both"/>
        <w:rPr>
          <w:rFonts w:ascii="Arial" w:hAnsi="Arial" w:cs="Arial"/>
          <w:sz w:val="20"/>
          <w:szCs w:val="20"/>
          <w:lang w:eastAsia="de-DE"/>
        </w:rPr>
      </w:pPr>
      <w:r>
        <w:rPr>
          <w:rFonts w:ascii="Arial" w:hAnsi="Arial" w:cs="Arial"/>
          <w:sz w:val="20"/>
          <w:szCs w:val="20"/>
          <w:lang w:eastAsia="de-DE"/>
        </w:rPr>
        <w:t>Evaluacija je zaključila</w:t>
      </w:r>
      <w:r w:rsidRPr="00B213CF">
        <w:rPr>
          <w:rFonts w:ascii="Arial" w:hAnsi="Arial" w:cs="Arial"/>
          <w:sz w:val="20"/>
          <w:szCs w:val="20"/>
          <w:lang w:eastAsia="de-DE"/>
        </w:rPr>
        <w:t xml:space="preserve"> da je komunikacija između različitih </w:t>
      </w:r>
      <w:proofErr w:type="spellStart"/>
      <w:r w:rsidRPr="00B213CF">
        <w:rPr>
          <w:rFonts w:ascii="Arial" w:hAnsi="Arial" w:cs="Arial"/>
          <w:sz w:val="20"/>
          <w:szCs w:val="20"/>
          <w:lang w:eastAsia="de-DE"/>
        </w:rPr>
        <w:t>implementacionih</w:t>
      </w:r>
      <w:proofErr w:type="spellEnd"/>
      <w:r w:rsidRPr="00B213CF">
        <w:rPr>
          <w:rFonts w:ascii="Arial" w:hAnsi="Arial" w:cs="Arial"/>
          <w:sz w:val="20"/>
          <w:szCs w:val="20"/>
          <w:lang w:eastAsia="de-DE"/>
        </w:rPr>
        <w:t xml:space="preserve"> partnera bila više nego adekvatna i da je </w:t>
      </w:r>
      <w:r w:rsidR="007C3CD4">
        <w:rPr>
          <w:rFonts w:ascii="Arial" w:hAnsi="Arial" w:cs="Arial"/>
          <w:sz w:val="20"/>
          <w:szCs w:val="20"/>
          <w:lang w:eastAsia="de-DE"/>
        </w:rPr>
        <w:t>SZP</w:t>
      </w:r>
      <w:r w:rsidRPr="00B213CF">
        <w:rPr>
          <w:rFonts w:ascii="Arial" w:hAnsi="Arial" w:cs="Arial"/>
          <w:sz w:val="20"/>
          <w:szCs w:val="20"/>
          <w:lang w:eastAsia="de-DE"/>
        </w:rPr>
        <w:t xml:space="preserve"> imao ključnu ulogu u koordinaciji </w:t>
      </w:r>
      <w:r>
        <w:rPr>
          <w:rFonts w:ascii="Arial" w:hAnsi="Arial" w:cs="Arial"/>
          <w:sz w:val="20"/>
          <w:szCs w:val="20"/>
          <w:lang w:eastAsia="de-DE"/>
        </w:rPr>
        <w:t>Programa</w:t>
      </w:r>
      <w:r w:rsidRPr="00B213CF">
        <w:rPr>
          <w:rFonts w:ascii="Arial" w:hAnsi="Arial" w:cs="Arial"/>
          <w:sz w:val="20"/>
          <w:szCs w:val="20"/>
          <w:lang w:eastAsia="de-DE"/>
        </w:rPr>
        <w:t>. S</w:t>
      </w:r>
      <w:r>
        <w:rPr>
          <w:rFonts w:ascii="Arial" w:hAnsi="Arial" w:cs="Arial"/>
          <w:sz w:val="20"/>
          <w:szCs w:val="20"/>
          <w:lang w:eastAsia="de-DE"/>
        </w:rPr>
        <w:t>a</w:t>
      </w:r>
      <w:r w:rsidRPr="00B213CF">
        <w:rPr>
          <w:rFonts w:ascii="Arial" w:hAnsi="Arial" w:cs="Arial"/>
          <w:sz w:val="20"/>
          <w:szCs w:val="20"/>
          <w:lang w:eastAsia="de-DE"/>
        </w:rPr>
        <w:t xml:space="preserve"> druge strane, </w:t>
      </w:r>
      <w:r>
        <w:rPr>
          <w:rFonts w:ascii="Arial" w:hAnsi="Arial" w:cs="Arial"/>
          <w:sz w:val="20"/>
          <w:szCs w:val="20"/>
          <w:lang w:eastAsia="de-DE"/>
        </w:rPr>
        <w:t>takođe je zaključeno</w:t>
      </w:r>
      <w:r w:rsidRPr="00B213CF">
        <w:rPr>
          <w:rFonts w:ascii="Arial" w:hAnsi="Arial" w:cs="Arial"/>
          <w:sz w:val="20"/>
          <w:szCs w:val="20"/>
          <w:lang w:eastAsia="de-DE"/>
        </w:rPr>
        <w:t xml:space="preserve"> da postoji praznina u komunikaciji sa drugim zainteresovanim stranama, uključujući lokalne samouprave, civilno društvo, donatorsku zajednicu i građane, dok je zbog tekućih problema učinak </w:t>
      </w:r>
      <w:proofErr w:type="spellStart"/>
      <w:r>
        <w:rPr>
          <w:rFonts w:ascii="Arial" w:hAnsi="Arial" w:cs="Arial"/>
          <w:sz w:val="20"/>
          <w:szCs w:val="20"/>
          <w:lang w:eastAsia="de-DE"/>
        </w:rPr>
        <w:t>Savjeta</w:t>
      </w:r>
      <w:proofErr w:type="spellEnd"/>
      <w:r w:rsidRPr="00B213CF">
        <w:rPr>
          <w:rFonts w:ascii="Arial" w:hAnsi="Arial" w:cs="Arial"/>
          <w:sz w:val="20"/>
          <w:szCs w:val="20"/>
          <w:lang w:eastAsia="de-DE"/>
        </w:rPr>
        <w:t xml:space="preserve"> pod značajnim rizikom.</w:t>
      </w:r>
    </w:p>
    <w:p w14:paraId="560C4FAF" w14:textId="77777777" w:rsidR="00BD4E98" w:rsidRPr="00B213CF" w:rsidRDefault="00BD4E98" w:rsidP="00BD4E98">
      <w:pPr>
        <w:jc w:val="both"/>
        <w:rPr>
          <w:rFonts w:ascii="Arial" w:hAnsi="Arial" w:cs="Arial"/>
          <w:sz w:val="20"/>
          <w:szCs w:val="20"/>
          <w:lang w:eastAsia="de-DE"/>
        </w:rPr>
      </w:pPr>
      <w:r w:rsidRPr="00B213CF">
        <w:rPr>
          <w:rFonts w:ascii="Arial" w:hAnsi="Arial" w:cs="Arial"/>
          <w:sz w:val="20"/>
          <w:szCs w:val="20"/>
          <w:lang w:eastAsia="de-DE"/>
        </w:rPr>
        <w:t xml:space="preserve">Razvojem komunikacione strategije kao sastavnog dela budućeg </w:t>
      </w:r>
      <w:r>
        <w:rPr>
          <w:rFonts w:ascii="Arial" w:hAnsi="Arial" w:cs="Arial"/>
          <w:sz w:val="20"/>
          <w:szCs w:val="20"/>
          <w:lang w:eastAsia="de-DE"/>
        </w:rPr>
        <w:t>Programa</w:t>
      </w:r>
      <w:r w:rsidRPr="00B213CF">
        <w:rPr>
          <w:rFonts w:ascii="Arial" w:hAnsi="Arial" w:cs="Arial"/>
          <w:sz w:val="20"/>
          <w:szCs w:val="20"/>
          <w:lang w:eastAsia="de-DE"/>
        </w:rPr>
        <w:t xml:space="preserve">, kreatori politika bi se posvetili kontinuiranim naporima komunikacije potreba i aktivnosti širem krugu zainteresovanih strana, uključujući donatorsku zajednicu, kao sredstvo za dobijanje dodatnih sredstava za sprovođenje </w:t>
      </w:r>
      <w:r>
        <w:rPr>
          <w:rFonts w:ascii="Arial" w:hAnsi="Arial" w:cs="Arial"/>
          <w:sz w:val="20"/>
          <w:szCs w:val="20"/>
          <w:lang w:eastAsia="de-DE"/>
        </w:rPr>
        <w:t>Programa</w:t>
      </w:r>
      <w:r w:rsidRPr="00B213CF">
        <w:rPr>
          <w:rFonts w:ascii="Arial" w:hAnsi="Arial" w:cs="Arial"/>
          <w:sz w:val="20"/>
          <w:szCs w:val="20"/>
          <w:lang w:eastAsia="de-DE"/>
        </w:rPr>
        <w:t>. Komunikaciona strategija je osmišljena u obliku akcionog plana, sa komunikacionim aktivnostima, odgovornim akterima, namenskim budžetom, indikatorima rezultata i vremenskim okvirom. Komunikaciona strategija treba da sadrži:</w:t>
      </w:r>
    </w:p>
    <w:p w14:paraId="3159D0C1" w14:textId="77777777" w:rsidR="00BD4E98" w:rsidRPr="009B64EB" w:rsidRDefault="00BD4E98" w:rsidP="00BD4E98">
      <w:pPr>
        <w:pStyle w:val="ListParagraph"/>
        <w:numPr>
          <w:ilvl w:val="0"/>
          <w:numId w:val="48"/>
        </w:numPr>
        <w:jc w:val="both"/>
        <w:rPr>
          <w:rFonts w:ascii="Arial" w:hAnsi="Arial" w:cs="Arial"/>
          <w:sz w:val="20"/>
          <w:szCs w:val="20"/>
          <w:lang w:val="sr-Latn-RS" w:eastAsia="de-DE"/>
        </w:rPr>
      </w:pPr>
      <w:r w:rsidRPr="009B64EB">
        <w:rPr>
          <w:rFonts w:ascii="Arial" w:hAnsi="Arial" w:cs="Arial"/>
          <w:sz w:val="20"/>
          <w:szCs w:val="20"/>
          <w:lang w:val="sr-Latn-RS" w:eastAsia="de-DE"/>
        </w:rPr>
        <w:t>Interne komunikacione aktivnosti</w:t>
      </w:r>
    </w:p>
    <w:p w14:paraId="5DAA5055" w14:textId="77777777" w:rsidR="00BD4E98" w:rsidRPr="009B64EB" w:rsidRDefault="00BD4E98" w:rsidP="00BD4E98">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lastRenderedPageBreak/>
        <w:t xml:space="preserve">Zadatke koje treba da obavljaju glavni </w:t>
      </w:r>
      <w:proofErr w:type="spellStart"/>
      <w:r w:rsidRPr="009B64EB">
        <w:rPr>
          <w:rFonts w:ascii="Arial" w:hAnsi="Arial" w:cs="Arial"/>
          <w:sz w:val="20"/>
          <w:szCs w:val="20"/>
          <w:lang w:val="sr-Latn-RS" w:eastAsia="de-DE"/>
        </w:rPr>
        <w:t>sprovedbeni</w:t>
      </w:r>
      <w:proofErr w:type="spellEnd"/>
      <w:r w:rsidRPr="009B64EB">
        <w:rPr>
          <w:rFonts w:ascii="Arial" w:hAnsi="Arial" w:cs="Arial"/>
          <w:sz w:val="20"/>
          <w:szCs w:val="20"/>
          <w:lang w:val="sr-Latn-RS" w:eastAsia="de-DE"/>
        </w:rPr>
        <w:t xml:space="preserve"> akteri Programa, uključujući M</w:t>
      </w:r>
      <w:r>
        <w:rPr>
          <w:rFonts w:ascii="Arial" w:hAnsi="Arial" w:cs="Arial"/>
          <w:sz w:val="20"/>
          <w:szCs w:val="20"/>
          <w:lang w:val="sr-Latn-RS" w:eastAsia="de-DE"/>
        </w:rPr>
        <w:t>inistarstvo ekonomskog razvoja</w:t>
      </w:r>
      <w:r w:rsidRPr="009B64EB">
        <w:rPr>
          <w:rFonts w:ascii="Arial" w:hAnsi="Arial" w:cs="Arial"/>
          <w:sz w:val="20"/>
          <w:szCs w:val="20"/>
          <w:lang w:val="sr-Latn-RS" w:eastAsia="de-DE"/>
        </w:rPr>
        <w:t xml:space="preserve"> i </w:t>
      </w:r>
      <w:r>
        <w:rPr>
          <w:rFonts w:ascii="Arial" w:hAnsi="Arial" w:cs="Arial"/>
          <w:sz w:val="20"/>
          <w:szCs w:val="20"/>
          <w:lang w:val="sr-Latn-RS" w:eastAsia="de-DE"/>
        </w:rPr>
        <w:t xml:space="preserve">članovi </w:t>
      </w:r>
      <w:proofErr w:type="spellStart"/>
      <w:r>
        <w:rPr>
          <w:rFonts w:ascii="Arial" w:hAnsi="Arial" w:cs="Arial"/>
          <w:sz w:val="20"/>
          <w:szCs w:val="20"/>
          <w:lang w:val="sr-Latn-RS" w:eastAsia="de-DE"/>
        </w:rPr>
        <w:t>Savjeta</w:t>
      </w:r>
      <w:proofErr w:type="spellEnd"/>
      <w:r w:rsidRPr="009B64EB">
        <w:rPr>
          <w:rFonts w:ascii="Arial" w:hAnsi="Arial" w:cs="Arial"/>
          <w:sz w:val="20"/>
          <w:szCs w:val="20"/>
          <w:lang w:val="sr-Latn-RS" w:eastAsia="de-DE"/>
        </w:rPr>
        <w:t>,</w:t>
      </w:r>
      <w:r>
        <w:rPr>
          <w:rFonts w:ascii="Arial" w:hAnsi="Arial" w:cs="Arial"/>
          <w:sz w:val="20"/>
          <w:szCs w:val="20"/>
          <w:lang w:val="sr-Latn-RS" w:eastAsia="de-DE"/>
        </w:rPr>
        <w:t xml:space="preserve"> a</w:t>
      </w:r>
      <w:r w:rsidRPr="009B64EB">
        <w:rPr>
          <w:rFonts w:ascii="Arial" w:hAnsi="Arial" w:cs="Arial"/>
          <w:sz w:val="20"/>
          <w:szCs w:val="20"/>
          <w:lang w:val="sr-Latn-RS" w:eastAsia="de-DE"/>
        </w:rPr>
        <w:t xml:space="preserve"> u vezi sa informisanjem, koordinacijom i praćenjem </w:t>
      </w:r>
      <w:r>
        <w:rPr>
          <w:rFonts w:ascii="Arial" w:hAnsi="Arial" w:cs="Arial"/>
          <w:sz w:val="20"/>
          <w:szCs w:val="20"/>
          <w:lang w:val="sr-Latn-RS" w:eastAsia="de-DE"/>
        </w:rPr>
        <w:t>Programa.</w:t>
      </w:r>
    </w:p>
    <w:p w14:paraId="69D8AD02" w14:textId="77777777" w:rsidR="00BD4E98" w:rsidRPr="009B64EB" w:rsidRDefault="00BD4E98" w:rsidP="00BD4E98">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Aktivnosti </w:t>
      </w:r>
      <w:proofErr w:type="spellStart"/>
      <w:r w:rsidRPr="009B64EB">
        <w:rPr>
          <w:rFonts w:ascii="Arial" w:hAnsi="Arial" w:cs="Arial"/>
          <w:sz w:val="20"/>
          <w:szCs w:val="20"/>
          <w:lang w:val="sr-Latn-RS" w:eastAsia="de-DE"/>
        </w:rPr>
        <w:t>će</w:t>
      </w:r>
      <w:proofErr w:type="spellEnd"/>
      <w:r w:rsidRPr="009B64EB">
        <w:rPr>
          <w:rFonts w:ascii="Arial" w:hAnsi="Arial" w:cs="Arial"/>
          <w:sz w:val="20"/>
          <w:szCs w:val="20"/>
          <w:lang w:val="sr-Latn-RS" w:eastAsia="de-DE"/>
        </w:rPr>
        <w:t xml:space="preserve"> morati da uključuju zadatke prema </w:t>
      </w:r>
      <w:proofErr w:type="spellStart"/>
      <w:r w:rsidRPr="009B64EB">
        <w:rPr>
          <w:rFonts w:ascii="Arial" w:hAnsi="Arial" w:cs="Arial"/>
          <w:sz w:val="20"/>
          <w:szCs w:val="20"/>
          <w:lang w:val="sr-Latn-RS" w:eastAsia="de-DE"/>
        </w:rPr>
        <w:t>predviđenom</w:t>
      </w:r>
      <w:proofErr w:type="spellEnd"/>
      <w:r w:rsidRPr="009B64EB">
        <w:rPr>
          <w:rFonts w:ascii="Arial" w:hAnsi="Arial" w:cs="Arial"/>
          <w:sz w:val="20"/>
          <w:szCs w:val="20"/>
          <w:lang w:val="sr-Latn-RS" w:eastAsia="de-DE"/>
        </w:rPr>
        <w:t xml:space="preserve"> vremenskom okviru za </w:t>
      </w:r>
      <w:proofErr w:type="spellStart"/>
      <w:r w:rsidRPr="009B64EB">
        <w:rPr>
          <w:rFonts w:ascii="Arial" w:hAnsi="Arial" w:cs="Arial"/>
          <w:sz w:val="20"/>
          <w:szCs w:val="20"/>
          <w:lang w:val="sr-Latn-RS" w:eastAsia="de-DE"/>
        </w:rPr>
        <w:t>praćenje</w:t>
      </w:r>
      <w:proofErr w:type="spellEnd"/>
      <w:r w:rsidRPr="009B64EB">
        <w:rPr>
          <w:rFonts w:ascii="Arial" w:hAnsi="Arial" w:cs="Arial"/>
          <w:sz w:val="20"/>
          <w:szCs w:val="20"/>
          <w:lang w:val="sr-Latn-RS" w:eastAsia="de-DE"/>
        </w:rPr>
        <w:t xml:space="preserve"> i evaluaciju</w:t>
      </w:r>
      <w:r>
        <w:rPr>
          <w:rFonts w:ascii="Arial" w:hAnsi="Arial" w:cs="Arial"/>
          <w:sz w:val="20"/>
          <w:szCs w:val="20"/>
          <w:lang w:val="sr-Latn-RS" w:eastAsia="de-DE"/>
        </w:rPr>
        <w:t>, a u skladu sa okvirom za monitoring i evaluaciju</w:t>
      </w:r>
      <w:r w:rsidRPr="009B64EB">
        <w:rPr>
          <w:rFonts w:ascii="Arial" w:hAnsi="Arial" w:cs="Arial"/>
          <w:sz w:val="20"/>
          <w:szCs w:val="20"/>
          <w:lang w:val="sr-Latn-RS" w:eastAsia="de-DE"/>
        </w:rPr>
        <w:t>.</w:t>
      </w:r>
    </w:p>
    <w:p w14:paraId="387227A7" w14:textId="77777777" w:rsidR="00BD4E98" w:rsidRPr="009B64EB" w:rsidRDefault="00BD4E98" w:rsidP="00BD4E98">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Aktivnosti mogu da uključuju sastanke sa relevantnim javnim akterima, fokus grupe, izveštavanje ili druge aktivnosti sa ciljem bolje koordinacije i komunikacije, u skladu sa ciljevima </w:t>
      </w:r>
      <w:r>
        <w:rPr>
          <w:rFonts w:ascii="Arial" w:hAnsi="Arial" w:cs="Arial"/>
          <w:sz w:val="20"/>
          <w:szCs w:val="20"/>
          <w:lang w:val="sr-Latn-RS" w:eastAsia="de-DE"/>
        </w:rPr>
        <w:t>Programa</w:t>
      </w:r>
      <w:r w:rsidRPr="009B64EB">
        <w:rPr>
          <w:rFonts w:ascii="Arial" w:hAnsi="Arial" w:cs="Arial"/>
          <w:sz w:val="20"/>
          <w:szCs w:val="20"/>
          <w:lang w:val="sr-Latn-RS" w:eastAsia="de-DE"/>
        </w:rPr>
        <w:t>.</w:t>
      </w:r>
    </w:p>
    <w:p w14:paraId="0E680A29" w14:textId="77777777" w:rsidR="00BD4E98" w:rsidRDefault="00BD4E98" w:rsidP="00BD4E98">
      <w:pPr>
        <w:jc w:val="both"/>
        <w:rPr>
          <w:rFonts w:ascii="Arial" w:hAnsi="Arial" w:cs="Arial"/>
          <w:sz w:val="20"/>
          <w:szCs w:val="20"/>
          <w:lang w:eastAsia="de-DE"/>
        </w:rPr>
      </w:pPr>
    </w:p>
    <w:p w14:paraId="485A8E3A" w14:textId="77777777" w:rsidR="00BD4E98" w:rsidRPr="009B64EB" w:rsidRDefault="00BD4E98" w:rsidP="00BD4E98">
      <w:pPr>
        <w:pStyle w:val="ListParagraph"/>
        <w:numPr>
          <w:ilvl w:val="0"/>
          <w:numId w:val="48"/>
        </w:numPr>
        <w:jc w:val="both"/>
        <w:rPr>
          <w:rFonts w:ascii="Arial" w:hAnsi="Arial" w:cs="Arial"/>
          <w:sz w:val="20"/>
          <w:szCs w:val="20"/>
          <w:lang w:eastAsia="de-DE"/>
        </w:rPr>
      </w:pPr>
      <w:proofErr w:type="spellStart"/>
      <w:r w:rsidRPr="009B64EB">
        <w:rPr>
          <w:rFonts w:ascii="Arial" w:hAnsi="Arial" w:cs="Arial"/>
          <w:sz w:val="20"/>
          <w:szCs w:val="20"/>
          <w:lang w:eastAsia="de-DE"/>
        </w:rPr>
        <w:t>Aktivnosti</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eksterne</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komunikacije</w:t>
      </w:r>
      <w:proofErr w:type="spellEnd"/>
    </w:p>
    <w:p w14:paraId="550F1DE9" w14:textId="77777777" w:rsidR="00BD4E98" w:rsidRPr="009B64EB" w:rsidRDefault="00BD4E98" w:rsidP="00BD4E98">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Zadatke koje treba da obavljaju glavni </w:t>
      </w:r>
      <w:proofErr w:type="spellStart"/>
      <w:r w:rsidRPr="009B64EB">
        <w:rPr>
          <w:rFonts w:ascii="Arial" w:hAnsi="Arial" w:cs="Arial"/>
          <w:sz w:val="20"/>
          <w:szCs w:val="20"/>
          <w:lang w:val="sr-Latn-RS" w:eastAsia="de-DE"/>
        </w:rPr>
        <w:t>sprovedbeni</w:t>
      </w:r>
      <w:proofErr w:type="spellEnd"/>
      <w:r w:rsidRPr="009B64EB">
        <w:rPr>
          <w:rFonts w:ascii="Arial" w:hAnsi="Arial" w:cs="Arial"/>
          <w:sz w:val="20"/>
          <w:szCs w:val="20"/>
          <w:lang w:val="sr-Latn-RS" w:eastAsia="de-DE"/>
        </w:rPr>
        <w:t xml:space="preserve"> akteri Programa, uključujući Ministarstvo ekonomskog razvoja i članovi </w:t>
      </w:r>
      <w:proofErr w:type="spellStart"/>
      <w:r w:rsidRPr="009B64EB">
        <w:rPr>
          <w:rFonts w:ascii="Arial" w:hAnsi="Arial" w:cs="Arial"/>
          <w:sz w:val="20"/>
          <w:szCs w:val="20"/>
          <w:lang w:val="sr-Latn-RS" w:eastAsia="de-DE"/>
        </w:rPr>
        <w:t>Savjeta</w:t>
      </w:r>
      <w:proofErr w:type="spellEnd"/>
      <w:r w:rsidRPr="009B64EB">
        <w:rPr>
          <w:rFonts w:ascii="Arial" w:hAnsi="Arial" w:cs="Arial"/>
          <w:sz w:val="20"/>
          <w:szCs w:val="20"/>
          <w:lang w:val="sr-Latn-RS" w:eastAsia="de-DE"/>
        </w:rPr>
        <w:t xml:space="preserve">, a u vezi sa informisanjem, koordinacijom i </w:t>
      </w:r>
      <w:proofErr w:type="spellStart"/>
      <w:r w:rsidRPr="009B64EB">
        <w:rPr>
          <w:rFonts w:ascii="Arial" w:hAnsi="Arial" w:cs="Arial"/>
          <w:sz w:val="20"/>
          <w:szCs w:val="20"/>
          <w:lang w:val="sr-Latn-RS" w:eastAsia="de-DE"/>
        </w:rPr>
        <w:t>praćenjem</w:t>
      </w:r>
      <w:proofErr w:type="spellEnd"/>
      <w:r w:rsidRPr="009B64EB">
        <w:rPr>
          <w:rFonts w:ascii="Arial" w:hAnsi="Arial" w:cs="Arial"/>
          <w:sz w:val="20"/>
          <w:szCs w:val="20"/>
          <w:lang w:val="sr-Latn-RS" w:eastAsia="de-DE"/>
        </w:rPr>
        <w:t xml:space="preserve"> Programa sa eksternim zainteresovanim stranama (lokalnim zajednicama, nevladinim organizacijama, donatorima itd.)</w:t>
      </w:r>
    </w:p>
    <w:p w14:paraId="3FFB617D" w14:textId="77777777" w:rsidR="00BD4E98" w:rsidRPr="009B64EB" w:rsidRDefault="00BD4E98" w:rsidP="00BD4E98">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Zadaci se mogu delegirati drugim javnim i </w:t>
      </w:r>
      <w:proofErr w:type="spellStart"/>
      <w:r w:rsidRPr="009B64EB">
        <w:rPr>
          <w:rFonts w:ascii="Arial" w:hAnsi="Arial" w:cs="Arial"/>
          <w:sz w:val="20"/>
          <w:szCs w:val="20"/>
          <w:lang w:val="sr-Latn-RS" w:eastAsia="de-DE"/>
        </w:rPr>
        <w:t>nejavnim</w:t>
      </w:r>
      <w:proofErr w:type="spellEnd"/>
      <w:r w:rsidRPr="009B64EB">
        <w:rPr>
          <w:rFonts w:ascii="Arial" w:hAnsi="Arial" w:cs="Arial"/>
          <w:sz w:val="20"/>
          <w:szCs w:val="20"/>
          <w:lang w:val="sr-Latn-RS" w:eastAsia="de-DE"/>
        </w:rPr>
        <w:t xml:space="preserve"> akterima, u skladu sa Zakonom o zaštiti potrošača.</w:t>
      </w:r>
    </w:p>
    <w:p w14:paraId="29D7DD31" w14:textId="77777777" w:rsidR="00BD4E98" w:rsidRDefault="00BD4E98" w:rsidP="00BD4E98">
      <w:pPr>
        <w:pStyle w:val="ListParagraph"/>
        <w:numPr>
          <w:ilvl w:val="1"/>
          <w:numId w:val="48"/>
        </w:numPr>
        <w:ind w:left="1134"/>
        <w:jc w:val="both"/>
        <w:rPr>
          <w:rFonts w:ascii="Arial" w:hAnsi="Arial" w:cs="Arial"/>
          <w:sz w:val="20"/>
          <w:szCs w:val="20"/>
          <w:lang w:val="sr-Latn-RS" w:eastAsia="de-DE"/>
        </w:rPr>
      </w:pPr>
      <w:r w:rsidRPr="009B64EB">
        <w:rPr>
          <w:rFonts w:ascii="Arial" w:hAnsi="Arial" w:cs="Arial"/>
          <w:sz w:val="20"/>
          <w:szCs w:val="20"/>
          <w:lang w:val="sr-Latn-RS" w:eastAsia="de-DE"/>
        </w:rPr>
        <w:t xml:space="preserve">Ove aktivnosti mogu da uključuju onlajn promocije, panel diskusije, informativne medijske kampanje, događaje za prikupljanje sredstava, vežbe prikupljanja podataka (uključujući ankete i fokus grupe) i druge aktivnosti koje bi trebalo da podignu svest o </w:t>
      </w:r>
      <w:r>
        <w:rPr>
          <w:rFonts w:ascii="Arial" w:hAnsi="Arial" w:cs="Arial"/>
          <w:sz w:val="20"/>
          <w:szCs w:val="20"/>
          <w:lang w:val="sr-Latn-RS" w:eastAsia="de-DE"/>
        </w:rPr>
        <w:t>Programu</w:t>
      </w:r>
      <w:r w:rsidRPr="009B64EB">
        <w:rPr>
          <w:rFonts w:ascii="Arial" w:hAnsi="Arial" w:cs="Arial"/>
          <w:sz w:val="20"/>
          <w:szCs w:val="20"/>
          <w:lang w:val="sr-Latn-RS" w:eastAsia="de-DE"/>
        </w:rPr>
        <w:t xml:space="preserve"> i politici zaštite potrošača Crne Gore.</w:t>
      </w:r>
    </w:p>
    <w:p w14:paraId="594D600A" w14:textId="77777777" w:rsidR="00BD4E98" w:rsidRDefault="00BD4E98" w:rsidP="00BD4E98">
      <w:pPr>
        <w:jc w:val="both"/>
        <w:rPr>
          <w:rFonts w:ascii="Arial" w:hAnsi="Arial" w:cs="Arial"/>
          <w:sz w:val="20"/>
          <w:szCs w:val="20"/>
          <w:lang w:eastAsia="de-DE"/>
        </w:rPr>
      </w:pPr>
    </w:p>
    <w:p w14:paraId="086A452A" w14:textId="77777777" w:rsidR="00BD4E98" w:rsidRPr="00905010" w:rsidRDefault="00BD4E98" w:rsidP="00BD4E98">
      <w:pPr>
        <w:jc w:val="both"/>
        <w:rPr>
          <w:rFonts w:ascii="Arial" w:hAnsi="Arial" w:cs="Arial"/>
          <w:b/>
          <w:bCs/>
          <w:i/>
          <w:iCs/>
          <w:sz w:val="20"/>
          <w:szCs w:val="20"/>
          <w:lang w:eastAsia="de-DE"/>
        </w:rPr>
      </w:pPr>
      <w:r w:rsidRPr="00905010">
        <w:rPr>
          <w:rFonts w:ascii="Arial" w:hAnsi="Arial" w:cs="Arial"/>
          <w:b/>
          <w:bCs/>
          <w:i/>
          <w:iCs/>
          <w:sz w:val="20"/>
          <w:szCs w:val="20"/>
          <w:lang w:eastAsia="de-DE"/>
        </w:rPr>
        <w:t>Preporuka 3. Uključivanje nerealizovanih aktivnosti i novih aktivnosti u buduće planove</w:t>
      </w:r>
    </w:p>
    <w:p w14:paraId="6FEC1474" w14:textId="77777777" w:rsidR="00BD4E98" w:rsidRPr="009B64EB" w:rsidRDefault="00BD4E98" w:rsidP="00BD4E98">
      <w:pPr>
        <w:jc w:val="both"/>
        <w:rPr>
          <w:rFonts w:ascii="Arial" w:hAnsi="Arial" w:cs="Arial"/>
          <w:sz w:val="20"/>
          <w:szCs w:val="20"/>
          <w:lang w:eastAsia="de-DE"/>
        </w:rPr>
      </w:pPr>
      <w:r w:rsidRPr="009B64EB">
        <w:rPr>
          <w:rFonts w:ascii="Arial" w:hAnsi="Arial" w:cs="Arial"/>
          <w:sz w:val="20"/>
          <w:szCs w:val="20"/>
          <w:lang w:eastAsia="de-DE"/>
        </w:rPr>
        <w:t xml:space="preserve">Prema rezultatima Nacionalnog plana zaštite potrošača budući </w:t>
      </w:r>
      <w:r>
        <w:rPr>
          <w:rFonts w:ascii="Arial" w:hAnsi="Arial" w:cs="Arial"/>
          <w:sz w:val="20"/>
          <w:szCs w:val="20"/>
          <w:lang w:eastAsia="de-DE"/>
        </w:rPr>
        <w:t>Program bi</w:t>
      </w:r>
      <w:r w:rsidRPr="009B64EB">
        <w:rPr>
          <w:rFonts w:ascii="Arial" w:hAnsi="Arial" w:cs="Arial"/>
          <w:sz w:val="20"/>
          <w:szCs w:val="20"/>
          <w:lang w:eastAsia="de-DE"/>
        </w:rPr>
        <w:t xml:space="preserve"> treba</w:t>
      </w:r>
      <w:r>
        <w:rPr>
          <w:rFonts w:ascii="Arial" w:hAnsi="Arial" w:cs="Arial"/>
          <w:sz w:val="20"/>
          <w:szCs w:val="20"/>
          <w:lang w:eastAsia="de-DE"/>
        </w:rPr>
        <w:t>lo</w:t>
      </w:r>
      <w:r w:rsidRPr="009B64EB">
        <w:rPr>
          <w:rFonts w:ascii="Arial" w:hAnsi="Arial" w:cs="Arial"/>
          <w:sz w:val="20"/>
          <w:szCs w:val="20"/>
          <w:lang w:eastAsia="de-DE"/>
        </w:rPr>
        <w:t xml:space="preserve"> da bude osmišljen uz priznavanje aktivnosti koje nisu sprovedene i da pruži dokaze o tome koje aktivnosti treba uključiti u budući dokument politike u oblasti zaštite potrošača. Pored uključivanja nerealizovanih aktivnosti, M</w:t>
      </w:r>
      <w:r>
        <w:rPr>
          <w:rFonts w:ascii="Arial" w:hAnsi="Arial" w:cs="Arial"/>
          <w:sz w:val="20"/>
          <w:szCs w:val="20"/>
          <w:lang w:eastAsia="de-DE"/>
        </w:rPr>
        <w:t>inistarstvo</w:t>
      </w:r>
      <w:r w:rsidRPr="009B64EB">
        <w:rPr>
          <w:rFonts w:ascii="Arial" w:hAnsi="Arial" w:cs="Arial"/>
          <w:sz w:val="20"/>
          <w:szCs w:val="20"/>
          <w:lang w:eastAsia="de-DE"/>
        </w:rPr>
        <w:t xml:space="preserve"> i drugi </w:t>
      </w:r>
      <w:proofErr w:type="spellStart"/>
      <w:r>
        <w:rPr>
          <w:rFonts w:ascii="Arial" w:hAnsi="Arial" w:cs="Arial"/>
          <w:sz w:val="20"/>
          <w:szCs w:val="20"/>
          <w:lang w:eastAsia="de-DE"/>
        </w:rPr>
        <w:t>implementacioni</w:t>
      </w:r>
      <w:proofErr w:type="spellEnd"/>
      <w:r>
        <w:rPr>
          <w:rFonts w:ascii="Arial" w:hAnsi="Arial" w:cs="Arial"/>
          <w:sz w:val="20"/>
          <w:szCs w:val="20"/>
          <w:lang w:eastAsia="de-DE"/>
        </w:rPr>
        <w:t xml:space="preserve"> partneri bi</w:t>
      </w:r>
      <w:r w:rsidRPr="009B64EB">
        <w:rPr>
          <w:rFonts w:ascii="Arial" w:hAnsi="Arial" w:cs="Arial"/>
          <w:sz w:val="20"/>
          <w:szCs w:val="20"/>
          <w:lang w:eastAsia="de-DE"/>
        </w:rPr>
        <w:t xml:space="preserve"> trebalo da delegiraju nove aktivnosti, u skladu sa analizom potreba, i da </w:t>
      </w:r>
      <w:r>
        <w:rPr>
          <w:rFonts w:ascii="Arial" w:hAnsi="Arial" w:cs="Arial"/>
          <w:sz w:val="20"/>
          <w:szCs w:val="20"/>
          <w:lang w:eastAsia="de-DE"/>
        </w:rPr>
        <w:t xml:space="preserve">odrede </w:t>
      </w:r>
      <w:r w:rsidRPr="009B64EB">
        <w:rPr>
          <w:rFonts w:ascii="Arial" w:hAnsi="Arial" w:cs="Arial"/>
          <w:sz w:val="20"/>
          <w:szCs w:val="20"/>
          <w:lang w:eastAsia="de-DE"/>
        </w:rPr>
        <w:t>vremenske rokove i budžet navedenim aktivnostima.</w:t>
      </w:r>
    </w:p>
    <w:p w14:paraId="4ED988D2" w14:textId="77777777" w:rsidR="00BD4E98" w:rsidRPr="009B64EB" w:rsidRDefault="00BD4E98" w:rsidP="00BD4E98">
      <w:pPr>
        <w:jc w:val="both"/>
        <w:rPr>
          <w:rFonts w:ascii="Arial" w:hAnsi="Arial" w:cs="Arial"/>
          <w:sz w:val="20"/>
          <w:szCs w:val="20"/>
          <w:lang w:eastAsia="de-DE"/>
        </w:rPr>
      </w:pPr>
      <w:r>
        <w:rPr>
          <w:rFonts w:ascii="Arial" w:hAnsi="Arial" w:cs="Arial"/>
          <w:sz w:val="20"/>
          <w:szCs w:val="20"/>
          <w:lang w:eastAsia="de-DE"/>
        </w:rPr>
        <w:t>Evaluacija</w:t>
      </w:r>
      <w:r w:rsidRPr="009B64EB">
        <w:rPr>
          <w:rFonts w:ascii="Arial" w:hAnsi="Arial" w:cs="Arial"/>
          <w:sz w:val="20"/>
          <w:szCs w:val="20"/>
          <w:lang w:eastAsia="de-DE"/>
        </w:rPr>
        <w:t xml:space="preserve"> snažno naglašava potrebu uključivanja aktivnosti koje su direktno povezane sa procesom pristupanja Crne Gore</w:t>
      </w:r>
      <w:r>
        <w:rPr>
          <w:rFonts w:ascii="Arial" w:hAnsi="Arial" w:cs="Arial"/>
          <w:sz w:val="20"/>
          <w:szCs w:val="20"/>
          <w:lang w:eastAsia="de-DE"/>
        </w:rPr>
        <w:t xml:space="preserve"> u</w:t>
      </w:r>
      <w:r w:rsidRPr="009B64EB">
        <w:rPr>
          <w:rFonts w:ascii="Arial" w:hAnsi="Arial" w:cs="Arial"/>
          <w:sz w:val="20"/>
          <w:szCs w:val="20"/>
          <w:lang w:eastAsia="de-DE"/>
        </w:rPr>
        <w:t xml:space="preserve"> EU i harmonizacijom nacionalnog zakonodavnog okvira. Stoga, preporučuje da se sledeće aktivnosti uključe u novu politiku zaštite potrošača:</w:t>
      </w:r>
    </w:p>
    <w:p w14:paraId="1CCD9E1D" w14:textId="4C40063B" w:rsidR="007C3CD4" w:rsidRPr="007C3CD4" w:rsidRDefault="00BD4E98" w:rsidP="007C3CD4">
      <w:pPr>
        <w:pStyle w:val="ListParagraph"/>
        <w:numPr>
          <w:ilvl w:val="0"/>
          <w:numId w:val="49"/>
        </w:numPr>
        <w:jc w:val="both"/>
        <w:rPr>
          <w:rFonts w:ascii="Arial" w:hAnsi="Arial" w:cs="Arial"/>
          <w:sz w:val="20"/>
          <w:szCs w:val="20"/>
          <w:lang w:eastAsia="de-DE"/>
        </w:rPr>
      </w:pPr>
      <w:proofErr w:type="spellStart"/>
      <w:r w:rsidRPr="009B64EB">
        <w:rPr>
          <w:rFonts w:ascii="Arial" w:hAnsi="Arial" w:cs="Arial"/>
          <w:sz w:val="20"/>
          <w:szCs w:val="20"/>
          <w:lang w:eastAsia="de-DE"/>
        </w:rPr>
        <w:t>Usvajanje</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opštih</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programa</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nadzora</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proizvoda</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na</w:t>
      </w:r>
      <w:proofErr w:type="spellEnd"/>
      <w:r w:rsidRPr="009B64EB">
        <w:rPr>
          <w:rFonts w:ascii="Arial" w:hAnsi="Arial" w:cs="Arial"/>
          <w:sz w:val="20"/>
          <w:szCs w:val="20"/>
          <w:lang w:eastAsia="de-DE"/>
        </w:rPr>
        <w:t xml:space="preserve"> </w:t>
      </w:r>
      <w:proofErr w:type="spellStart"/>
      <w:r w:rsidRPr="009B64EB">
        <w:rPr>
          <w:rFonts w:ascii="Arial" w:hAnsi="Arial" w:cs="Arial"/>
          <w:sz w:val="20"/>
          <w:szCs w:val="20"/>
          <w:lang w:eastAsia="de-DE"/>
        </w:rPr>
        <w:t>tržištu</w:t>
      </w:r>
      <w:proofErr w:type="spellEnd"/>
      <w:r w:rsidRPr="009B64EB">
        <w:rPr>
          <w:rFonts w:ascii="Arial" w:hAnsi="Arial" w:cs="Arial"/>
          <w:sz w:val="20"/>
          <w:szCs w:val="20"/>
          <w:lang w:eastAsia="de-DE"/>
        </w:rPr>
        <w:t xml:space="preserve"> za 2025, 2026. </w:t>
      </w:r>
      <w:proofErr w:type="spellStart"/>
      <w:r w:rsidRPr="009B64EB">
        <w:rPr>
          <w:rFonts w:ascii="Arial" w:hAnsi="Arial" w:cs="Arial"/>
          <w:sz w:val="20"/>
          <w:szCs w:val="20"/>
          <w:lang w:eastAsia="de-DE"/>
        </w:rPr>
        <w:t>i</w:t>
      </w:r>
      <w:proofErr w:type="spellEnd"/>
      <w:r w:rsidRPr="009B64EB">
        <w:rPr>
          <w:rFonts w:ascii="Arial" w:hAnsi="Arial" w:cs="Arial"/>
          <w:sz w:val="20"/>
          <w:szCs w:val="20"/>
          <w:lang w:eastAsia="de-DE"/>
        </w:rPr>
        <w:t xml:space="preserve"> 2027. </w:t>
      </w:r>
      <w:proofErr w:type="spellStart"/>
      <w:r w:rsidRPr="009B64EB">
        <w:rPr>
          <w:rFonts w:ascii="Arial" w:hAnsi="Arial" w:cs="Arial"/>
          <w:sz w:val="20"/>
          <w:szCs w:val="20"/>
          <w:lang w:eastAsia="de-DE"/>
        </w:rPr>
        <w:t>godinu</w:t>
      </w:r>
      <w:proofErr w:type="spellEnd"/>
      <w:r w:rsidR="007C3CD4" w:rsidRPr="007C3CD4">
        <w:t xml:space="preserve"> </w:t>
      </w:r>
      <w:r w:rsidR="007C3CD4" w:rsidRPr="007C3CD4">
        <w:rPr>
          <w:rFonts w:ascii="Arial" w:hAnsi="Arial" w:cs="Arial"/>
          <w:sz w:val="20"/>
          <w:szCs w:val="20"/>
          <w:lang w:eastAsia="de-DE"/>
        </w:rPr>
        <w:t xml:space="preserve">u </w:t>
      </w:r>
      <w:proofErr w:type="spellStart"/>
      <w:r w:rsidR="007C3CD4" w:rsidRPr="007C3CD4">
        <w:rPr>
          <w:rFonts w:ascii="Arial" w:hAnsi="Arial" w:cs="Arial"/>
          <w:sz w:val="20"/>
          <w:szCs w:val="20"/>
          <w:lang w:eastAsia="de-DE"/>
        </w:rPr>
        <w:t>skladu</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sa</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Uredbom</w:t>
      </w:r>
      <w:proofErr w:type="spellEnd"/>
      <w:r w:rsidR="007C3CD4" w:rsidRPr="007C3CD4">
        <w:rPr>
          <w:rFonts w:ascii="Arial" w:hAnsi="Arial" w:cs="Arial"/>
          <w:sz w:val="20"/>
          <w:szCs w:val="20"/>
          <w:lang w:eastAsia="de-DE"/>
        </w:rPr>
        <w:t xml:space="preserve"> (EU) 2019/1020 </w:t>
      </w:r>
      <w:proofErr w:type="spellStart"/>
      <w:r w:rsidR="007C3CD4" w:rsidRPr="007C3CD4">
        <w:rPr>
          <w:rFonts w:ascii="Arial" w:hAnsi="Arial" w:cs="Arial"/>
          <w:sz w:val="20"/>
          <w:szCs w:val="20"/>
          <w:lang w:eastAsia="de-DE"/>
        </w:rPr>
        <w:t>Evropskog</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parlamenta</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i</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Saveta</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od</w:t>
      </w:r>
      <w:proofErr w:type="spellEnd"/>
      <w:r w:rsidR="007C3CD4" w:rsidRPr="007C3CD4">
        <w:rPr>
          <w:rFonts w:ascii="Arial" w:hAnsi="Arial" w:cs="Arial"/>
          <w:sz w:val="20"/>
          <w:szCs w:val="20"/>
          <w:lang w:eastAsia="de-DE"/>
        </w:rPr>
        <w:t xml:space="preserve"> 20. </w:t>
      </w:r>
      <w:proofErr w:type="spellStart"/>
      <w:r w:rsidR="007C3CD4" w:rsidRPr="007C3CD4">
        <w:rPr>
          <w:rFonts w:ascii="Arial" w:hAnsi="Arial" w:cs="Arial"/>
          <w:sz w:val="20"/>
          <w:szCs w:val="20"/>
          <w:lang w:eastAsia="de-DE"/>
        </w:rPr>
        <w:t>juna</w:t>
      </w:r>
      <w:proofErr w:type="spellEnd"/>
      <w:r w:rsidR="007C3CD4" w:rsidRPr="007C3CD4">
        <w:rPr>
          <w:rFonts w:ascii="Arial" w:hAnsi="Arial" w:cs="Arial"/>
          <w:sz w:val="20"/>
          <w:szCs w:val="20"/>
          <w:lang w:eastAsia="de-DE"/>
        </w:rPr>
        <w:t xml:space="preserve"> 2019. </w:t>
      </w:r>
      <w:proofErr w:type="spellStart"/>
      <w:r w:rsidR="007C3CD4" w:rsidRPr="007C3CD4">
        <w:rPr>
          <w:rFonts w:ascii="Arial" w:hAnsi="Arial" w:cs="Arial"/>
          <w:sz w:val="20"/>
          <w:szCs w:val="20"/>
          <w:lang w:eastAsia="de-DE"/>
        </w:rPr>
        <w:t>godine</w:t>
      </w:r>
      <w:proofErr w:type="spellEnd"/>
      <w:r w:rsidR="007C3CD4" w:rsidRPr="007C3CD4">
        <w:rPr>
          <w:rFonts w:ascii="Arial" w:hAnsi="Arial" w:cs="Arial"/>
          <w:sz w:val="20"/>
          <w:szCs w:val="20"/>
          <w:lang w:eastAsia="de-DE"/>
        </w:rPr>
        <w:t xml:space="preserve"> o </w:t>
      </w:r>
      <w:proofErr w:type="spellStart"/>
      <w:r w:rsidR="007C3CD4" w:rsidRPr="007C3CD4">
        <w:rPr>
          <w:rFonts w:ascii="Arial" w:hAnsi="Arial" w:cs="Arial"/>
          <w:sz w:val="20"/>
          <w:szCs w:val="20"/>
          <w:lang w:eastAsia="de-DE"/>
        </w:rPr>
        <w:t>nadzoru</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tržišta</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i</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usaglašenosti</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proizvoda</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i</w:t>
      </w:r>
      <w:proofErr w:type="spellEnd"/>
      <w:r w:rsidR="007C3CD4" w:rsidRPr="007C3CD4">
        <w:rPr>
          <w:rFonts w:ascii="Arial" w:hAnsi="Arial" w:cs="Arial"/>
          <w:sz w:val="20"/>
          <w:szCs w:val="20"/>
          <w:lang w:eastAsia="de-DE"/>
        </w:rPr>
        <w:t xml:space="preserve"> o </w:t>
      </w:r>
      <w:proofErr w:type="spellStart"/>
      <w:r w:rsidR="007C3CD4" w:rsidRPr="007C3CD4">
        <w:rPr>
          <w:rFonts w:ascii="Arial" w:hAnsi="Arial" w:cs="Arial"/>
          <w:sz w:val="20"/>
          <w:szCs w:val="20"/>
          <w:lang w:eastAsia="de-DE"/>
        </w:rPr>
        <w:t>izmeni</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Direktive</w:t>
      </w:r>
      <w:proofErr w:type="spellEnd"/>
      <w:r w:rsidR="007C3CD4" w:rsidRPr="007C3CD4">
        <w:rPr>
          <w:rFonts w:ascii="Arial" w:hAnsi="Arial" w:cs="Arial"/>
          <w:sz w:val="20"/>
          <w:szCs w:val="20"/>
          <w:lang w:eastAsia="de-DE"/>
        </w:rPr>
        <w:t xml:space="preserve"> 2004/42/EZ </w:t>
      </w:r>
      <w:proofErr w:type="spellStart"/>
      <w:r w:rsidR="007C3CD4" w:rsidRPr="007C3CD4">
        <w:rPr>
          <w:rFonts w:ascii="Arial" w:hAnsi="Arial" w:cs="Arial"/>
          <w:sz w:val="20"/>
          <w:szCs w:val="20"/>
          <w:lang w:eastAsia="de-DE"/>
        </w:rPr>
        <w:t>i</w:t>
      </w:r>
      <w:proofErr w:type="spellEnd"/>
      <w:r w:rsidR="007C3CD4" w:rsidRPr="007C3CD4">
        <w:rPr>
          <w:rFonts w:ascii="Arial" w:hAnsi="Arial" w:cs="Arial"/>
          <w:sz w:val="20"/>
          <w:szCs w:val="20"/>
          <w:lang w:eastAsia="de-DE"/>
        </w:rPr>
        <w:t xml:space="preserve"> </w:t>
      </w:r>
      <w:proofErr w:type="spellStart"/>
      <w:r w:rsidR="007C3CD4" w:rsidRPr="007C3CD4">
        <w:rPr>
          <w:rFonts w:ascii="Arial" w:hAnsi="Arial" w:cs="Arial"/>
          <w:sz w:val="20"/>
          <w:szCs w:val="20"/>
          <w:lang w:eastAsia="de-DE"/>
        </w:rPr>
        <w:t>Uredbi</w:t>
      </w:r>
      <w:proofErr w:type="spellEnd"/>
      <w:r w:rsidR="007C3CD4" w:rsidRPr="007C3CD4">
        <w:rPr>
          <w:rFonts w:ascii="Arial" w:hAnsi="Arial" w:cs="Arial"/>
          <w:sz w:val="20"/>
          <w:szCs w:val="20"/>
          <w:lang w:eastAsia="de-DE"/>
        </w:rPr>
        <w:t xml:space="preserve"> (EZ) br. 765/2008 </w:t>
      </w:r>
      <w:proofErr w:type="spellStart"/>
      <w:r w:rsidR="007C3CD4" w:rsidRPr="007C3CD4">
        <w:rPr>
          <w:rFonts w:ascii="Arial" w:hAnsi="Arial" w:cs="Arial"/>
          <w:sz w:val="20"/>
          <w:szCs w:val="20"/>
          <w:lang w:eastAsia="de-DE"/>
        </w:rPr>
        <w:t>i</w:t>
      </w:r>
      <w:proofErr w:type="spellEnd"/>
      <w:r w:rsidR="007C3CD4" w:rsidRPr="007C3CD4">
        <w:rPr>
          <w:rFonts w:ascii="Arial" w:hAnsi="Arial" w:cs="Arial"/>
          <w:sz w:val="20"/>
          <w:szCs w:val="20"/>
          <w:lang w:eastAsia="de-DE"/>
        </w:rPr>
        <w:t xml:space="preserve"> (EU) br. 305/2011,</w:t>
      </w:r>
    </w:p>
    <w:p w14:paraId="17378E7D" w14:textId="77777777" w:rsidR="007C3CD4" w:rsidRPr="007C3CD4" w:rsidRDefault="007C3CD4" w:rsidP="007C3CD4">
      <w:pPr>
        <w:pStyle w:val="ListParagraph"/>
        <w:numPr>
          <w:ilvl w:val="0"/>
          <w:numId w:val="49"/>
        </w:numPr>
        <w:jc w:val="both"/>
        <w:rPr>
          <w:rFonts w:ascii="Arial" w:hAnsi="Arial" w:cs="Arial"/>
          <w:sz w:val="20"/>
          <w:szCs w:val="20"/>
          <w:lang w:eastAsia="de-DE"/>
        </w:rPr>
      </w:pPr>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Usvajanje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izmenama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dopunama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nadzoru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proizvoda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na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tržištu</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skladu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Uredbom</w:t>
      </w:r>
      <w:proofErr w:type="spellEnd"/>
      <w:r w:rsidRPr="007C3CD4">
        <w:rPr>
          <w:rFonts w:ascii="Arial" w:hAnsi="Arial" w:cs="Arial"/>
          <w:sz w:val="20"/>
          <w:szCs w:val="20"/>
          <w:lang w:eastAsia="de-DE"/>
        </w:rPr>
        <w:t xml:space="preserve"> (EU) 2019/1020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20. </w:t>
      </w:r>
      <w:proofErr w:type="spellStart"/>
      <w:r w:rsidRPr="007C3CD4">
        <w:rPr>
          <w:rFonts w:ascii="Arial" w:hAnsi="Arial" w:cs="Arial"/>
          <w:sz w:val="20"/>
          <w:szCs w:val="20"/>
          <w:lang w:eastAsia="de-DE"/>
        </w:rPr>
        <w:t>juna</w:t>
      </w:r>
      <w:proofErr w:type="spellEnd"/>
      <w:r w:rsidRPr="007C3CD4">
        <w:rPr>
          <w:rFonts w:ascii="Arial" w:hAnsi="Arial" w:cs="Arial"/>
          <w:sz w:val="20"/>
          <w:szCs w:val="20"/>
          <w:lang w:eastAsia="de-DE"/>
        </w:rPr>
        <w:t xml:space="preserve"> 2019.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nadzoru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tržišta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usaglašenosti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proizvoda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izmeni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Direktive</w:t>
      </w:r>
      <w:proofErr w:type="spellEnd"/>
      <w:r w:rsidRPr="007C3CD4">
        <w:rPr>
          <w:rFonts w:ascii="Arial" w:hAnsi="Arial" w:cs="Arial"/>
          <w:sz w:val="20"/>
          <w:szCs w:val="20"/>
          <w:lang w:eastAsia="de-DE"/>
        </w:rPr>
        <w:t xml:space="preserve"> 2004/42/EZ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Uredbi</w:t>
      </w:r>
      <w:proofErr w:type="spellEnd"/>
      <w:r w:rsidRPr="007C3CD4">
        <w:rPr>
          <w:rFonts w:ascii="Arial" w:hAnsi="Arial" w:cs="Arial"/>
          <w:sz w:val="20"/>
          <w:szCs w:val="20"/>
          <w:lang w:eastAsia="de-DE"/>
        </w:rPr>
        <w:t xml:space="preserve"> (EZ) br. 765/2008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(EU) br. 305/2011,</w:t>
      </w:r>
    </w:p>
    <w:p w14:paraId="4961FD9E" w14:textId="77777777" w:rsidR="007C3CD4" w:rsidRPr="007C3CD4" w:rsidRDefault="007C3CD4" w:rsidP="007C3CD4">
      <w:pPr>
        <w:pStyle w:val="ListParagraph"/>
        <w:numPr>
          <w:ilvl w:val="0"/>
          <w:numId w:val="49"/>
        </w:numPr>
        <w:jc w:val="both"/>
        <w:rPr>
          <w:rFonts w:ascii="Arial" w:hAnsi="Arial" w:cs="Arial"/>
          <w:sz w:val="20"/>
          <w:szCs w:val="20"/>
          <w:lang w:eastAsia="de-DE"/>
        </w:rPr>
      </w:pPr>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Usvajanje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turizmu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ugostiteljstvu</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skladu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Direktivom</w:t>
      </w:r>
      <w:proofErr w:type="spellEnd"/>
      <w:r w:rsidRPr="007C3CD4">
        <w:rPr>
          <w:rFonts w:ascii="Arial" w:hAnsi="Arial" w:cs="Arial"/>
          <w:sz w:val="20"/>
          <w:szCs w:val="20"/>
          <w:lang w:eastAsia="de-DE"/>
        </w:rPr>
        <w:t xml:space="preserve"> (EU) 2015/2302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25. </w:t>
      </w:r>
      <w:proofErr w:type="spellStart"/>
      <w:r w:rsidRPr="007C3CD4">
        <w:rPr>
          <w:rFonts w:ascii="Arial" w:hAnsi="Arial" w:cs="Arial"/>
          <w:sz w:val="20"/>
          <w:szCs w:val="20"/>
          <w:lang w:eastAsia="de-DE"/>
        </w:rPr>
        <w:t>novembra</w:t>
      </w:r>
      <w:proofErr w:type="spellEnd"/>
      <w:r w:rsidRPr="007C3CD4">
        <w:rPr>
          <w:rFonts w:ascii="Arial" w:hAnsi="Arial" w:cs="Arial"/>
          <w:sz w:val="20"/>
          <w:szCs w:val="20"/>
          <w:lang w:eastAsia="de-DE"/>
        </w:rPr>
        <w:t xml:space="preserve"> 2015.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paket</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putovanjima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povezanim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putovanjima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aranžmani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izmena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Uredbe</w:t>
      </w:r>
      <w:proofErr w:type="spellEnd"/>
      <w:r w:rsidRPr="007C3CD4">
        <w:rPr>
          <w:rFonts w:ascii="Arial" w:hAnsi="Arial" w:cs="Arial"/>
          <w:sz w:val="20"/>
          <w:szCs w:val="20"/>
          <w:lang w:eastAsia="de-DE"/>
        </w:rPr>
        <w:t xml:space="preserve"> (EZ) br. 2006/2004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Direktive</w:t>
      </w:r>
      <w:proofErr w:type="spellEnd"/>
      <w:r w:rsidRPr="007C3CD4">
        <w:rPr>
          <w:rFonts w:ascii="Arial" w:hAnsi="Arial" w:cs="Arial"/>
          <w:sz w:val="20"/>
          <w:szCs w:val="20"/>
          <w:lang w:eastAsia="de-DE"/>
        </w:rPr>
        <w:t xml:space="preserve"> 2011/83/EU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stavljanje</w:t>
      </w:r>
      <w:proofErr w:type="spellEnd"/>
      <w:r w:rsidRPr="007C3CD4">
        <w:rPr>
          <w:rFonts w:ascii="Arial" w:hAnsi="Arial" w:cs="Arial"/>
          <w:sz w:val="20"/>
          <w:szCs w:val="20"/>
          <w:lang w:eastAsia="de-DE"/>
        </w:rPr>
        <w:t xml:space="preserve"> van </w:t>
      </w:r>
      <w:proofErr w:type="spellStart"/>
      <w:r w:rsidRPr="007C3CD4">
        <w:rPr>
          <w:rFonts w:ascii="Arial" w:hAnsi="Arial" w:cs="Arial"/>
          <w:sz w:val="20"/>
          <w:szCs w:val="20"/>
          <w:lang w:eastAsia="de-DE"/>
        </w:rPr>
        <w:t>snage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90/314/EEZ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rezolucija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19. </w:t>
      </w:r>
      <w:proofErr w:type="spellStart"/>
      <w:r w:rsidRPr="007C3CD4">
        <w:rPr>
          <w:rFonts w:ascii="Arial" w:hAnsi="Arial" w:cs="Arial"/>
          <w:sz w:val="20"/>
          <w:szCs w:val="20"/>
          <w:lang w:eastAsia="de-DE"/>
        </w:rPr>
        <w:t>juna</w:t>
      </w:r>
      <w:proofErr w:type="spellEnd"/>
      <w:r w:rsidRPr="007C3CD4">
        <w:rPr>
          <w:rFonts w:ascii="Arial" w:hAnsi="Arial" w:cs="Arial"/>
          <w:sz w:val="20"/>
          <w:szCs w:val="20"/>
          <w:lang w:eastAsia="de-DE"/>
        </w:rPr>
        <w:t xml:space="preserve"> 2020. o </w:t>
      </w:r>
      <w:proofErr w:type="spellStart"/>
      <w:r w:rsidRPr="007C3CD4">
        <w:rPr>
          <w:rFonts w:ascii="Arial" w:hAnsi="Arial" w:cs="Arial"/>
          <w:sz w:val="20"/>
          <w:szCs w:val="20"/>
          <w:lang w:eastAsia="de-DE"/>
        </w:rPr>
        <w:t>transportu</w:t>
      </w:r>
      <w:proofErr w:type="spellEnd"/>
      <w:r w:rsidRPr="007C3CD4">
        <w:rPr>
          <w:rFonts w:ascii="Arial" w:hAnsi="Arial" w:cs="Arial"/>
          <w:sz w:val="20"/>
          <w:szCs w:val="20"/>
          <w:lang w:eastAsia="de-DE"/>
        </w:rPr>
        <w:t xml:space="preserve"> i </w:t>
      </w:r>
      <w:proofErr w:type="spellStart"/>
      <w:r w:rsidRPr="007C3CD4">
        <w:rPr>
          <w:rFonts w:ascii="Arial" w:hAnsi="Arial" w:cs="Arial"/>
          <w:sz w:val="20"/>
          <w:szCs w:val="20"/>
          <w:lang w:eastAsia="de-DE"/>
        </w:rPr>
        <w:t>turizmu</w:t>
      </w:r>
      <w:proofErr w:type="spellEnd"/>
      <w:r w:rsidRPr="007C3CD4">
        <w:rPr>
          <w:rFonts w:ascii="Arial" w:hAnsi="Arial" w:cs="Arial"/>
          <w:sz w:val="20"/>
          <w:szCs w:val="20"/>
          <w:lang w:eastAsia="de-DE"/>
        </w:rPr>
        <w:t xml:space="preserve"> u 2020. </w:t>
      </w:r>
      <w:proofErr w:type="spellStart"/>
      <w:r w:rsidRPr="007C3CD4">
        <w:rPr>
          <w:rFonts w:ascii="Arial" w:hAnsi="Arial" w:cs="Arial"/>
          <w:sz w:val="20"/>
          <w:szCs w:val="20"/>
          <w:lang w:eastAsia="de-DE"/>
        </w:rPr>
        <w:t>godini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nadalje</w:t>
      </w:r>
      <w:proofErr w:type="spellEnd"/>
      <w:r w:rsidRPr="007C3CD4">
        <w:rPr>
          <w:rFonts w:ascii="Arial" w:hAnsi="Arial" w:cs="Arial"/>
          <w:sz w:val="20"/>
          <w:szCs w:val="20"/>
          <w:lang w:eastAsia="de-DE"/>
        </w:rPr>
        <w:t xml:space="preserve"> (2020/2649(RSP)),</w:t>
      </w:r>
    </w:p>
    <w:p w14:paraId="4F4B76AE" w14:textId="77777777" w:rsidR="007C3CD4" w:rsidRPr="007C3CD4" w:rsidRDefault="007C3CD4" w:rsidP="007C3CD4">
      <w:pPr>
        <w:pStyle w:val="ListParagraph"/>
        <w:numPr>
          <w:ilvl w:val="0"/>
          <w:numId w:val="49"/>
        </w:numPr>
        <w:jc w:val="both"/>
        <w:rPr>
          <w:rFonts w:ascii="Arial" w:hAnsi="Arial" w:cs="Arial"/>
          <w:sz w:val="20"/>
          <w:szCs w:val="20"/>
          <w:lang w:eastAsia="de-DE"/>
        </w:rPr>
      </w:pPr>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Usvajanje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potrošačkim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kreditima</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skladu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Direktivom</w:t>
      </w:r>
      <w:proofErr w:type="spellEnd"/>
      <w:r w:rsidRPr="007C3CD4">
        <w:rPr>
          <w:rFonts w:ascii="Arial" w:hAnsi="Arial" w:cs="Arial"/>
          <w:sz w:val="20"/>
          <w:szCs w:val="20"/>
          <w:lang w:eastAsia="de-DE"/>
        </w:rPr>
        <w:t xml:space="preserve"> 2008/48/EZ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23. </w:t>
      </w:r>
      <w:proofErr w:type="spellStart"/>
      <w:r w:rsidRPr="007C3CD4">
        <w:rPr>
          <w:rFonts w:ascii="Arial" w:hAnsi="Arial" w:cs="Arial"/>
          <w:sz w:val="20"/>
          <w:szCs w:val="20"/>
          <w:lang w:eastAsia="de-DE"/>
        </w:rPr>
        <w:t>aprila</w:t>
      </w:r>
      <w:proofErr w:type="spellEnd"/>
      <w:r w:rsidRPr="007C3CD4">
        <w:rPr>
          <w:rFonts w:ascii="Arial" w:hAnsi="Arial" w:cs="Arial"/>
          <w:sz w:val="20"/>
          <w:szCs w:val="20"/>
          <w:lang w:eastAsia="de-DE"/>
        </w:rPr>
        <w:t xml:space="preserve"> 2008. o </w:t>
      </w:r>
      <w:proofErr w:type="spellStart"/>
      <w:r w:rsidRPr="007C3CD4">
        <w:rPr>
          <w:rFonts w:ascii="Arial" w:hAnsi="Arial" w:cs="Arial"/>
          <w:sz w:val="20"/>
          <w:szCs w:val="20"/>
          <w:lang w:eastAsia="de-DE"/>
        </w:rPr>
        <w:t>ugovorima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potrošačkom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kreditu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stavljanjem</w:t>
      </w:r>
      <w:proofErr w:type="spellEnd"/>
      <w:r w:rsidRPr="007C3CD4">
        <w:rPr>
          <w:rFonts w:ascii="Arial" w:hAnsi="Arial" w:cs="Arial"/>
          <w:sz w:val="20"/>
          <w:szCs w:val="20"/>
          <w:lang w:eastAsia="de-DE"/>
        </w:rPr>
        <w:t xml:space="preserve"> van </w:t>
      </w:r>
      <w:proofErr w:type="spellStart"/>
      <w:r w:rsidRPr="007C3CD4">
        <w:rPr>
          <w:rFonts w:ascii="Arial" w:hAnsi="Arial" w:cs="Arial"/>
          <w:sz w:val="20"/>
          <w:szCs w:val="20"/>
          <w:lang w:eastAsia="de-DE"/>
        </w:rPr>
        <w:t>snage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87/102/EEZ,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Direktivom</w:t>
      </w:r>
      <w:proofErr w:type="spellEnd"/>
      <w:r w:rsidRPr="007C3CD4">
        <w:rPr>
          <w:rFonts w:ascii="Arial" w:hAnsi="Arial" w:cs="Arial"/>
          <w:sz w:val="20"/>
          <w:szCs w:val="20"/>
          <w:lang w:eastAsia="de-DE"/>
        </w:rPr>
        <w:t xml:space="preserve"> 2014/17/EU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od 4. </w:t>
      </w:r>
      <w:proofErr w:type="spellStart"/>
      <w:r w:rsidRPr="007C3CD4">
        <w:rPr>
          <w:rFonts w:ascii="Arial" w:hAnsi="Arial" w:cs="Arial"/>
          <w:sz w:val="20"/>
          <w:szCs w:val="20"/>
          <w:lang w:eastAsia="de-DE"/>
        </w:rPr>
        <w:t>februara</w:t>
      </w:r>
      <w:proofErr w:type="spellEnd"/>
      <w:r w:rsidRPr="007C3CD4">
        <w:rPr>
          <w:rFonts w:ascii="Arial" w:hAnsi="Arial" w:cs="Arial"/>
          <w:sz w:val="20"/>
          <w:szCs w:val="20"/>
          <w:lang w:eastAsia="de-DE"/>
        </w:rPr>
        <w:t xml:space="preserve"> 2014. o </w:t>
      </w:r>
      <w:proofErr w:type="spellStart"/>
      <w:r w:rsidRPr="007C3CD4">
        <w:rPr>
          <w:rFonts w:ascii="Arial" w:hAnsi="Arial" w:cs="Arial"/>
          <w:sz w:val="20"/>
          <w:szCs w:val="20"/>
          <w:lang w:eastAsia="de-DE"/>
        </w:rPr>
        <w:t>ugovorima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potrošačkom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kreditu</w:t>
      </w:r>
      <w:proofErr w:type="spellEnd"/>
      <w:r w:rsidRPr="007C3CD4">
        <w:rPr>
          <w:rFonts w:ascii="Arial" w:hAnsi="Arial" w:cs="Arial"/>
          <w:sz w:val="20"/>
          <w:szCs w:val="20"/>
          <w:lang w:eastAsia="de-DE"/>
        </w:rPr>
        <w:t xml:space="preserve"> koji se </w:t>
      </w:r>
      <w:proofErr w:type="spellStart"/>
      <w:r w:rsidRPr="007C3CD4">
        <w:rPr>
          <w:rFonts w:ascii="Arial" w:hAnsi="Arial" w:cs="Arial"/>
          <w:sz w:val="20"/>
          <w:szCs w:val="20"/>
          <w:lang w:eastAsia="de-DE"/>
        </w:rPr>
        <w:t>odnose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na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stambene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nepokretnosti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izmena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2008/48/EZ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2013/36/EU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Uredbe</w:t>
      </w:r>
      <w:proofErr w:type="spellEnd"/>
      <w:r w:rsidRPr="007C3CD4">
        <w:rPr>
          <w:rFonts w:ascii="Arial" w:hAnsi="Arial" w:cs="Arial"/>
          <w:sz w:val="20"/>
          <w:szCs w:val="20"/>
          <w:lang w:eastAsia="de-DE"/>
        </w:rPr>
        <w:t xml:space="preserve"> (EU) br. 1093/2010 – MCD,</w:t>
      </w:r>
    </w:p>
    <w:p w14:paraId="1D14DAB6" w14:textId="77777777" w:rsidR="007C3CD4" w:rsidRPr="007C3CD4" w:rsidRDefault="007C3CD4" w:rsidP="007C3CD4">
      <w:pPr>
        <w:pStyle w:val="ListParagraph"/>
        <w:numPr>
          <w:ilvl w:val="0"/>
          <w:numId w:val="49"/>
        </w:numPr>
        <w:jc w:val="both"/>
        <w:rPr>
          <w:rFonts w:ascii="Arial" w:hAnsi="Arial" w:cs="Arial"/>
          <w:sz w:val="20"/>
          <w:szCs w:val="20"/>
          <w:lang w:eastAsia="de-DE"/>
        </w:rPr>
      </w:pPr>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Usvajanje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novog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zaštiti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potrošača</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skladu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Direktivom</w:t>
      </w:r>
      <w:proofErr w:type="spellEnd"/>
      <w:r w:rsidRPr="007C3CD4">
        <w:rPr>
          <w:rFonts w:ascii="Arial" w:hAnsi="Arial" w:cs="Arial"/>
          <w:sz w:val="20"/>
          <w:szCs w:val="20"/>
          <w:lang w:eastAsia="de-DE"/>
        </w:rPr>
        <w:t xml:space="preserve"> (EU) 2019/771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20. </w:t>
      </w:r>
      <w:proofErr w:type="spellStart"/>
      <w:r w:rsidRPr="007C3CD4">
        <w:rPr>
          <w:rFonts w:ascii="Arial" w:hAnsi="Arial" w:cs="Arial"/>
          <w:sz w:val="20"/>
          <w:szCs w:val="20"/>
          <w:lang w:eastAsia="de-DE"/>
        </w:rPr>
        <w:t>maja</w:t>
      </w:r>
      <w:proofErr w:type="spellEnd"/>
      <w:r w:rsidRPr="007C3CD4">
        <w:rPr>
          <w:rFonts w:ascii="Arial" w:hAnsi="Arial" w:cs="Arial"/>
          <w:sz w:val="20"/>
          <w:szCs w:val="20"/>
          <w:lang w:eastAsia="de-DE"/>
        </w:rPr>
        <w:t xml:space="preserve"> 2019.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određenim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aspektima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ugovora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prodaji</w:t>
      </w:r>
      <w:proofErr w:type="spellEnd"/>
      <w:r w:rsidRPr="007C3CD4">
        <w:rPr>
          <w:rFonts w:ascii="Arial" w:hAnsi="Arial" w:cs="Arial"/>
          <w:sz w:val="20"/>
          <w:szCs w:val="20"/>
          <w:lang w:eastAsia="de-DE"/>
        </w:rPr>
        <w:t xml:space="preserve"> robe, </w:t>
      </w:r>
      <w:proofErr w:type="spellStart"/>
      <w:r w:rsidRPr="007C3CD4">
        <w:rPr>
          <w:rFonts w:ascii="Arial" w:hAnsi="Arial" w:cs="Arial"/>
          <w:sz w:val="20"/>
          <w:szCs w:val="20"/>
          <w:lang w:eastAsia="de-DE"/>
        </w:rPr>
        <w:t>kojom</w:t>
      </w:r>
      <w:proofErr w:type="spellEnd"/>
      <w:r w:rsidRPr="007C3CD4">
        <w:rPr>
          <w:rFonts w:ascii="Arial" w:hAnsi="Arial" w:cs="Arial"/>
          <w:sz w:val="20"/>
          <w:szCs w:val="20"/>
          <w:lang w:eastAsia="de-DE"/>
        </w:rPr>
        <w:t xml:space="preserve"> se </w:t>
      </w:r>
      <w:proofErr w:type="spellStart"/>
      <w:r w:rsidRPr="007C3CD4">
        <w:rPr>
          <w:rFonts w:ascii="Arial" w:hAnsi="Arial" w:cs="Arial"/>
          <w:sz w:val="20"/>
          <w:szCs w:val="20"/>
          <w:lang w:eastAsia="de-DE"/>
        </w:rPr>
        <w:t>menja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Uredba</w:t>
      </w:r>
      <w:proofErr w:type="spellEnd"/>
      <w:r w:rsidRPr="007C3CD4">
        <w:rPr>
          <w:rFonts w:ascii="Arial" w:hAnsi="Arial" w:cs="Arial"/>
          <w:sz w:val="20"/>
          <w:szCs w:val="20"/>
          <w:lang w:eastAsia="de-DE"/>
        </w:rPr>
        <w:t xml:space="preserve"> (EU) 2017/2394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2009/22/EZ,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kojom</w:t>
      </w:r>
      <w:proofErr w:type="spellEnd"/>
      <w:r w:rsidRPr="007C3CD4">
        <w:rPr>
          <w:rFonts w:ascii="Arial" w:hAnsi="Arial" w:cs="Arial"/>
          <w:sz w:val="20"/>
          <w:szCs w:val="20"/>
          <w:lang w:eastAsia="de-DE"/>
        </w:rPr>
        <w:t xml:space="preserve"> se </w:t>
      </w:r>
      <w:proofErr w:type="spellStart"/>
      <w:r w:rsidRPr="007C3CD4">
        <w:rPr>
          <w:rFonts w:ascii="Arial" w:hAnsi="Arial" w:cs="Arial"/>
          <w:sz w:val="20"/>
          <w:szCs w:val="20"/>
          <w:lang w:eastAsia="de-DE"/>
        </w:rPr>
        <w:t>stavlja</w:t>
      </w:r>
      <w:proofErr w:type="spellEnd"/>
      <w:r w:rsidRPr="007C3CD4">
        <w:rPr>
          <w:rFonts w:ascii="Arial" w:hAnsi="Arial" w:cs="Arial"/>
          <w:sz w:val="20"/>
          <w:szCs w:val="20"/>
          <w:lang w:eastAsia="de-DE"/>
        </w:rPr>
        <w:t xml:space="preserve"> van </w:t>
      </w:r>
      <w:proofErr w:type="spellStart"/>
      <w:r w:rsidRPr="007C3CD4">
        <w:rPr>
          <w:rFonts w:ascii="Arial" w:hAnsi="Arial" w:cs="Arial"/>
          <w:sz w:val="20"/>
          <w:szCs w:val="20"/>
          <w:lang w:eastAsia="de-DE"/>
        </w:rPr>
        <w:t>snage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1999/44/EZ,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(EU) 2019/770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20. </w:t>
      </w:r>
      <w:proofErr w:type="spellStart"/>
      <w:r w:rsidRPr="007C3CD4">
        <w:rPr>
          <w:rFonts w:ascii="Arial" w:hAnsi="Arial" w:cs="Arial"/>
          <w:sz w:val="20"/>
          <w:szCs w:val="20"/>
          <w:lang w:eastAsia="de-DE"/>
        </w:rPr>
        <w:t>maja</w:t>
      </w:r>
      <w:proofErr w:type="spellEnd"/>
      <w:r w:rsidRPr="007C3CD4">
        <w:rPr>
          <w:rFonts w:ascii="Arial" w:hAnsi="Arial" w:cs="Arial"/>
          <w:sz w:val="20"/>
          <w:szCs w:val="20"/>
          <w:lang w:eastAsia="de-DE"/>
        </w:rPr>
        <w:t xml:space="preserve"> 2019.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određenim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aspektima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ugovora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isporuci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digitalnog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sadržaja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digitalnih</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usluga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(EU) 2019/2161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27. </w:t>
      </w:r>
      <w:proofErr w:type="spellStart"/>
      <w:r w:rsidRPr="007C3CD4">
        <w:rPr>
          <w:rFonts w:ascii="Arial" w:hAnsi="Arial" w:cs="Arial"/>
          <w:sz w:val="20"/>
          <w:szCs w:val="20"/>
          <w:lang w:eastAsia="de-DE"/>
        </w:rPr>
        <w:t>novembra</w:t>
      </w:r>
      <w:proofErr w:type="spellEnd"/>
      <w:r w:rsidRPr="007C3CD4">
        <w:rPr>
          <w:rFonts w:ascii="Arial" w:hAnsi="Arial" w:cs="Arial"/>
          <w:sz w:val="20"/>
          <w:szCs w:val="20"/>
          <w:lang w:eastAsia="de-DE"/>
        </w:rPr>
        <w:t xml:space="preserve"> 2019.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kojom</w:t>
      </w:r>
      <w:proofErr w:type="spellEnd"/>
      <w:r w:rsidRPr="007C3CD4">
        <w:rPr>
          <w:rFonts w:ascii="Arial" w:hAnsi="Arial" w:cs="Arial"/>
          <w:sz w:val="20"/>
          <w:szCs w:val="20"/>
          <w:lang w:eastAsia="de-DE"/>
        </w:rPr>
        <w:t xml:space="preserve"> se </w:t>
      </w:r>
      <w:proofErr w:type="spellStart"/>
      <w:r w:rsidRPr="007C3CD4">
        <w:rPr>
          <w:rFonts w:ascii="Arial" w:hAnsi="Arial" w:cs="Arial"/>
          <w:sz w:val="20"/>
          <w:szCs w:val="20"/>
          <w:lang w:eastAsia="de-DE"/>
        </w:rPr>
        <w:t>menja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93/13/EEZ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direktive</w:t>
      </w:r>
      <w:proofErr w:type="spellEnd"/>
      <w:r w:rsidRPr="007C3CD4">
        <w:rPr>
          <w:rFonts w:ascii="Arial" w:hAnsi="Arial" w:cs="Arial"/>
          <w:sz w:val="20"/>
          <w:szCs w:val="20"/>
          <w:lang w:eastAsia="de-DE"/>
        </w:rPr>
        <w:t xml:space="preserve"> 98/6/EZ, 2005/29/EZ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2011/83/EU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pogledu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boljeg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sprovođenja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modernizacije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pravila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Unije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lastRenderedPageBreak/>
        <w:t>zaštiti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potrošača</w:t>
      </w:r>
      <w:proofErr w:type="spellEnd"/>
      <w:r w:rsidRPr="007C3CD4">
        <w:rPr>
          <w:rFonts w:ascii="Arial" w:hAnsi="Arial" w:cs="Arial"/>
          <w:sz w:val="20"/>
          <w:szCs w:val="20"/>
          <w:lang w:eastAsia="de-DE"/>
        </w:rPr>
        <w:t xml:space="preserve">, - </w:t>
      </w:r>
      <w:proofErr w:type="spellStart"/>
      <w:r w:rsidRPr="007C3CD4">
        <w:rPr>
          <w:rFonts w:ascii="Arial" w:hAnsi="Arial" w:cs="Arial"/>
          <w:sz w:val="20"/>
          <w:szCs w:val="20"/>
          <w:lang w:eastAsia="de-DE"/>
        </w:rPr>
        <w:t>Usvajanje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kolektivnim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tužbama</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skladu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Direktivom</w:t>
      </w:r>
      <w:proofErr w:type="spellEnd"/>
      <w:r w:rsidRPr="007C3CD4">
        <w:rPr>
          <w:rFonts w:ascii="Arial" w:hAnsi="Arial" w:cs="Arial"/>
          <w:sz w:val="20"/>
          <w:szCs w:val="20"/>
          <w:lang w:eastAsia="de-DE"/>
        </w:rPr>
        <w:t xml:space="preserve"> (EU) 2020/1828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25. </w:t>
      </w:r>
      <w:proofErr w:type="spellStart"/>
      <w:r w:rsidRPr="007C3CD4">
        <w:rPr>
          <w:rFonts w:ascii="Arial" w:hAnsi="Arial" w:cs="Arial"/>
          <w:sz w:val="20"/>
          <w:szCs w:val="20"/>
          <w:lang w:eastAsia="de-DE"/>
        </w:rPr>
        <w:t>novembra</w:t>
      </w:r>
      <w:proofErr w:type="spellEnd"/>
      <w:r w:rsidRPr="007C3CD4">
        <w:rPr>
          <w:rFonts w:ascii="Arial" w:hAnsi="Arial" w:cs="Arial"/>
          <w:sz w:val="20"/>
          <w:szCs w:val="20"/>
          <w:lang w:eastAsia="de-DE"/>
        </w:rPr>
        <w:t xml:space="preserve"> 2020.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reprezentativnim</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tužbama</w:t>
      </w:r>
      <w:proofErr w:type="spellEnd"/>
      <w:r w:rsidRPr="007C3CD4">
        <w:rPr>
          <w:rFonts w:ascii="Arial" w:hAnsi="Arial" w:cs="Arial"/>
          <w:sz w:val="20"/>
          <w:szCs w:val="20"/>
          <w:lang w:eastAsia="de-DE"/>
        </w:rPr>
        <w:t xml:space="preserve"> za </w:t>
      </w:r>
      <w:proofErr w:type="spellStart"/>
      <w:r w:rsidRPr="007C3CD4">
        <w:rPr>
          <w:rFonts w:ascii="Arial" w:hAnsi="Arial" w:cs="Arial"/>
          <w:sz w:val="20"/>
          <w:szCs w:val="20"/>
          <w:lang w:eastAsia="de-DE"/>
        </w:rPr>
        <w:t>zaštitu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kolektivnih</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interesa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potrošača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stavljanjem</w:t>
      </w:r>
      <w:proofErr w:type="spellEnd"/>
      <w:r w:rsidRPr="007C3CD4">
        <w:rPr>
          <w:rFonts w:ascii="Arial" w:hAnsi="Arial" w:cs="Arial"/>
          <w:sz w:val="20"/>
          <w:szCs w:val="20"/>
          <w:lang w:eastAsia="de-DE"/>
        </w:rPr>
        <w:t xml:space="preserve"> van </w:t>
      </w:r>
      <w:proofErr w:type="spellStart"/>
      <w:r w:rsidRPr="007C3CD4">
        <w:rPr>
          <w:rFonts w:ascii="Arial" w:hAnsi="Arial" w:cs="Arial"/>
          <w:sz w:val="20"/>
          <w:szCs w:val="20"/>
          <w:lang w:eastAsia="de-DE"/>
        </w:rPr>
        <w:t>snage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Direktive</w:t>
      </w:r>
      <w:proofErr w:type="spellEnd"/>
      <w:r w:rsidRPr="007C3CD4">
        <w:rPr>
          <w:rFonts w:ascii="Arial" w:hAnsi="Arial" w:cs="Arial"/>
          <w:sz w:val="20"/>
          <w:szCs w:val="20"/>
          <w:lang w:eastAsia="de-DE"/>
        </w:rPr>
        <w:t xml:space="preserve"> 2009/22/EZ, </w:t>
      </w:r>
      <w:proofErr w:type="spellStart"/>
      <w:r w:rsidRPr="007C3CD4">
        <w:rPr>
          <w:rFonts w:ascii="Arial" w:hAnsi="Arial" w:cs="Arial"/>
          <w:sz w:val="20"/>
          <w:szCs w:val="20"/>
          <w:lang w:eastAsia="de-DE"/>
        </w:rPr>
        <w:t>i</w:t>
      </w:r>
      <w:proofErr w:type="spellEnd"/>
    </w:p>
    <w:p w14:paraId="0A62C2AC" w14:textId="4570236E" w:rsidR="00BD4E98" w:rsidRPr="009B64EB" w:rsidRDefault="007C3CD4" w:rsidP="007C3CD4">
      <w:pPr>
        <w:pStyle w:val="ListParagraph"/>
        <w:numPr>
          <w:ilvl w:val="0"/>
          <w:numId w:val="49"/>
        </w:numPr>
        <w:jc w:val="both"/>
        <w:rPr>
          <w:rFonts w:ascii="Arial" w:hAnsi="Arial" w:cs="Arial"/>
          <w:sz w:val="20"/>
          <w:szCs w:val="20"/>
          <w:lang w:eastAsia="de-DE"/>
        </w:rPr>
      </w:pPr>
      <w:proofErr w:type="spellStart"/>
      <w:r w:rsidRPr="007C3CD4">
        <w:rPr>
          <w:rFonts w:ascii="Arial" w:hAnsi="Arial" w:cs="Arial"/>
          <w:sz w:val="20"/>
          <w:szCs w:val="20"/>
          <w:lang w:eastAsia="de-DE"/>
        </w:rPr>
        <w:t>Usvajanje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Zakona</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opštoj</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bezbednosti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proizvoda</w:t>
      </w:r>
      <w:proofErr w:type="spellEnd"/>
      <w:r w:rsidRPr="007C3CD4">
        <w:rPr>
          <w:rFonts w:ascii="Arial" w:hAnsi="Arial" w:cs="Arial"/>
          <w:sz w:val="20"/>
          <w:szCs w:val="20"/>
          <w:lang w:eastAsia="de-DE"/>
        </w:rPr>
        <w:t xml:space="preserve">, u </w:t>
      </w:r>
      <w:proofErr w:type="spellStart"/>
      <w:r w:rsidRPr="007C3CD4">
        <w:rPr>
          <w:rFonts w:ascii="Arial" w:hAnsi="Arial" w:cs="Arial"/>
          <w:sz w:val="20"/>
          <w:szCs w:val="20"/>
          <w:lang w:eastAsia="de-DE"/>
        </w:rPr>
        <w:t>skladu</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Uredbom</w:t>
      </w:r>
      <w:proofErr w:type="spellEnd"/>
      <w:r w:rsidRPr="007C3CD4">
        <w:rPr>
          <w:rFonts w:ascii="Arial" w:hAnsi="Arial" w:cs="Arial"/>
          <w:sz w:val="20"/>
          <w:szCs w:val="20"/>
          <w:lang w:eastAsia="de-DE"/>
        </w:rPr>
        <w:t xml:space="preserve"> (EU) 2023/988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od</w:t>
      </w:r>
      <w:proofErr w:type="spellEnd"/>
      <w:r w:rsidRPr="007C3CD4">
        <w:rPr>
          <w:rFonts w:ascii="Arial" w:hAnsi="Arial" w:cs="Arial"/>
          <w:sz w:val="20"/>
          <w:szCs w:val="20"/>
          <w:lang w:eastAsia="de-DE"/>
        </w:rPr>
        <w:t xml:space="preserve"> 10. </w:t>
      </w:r>
      <w:proofErr w:type="spellStart"/>
      <w:r w:rsidRPr="007C3CD4">
        <w:rPr>
          <w:rFonts w:ascii="Arial" w:hAnsi="Arial" w:cs="Arial"/>
          <w:sz w:val="20"/>
          <w:szCs w:val="20"/>
          <w:lang w:eastAsia="de-DE"/>
        </w:rPr>
        <w:t>maja</w:t>
      </w:r>
      <w:proofErr w:type="spellEnd"/>
      <w:r w:rsidRPr="007C3CD4">
        <w:rPr>
          <w:rFonts w:ascii="Arial" w:hAnsi="Arial" w:cs="Arial"/>
          <w:sz w:val="20"/>
          <w:szCs w:val="20"/>
          <w:lang w:eastAsia="de-DE"/>
        </w:rPr>
        <w:t xml:space="preserve"> 2023. </w:t>
      </w:r>
      <w:proofErr w:type="spellStart"/>
      <w:r w:rsidRPr="007C3CD4">
        <w:rPr>
          <w:rFonts w:ascii="Arial" w:hAnsi="Arial" w:cs="Arial"/>
          <w:sz w:val="20"/>
          <w:szCs w:val="20"/>
          <w:lang w:eastAsia="de-DE"/>
        </w:rPr>
        <w:t>godine</w:t>
      </w:r>
      <w:proofErr w:type="spellEnd"/>
      <w:r w:rsidRPr="007C3CD4">
        <w:rPr>
          <w:rFonts w:ascii="Arial" w:hAnsi="Arial" w:cs="Arial"/>
          <w:sz w:val="20"/>
          <w:szCs w:val="20"/>
          <w:lang w:eastAsia="de-DE"/>
        </w:rPr>
        <w:t xml:space="preserve"> o </w:t>
      </w:r>
      <w:proofErr w:type="spellStart"/>
      <w:r w:rsidRPr="007C3CD4">
        <w:rPr>
          <w:rFonts w:ascii="Arial" w:hAnsi="Arial" w:cs="Arial"/>
          <w:sz w:val="20"/>
          <w:szCs w:val="20"/>
          <w:lang w:eastAsia="de-DE"/>
        </w:rPr>
        <w:t>opštoj</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bezbednosti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proizvoda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kojom</w:t>
      </w:r>
      <w:proofErr w:type="spellEnd"/>
      <w:r w:rsidRPr="007C3CD4">
        <w:rPr>
          <w:rFonts w:ascii="Arial" w:hAnsi="Arial" w:cs="Arial"/>
          <w:sz w:val="20"/>
          <w:szCs w:val="20"/>
          <w:lang w:eastAsia="de-DE"/>
        </w:rPr>
        <w:t xml:space="preserve"> se </w:t>
      </w:r>
      <w:proofErr w:type="spellStart"/>
      <w:r w:rsidRPr="007C3CD4">
        <w:rPr>
          <w:rFonts w:ascii="Arial" w:hAnsi="Arial" w:cs="Arial"/>
          <w:sz w:val="20"/>
          <w:szCs w:val="20"/>
          <w:lang w:eastAsia="de-DE"/>
        </w:rPr>
        <w:t>menja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Uredba</w:t>
      </w:r>
      <w:proofErr w:type="spellEnd"/>
      <w:r w:rsidRPr="007C3CD4">
        <w:rPr>
          <w:rFonts w:ascii="Arial" w:hAnsi="Arial" w:cs="Arial"/>
          <w:sz w:val="20"/>
          <w:szCs w:val="20"/>
          <w:lang w:eastAsia="de-DE"/>
        </w:rPr>
        <w:t xml:space="preserve"> (EU) br. 1025/2012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(EU) 2020/1828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kojom</w:t>
      </w:r>
      <w:proofErr w:type="spellEnd"/>
      <w:r w:rsidRPr="007C3CD4">
        <w:rPr>
          <w:rFonts w:ascii="Arial" w:hAnsi="Arial" w:cs="Arial"/>
          <w:sz w:val="20"/>
          <w:szCs w:val="20"/>
          <w:lang w:eastAsia="de-DE"/>
        </w:rPr>
        <w:t xml:space="preserve"> se </w:t>
      </w:r>
      <w:proofErr w:type="spellStart"/>
      <w:r w:rsidRPr="007C3CD4">
        <w:rPr>
          <w:rFonts w:ascii="Arial" w:hAnsi="Arial" w:cs="Arial"/>
          <w:sz w:val="20"/>
          <w:szCs w:val="20"/>
          <w:lang w:eastAsia="de-DE"/>
        </w:rPr>
        <w:t>stavljaju</w:t>
      </w:r>
      <w:proofErr w:type="spellEnd"/>
      <w:r w:rsidRPr="007C3CD4">
        <w:rPr>
          <w:rFonts w:ascii="Arial" w:hAnsi="Arial" w:cs="Arial"/>
          <w:sz w:val="20"/>
          <w:szCs w:val="20"/>
          <w:lang w:eastAsia="de-DE"/>
        </w:rPr>
        <w:t xml:space="preserve"> van </w:t>
      </w:r>
      <w:proofErr w:type="spellStart"/>
      <w:r w:rsidRPr="007C3CD4">
        <w:rPr>
          <w:rFonts w:ascii="Arial" w:hAnsi="Arial" w:cs="Arial"/>
          <w:sz w:val="20"/>
          <w:szCs w:val="20"/>
          <w:lang w:eastAsia="de-DE"/>
        </w:rPr>
        <w:t>snage</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2001/95/EZ </w:t>
      </w:r>
      <w:proofErr w:type="spellStart"/>
      <w:r w:rsidRPr="007C3CD4">
        <w:rPr>
          <w:rFonts w:ascii="Arial" w:hAnsi="Arial" w:cs="Arial"/>
          <w:sz w:val="20"/>
          <w:szCs w:val="20"/>
          <w:lang w:eastAsia="de-DE"/>
        </w:rPr>
        <w:t>Evropskog</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parlamenta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i</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Direktiva</w:t>
      </w:r>
      <w:proofErr w:type="spellEnd"/>
      <w:r w:rsidRPr="007C3CD4">
        <w:rPr>
          <w:rFonts w:ascii="Arial" w:hAnsi="Arial" w:cs="Arial"/>
          <w:sz w:val="20"/>
          <w:szCs w:val="20"/>
          <w:lang w:eastAsia="de-DE"/>
        </w:rPr>
        <w:t xml:space="preserve"> </w:t>
      </w:r>
      <w:proofErr w:type="spellStart"/>
      <w:r w:rsidRPr="007C3CD4">
        <w:rPr>
          <w:rFonts w:ascii="Arial" w:hAnsi="Arial" w:cs="Arial"/>
          <w:sz w:val="20"/>
          <w:szCs w:val="20"/>
          <w:lang w:eastAsia="de-DE"/>
        </w:rPr>
        <w:t>Saveta</w:t>
      </w:r>
      <w:proofErr w:type="spellEnd"/>
      <w:r w:rsidRPr="007C3CD4">
        <w:rPr>
          <w:rFonts w:ascii="Arial" w:hAnsi="Arial" w:cs="Arial"/>
          <w:sz w:val="20"/>
          <w:szCs w:val="20"/>
          <w:lang w:eastAsia="de-DE"/>
        </w:rPr>
        <w:t xml:space="preserve"> 87/357/EEZ.</w:t>
      </w:r>
    </w:p>
    <w:p w14:paraId="71F4A258" w14:textId="77777777" w:rsidR="00BD4E98" w:rsidRPr="007C3CD4" w:rsidRDefault="00BD4E98" w:rsidP="007C3CD4">
      <w:pPr>
        <w:ind w:left="360"/>
        <w:jc w:val="both"/>
        <w:rPr>
          <w:rFonts w:ascii="Arial" w:hAnsi="Arial" w:cs="Arial"/>
          <w:sz w:val="20"/>
          <w:szCs w:val="20"/>
          <w:lang w:eastAsia="de-DE"/>
        </w:rPr>
      </w:pPr>
    </w:p>
    <w:p w14:paraId="51050021" w14:textId="77777777" w:rsidR="00BD4E98" w:rsidRDefault="00BD4E98" w:rsidP="00BD4E98">
      <w:pPr>
        <w:jc w:val="both"/>
        <w:rPr>
          <w:rFonts w:ascii="Arial" w:hAnsi="Arial" w:cs="Arial"/>
          <w:sz w:val="20"/>
          <w:szCs w:val="20"/>
          <w:lang w:eastAsia="de-DE"/>
        </w:rPr>
      </w:pPr>
      <w:r w:rsidRPr="009B64EB">
        <w:rPr>
          <w:rFonts w:ascii="Arial" w:hAnsi="Arial" w:cs="Arial"/>
          <w:sz w:val="20"/>
          <w:szCs w:val="20"/>
          <w:lang w:eastAsia="de-DE"/>
        </w:rPr>
        <w:t xml:space="preserve">Konsultacije sa </w:t>
      </w:r>
      <w:r>
        <w:rPr>
          <w:rFonts w:ascii="Arial" w:hAnsi="Arial" w:cs="Arial"/>
          <w:sz w:val="20"/>
          <w:szCs w:val="20"/>
          <w:lang w:eastAsia="de-DE"/>
        </w:rPr>
        <w:t>Ministarstvom</w:t>
      </w:r>
      <w:r w:rsidRPr="009B64EB">
        <w:rPr>
          <w:rFonts w:ascii="Arial" w:hAnsi="Arial" w:cs="Arial"/>
          <w:sz w:val="20"/>
          <w:szCs w:val="20"/>
          <w:lang w:eastAsia="de-DE"/>
        </w:rPr>
        <w:t xml:space="preserve"> su potvrdile da je usvajanje navedenih zakona planirano krajem 2025. godine i da se, po pravilu, usvajanje zakona neće dodati na spisak aktivnosti u akcionim planovima. Stoga je preporuka da se </w:t>
      </w:r>
      <w:r>
        <w:rPr>
          <w:rFonts w:ascii="Arial" w:hAnsi="Arial" w:cs="Arial"/>
          <w:sz w:val="20"/>
          <w:szCs w:val="20"/>
          <w:lang w:eastAsia="de-DE"/>
        </w:rPr>
        <w:t xml:space="preserve">u </w:t>
      </w:r>
      <w:r w:rsidRPr="009B64EB">
        <w:rPr>
          <w:rFonts w:ascii="Arial" w:hAnsi="Arial" w:cs="Arial"/>
          <w:sz w:val="20"/>
          <w:szCs w:val="20"/>
          <w:lang w:eastAsia="de-DE"/>
        </w:rPr>
        <w:t xml:space="preserve">akcionim planovima </w:t>
      </w:r>
      <w:r>
        <w:rPr>
          <w:rFonts w:ascii="Arial" w:hAnsi="Arial" w:cs="Arial"/>
          <w:sz w:val="20"/>
          <w:szCs w:val="20"/>
          <w:lang w:eastAsia="de-DE"/>
        </w:rPr>
        <w:t>navedu</w:t>
      </w:r>
      <w:r w:rsidRPr="009B64EB">
        <w:rPr>
          <w:rFonts w:ascii="Arial" w:hAnsi="Arial" w:cs="Arial"/>
          <w:sz w:val="20"/>
          <w:szCs w:val="20"/>
          <w:lang w:eastAsia="de-DE"/>
        </w:rPr>
        <w:t xml:space="preserve"> aktivnosti koje su komplementarne i neophodne za zakonodavne promene, kao što su </w:t>
      </w:r>
      <w:proofErr w:type="spellStart"/>
      <w:r w:rsidRPr="009B64EB">
        <w:rPr>
          <w:rFonts w:ascii="Arial" w:hAnsi="Arial" w:cs="Arial"/>
          <w:sz w:val="20"/>
          <w:szCs w:val="20"/>
          <w:lang w:eastAsia="de-DE"/>
        </w:rPr>
        <w:t>ex</w:t>
      </w:r>
      <w:proofErr w:type="spellEnd"/>
      <w:r w:rsidRPr="009B64EB">
        <w:rPr>
          <w:rFonts w:ascii="Arial" w:hAnsi="Arial" w:cs="Arial"/>
          <w:sz w:val="20"/>
          <w:szCs w:val="20"/>
          <w:lang w:eastAsia="de-DE"/>
        </w:rPr>
        <w:t xml:space="preserve">-post i </w:t>
      </w:r>
      <w:proofErr w:type="spellStart"/>
      <w:r w:rsidRPr="009B64EB">
        <w:rPr>
          <w:rFonts w:ascii="Arial" w:hAnsi="Arial" w:cs="Arial"/>
          <w:sz w:val="20"/>
          <w:szCs w:val="20"/>
          <w:lang w:eastAsia="de-DE"/>
        </w:rPr>
        <w:t>ex-ante</w:t>
      </w:r>
      <w:proofErr w:type="spellEnd"/>
      <w:r w:rsidRPr="009B64EB">
        <w:rPr>
          <w:rFonts w:ascii="Arial" w:hAnsi="Arial" w:cs="Arial"/>
          <w:sz w:val="20"/>
          <w:szCs w:val="20"/>
          <w:lang w:eastAsia="de-DE"/>
        </w:rPr>
        <w:t xml:space="preserve"> procena uticaja, aktivnosti izgradnje kapaciteta, konsultacije sa zainteresovanim stranama (</w:t>
      </w:r>
      <w:proofErr w:type="spellStart"/>
      <w:r>
        <w:rPr>
          <w:rFonts w:ascii="Arial" w:hAnsi="Arial" w:cs="Arial"/>
          <w:sz w:val="20"/>
          <w:szCs w:val="20"/>
          <w:lang w:eastAsia="de-DE"/>
        </w:rPr>
        <w:t>stejkholderima</w:t>
      </w:r>
      <w:proofErr w:type="spellEnd"/>
      <w:r w:rsidRPr="009B64EB">
        <w:rPr>
          <w:rFonts w:ascii="Arial" w:hAnsi="Arial" w:cs="Arial"/>
          <w:sz w:val="20"/>
          <w:szCs w:val="20"/>
          <w:lang w:eastAsia="de-DE"/>
        </w:rPr>
        <w:t>), razvoj alata e-uprave i kampanje za podizanje javne svesti, između ostalog.</w:t>
      </w:r>
    </w:p>
    <w:p w14:paraId="1AE8A1C3" w14:textId="77777777" w:rsidR="00905010" w:rsidRDefault="00905010" w:rsidP="00BD4E98">
      <w:pPr>
        <w:jc w:val="both"/>
        <w:rPr>
          <w:rFonts w:ascii="Arial" w:hAnsi="Arial" w:cs="Arial"/>
          <w:b/>
          <w:bCs/>
          <w:sz w:val="20"/>
          <w:szCs w:val="20"/>
          <w:lang w:eastAsia="de-DE"/>
        </w:rPr>
      </w:pPr>
    </w:p>
    <w:p w14:paraId="47E2DD10" w14:textId="65CA3F3B" w:rsidR="00BD4E98" w:rsidRPr="00905010" w:rsidRDefault="00BD4E98" w:rsidP="00BD4E98">
      <w:pPr>
        <w:jc w:val="both"/>
        <w:rPr>
          <w:rFonts w:ascii="Arial" w:hAnsi="Arial" w:cs="Arial"/>
          <w:b/>
          <w:bCs/>
          <w:i/>
          <w:iCs/>
          <w:sz w:val="20"/>
          <w:szCs w:val="20"/>
          <w:lang w:eastAsia="de-DE"/>
        </w:rPr>
      </w:pPr>
      <w:r w:rsidRPr="00905010">
        <w:rPr>
          <w:rFonts w:ascii="Arial" w:hAnsi="Arial" w:cs="Arial"/>
          <w:b/>
          <w:bCs/>
          <w:i/>
          <w:iCs/>
          <w:sz w:val="20"/>
          <w:szCs w:val="20"/>
          <w:lang w:eastAsia="de-DE"/>
        </w:rPr>
        <w:t>Preporuka 4. Unapređenje organizacione strukture za sprovođenje Programa, uključujući unapređeni MEL sistem</w:t>
      </w:r>
    </w:p>
    <w:p w14:paraId="654777F1" w14:textId="77777777" w:rsidR="00BD4E98" w:rsidRPr="006C399B" w:rsidRDefault="00BD4E98" w:rsidP="00BD4E98">
      <w:pPr>
        <w:jc w:val="both"/>
        <w:rPr>
          <w:rFonts w:ascii="Arial" w:hAnsi="Arial" w:cs="Arial"/>
          <w:sz w:val="20"/>
          <w:szCs w:val="20"/>
          <w:lang w:eastAsia="de-DE"/>
        </w:rPr>
      </w:pPr>
      <w:r>
        <w:rPr>
          <w:rFonts w:ascii="Arial" w:hAnsi="Arial" w:cs="Arial"/>
          <w:sz w:val="20"/>
          <w:szCs w:val="20"/>
          <w:lang w:eastAsia="de-DE"/>
        </w:rPr>
        <w:t>Finalna evaluacija</w:t>
      </w:r>
      <w:r w:rsidRPr="006C399B">
        <w:rPr>
          <w:rFonts w:ascii="Arial" w:hAnsi="Arial" w:cs="Arial"/>
          <w:sz w:val="20"/>
          <w:szCs w:val="20"/>
          <w:lang w:eastAsia="de-DE"/>
        </w:rPr>
        <w:t xml:space="preserve"> je zaključi</w:t>
      </w:r>
      <w:r>
        <w:rPr>
          <w:rFonts w:ascii="Arial" w:hAnsi="Arial" w:cs="Arial"/>
          <w:sz w:val="20"/>
          <w:szCs w:val="20"/>
          <w:lang w:eastAsia="de-DE"/>
        </w:rPr>
        <w:t>la</w:t>
      </w:r>
      <w:r w:rsidRPr="006C399B">
        <w:rPr>
          <w:rFonts w:ascii="Arial" w:hAnsi="Arial" w:cs="Arial"/>
          <w:sz w:val="20"/>
          <w:szCs w:val="20"/>
          <w:lang w:eastAsia="de-DE"/>
        </w:rPr>
        <w:t xml:space="preserve"> da je trenutna upravljačka i organizaciona struktura za sprovođenje </w:t>
      </w:r>
      <w:r>
        <w:rPr>
          <w:rFonts w:ascii="Arial" w:hAnsi="Arial" w:cs="Arial"/>
          <w:sz w:val="20"/>
          <w:szCs w:val="20"/>
          <w:lang w:eastAsia="de-DE"/>
        </w:rPr>
        <w:t>Programa</w:t>
      </w:r>
      <w:r w:rsidRPr="006C399B">
        <w:rPr>
          <w:rFonts w:ascii="Arial" w:hAnsi="Arial" w:cs="Arial"/>
          <w:sz w:val="20"/>
          <w:szCs w:val="20"/>
          <w:lang w:eastAsia="de-DE"/>
        </w:rPr>
        <w:t xml:space="preserve"> bila adekvatna, ali u velikoj meri zavisna od funkcionalnosti </w:t>
      </w:r>
      <w:r>
        <w:rPr>
          <w:rFonts w:ascii="Arial" w:hAnsi="Arial" w:cs="Arial"/>
          <w:sz w:val="20"/>
          <w:szCs w:val="20"/>
          <w:lang w:eastAsia="de-DE"/>
        </w:rPr>
        <w:t>Ministarstva ekonomskog razvoja</w:t>
      </w:r>
      <w:r w:rsidRPr="006C399B">
        <w:rPr>
          <w:rFonts w:ascii="Arial" w:hAnsi="Arial" w:cs="Arial"/>
          <w:sz w:val="20"/>
          <w:szCs w:val="20"/>
          <w:lang w:eastAsia="de-DE"/>
        </w:rPr>
        <w:t xml:space="preserve"> kao vodeće institucije za politiku zaštite potrošača u Crnoj Gori. Ova funkcionalnost je često bila opterećena nedostatkom kvalifikovanog osoblja, što je dovelo do toga da su kapaciteti </w:t>
      </w:r>
      <w:r>
        <w:rPr>
          <w:rFonts w:ascii="Arial" w:hAnsi="Arial" w:cs="Arial"/>
          <w:sz w:val="20"/>
          <w:szCs w:val="20"/>
          <w:lang w:eastAsia="de-DE"/>
        </w:rPr>
        <w:t>Ministarstva</w:t>
      </w:r>
      <w:r w:rsidRPr="006C399B">
        <w:rPr>
          <w:rFonts w:ascii="Arial" w:hAnsi="Arial" w:cs="Arial"/>
          <w:sz w:val="20"/>
          <w:szCs w:val="20"/>
          <w:lang w:eastAsia="de-DE"/>
        </w:rPr>
        <w:t xml:space="preserve"> bili rastegnuti na različite aktivnosti, povremeno </w:t>
      </w:r>
      <w:proofErr w:type="spellStart"/>
      <w:r w:rsidRPr="006C399B">
        <w:rPr>
          <w:rFonts w:ascii="Arial" w:hAnsi="Arial" w:cs="Arial"/>
          <w:sz w:val="20"/>
          <w:szCs w:val="20"/>
          <w:lang w:eastAsia="de-DE"/>
        </w:rPr>
        <w:t>neuspevajući</w:t>
      </w:r>
      <w:proofErr w:type="spellEnd"/>
      <w:r w:rsidRPr="006C399B">
        <w:rPr>
          <w:rFonts w:ascii="Arial" w:hAnsi="Arial" w:cs="Arial"/>
          <w:sz w:val="20"/>
          <w:szCs w:val="20"/>
          <w:lang w:eastAsia="de-DE"/>
        </w:rPr>
        <w:t xml:space="preserve"> da </w:t>
      </w:r>
      <w:r>
        <w:rPr>
          <w:rFonts w:ascii="Arial" w:hAnsi="Arial" w:cs="Arial"/>
          <w:sz w:val="20"/>
          <w:szCs w:val="20"/>
          <w:lang w:eastAsia="de-DE"/>
        </w:rPr>
        <w:t>sprovode</w:t>
      </w:r>
      <w:r w:rsidRPr="006C399B">
        <w:rPr>
          <w:rFonts w:ascii="Arial" w:hAnsi="Arial" w:cs="Arial"/>
          <w:sz w:val="20"/>
          <w:szCs w:val="20"/>
          <w:lang w:eastAsia="de-DE"/>
        </w:rPr>
        <w:t xml:space="preserve"> aktivnosti iz </w:t>
      </w:r>
      <w:r>
        <w:rPr>
          <w:rFonts w:ascii="Arial" w:hAnsi="Arial" w:cs="Arial"/>
          <w:sz w:val="20"/>
          <w:szCs w:val="20"/>
          <w:lang w:eastAsia="de-DE"/>
        </w:rPr>
        <w:t>Programa</w:t>
      </w:r>
      <w:r w:rsidRPr="006C399B">
        <w:rPr>
          <w:rFonts w:ascii="Arial" w:hAnsi="Arial" w:cs="Arial"/>
          <w:sz w:val="20"/>
          <w:szCs w:val="20"/>
          <w:lang w:eastAsia="de-DE"/>
        </w:rPr>
        <w:t xml:space="preserve">. </w:t>
      </w:r>
      <w:proofErr w:type="spellStart"/>
      <w:r>
        <w:rPr>
          <w:rFonts w:ascii="Arial" w:hAnsi="Arial" w:cs="Arial"/>
          <w:sz w:val="20"/>
          <w:szCs w:val="20"/>
          <w:lang w:eastAsia="de-DE"/>
        </w:rPr>
        <w:t>Savjet</w:t>
      </w:r>
      <w:proofErr w:type="spellEnd"/>
      <w:r>
        <w:rPr>
          <w:rFonts w:ascii="Arial" w:hAnsi="Arial" w:cs="Arial"/>
          <w:sz w:val="20"/>
          <w:szCs w:val="20"/>
          <w:lang w:eastAsia="de-DE"/>
        </w:rPr>
        <w:t xml:space="preserve"> za zaštitu potrošača</w:t>
      </w:r>
      <w:r w:rsidRPr="006C399B">
        <w:rPr>
          <w:rFonts w:ascii="Arial" w:hAnsi="Arial" w:cs="Arial"/>
          <w:sz w:val="20"/>
          <w:szCs w:val="20"/>
          <w:lang w:eastAsia="de-DE"/>
        </w:rPr>
        <w:t xml:space="preserve"> se takođe pokazao veoma aktivnim u sprovođenju </w:t>
      </w:r>
      <w:r>
        <w:rPr>
          <w:rFonts w:ascii="Arial" w:hAnsi="Arial" w:cs="Arial"/>
          <w:sz w:val="20"/>
          <w:szCs w:val="20"/>
          <w:lang w:eastAsia="de-DE"/>
        </w:rPr>
        <w:t>Programa</w:t>
      </w:r>
      <w:r w:rsidRPr="006C399B">
        <w:rPr>
          <w:rFonts w:ascii="Arial" w:hAnsi="Arial" w:cs="Arial"/>
          <w:sz w:val="20"/>
          <w:szCs w:val="20"/>
          <w:lang w:eastAsia="de-DE"/>
        </w:rPr>
        <w:t xml:space="preserve">, često se doživljavajući više kao operativno telo, nego kao koordinaciono telo. </w:t>
      </w:r>
      <w:proofErr w:type="spellStart"/>
      <w:r>
        <w:rPr>
          <w:rFonts w:ascii="Arial" w:hAnsi="Arial" w:cs="Arial"/>
          <w:sz w:val="20"/>
          <w:szCs w:val="20"/>
          <w:lang w:eastAsia="de-DE"/>
        </w:rPr>
        <w:t>Savjet</w:t>
      </w:r>
      <w:proofErr w:type="spellEnd"/>
      <w:r w:rsidRPr="006C399B">
        <w:rPr>
          <w:rFonts w:ascii="Arial" w:hAnsi="Arial" w:cs="Arial"/>
          <w:sz w:val="20"/>
          <w:szCs w:val="20"/>
          <w:lang w:eastAsia="de-DE"/>
        </w:rPr>
        <w:t xml:space="preserve"> je tokom vremena prošao kroz niz kadrovskih promena, ali se ipak </w:t>
      </w:r>
      <w:r>
        <w:rPr>
          <w:rFonts w:ascii="Arial" w:hAnsi="Arial" w:cs="Arial"/>
          <w:sz w:val="20"/>
          <w:szCs w:val="20"/>
          <w:lang w:eastAsia="de-DE"/>
        </w:rPr>
        <w:t xml:space="preserve">smatra </w:t>
      </w:r>
      <w:r w:rsidRPr="006C399B">
        <w:rPr>
          <w:rFonts w:ascii="Arial" w:hAnsi="Arial" w:cs="Arial"/>
          <w:sz w:val="20"/>
          <w:szCs w:val="20"/>
          <w:lang w:eastAsia="de-DE"/>
        </w:rPr>
        <w:t>da ima adekvatnu strukturu članova. S</w:t>
      </w:r>
      <w:r>
        <w:rPr>
          <w:rFonts w:ascii="Arial" w:hAnsi="Arial" w:cs="Arial"/>
          <w:sz w:val="20"/>
          <w:szCs w:val="20"/>
          <w:lang w:eastAsia="de-DE"/>
        </w:rPr>
        <w:t>a</w:t>
      </w:r>
      <w:r w:rsidRPr="006C399B">
        <w:rPr>
          <w:rFonts w:ascii="Arial" w:hAnsi="Arial" w:cs="Arial"/>
          <w:sz w:val="20"/>
          <w:szCs w:val="20"/>
          <w:lang w:eastAsia="de-DE"/>
        </w:rPr>
        <w:t xml:space="preserve"> obzirom na to da je </w:t>
      </w:r>
      <w:proofErr w:type="spellStart"/>
      <w:r>
        <w:rPr>
          <w:rFonts w:ascii="Arial" w:hAnsi="Arial" w:cs="Arial"/>
          <w:sz w:val="20"/>
          <w:szCs w:val="20"/>
          <w:lang w:eastAsia="de-DE"/>
        </w:rPr>
        <w:t>Ministarsvo</w:t>
      </w:r>
      <w:proofErr w:type="spellEnd"/>
      <w:r w:rsidRPr="006C399B">
        <w:rPr>
          <w:rFonts w:ascii="Arial" w:hAnsi="Arial" w:cs="Arial"/>
          <w:sz w:val="20"/>
          <w:szCs w:val="20"/>
          <w:lang w:eastAsia="de-DE"/>
        </w:rPr>
        <w:t xml:space="preserve"> takođe administrativno telo za </w:t>
      </w:r>
      <w:proofErr w:type="spellStart"/>
      <w:r>
        <w:rPr>
          <w:rFonts w:ascii="Arial" w:hAnsi="Arial" w:cs="Arial"/>
          <w:sz w:val="20"/>
          <w:szCs w:val="20"/>
          <w:lang w:eastAsia="de-DE"/>
        </w:rPr>
        <w:t>Savjet</w:t>
      </w:r>
      <w:proofErr w:type="spellEnd"/>
      <w:r w:rsidRPr="006C399B">
        <w:rPr>
          <w:rFonts w:ascii="Arial" w:hAnsi="Arial" w:cs="Arial"/>
          <w:sz w:val="20"/>
          <w:szCs w:val="20"/>
          <w:lang w:eastAsia="de-DE"/>
        </w:rPr>
        <w:t xml:space="preserve">, zaključeno je da funkcionisanje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takođe u velikoj meri zavisi od funkcionalnosti </w:t>
      </w:r>
      <w:r>
        <w:rPr>
          <w:rFonts w:ascii="Arial" w:hAnsi="Arial" w:cs="Arial"/>
          <w:sz w:val="20"/>
          <w:szCs w:val="20"/>
          <w:lang w:eastAsia="de-DE"/>
        </w:rPr>
        <w:t>Ministarstva</w:t>
      </w:r>
      <w:r w:rsidRPr="006C399B">
        <w:rPr>
          <w:rFonts w:ascii="Arial" w:hAnsi="Arial" w:cs="Arial"/>
          <w:sz w:val="20"/>
          <w:szCs w:val="20"/>
          <w:lang w:eastAsia="de-DE"/>
        </w:rPr>
        <w:t xml:space="preserve">. Da bi se uspostavila fleksibilnija i održivija struktura za sprovođenje </w:t>
      </w:r>
      <w:r>
        <w:rPr>
          <w:rFonts w:ascii="Arial" w:hAnsi="Arial" w:cs="Arial"/>
          <w:sz w:val="20"/>
          <w:szCs w:val="20"/>
          <w:lang w:eastAsia="de-DE"/>
        </w:rPr>
        <w:t>Program</w:t>
      </w:r>
      <w:r w:rsidRPr="006C399B">
        <w:rPr>
          <w:rFonts w:ascii="Arial" w:hAnsi="Arial" w:cs="Arial"/>
          <w:sz w:val="20"/>
          <w:szCs w:val="20"/>
          <w:lang w:eastAsia="de-DE"/>
        </w:rPr>
        <w:t xml:space="preserve">, preporučuje </w:t>
      </w:r>
      <w:r>
        <w:rPr>
          <w:rFonts w:ascii="Arial" w:hAnsi="Arial" w:cs="Arial"/>
          <w:sz w:val="20"/>
          <w:szCs w:val="20"/>
          <w:lang w:eastAsia="de-DE"/>
        </w:rPr>
        <w:t xml:space="preserve">se </w:t>
      </w:r>
      <w:r w:rsidRPr="006C399B">
        <w:rPr>
          <w:rFonts w:ascii="Arial" w:hAnsi="Arial" w:cs="Arial"/>
          <w:sz w:val="20"/>
          <w:szCs w:val="20"/>
          <w:lang w:eastAsia="de-DE"/>
        </w:rPr>
        <w:t xml:space="preserve">uvođenje organizacione strukture koja bi delegirala više odgovornosti drugim relevantnim akterima, uz očuvanje koordinacione strukture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U tom smislu,  preporučuje </w:t>
      </w:r>
      <w:r>
        <w:rPr>
          <w:rFonts w:ascii="Arial" w:hAnsi="Arial" w:cs="Arial"/>
          <w:sz w:val="20"/>
          <w:szCs w:val="20"/>
          <w:lang w:eastAsia="de-DE"/>
        </w:rPr>
        <w:t xml:space="preserve">se </w:t>
      </w:r>
      <w:r w:rsidRPr="006C399B">
        <w:rPr>
          <w:rFonts w:ascii="Arial" w:hAnsi="Arial" w:cs="Arial"/>
          <w:sz w:val="20"/>
          <w:szCs w:val="20"/>
          <w:lang w:eastAsia="de-DE"/>
        </w:rPr>
        <w:t xml:space="preserve">formiranje Operativnog tima, koji bi činili predstavnici </w:t>
      </w:r>
      <w:r>
        <w:rPr>
          <w:rFonts w:ascii="Arial" w:hAnsi="Arial" w:cs="Arial"/>
          <w:sz w:val="20"/>
          <w:szCs w:val="20"/>
          <w:lang w:eastAsia="de-DE"/>
        </w:rPr>
        <w:t>Ministarstva</w:t>
      </w:r>
      <w:r w:rsidRPr="006C399B">
        <w:rPr>
          <w:rFonts w:ascii="Arial" w:hAnsi="Arial" w:cs="Arial"/>
          <w:sz w:val="20"/>
          <w:szCs w:val="20"/>
          <w:lang w:eastAsia="de-DE"/>
        </w:rPr>
        <w:t xml:space="preserve"> i drugih javnih tela koja imaju najviše aktivnosti u okviru </w:t>
      </w:r>
      <w:r>
        <w:rPr>
          <w:rFonts w:ascii="Arial" w:hAnsi="Arial" w:cs="Arial"/>
          <w:sz w:val="20"/>
          <w:szCs w:val="20"/>
          <w:lang w:eastAsia="de-DE"/>
        </w:rPr>
        <w:t>Programa</w:t>
      </w:r>
      <w:r w:rsidRPr="006C399B">
        <w:rPr>
          <w:rFonts w:ascii="Arial" w:hAnsi="Arial" w:cs="Arial"/>
          <w:sz w:val="20"/>
          <w:szCs w:val="20"/>
          <w:lang w:eastAsia="de-DE"/>
        </w:rPr>
        <w:t xml:space="preserve">. Uloga </w:t>
      </w:r>
      <w:r>
        <w:rPr>
          <w:rFonts w:ascii="Arial" w:hAnsi="Arial" w:cs="Arial"/>
          <w:sz w:val="20"/>
          <w:szCs w:val="20"/>
          <w:lang w:eastAsia="de-DE"/>
        </w:rPr>
        <w:t>operativnog tima</w:t>
      </w:r>
      <w:r w:rsidRPr="006C399B">
        <w:rPr>
          <w:rFonts w:ascii="Arial" w:hAnsi="Arial" w:cs="Arial"/>
          <w:sz w:val="20"/>
          <w:szCs w:val="20"/>
          <w:lang w:eastAsia="de-DE"/>
        </w:rPr>
        <w:t xml:space="preserve"> bi bila da operativno vodi sprovođenje </w:t>
      </w:r>
      <w:r>
        <w:rPr>
          <w:rFonts w:ascii="Arial" w:hAnsi="Arial" w:cs="Arial"/>
          <w:sz w:val="20"/>
          <w:szCs w:val="20"/>
          <w:lang w:eastAsia="de-DE"/>
        </w:rPr>
        <w:t>Programa</w:t>
      </w:r>
      <w:r w:rsidRPr="006C399B">
        <w:rPr>
          <w:rFonts w:ascii="Arial" w:hAnsi="Arial" w:cs="Arial"/>
          <w:sz w:val="20"/>
          <w:szCs w:val="20"/>
          <w:lang w:eastAsia="de-DE"/>
        </w:rPr>
        <w:t xml:space="preserve">, osiguravajući blagovremeno korišćenje resursa, pojednostavljujući aktivnosti praćenja i </w:t>
      </w:r>
      <w:proofErr w:type="spellStart"/>
      <w:r w:rsidRPr="006C399B">
        <w:rPr>
          <w:rFonts w:ascii="Arial" w:hAnsi="Arial" w:cs="Arial"/>
          <w:sz w:val="20"/>
          <w:szCs w:val="20"/>
          <w:lang w:eastAsia="de-DE"/>
        </w:rPr>
        <w:t>pripremajući</w:t>
      </w:r>
      <w:proofErr w:type="spellEnd"/>
      <w:r w:rsidRPr="006C399B">
        <w:rPr>
          <w:rFonts w:ascii="Arial" w:hAnsi="Arial" w:cs="Arial"/>
          <w:sz w:val="20"/>
          <w:szCs w:val="20"/>
          <w:lang w:eastAsia="de-DE"/>
        </w:rPr>
        <w:t xml:space="preserve"> dokumenta za sednice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w:t>
      </w:r>
      <w:r>
        <w:rPr>
          <w:rFonts w:ascii="Arial" w:hAnsi="Arial" w:cs="Arial"/>
          <w:sz w:val="20"/>
          <w:szCs w:val="20"/>
          <w:lang w:eastAsia="de-DE"/>
        </w:rPr>
        <w:t>Timom</w:t>
      </w:r>
      <w:r w:rsidRPr="006C399B">
        <w:rPr>
          <w:rFonts w:ascii="Arial" w:hAnsi="Arial" w:cs="Arial"/>
          <w:sz w:val="20"/>
          <w:szCs w:val="20"/>
          <w:lang w:eastAsia="de-DE"/>
        </w:rPr>
        <w:t xml:space="preserve"> bi predsedavao predstavnik </w:t>
      </w:r>
      <w:r>
        <w:rPr>
          <w:rFonts w:ascii="Arial" w:hAnsi="Arial" w:cs="Arial"/>
          <w:sz w:val="20"/>
          <w:szCs w:val="20"/>
          <w:lang w:eastAsia="de-DE"/>
        </w:rPr>
        <w:t>Ministarstva</w:t>
      </w:r>
      <w:r w:rsidRPr="006C399B">
        <w:rPr>
          <w:rFonts w:ascii="Arial" w:hAnsi="Arial" w:cs="Arial"/>
          <w:sz w:val="20"/>
          <w:szCs w:val="20"/>
          <w:lang w:eastAsia="de-DE"/>
        </w:rPr>
        <w:t xml:space="preserve">, </w:t>
      </w:r>
      <w:r>
        <w:rPr>
          <w:rFonts w:ascii="Arial" w:hAnsi="Arial" w:cs="Arial"/>
          <w:sz w:val="20"/>
          <w:szCs w:val="20"/>
          <w:lang w:eastAsia="de-DE"/>
        </w:rPr>
        <w:t xml:space="preserve">pri čemu bi se uspostavio </w:t>
      </w:r>
      <w:r w:rsidRPr="006C399B">
        <w:rPr>
          <w:rFonts w:ascii="Arial" w:hAnsi="Arial" w:cs="Arial"/>
          <w:sz w:val="20"/>
          <w:szCs w:val="20"/>
          <w:lang w:eastAsia="de-DE"/>
        </w:rPr>
        <w:t xml:space="preserve">sistem zamenika iz drugih ministarstava/agencija, osiguravajući da </w:t>
      </w:r>
      <w:r>
        <w:rPr>
          <w:rFonts w:ascii="Arial" w:hAnsi="Arial" w:cs="Arial"/>
          <w:sz w:val="20"/>
          <w:szCs w:val="20"/>
          <w:lang w:eastAsia="de-DE"/>
        </w:rPr>
        <w:t>tim</w:t>
      </w:r>
      <w:r w:rsidRPr="006C399B">
        <w:rPr>
          <w:rFonts w:ascii="Arial" w:hAnsi="Arial" w:cs="Arial"/>
          <w:sz w:val="20"/>
          <w:szCs w:val="20"/>
          <w:lang w:eastAsia="de-DE"/>
        </w:rPr>
        <w:t xml:space="preserve"> ne zavisi u potpunosti od kapaciteta jedne institucije. Struktura zamenika bi morala biti određena tokom dizajniranja </w:t>
      </w:r>
      <w:r>
        <w:rPr>
          <w:rFonts w:ascii="Arial" w:hAnsi="Arial" w:cs="Arial"/>
          <w:sz w:val="20"/>
          <w:szCs w:val="20"/>
          <w:lang w:eastAsia="de-DE"/>
        </w:rPr>
        <w:t>Programa</w:t>
      </w:r>
      <w:r w:rsidRPr="006C399B">
        <w:rPr>
          <w:rFonts w:ascii="Arial" w:hAnsi="Arial" w:cs="Arial"/>
          <w:sz w:val="20"/>
          <w:szCs w:val="20"/>
          <w:lang w:eastAsia="de-DE"/>
        </w:rPr>
        <w:t xml:space="preserve"> i pratećeg akcionog plana, kao i komunikacione strategije, </w:t>
      </w:r>
      <w:r>
        <w:rPr>
          <w:rFonts w:ascii="Arial" w:hAnsi="Arial" w:cs="Arial"/>
          <w:sz w:val="20"/>
          <w:szCs w:val="20"/>
          <w:lang w:eastAsia="de-DE"/>
        </w:rPr>
        <w:t xml:space="preserve">imajući u vidu </w:t>
      </w:r>
      <w:r w:rsidRPr="006C399B">
        <w:rPr>
          <w:rFonts w:ascii="Arial" w:hAnsi="Arial" w:cs="Arial"/>
          <w:sz w:val="20"/>
          <w:szCs w:val="20"/>
          <w:lang w:eastAsia="de-DE"/>
        </w:rPr>
        <w:t xml:space="preserve">da tela sa najviše aktivnosti </w:t>
      </w:r>
      <w:r>
        <w:rPr>
          <w:rFonts w:ascii="Arial" w:hAnsi="Arial" w:cs="Arial"/>
          <w:sz w:val="20"/>
          <w:szCs w:val="20"/>
          <w:lang w:eastAsia="de-DE"/>
        </w:rPr>
        <w:t>s</w:t>
      </w:r>
      <w:r w:rsidRPr="006C399B">
        <w:rPr>
          <w:rFonts w:ascii="Arial" w:hAnsi="Arial" w:cs="Arial"/>
          <w:sz w:val="20"/>
          <w:szCs w:val="20"/>
          <w:lang w:eastAsia="de-DE"/>
        </w:rPr>
        <w:t xml:space="preserve">nose najveću odgovornost u radu </w:t>
      </w:r>
      <w:r>
        <w:rPr>
          <w:rFonts w:ascii="Arial" w:hAnsi="Arial" w:cs="Arial"/>
          <w:sz w:val="20"/>
          <w:szCs w:val="20"/>
          <w:lang w:eastAsia="de-DE"/>
        </w:rPr>
        <w:t>operativnog tima.</w:t>
      </w:r>
    </w:p>
    <w:p w14:paraId="01D13D2F" w14:textId="6BADDF3A" w:rsidR="00BD4E98" w:rsidRPr="006C399B" w:rsidRDefault="00BD4E98" w:rsidP="00BD4E98">
      <w:pPr>
        <w:jc w:val="both"/>
        <w:rPr>
          <w:rFonts w:ascii="Arial" w:hAnsi="Arial" w:cs="Arial"/>
          <w:sz w:val="20"/>
          <w:szCs w:val="20"/>
          <w:lang w:eastAsia="de-DE"/>
        </w:rPr>
      </w:pPr>
      <w:r w:rsidRPr="006C399B">
        <w:rPr>
          <w:rFonts w:ascii="Arial" w:hAnsi="Arial" w:cs="Arial"/>
          <w:sz w:val="20"/>
          <w:szCs w:val="20"/>
          <w:lang w:eastAsia="de-DE"/>
        </w:rPr>
        <w:t xml:space="preserve">U konsultacijama sa </w:t>
      </w:r>
      <w:r>
        <w:rPr>
          <w:rFonts w:ascii="Arial" w:hAnsi="Arial" w:cs="Arial"/>
          <w:sz w:val="20"/>
          <w:szCs w:val="20"/>
          <w:lang w:eastAsia="de-DE"/>
        </w:rPr>
        <w:t>Ministarstvom je</w:t>
      </w:r>
      <w:r w:rsidRPr="006C399B">
        <w:rPr>
          <w:rFonts w:ascii="Arial" w:hAnsi="Arial" w:cs="Arial"/>
          <w:sz w:val="20"/>
          <w:szCs w:val="20"/>
          <w:lang w:eastAsia="de-DE"/>
        </w:rPr>
        <w:t xml:space="preserve"> zaključeno je da bi osnivanje </w:t>
      </w:r>
      <w:r>
        <w:rPr>
          <w:rFonts w:ascii="Arial" w:hAnsi="Arial" w:cs="Arial"/>
          <w:sz w:val="20"/>
          <w:szCs w:val="20"/>
          <w:lang w:eastAsia="de-DE"/>
        </w:rPr>
        <w:t>operativnog tima</w:t>
      </w:r>
      <w:r w:rsidRPr="006C399B">
        <w:rPr>
          <w:rFonts w:ascii="Arial" w:hAnsi="Arial" w:cs="Arial"/>
          <w:sz w:val="20"/>
          <w:szCs w:val="20"/>
          <w:lang w:eastAsia="de-DE"/>
        </w:rPr>
        <w:t xml:space="preserve"> bilo </w:t>
      </w:r>
      <w:r>
        <w:rPr>
          <w:rFonts w:ascii="Arial" w:hAnsi="Arial" w:cs="Arial"/>
          <w:sz w:val="20"/>
          <w:szCs w:val="20"/>
          <w:lang w:eastAsia="de-DE"/>
        </w:rPr>
        <w:t>nepoželjno sa</w:t>
      </w:r>
      <w:r w:rsidRPr="006C399B">
        <w:rPr>
          <w:rFonts w:ascii="Arial" w:hAnsi="Arial" w:cs="Arial"/>
          <w:sz w:val="20"/>
          <w:szCs w:val="20"/>
          <w:lang w:eastAsia="de-DE"/>
        </w:rPr>
        <w:t xml:space="preserve"> obzirom na funkcionalnost </w:t>
      </w:r>
      <w:proofErr w:type="spellStart"/>
      <w:r>
        <w:rPr>
          <w:rFonts w:ascii="Arial" w:hAnsi="Arial" w:cs="Arial"/>
          <w:sz w:val="20"/>
          <w:szCs w:val="20"/>
          <w:lang w:eastAsia="de-DE"/>
        </w:rPr>
        <w:t>Savjeta</w:t>
      </w:r>
      <w:proofErr w:type="spellEnd"/>
      <w:r w:rsidRPr="006C399B">
        <w:rPr>
          <w:rFonts w:ascii="Arial" w:hAnsi="Arial" w:cs="Arial"/>
          <w:sz w:val="20"/>
          <w:szCs w:val="20"/>
          <w:lang w:eastAsia="de-DE"/>
        </w:rPr>
        <w:t xml:space="preserve"> kao koordinacionog i operativnog tela. Međutim, takođe je zaključeno da kapacitete </w:t>
      </w:r>
      <w:r w:rsidR="007C3CD4">
        <w:rPr>
          <w:rFonts w:ascii="Arial" w:hAnsi="Arial" w:cs="Arial"/>
          <w:sz w:val="20"/>
          <w:szCs w:val="20"/>
          <w:lang w:eastAsia="de-DE"/>
        </w:rPr>
        <w:t>Ministarstva</w:t>
      </w:r>
      <w:r w:rsidRPr="006C399B">
        <w:rPr>
          <w:rFonts w:ascii="Arial" w:hAnsi="Arial" w:cs="Arial"/>
          <w:sz w:val="20"/>
          <w:szCs w:val="20"/>
          <w:lang w:eastAsia="de-DE"/>
        </w:rPr>
        <w:t xml:space="preserve"> treba dalje razvijati kako bi se politike zaštite potrošača sprovodile blagovremeno, efikasno i delotvorno. U tom smislu, kao alternativa uspostavljanju operativnog tima kao  </w:t>
      </w:r>
      <w:proofErr w:type="spellStart"/>
      <w:r>
        <w:rPr>
          <w:rFonts w:ascii="Arial" w:hAnsi="Arial" w:cs="Arial"/>
          <w:sz w:val="20"/>
          <w:szCs w:val="20"/>
          <w:lang w:eastAsia="de-DE"/>
        </w:rPr>
        <w:t>međuresorsnog</w:t>
      </w:r>
      <w:proofErr w:type="spellEnd"/>
      <w:r>
        <w:rPr>
          <w:rFonts w:ascii="Arial" w:hAnsi="Arial" w:cs="Arial"/>
          <w:sz w:val="20"/>
          <w:szCs w:val="20"/>
          <w:lang w:eastAsia="de-DE"/>
        </w:rPr>
        <w:t xml:space="preserve"> tela</w:t>
      </w:r>
      <w:r w:rsidRPr="006C399B">
        <w:rPr>
          <w:rFonts w:ascii="Arial" w:hAnsi="Arial" w:cs="Arial"/>
          <w:sz w:val="20"/>
          <w:szCs w:val="20"/>
          <w:lang w:eastAsia="de-DE"/>
        </w:rPr>
        <w:t xml:space="preserve">, alternativa bi predvidela reorganizaciju Ministarstva </w:t>
      </w:r>
      <w:r>
        <w:rPr>
          <w:rFonts w:ascii="Arial" w:hAnsi="Arial" w:cs="Arial"/>
          <w:sz w:val="20"/>
          <w:szCs w:val="20"/>
          <w:lang w:eastAsia="de-DE"/>
        </w:rPr>
        <w:t>ekonomskog razvoja</w:t>
      </w:r>
      <w:r w:rsidRPr="006C399B">
        <w:rPr>
          <w:rFonts w:ascii="Arial" w:hAnsi="Arial" w:cs="Arial"/>
          <w:sz w:val="20"/>
          <w:szCs w:val="20"/>
          <w:lang w:eastAsia="de-DE"/>
        </w:rPr>
        <w:t xml:space="preserve"> dodavanjem još jedne organizacione jedinice koja bi pomagala postojećem </w:t>
      </w:r>
      <w:proofErr w:type="spellStart"/>
      <w:r w:rsidRPr="006C399B">
        <w:rPr>
          <w:rFonts w:ascii="Arial" w:hAnsi="Arial" w:cs="Arial"/>
          <w:sz w:val="20"/>
          <w:szCs w:val="20"/>
          <w:lang w:eastAsia="de-DE"/>
        </w:rPr>
        <w:t>Direktoratu</w:t>
      </w:r>
      <w:proofErr w:type="spellEnd"/>
      <w:r w:rsidRPr="006C399B">
        <w:rPr>
          <w:rFonts w:ascii="Arial" w:hAnsi="Arial" w:cs="Arial"/>
          <w:sz w:val="20"/>
          <w:szCs w:val="20"/>
          <w:lang w:eastAsia="de-DE"/>
        </w:rPr>
        <w:t xml:space="preserve"> za zaštitu potrošača. Stoga bi </w:t>
      </w:r>
      <w:r>
        <w:rPr>
          <w:rFonts w:ascii="Arial" w:hAnsi="Arial" w:cs="Arial"/>
          <w:sz w:val="20"/>
          <w:szCs w:val="20"/>
          <w:lang w:eastAsia="de-DE"/>
        </w:rPr>
        <w:t>Ministarstvo</w:t>
      </w:r>
      <w:r w:rsidRPr="006C399B">
        <w:rPr>
          <w:rFonts w:ascii="Arial" w:hAnsi="Arial" w:cs="Arial"/>
          <w:sz w:val="20"/>
          <w:szCs w:val="20"/>
          <w:lang w:eastAsia="de-DE"/>
        </w:rPr>
        <w:t xml:space="preserve"> ima</w:t>
      </w:r>
      <w:r>
        <w:rPr>
          <w:rFonts w:ascii="Arial" w:hAnsi="Arial" w:cs="Arial"/>
          <w:sz w:val="20"/>
          <w:szCs w:val="20"/>
          <w:lang w:eastAsia="de-DE"/>
        </w:rPr>
        <w:t>lo</w:t>
      </w:r>
      <w:r w:rsidRPr="006C399B">
        <w:rPr>
          <w:rFonts w:ascii="Arial" w:hAnsi="Arial" w:cs="Arial"/>
          <w:sz w:val="20"/>
          <w:szCs w:val="20"/>
          <w:lang w:eastAsia="de-DE"/>
        </w:rPr>
        <w:t xml:space="preserve"> dve različite jedinice, od kojih bi jedna bila nadležna za sprovođenje regulatornih aktivnosti u okviru agende zaštite potrošača, a druga za sprovođenje strateških aktivnosti, u skladu sa novim </w:t>
      </w:r>
      <w:r>
        <w:rPr>
          <w:rFonts w:ascii="Arial" w:hAnsi="Arial" w:cs="Arial"/>
          <w:sz w:val="20"/>
          <w:szCs w:val="20"/>
          <w:lang w:eastAsia="de-DE"/>
        </w:rPr>
        <w:t>Programom i drugim strateškim dokumentima</w:t>
      </w:r>
      <w:r w:rsidRPr="006C399B">
        <w:rPr>
          <w:rFonts w:ascii="Arial" w:hAnsi="Arial" w:cs="Arial"/>
          <w:sz w:val="20"/>
          <w:szCs w:val="20"/>
          <w:lang w:eastAsia="de-DE"/>
        </w:rPr>
        <w:t>.</w:t>
      </w:r>
    </w:p>
    <w:p w14:paraId="5324E560" w14:textId="77777777" w:rsidR="00BD4E98" w:rsidRPr="009B64EB" w:rsidRDefault="00BD4E98" w:rsidP="00BD4E98">
      <w:pPr>
        <w:jc w:val="both"/>
        <w:rPr>
          <w:rFonts w:ascii="Arial" w:hAnsi="Arial" w:cs="Arial"/>
          <w:sz w:val="20"/>
          <w:szCs w:val="20"/>
          <w:lang w:eastAsia="de-DE"/>
        </w:rPr>
      </w:pPr>
      <w:r w:rsidRPr="006C399B">
        <w:rPr>
          <w:rFonts w:ascii="Arial" w:hAnsi="Arial" w:cs="Arial"/>
          <w:sz w:val="20"/>
          <w:szCs w:val="20"/>
          <w:lang w:eastAsia="de-DE"/>
        </w:rPr>
        <w:t xml:space="preserve">Sistem </w:t>
      </w:r>
      <w:r>
        <w:rPr>
          <w:rFonts w:ascii="Arial" w:hAnsi="Arial" w:cs="Arial"/>
          <w:sz w:val="20"/>
          <w:szCs w:val="20"/>
          <w:lang w:eastAsia="de-DE"/>
        </w:rPr>
        <w:t>za monitoring i evaluaciju</w:t>
      </w:r>
      <w:r w:rsidRPr="006C399B">
        <w:rPr>
          <w:rFonts w:ascii="Arial" w:hAnsi="Arial" w:cs="Arial"/>
          <w:sz w:val="20"/>
          <w:szCs w:val="20"/>
          <w:lang w:eastAsia="de-DE"/>
        </w:rPr>
        <w:t xml:space="preserve"> </w:t>
      </w:r>
      <w:r>
        <w:rPr>
          <w:rFonts w:ascii="Arial" w:hAnsi="Arial" w:cs="Arial"/>
          <w:sz w:val="20"/>
          <w:szCs w:val="20"/>
          <w:lang w:eastAsia="de-DE"/>
        </w:rPr>
        <w:t>Programa</w:t>
      </w:r>
      <w:r w:rsidRPr="006C399B">
        <w:rPr>
          <w:rFonts w:ascii="Arial" w:hAnsi="Arial" w:cs="Arial"/>
          <w:sz w:val="20"/>
          <w:szCs w:val="20"/>
          <w:lang w:eastAsia="de-DE"/>
        </w:rPr>
        <w:t xml:space="preserve"> ocenjen je kao efikasan i blagovremen u izradi godišnjih izveštaja o implementaciji. S</w:t>
      </w:r>
      <w:r>
        <w:rPr>
          <w:rFonts w:ascii="Arial" w:hAnsi="Arial" w:cs="Arial"/>
          <w:sz w:val="20"/>
          <w:szCs w:val="20"/>
          <w:lang w:eastAsia="de-DE"/>
        </w:rPr>
        <w:t>a</w:t>
      </w:r>
      <w:r w:rsidRPr="006C399B">
        <w:rPr>
          <w:rFonts w:ascii="Arial" w:hAnsi="Arial" w:cs="Arial"/>
          <w:sz w:val="20"/>
          <w:szCs w:val="20"/>
          <w:lang w:eastAsia="de-DE"/>
        </w:rPr>
        <w:t xml:space="preserve"> druge strane, </w:t>
      </w:r>
      <w:r>
        <w:rPr>
          <w:rFonts w:ascii="Arial" w:hAnsi="Arial" w:cs="Arial"/>
          <w:sz w:val="20"/>
          <w:szCs w:val="20"/>
          <w:lang w:eastAsia="de-DE"/>
        </w:rPr>
        <w:t>zaključci evaluacije govore da</w:t>
      </w:r>
      <w:r w:rsidRPr="006C399B">
        <w:rPr>
          <w:rFonts w:ascii="Arial" w:hAnsi="Arial" w:cs="Arial"/>
          <w:sz w:val="20"/>
          <w:szCs w:val="20"/>
          <w:lang w:eastAsia="de-DE"/>
        </w:rPr>
        <w:t xml:space="preserve"> je bio fokusiran </w:t>
      </w:r>
      <w:r>
        <w:rPr>
          <w:rFonts w:ascii="Arial" w:hAnsi="Arial" w:cs="Arial"/>
          <w:sz w:val="20"/>
          <w:szCs w:val="20"/>
          <w:lang w:eastAsia="de-DE"/>
        </w:rPr>
        <w:t xml:space="preserve">u velikoj meri </w:t>
      </w:r>
      <w:r w:rsidRPr="006C399B">
        <w:rPr>
          <w:rFonts w:ascii="Arial" w:hAnsi="Arial" w:cs="Arial"/>
          <w:sz w:val="20"/>
          <w:szCs w:val="20"/>
          <w:lang w:eastAsia="de-DE"/>
        </w:rPr>
        <w:t xml:space="preserve">na administrativno izveštavanje, dok je komponenta učenja nedostajala. Stoga, poboljšani MEL sistem treba da predvidi i adaptivne mere koje </w:t>
      </w:r>
      <w:r>
        <w:rPr>
          <w:rFonts w:ascii="Arial" w:hAnsi="Arial" w:cs="Arial"/>
          <w:sz w:val="20"/>
          <w:szCs w:val="20"/>
          <w:lang w:eastAsia="de-DE"/>
        </w:rPr>
        <w:t>bi</w:t>
      </w:r>
      <w:r w:rsidRPr="006C399B">
        <w:rPr>
          <w:rFonts w:ascii="Arial" w:hAnsi="Arial" w:cs="Arial"/>
          <w:sz w:val="20"/>
          <w:szCs w:val="20"/>
          <w:lang w:eastAsia="de-DE"/>
        </w:rPr>
        <w:t xml:space="preserve"> se primen</w:t>
      </w:r>
      <w:r>
        <w:rPr>
          <w:rFonts w:ascii="Arial" w:hAnsi="Arial" w:cs="Arial"/>
          <w:sz w:val="20"/>
          <w:szCs w:val="20"/>
          <w:lang w:eastAsia="de-DE"/>
        </w:rPr>
        <w:t>jivale</w:t>
      </w:r>
      <w:r w:rsidRPr="006C399B">
        <w:rPr>
          <w:rFonts w:ascii="Arial" w:hAnsi="Arial" w:cs="Arial"/>
          <w:sz w:val="20"/>
          <w:szCs w:val="20"/>
          <w:lang w:eastAsia="de-DE"/>
        </w:rPr>
        <w:t xml:space="preserve"> </w:t>
      </w:r>
      <w:r>
        <w:rPr>
          <w:rFonts w:ascii="Arial" w:hAnsi="Arial" w:cs="Arial"/>
          <w:sz w:val="20"/>
          <w:szCs w:val="20"/>
          <w:lang w:eastAsia="de-DE"/>
        </w:rPr>
        <w:t xml:space="preserve">u slučajevima kada bi se utvrdilo da Program </w:t>
      </w:r>
      <w:r w:rsidRPr="006C399B">
        <w:rPr>
          <w:rFonts w:ascii="Arial" w:hAnsi="Arial" w:cs="Arial"/>
          <w:sz w:val="20"/>
          <w:szCs w:val="20"/>
          <w:lang w:eastAsia="de-DE"/>
        </w:rPr>
        <w:t xml:space="preserve">ne ispunjavaju </w:t>
      </w:r>
      <w:r>
        <w:rPr>
          <w:rFonts w:ascii="Arial" w:hAnsi="Arial" w:cs="Arial"/>
          <w:sz w:val="20"/>
          <w:szCs w:val="20"/>
          <w:lang w:eastAsia="de-DE"/>
        </w:rPr>
        <w:t xml:space="preserve">zacrtane ciljeve </w:t>
      </w:r>
      <w:r w:rsidRPr="006C399B">
        <w:rPr>
          <w:rFonts w:ascii="Arial" w:hAnsi="Arial" w:cs="Arial"/>
          <w:sz w:val="20"/>
          <w:szCs w:val="20"/>
          <w:lang w:eastAsia="de-DE"/>
        </w:rPr>
        <w:t xml:space="preserve">iz različitih razloga (političke promene, </w:t>
      </w:r>
      <w:proofErr w:type="spellStart"/>
      <w:r w:rsidRPr="006C399B">
        <w:rPr>
          <w:rFonts w:ascii="Arial" w:hAnsi="Arial" w:cs="Arial"/>
          <w:sz w:val="20"/>
          <w:szCs w:val="20"/>
          <w:lang w:eastAsia="de-DE"/>
        </w:rPr>
        <w:t>socio</w:t>
      </w:r>
      <w:proofErr w:type="spellEnd"/>
      <w:r w:rsidRPr="006C399B">
        <w:rPr>
          <w:rFonts w:ascii="Arial" w:hAnsi="Arial" w:cs="Arial"/>
          <w:sz w:val="20"/>
          <w:szCs w:val="20"/>
          <w:lang w:eastAsia="de-DE"/>
        </w:rPr>
        <w:t xml:space="preserve">-ekonomske okolnosti, </w:t>
      </w:r>
      <w:r w:rsidRPr="006C399B">
        <w:rPr>
          <w:rFonts w:ascii="Arial" w:hAnsi="Arial" w:cs="Arial"/>
          <w:sz w:val="20"/>
          <w:szCs w:val="20"/>
          <w:lang w:eastAsia="de-DE"/>
        </w:rPr>
        <w:lastRenderedPageBreak/>
        <w:t xml:space="preserve">institucionalni problemi itd.). Ove mere treba da budu uključene u sam Program i da predviđaju mogućnost da se tokom implementacije novog </w:t>
      </w:r>
      <w:r>
        <w:rPr>
          <w:rFonts w:ascii="Arial" w:hAnsi="Arial" w:cs="Arial"/>
          <w:sz w:val="20"/>
          <w:szCs w:val="20"/>
          <w:lang w:eastAsia="de-DE"/>
        </w:rPr>
        <w:t>Programa</w:t>
      </w:r>
      <w:r w:rsidRPr="006C399B">
        <w:rPr>
          <w:rFonts w:ascii="Arial" w:hAnsi="Arial" w:cs="Arial"/>
          <w:sz w:val="20"/>
          <w:szCs w:val="20"/>
          <w:lang w:eastAsia="de-DE"/>
        </w:rPr>
        <w:t xml:space="preserve"> mogu izvršiti izmene </w:t>
      </w:r>
      <w:r>
        <w:rPr>
          <w:rFonts w:ascii="Arial" w:hAnsi="Arial" w:cs="Arial"/>
          <w:sz w:val="20"/>
          <w:szCs w:val="20"/>
          <w:lang w:eastAsia="de-DE"/>
        </w:rPr>
        <w:t>Programa</w:t>
      </w:r>
      <w:r w:rsidRPr="006C399B">
        <w:rPr>
          <w:rFonts w:ascii="Arial" w:hAnsi="Arial" w:cs="Arial"/>
          <w:sz w:val="20"/>
          <w:szCs w:val="20"/>
          <w:lang w:eastAsia="de-DE"/>
        </w:rPr>
        <w:t xml:space="preserve"> nakon pružanja dokaza koji govore u prilog takvim promenama. </w:t>
      </w:r>
      <w:r>
        <w:rPr>
          <w:rFonts w:ascii="Arial" w:hAnsi="Arial" w:cs="Arial"/>
          <w:sz w:val="20"/>
          <w:szCs w:val="20"/>
          <w:lang w:eastAsia="de-DE"/>
        </w:rPr>
        <w:t>Program</w:t>
      </w:r>
      <w:r w:rsidRPr="006C399B">
        <w:rPr>
          <w:rFonts w:ascii="Arial" w:hAnsi="Arial" w:cs="Arial"/>
          <w:sz w:val="20"/>
          <w:szCs w:val="20"/>
          <w:lang w:eastAsia="de-DE"/>
        </w:rPr>
        <w:t xml:space="preserve"> se može menjati u smislu strateških i operativnih ciljeva, operativne strukture ili drugih aspekata koji bi odražavali potrebe i dostignuća na realniji način. Stoga bi godišnji akcioni planovi trebalo da budu dizajnirani nakon integracije takvih promena.</w:t>
      </w:r>
    </w:p>
    <w:p w14:paraId="31D25D49" w14:textId="77777777" w:rsidR="00EB58FC" w:rsidRPr="00A20BF1" w:rsidRDefault="00EB58FC" w:rsidP="00C43234">
      <w:pPr>
        <w:rPr>
          <w:rFonts w:ascii="Arial" w:hAnsi="Arial" w:cs="Arial"/>
          <w:b/>
          <w:bCs/>
          <w:i/>
          <w:iCs/>
          <w:szCs w:val="18"/>
          <w:lang w:val="en-GB"/>
        </w:rPr>
      </w:pPr>
    </w:p>
    <w:p w14:paraId="48AC17D2" w14:textId="77777777" w:rsidR="00EB58FC" w:rsidRPr="00A20BF1" w:rsidRDefault="00EB58FC" w:rsidP="00C43234">
      <w:pPr>
        <w:rPr>
          <w:rFonts w:ascii="Arial" w:hAnsi="Arial" w:cs="Arial"/>
          <w:b/>
          <w:bCs/>
          <w:i/>
          <w:iCs/>
          <w:szCs w:val="18"/>
          <w:lang w:val="en-GB"/>
        </w:rPr>
      </w:pPr>
    </w:p>
    <w:p w14:paraId="3C47F993" w14:textId="77777777" w:rsidR="00EB58FC" w:rsidRPr="00A20BF1" w:rsidRDefault="00EB58FC" w:rsidP="00C43234">
      <w:pPr>
        <w:rPr>
          <w:rFonts w:ascii="Arial" w:hAnsi="Arial" w:cs="Arial"/>
          <w:b/>
          <w:bCs/>
          <w:i/>
          <w:iCs/>
          <w:szCs w:val="18"/>
          <w:lang w:val="en-GB"/>
        </w:rPr>
      </w:pPr>
    </w:p>
    <w:p w14:paraId="635CB03C" w14:textId="77777777" w:rsidR="00EB58FC" w:rsidRPr="00A20BF1" w:rsidRDefault="00EB58FC" w:rsidP="00C43234">
      <w:pPr>
        <w:rPr>
          <w:rFonts w:ascii="Arial" w:hAnsi="Arial" w:cs="Arial"/>
          <w:b/>
          <w:bCs/>
          <w:i/>
          <w:iCs/>
          <w:szCs w:val="18"/>
          <w:lang w:val="en-GB"/>
        </w:rPr>
      </w:pPr>
    </w:p>
    <w:p w14:paraId="75D37A6C" w14:textId="3EB3CB63" w:rsidR="002139B3" w:rsidRDefault="002139B3">
      <w:pPr>
        <w:rPr>
          <w:rFonts w:ascii="Arial" w:eastAsia="Times New Roman" w:hAnsi="Arial" w:cs="Arial"/>
          <w:b/>
          <w:bCs/>
          <w:i/>
          <w:iCs/>
          <w:color w:val="0060A9"/>
          <w:kern w:val="32"/>
          <w:sz w:val="24"/>
          <w:szCs w:val="18"/>
          <w:lang w:val="en-GB" w:eastAsia="de-DE"/>
        </w:rPr>
      </w:pPr>
      <w:r>
        <w:rPr>
          <w:rFonts w:ascii="Arial" w:hAnsi="Arial"/>
          <w:b/>
          <w:bCs/>
          <w:i/>
          <w:iCs/>
          <w:szCs w:val="18"/>
        </w:rPr>
        <w:br w:type="page"/>
      </w:r>
    </w:p>
    <w:p w14:paraId="456DA59E" w14:textId="49C61081" w:rsidR="003119F6" w:rsidRPr="00FB25CB" w:rsidRDefault="003119F6" w:rsidP="00DE468B">
      <w:pPr>
        <w:pStyle w:val="Heading1"/>
        <w:numPr>
          <w:ilvl w:val="0"/>
          <w:numId w:val="0"/>
        </w:numPr>
        <w:rPr>
          <w:rFonts w:ascii="Arial" w:hAnsi="Arial"/>
          <w:b/>
          <w:bCs/>
          <w:i/>
          <w:iCs/>
          <w:szCs w:val="18"/>
          <w:lang w:val="sr-Latn-RS"/>
        </w:rPr>
      </w:pPr>
      <w:bookmarkStart w:id="20" w:name="_Toc199479357"/>
      <w:r w:rsidRPr="00FB25CB">
        <w:rPr>
          <w:rFonts w:ascii="Arial" w:hAnsi="Arial"/>
          <w:b/>
          <w:bCs/>
          <w:i/>
          <w:iCs/>
          <w:szCs w:val="18"/>
          <w:lang w:val="sr-Latn-RS"/>
        </w:rPr>
        <w:lastRenderedPageBreak/>
        <w:t>An</w:t>
      </w:r>
      <w:r w:rsidR="00905010" w:rsidRPr="00FB25CB">
        <w:rPr>
          <w:rFonts w:ascii="Arial" w:hAnsi="Arial"/>
          <w:b/>
          <w:bCs/>
          <w:i/>
          <w:iCs/>
          <w:szCs w:val="18"/>
          <w:lang w:val="sr-Latn-RS"/>
        </w:rPr>
        <w:t>eksi</w:t>
      </w:r>
      <w:bookmarkEnd w:id="20"/>
    </w:p>
    <w:p w14:paraId="6D3E8FB5" w14:textId="4FD18000" w:rsidR="007910AB" w:rsidRPr="00FB25CB" w:rsidRDefault="007910AB" w:rsidP="007910AB">
      <w:pPr>
        <w:pStyle w:val="Heading3"/>
        <w:numPr>
          <w:ilvl w:val="0"/>
          <w:numId w:val="0"/>
        </w:numPr>
        <w:ind w:left="567" w:hanging="567"/>
        <w:rPr>
          <w:rFonts w:ascii="Arial" w:hAnsi="Arial"/>
          <w:b/>
          <w:bCs/>
          <w:i/>
          <w:iCs/>
          <w:sz w:val="22"/>
          <w:szCs w:val="28"/>
          <w:lang w:val="sr-Latn-RS"/>
        </w:rPr>
      </w:pPr>
      <w:bookmarkStart w:id="21" w:name="_Toc199479358"/>
      <w:r w:rsidRPr="00FB25CB">
        <w:rPr>
          <w:rFonts w:ascii="Arial" w:hAnsi="Arial"/>
          <w:b/>
          <w:bCs/>
          <w:i/>
          <w:iCs/>
          <w:sz w:val="22"/>
          <w:szCs w:val="28"/>
          <w:lang w:val="sr-Latn-RS"/>
        </w:rPr>
        <w:t xml:space="preserve">I. </w:t>
      </w:r>
      <w:r w:rsidR="00905010" w:rsidRPr="00FB25CB">
        <w:rPr>
          <w:rFonts w:ascii="Arial" w:hAnsi="Arial"/>
          <w:b/>
          <w:bCs/>
          <w:i/>
          <w:iCs/>
          <w:sz w:val="22"/>
          <w:szCs w:val="28"/>
          <w:lang w:val="sr-Latn-RS"/>
        </w:rPr>
        <w:t>Lista dokumenata</w:t>
      </w:r>
      <w:bookmarkEnd w:id="21"/>
    </w:p>
    <w:p w14:paraId="2B58E780" w14:textId="7C22605C" w:rsidR="00663AFC" w:rsidRPr="00FB25CB" w:rsidRDefault="00FB25CB"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Vlada Crne Gore</w:t>
      </w:r>
      <w:r w:rsidR="00663AFC" w:rsidRPr="00FB25CB">
        <w:rPr>
          <w:rFonts w:ascii="Arial" w:hAnsi="Arial" w:cs="Arial"/>
          <w:sz w:val="20"/>
          <w:szCs w:val="20"/>
          <w:lang w:val="sr-Latn-RS" w:eastAsia="de-DE"/>
        </w:rPr>
        <w:t xml:space="preserve"> (2021), </w:t>
      </w:r>
      <w:r w:rsidRPr="00FB25CB">
        <w:rPr>
          <w:rFonts w:ascii="Arial" w:hAnsi="Arial" w:cs="Arial"/>
          <w:sz w:val="20"/>
          <w:szCs w:val="20"/>
          <w:lang w:val="sr-Latn-RS" w:eastAsia="de-DE"/>
        </w:rPr>
        <w:t>Nacionalni programa zaštite potrošača</w:t>
      </w:r>
      <w:r w:rsidR="00663AFC" w:rsidRPr="00FB25CB">
        <w:rPr>
          <w:rFonts w:ascii="Arial" w:hAnsi="Arial" w:cs="Arial"/>
          <w:sz w:val="20"/>
          <w:szCs w:val="20"/>
          <w:lang w:val="sr-Latn-RS" w:eastAsia="de-DE"/>
        </w:rPr>
        <w:t xml:space="preserve"> 2022-2024</w:t>
      </w:r>
    </w:p>
    <w:p w14:paraId="41BF0DA1" w14:textId="6CC8FE92" w:rsidR="00663AFC" w:rsidRPr="00FB25CB" w:rsidRDefault="00FB25CB"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Ministarstvo ekonomskog razvoja</w:t>
      </w:r>
      <w:r w:rsidR="00663AFC" w:rsidRPr="00FB25CB">
        <w:rPr>
          <w:rFonts w:ascii="Arial" w:hAnsi="Arial" w:cs="Arial"/>
          <w:sz w:val="20"/>
          <w:szCs w:val="20"/>
          <w:lang w:val="sr-Latn-RS" w:eastAsia="de-DE"/>
        </w:rPr>
        <w:t xml:space="preserve"> (2023) </w:t>
      </w:r>
      <w:r w:rsidRPr="00FB25CB">
        <w:rPr>
          <w:rFonts w:ascii="Arial" w:hAnsi="Arial" w:cs="Arial"/>
          <w:sz w:val="20"/>
          <w:szCs w:val="20"/>
          <w:lang w:val="sr-Latn-RS" w:eastAsia="de-DE"/>
        </w:rPr>
        <w:t>Akcioni plan za</w:t>
      </w:r>
      <w:r w:rsidR="00663AFC" w:rsidRPr="00FB25CB">
        <w:rPr>
          <w:rFonts w:ascii="Arial" w:hAnsi="Arial" w:cs="Arial"/>
          <w:sz w:val="20"/>
          <w:szCs w:val="20"/>
          <w:lang w:val="sr-Latn-RS" w:eastAsia="de-DE"/>
        </w:rPr>
        <w:t xml:space="preserve"> </w:t>
      </w:r>
      <w:r w:rsidRPr="00FB25CB">
        <w:rPr>
          <w:rFonts w:ascii="Arial" w:hAnsi="Arial" w:cs="Arial"/>
          <w:sz w:val="20"/>
          <w:szCs w:val="20"/>
          <w:lang w:val="sr-Latn-RS" w:eastAsia="de-DE"/>
        </w:rPr>
        <w:t>Nacionalni programa zaštite potrošača</w:t>
      </w:r>
      <w:r w:rsidR="00663AFC" w:rsidRPr="00FB25CB">
        <w:rPr>
          <w:rFonts w:ascii="Arial" w:hAnsi="Arial" w:cs="Arial"/>
          <w:sz w:val="20"/>
          <w:szCs w:val="20"/>
          <w:lang w:val="sr-Latn-RS" w:eastAsia="de-DE"/>
        </w:rPr>
        <w:t xml:space="preserve">, </w:t>
      </w:r>
      <w:r w:rsidRPr="00FB25CB">
        <w:rPr>
          <w:rFonts w:ascii="Arial" w:hAnsi="Arial" w:cs="Arial"/>
          <w:sz w:val="20"/>
          <w:szCs w:val="20"/>
          <w:lang w:val="sr-Latn-RS" w:eastAsia="de-DE"/>
        </w:rPr>
        <w:t xml:space="preserve">za </w:t>
      </w:r>
      <w:r w:rsidR="00663AFC" w:rsidRPr="00FB25CB">
        <w:rPr>
          <w:rFonts w:ascii="Arial" w:hAnsi="Arial" w:cs="Arial"/>
          <w:sz w:val="20"/>
          <w:szCs w:val="20"/>
          <w:lang w:val="sr-Latn-RS" w:eastAsia="de-DE"/>
        </w:rPr>
        <w:t>2023</w:t>
      </w:r>
    </w:p>
    <w:p w14:paraId="4F72A4F5" w14:textId="75DB1E3F" w:rsidR="00FB25CB" w:rsidRPr="00FB25CB" w:rsidRDefault="00FB25CB" w:rsidP="00FB25CB">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Ministarstvo ekonomskog razvoja (2023) Akcioni plan za Nacionalni programa zaštite potrošača, za 2024</w:t>
      </w:r>
    </w:p>
    <w:p w14:paraId="537B465A" w14:textId="0ED601A8" w:rsidR="00663AFC" w:rsidRPr="00FB25CB" w:rsidRDefault="00663AFC"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 xml:space="preserve">Sigma monitoring </w:t>
      </w:r>
      <w:proofErr w:type="spellStart"/>
      <w:r w:rsidRPr="00FB25CB">
        <w:rPr>
          <w:rFonts w:ascii="Arial" w:hAnsi="Arial" w:cs="Arial"/>
          <w:sz w:val="20"/>
          <w:szCs w:val="20"/>
          <w:lang w:val="sr-Latn-RS" w:eastAsia="de-DE"/>
        </w:rPr>
        <w:t>reports</w:t>
      </w:r>
      <w:proofErr w:type="spellEnd"/>
      <w:r w:rsidRPr="00FB25CB">
        <w:rPr>
          <w:rFonts w:ascii="Arial" w:hAnsi="Arial" w:cs="Arial"/>
          <w:sz w:val="20"/>
          <w:szCs w:val="20"/>
          <w:lang w:val="sr-Latn-RS" w:eastAsia="de-DE"/>
        </w:rPr>
        <w:t xml:space="preserve"> (2024), </w:t>
      </w:r>
      <w:proofErr w:type="spellStart"/>
      <w:r w:rsidRPr="00FB25CB">
        <w:rPr>
          <w:rFonts w:ascii="Arial" w:hAnsi="Arial" w:cs="Arial"/>
          <w:sz w:val="20"/>
          <w:szCs w:val="20"/>
          <w:lang w:val="sr-Latn-RS" w:eastAsia="de-DE"/>
        </w:rPr>
        <w:t>Public</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administration</w:t>
      </w:r>
      <w:proofErr w:type="spellEnd"/>
      <w:r w:rsidRPr="00FB25CB">
        <w:rPr>
          <w:rFonts w:ascii="Arial" w:hAnsi="Arial" w:cs="Arial"/>
          <w:sz w:val="20"/>
          <w:szCs w:val="20"/>
          <w:lang w:val="sr-Latn-RS" w:eastAsia="de-DE"/>
        </w:rPr>
        <w:t xml:space="preserve"> in Montenegro 2024</w:t>
      </w:r>
    </w:p>
    <w:p w14:paraId="7A201ED2" w14:textId="7F72AE77" w:rsidR="00663AFC" w:rsidRPr="00FB25CB" w:rsidRDefault="00663AFC"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 xml:space="preserve">Marko </w:t>
      </w:r>
      <w:proofErr w:type="spellStart"/>
      <w:r w:rsidRPr="00FB25CB">
        <w:rPr>
          <w:rFonts w:ascii="Arial" w:hAnsi="Arial" w:cs="Arial"/>
          <w:sz w:val="20"/>
          <w:szCs w:val="20"/>
          <w:lang w:val="sr-Latn-RS" w:eastAsia="de-DE"/>
        </w:rPr>
        <w:t>Beretić</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and</w:t>
      </w:r>
      <w:proofErr w:type="spellEnd"/>
      <w:r w:rsidRPr="00FB25CB">
        <w:rPr>
          <w:rFonts w:ascii="Arial" w:hAnsi="Arial" w:cs="Arial"/>
          <w:sz w:val="20"/>
          <w:szCs w:val="20"/>
          <w:lang w:val="sr-Latn-RS" w:eastAsia="de-DE"/>
        </w:rPr>
        <w:t xml:space="preserve"> Vitomir </w:t>
      </w:r>
      <w:proofErr w:type="spellStart"/>
      <w:r w:rsidRPr="00FB25CB">
        <w:rPr>
          <w:rFonts w:ascii="Arial" w:hAnsi="Arial" w:cs="Arial"/>
          <w:sz w:val="20"/>
          <w:szCs w:val="20"/>
          <w:lang w:val="sr-Latn-RS" w:eastAsia="de-DE"/>
        </w:rPr>
        <w:t>Fister</w:t>
      </w:r>
      <w:proofErr w:type="spellEnd"/>
      <w:r w:rsidRPr="00FB25CB">
        <w:rPr>
          <w:rFonts w:ascii="Arial" w:hAnsi="Arial" w:cs="Arial"/>
          <w:sz w:val="20"/>
          <w:szCs w:val="20"/>
          <w:lang w:val="sr-Latn-RS" w:eastAsia="de-DE"/>
        </w:rPr>
        <w:t xml:space="preserve"> (2022), TAIEX ekspertska Misija o zaštiti potrošača u Crnoj Gori – Ispunjavanje završnog </w:t>
      </w:r>
      <w:proofErr w:type="spellStart"/>
      <w:r w:rsidRPr="00FB25CB">
        <w:rPr>
          <w:rFonts w:ascii="Arial" w:hAnsi="Arial" w:cs="Arial"/>
          <w:sz w:val="20"/>
          <w:szCs w:val="20"/>
          <w:lang w:val="sr-Latn-RS" w:eastAsia="de-DE"/>
        </w:rPr>
        <w:t>mjerila</w:t>
      </w:r>
      <w:proofErr w:type="spellEnd"/>
      <w:r w:rsidRPr="00FB25CB">
        <w:rPr>
          <w:rFonts w:ascii="Arial" w:hAnsi="Arial" w:cs="Arial"/>
          <w:sz w:val="20"/>
          <w:szCs w:val="20"/>
          <w:lang w:val="sr-Latn-RS" w:eastAsia="de-DE"/>
        </w:rPr>
        <w:t xml:space="preserve"> za Poglavlje 28</w:t>
      </w:r>
    </w:p>
    <w:p w14:paraId="17C5839C" w14:textId="06132F7B" w:rsidR="00663AFC" w:rsidRPr="00FB25CB" w:rsidRDefault="00663AFC" w:rsidP="006D6681">
      <w:pPr>
        <w:pStyle w:val="ListParagraph"/>
        <w:numPr>
          <w:ilvl w:val="0"/>
          <w:numId w:val="14"/>
        </w:numPr>
        <w:rPr>
          <w:rFonts w:ascii="Arial" w:hAnsi="Arial" w:cs="Arial"/>
          <w:sz w:val="20"/>
          <w:szCs w:val="20"/>
          <w:lang w:val="sr-Latn-RS" w:eastAsia="de-DE"/>
        </w:rPr>
      </w:pPr>
      <w:proofErr w:type="spellStart"/>
      <w:r w:rsidRPr="00FB25CB">
        <w:rPr>
          <w:rFonts w:ascii="Arial" w:hAnsi="Arial" w:cs="Arial"/>
          <w:sz w:val="20"/>
          <w:szCs w:val="20"/>
          <w:lang w:val="sr-Latn-RS" w:eastAsia="de-DE"/>
        </w:rPr>
        <w:t>European</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Commission</w:t>
      </w:r>
      <w:proofErr w:type="spellEnd"/>
      <w:r w:rsidRPr="00FB25CB">
        <w:rPr>
          <w:rFonts w:ascii="Arial" w:hAnsi="Arial" w:cs="Arial"/>
          <w:sz w:val="20"/>
          <w:szCs w:val="20"/>
          <w:lang w:val="sr-Latn-RS" w:eastAsia="de-DE"/>
        </w:rPr>
        <w:t xml:space="preserve">, SWD (2024), Montenegro 2024 </w:t>
      </w:r>
      <w:proofErr w:type="spellStart"/>
      <w:r w:rsidRPr="00FB25CB">
        <w:rPr>
          <w:rFonts w:ascii="Arial" w:hAnsi="Arial" w:cs="Arial"/>
          <w:sz w:val="20"/>
          <w:szCs w:val="20"/>
          <w:lang w:val="sr-Latn-RS" w:eastAsia="de-DE"/>
        </w:rPr>
        <w:t>Report</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Communication</w:t>
      </w:r>
      <w:proofErr w:type="spellEnd"/>
      <w:r w:rsidRPr="00FB25CB">
        <w:rPr>
          <w:rFonts w:ascii="Arial" w:hAnsi="Arial" w:cs="Arial"/>
          <w:sz w:val="20"/>
          <w:szCs w:val="20"/>
          <w:lang w:val="sr-Latn-RS" w:eastAsia="de-DE"/>
        </w:rPr>
        <w:t xml:space="preserve"> on EU </w:t>
      </w:r>
      <w:proofErr w:type="spellStart"/>
      <w:r w:rsidRPr="00FB25CB">
        <w:rPr>
          <w:rFonts w:ascii="Arial" w:hAnsi="Arial" w:cs="Arial"/>
          <w:sz w:val="20"/>
          <w:szCs w:val="20"/>
          <w:lang w:val="sr-Latn-RS" w:eastAsia="de-DE"/>
        </w:rPr>
        <w:t>enlargement</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policy</w:t>
      </w:r>
      <w:proofErr w:type="spellEnd"/>
    </w:p>
    <w:p w14:paraId="16FCF75E" w14:textId="7B43A3A6" w:rsidR="00663AFC" w:rsidRPr="00FB25CB" w:rsidRDefault="00FB25CB"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Zakon o zaštiti potrošača</w:t>
      </w:r>
      <w:r w:rsidR="00663AFC" w:rsidRPr="00FB25CB">
        <w:rPr>
          <w:rFonts w:ascii="Arial" w:hAnsi="Arial" w:cs="Arial"/>
          <w:sz w:val="20"/>
          <w:szCs w:val="20"/>
          <w:lang w:val="sr-Latn-RS" w:eastAsia="de-DE"/>
        </w:rPr>
        <w:t xml:space="preserve"> (</w:t>
      </w:r>
      <w:proofErr w:type="spellStart"/>
      <w:r w:rsidR="00663AFC" w:rsidRPr="00FB25CB">
        <w:rPr>
          <w:rFonts w:ascii="Arial" w:hAnsi="Arial" w:cs="Arial"/>
          <w:sz w:val="20"/>
          <w:szCs w:val="20"/>
          <w:lang w:val="sr-Latn-RS" w:eastAsia="de-DE"/>
        </w:rPr>
        <w:t>Official</w:t>
      </w:r>
      <w:proofErr w:type="spellEnd"/>
      <w:r w:rsidR="00663AFC" w:rsidRPr="00FB25CB">
        <w:rPr>
          <w:rFonts w:ascii="Arial" w:hAnsi="Arial" w:cs="Arial"/>
          <w:sz w:val="20"/>
          <w:szCs w:val="20"/>
          <w:lang w:val="sr-Latn-RS" w:eastAsia="de-DE"/>
        </w:rPr>
        <w:t xml:space="preserve"> </w:t>
      </w:r>
      <w:proofErr w:type="spellStart"/>
      <w:r w:rsidR="00663AFC" w:rsidRPr="00FB25CB">
        <w:rPr>
          <w:rFonts w:ascii="Arial" w:hAnsi="Arial" w:cs="Arial"/>
          <w:sz w:val="20"/>
          <w:szCs w:val="20"/>
          <w:lang w:val="sr-Latn-RS" w:eastAsia="de-DE"/>
        </w:rPr>
        <w:t>Gazette</w:t>
      </w:r>
      <w:proofErr w:type="spellEnd"/>
      <w:r w:rsidR="00663AFC" w:rsidRPr="00FB25CB">
        <w:rPr>
          <w:rFonts w:ascii="Arial" w:hAnsi="Arial" w:cs="Arial"/>
          <w:sz w:val="20"/>
          <w:szCs w:val="20"/>
          <w:lang w:val="sr-Latn-RS" w:eastAsia="de-DE"/>
        </w:rPr>
        <w:t xml:space="preserve"> </w:t>
      </w:r>
      <w:proofErr w:type="spellStart"/>
      <w:r w:rsidR="00663AFC" w:rsidRPr="00FB25CB">
        <w:rPr>
          <w:rFonts w:ascii="Arial" w:hAnsi="Arial" w:cs="Arial"/>
          <w:sz w:val="20"/>
          <w:szCs w:val="20"/>
          <w:lang w:val="sr-Latn-RS" w:eastAsia="de-DE"/>
        </w:rPr>
        <w:t>of</w:t>
      </w:r>
      <w:proofErr w:type="spellEnd"/>
      <w:r w:rsidR="00663AFC" w:rsidRPr="00FB25CB">
        <w:rPr>
          <w:rFonts w:ascii="Arial" w:hAnsi="Arial" w:cs="Arial"/>
          <w:sz w:val="20"/>
          <w:szCs w:val="20"/>
          <w:lang w:val="sr-Latn-RS" w:eastAsia="de-DE"/>
        </w:rPr>
        <w:t xml:space="preserve"> Montenegro 002/14, 006/14, 043/15, 070/17, </w:t>
      </w:r>
      <w:proofErr w:type="spellStart"/>
      <w:r w:rsidR="00663AFC" w:rsidRPr="00FB25CB">
        <w:rPr>
          <w:rFonts w:ascii="Arial" w:hAnsi="Arial" w:cs="Arial"/>
          <w:sz w:val="20"/>
          <w:szCs w:val="20"/>
          <w:lang w:val="sr-Latn-RS" w:eastAsia="de-DE"/>
        </w:rPr>
        <w:t>and</w:t>
      </w:r>
      <w:proofErr w:type="spellEnd"/>
      <w:r w:rsidR="00663AFC" w:rsidRPr="00FB25CB">
        <w:rPr>
          <w:rFonts w:ascii="Arial" w:hAnsi="Arial" w:cs="Arial"/>
          <w:sz w:val="20"/>
          <w:szCs w:val="20"/>
          <w:lang w:val="sr-Latn-RS" w:eastAsia="de-DE"/>
        </w:rPr>
        <w:t xml:space="preserve"> 67/2019)</w:t>
      </w:r>
    </w:p>
    <w:p w14:paraId="1A595610" w14:textId="5F0BC095" w:rsidR="00663AFC" w:rsidRPr="00FB25CB" w:rsidRDefault="00663AFC" w:rsidP="006D6681">
      <w:pPr>
        <w:pStyle w:val="ListParagraph"/>
        <w:numPr>
          <w:ilvl w:val="0"/>
          <w:numId w:val="14"/>
        </w:numPr>
        <w:rPr>
          <w:rFonts w:ascii="Arial" w:hAnsi="Arial" w:cs="Arial"/>
          <w:sz w:val="20"/>
          <w:szCs w:val="20"/>
          <w:lang w:val="sr-Latn-RS" w:eastAsia="de-DE"/>
        </w:rPr>
      </w:pPr>
      <w:proofErr w:type="spellStart"/>
      <w:r w:rsidRPr="00FB25CB">
        <w:rPr>
          <w:rFonts w:ascii="Arial" w:hAnsi="Arial" w:cs="Arial"/>
          <w:sz w:val="20"/>
          <w:szCs w:val="20"/>
          <w:lang w:val="sr-Latn-RS" w:eastAsia="de-DE"/>
        </w:rPr>
        <w:t>European</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Commission</w:t>
      </w:r>
      <w:proofErr w:type="spellEnd"/>
      <w:r w:rsidRPr="00FB25CB">
        <w:rPr>
          <w:rFonts w:ascii="Arial" w:hAnsi="Arial" w:cs="Arial"/>
          <w:sz w:val="20"/>
          <w:szCs w:val="20"/>
          <w:lang w:val="sr-Latn-RS" w:eastAsia="de-DE"/>
        </w:rPr>
        <w:t xml:space="preserve">, COM (2020) 696, COMMUNICATION FROM THE COMMISSION TO THE EUROPEAN PARLIAMENT AND THE COUNCIL, New </w:t>
      </w:r>
      <w:proofErr w:type="spellStart"/>
      <w:r w:rsidRPr="00FB25CB">
        <w:rPr>
          <w:rFonts w:ascii="Arial" w:hAnsi="Arial" w:cs="Arial"/>
          <w:sz w:val="20"/>
          <w:szCs w:val="20"/>
          <w:lang w:val="sr-Latn-RS" w:eastAsia="de-DE"/>
        </w:rPr>
        <w:t>Consumer</w:t>
      </w:r>
      <w:proofErr w:type="spellEnd"/>
      <w:r w:rsidRPr="00FB25CB">
        <w:rPr>
          <w:rFonts w:ascii="Arial" w:hAnsi="Arial" w:cs="Arial"/>
          <w:sz w:val="20"/>
          <w:szCs w:val="20"/>
          <w:lang w:val="sr-Latn-RS" w:eastAsia="de-DE"/>
        </w:rPr>
        <w:t xml:space="preserve"> Agenda, </w:t>
      </w:r>
      <w:proofErr w:type="spellStart"/>
      <w:r w:rsidRPr="00FB25CB">
        <w:rPr>
          <w:rFonts w:ascii="Arial" w:hAnsi="Arial" w:cs="Arial"/>
          <w:sz w:val="20"/>
          <w:szCs w:val="20"/>
          <w:lang w:val="sr-Latn-RS" w:eastAsia="de-DE"/>
        </w:rPr>
        <w:t>Strengthening</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consumer</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resilience</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for</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sustainable</w:t>
      </w:r>
      <w:proofErr w:type="spellEnd"/>
      <w:r w:rsidRPr="00FB25CB">
        <w:rPr>
          <w:rFonts w:ascii="Arial" w:hAnsi="Arial" w:cs="Arial"/>
          <w:sz w:val="20"/>
          <w:szCs w:val="20"/>
          <w:lang w:val="sr-Latn-RS" w:eastAsia="de-DE"/>
        </w:rPr>
        <w:t xml:space="preserve"> </w:t>
      </w:r>
      <w:proofErr w:type="spellStart"/>
      <w:r w:rsidRPr="00FB25CB">
        <w:rPr>
          <w:rFonts w:ascii="Arial" w:hAnsi="Arial" w:cs="Arial"/>
          <w:sz w:val="20"/>
          <w:szCs w:val="20"/>
          <w:lang w:val="sr-Latn-RS" w:eastAsia="de-DE"/>
        </w:rPr>
        <w:t>recovery</w:t>
      </w:r>
      <w:proofErr w:type="spellEnd"/>
    </w:p>
    <w:p w14:paraId="78333B16" w14:textId="74493C78" w:rsidR="00176DC5" w:rsidRPr="00FB25CB" w:rsidRDefault="00FB25CB"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 xml:space="preserve">Ministarstvo ekonomskog razvoja </w:t>
      </w:r>
      <w:r w:rsidR="00176DC5" w:rsidRPr="00FB25CB">
        <w:rPr>
          <w:rFonts w:ascii="Arial" w:hAnsi="Arial" w:cs="Arial"/>
          <w:sz w:val="20"/>
          <w:szCs w:val="20"/>
          <w:lang w:val="sr-Latn-RS" w:eastAsia="de-DE"/>
        </w:rPr>
        <w:t xml:space="preserve">(2025) </w:t>
      </w:r>
      <w:r w:rsidRPr="00FB25CB">
        <w:rPr>
          <w:rFonts w:ascii="Arial" w:hAnsi="Arial" w:cs="Arial"/>
          <w:sz w:val="20"/>
          <w:szCs w:val="20"/>
          <w:lang w:val="sr-Latn-RS" w:eastAsia="de-DE"/>
        </w:rPr>
        <w:t>Izveštaj o radu Direkcije za tržišnu inspekciju za</w:t>
      </w:r>
      <w:r w:rsidR="00176DC5" w:rsidRPr="00FB25CB">
        <w:rPr>
          <w:rFonts w:ascii="Arial" w:hAnsi="Arial" w:cs="Arial"/>
          <w:sz w:val="20"/>
          <w:szCs w:val="20"/>
          <w:lang w:val="sr-Latn-RS" w:eastAsia="de-DE"/>
        </w:rPr>
        <w:t xml:space="preserve"> 2025, </w:t>
      </w:r>
      <w:hyperlink r:id="rId10" w:history="1">
        <w:r w:rsidR="00176DC5" w:rsidRPr="00FB25CB">
          <w:rPr>
            <w:rStyle w:val="Hyperlink"/>
            <w:rFonts w:ascii="Arial" w:hAnsi="Arial" w:cs="Arial"/>
            <w:sz w:val="20"/>
            <w:szCs w:val="20"/>
            <w:lang w:val="sr-Latn-RS" w:eastAsia="de-DE"/>
          </w:rPr>
          <w:t>https://www.gov.me/clanak/izvjestaj-o-radu-trzisne-inspekcije-za-april-2025-godine</w:t>
        </w:r>
      </w:hyperlink>
    </w:p>
    <w:p w14:paraId="6264F35A" w14:textId="3D39A600" w:rsidR="00176DC5" w:rsidRPr="00FB25CB" w:rsidRDefault="00FB25CB"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Biblioteka Vlade CG</w:t>
      </w:r>
      <w:r w:rsidR="00176DC5" w:rsidRPr="00FB25CB">
        <w:rPr>
          <w:rFonts w:ascii="Arial" w:hAnsi="Arial" w:cs="Arial"/>
          <w:sz w:val="20"/>
          <w:szCs w:val="20"/>
          <w:lang w:val="sr-Latn-RS" w:eastAsia="de-DE"/>
        </w:rPr>
        <w:t xml:space="preserve"> (2025) </w:t>
      </w:r>
      <w:r w:rsidRPr="00FB25CB">
        <w:rPr>
          <w:rFonts w:ascii="Arial" w:hAnsi="Arial" w:cs="Arial"/>
          <w:sz w:val="20"/>
          <w:szCs w:val="20"/>
          <w:lang w:val="sr-Latn-RS" w:eastAsia="de-DE"/>
        </w:rPr>
        <w:t>Registrovane organizacije civilnog društva</w:t>
      </w:r>
      <w:r w:rsidR="00176DC5" w:rsidRPr="00FB25CB">
        <w:rPr>
          <w:rFonts w:ascii="Arial" w:hAnsi="Arial" w:cs="Arial"/>
          <w:sz w:val="20"/>
          <w:szCs w:val="20"/>
          <w:lang w:val="sr-Latn-RS" w:eastAsia="de-DE"/>
        </w:rPr>
        <w:t xml:space="preserve">, </w:t>
      </w:r>
      <w:hyperlink r:id="rId11" w:history="1">
        <w:r w:rsidR="00176DC5" w:rsidRPr="00FB25CB">
          <w:rPr>
            <w:rStyle w:val="Hyperlink"/>
            <w:rFonts w:ascii="Arial" w:hAnsi="Arial" w:cs="Arial"/>
            <w:sz w:val="20"/>
            <w:szCs w:val="20"/>
            <w:lang w:val="sr-Latn-RS" w:eastAsia="de-DE"/>
          </w:rPr>
          <w:t>https://www.gov.me/dokumenta/01ff49b1-cb7a-43b4-8d58-429d95d99310</w:t>
        </w:r>
      </w:hyperlink>
    </w:p>
    <w:p w14:paraId="43CB1E0C" w14:textId="77B44B91" w:rsidR="00176DC5" w:rsidRPr="00FB25CB" w:rsidRDefault="00FB25CB" w:rsidP="00FB25CB">
      <w:pPr>
        <w:pStyle w:val="ListParagraph"/>
        <w:numPr>
          <w:ilvl w:val="0"/>
          <w:numId w:val="14"/>
        </w:numPr>
        <w:rPr>
          <w:rFonts w:ascii="Arial" w:hAnsi="Arial"/>
          <w:sz w:val="20"/>
          <w:szCs w:val="20"/>
          <w:lang w:val="sr-Latn-RS"/>
        </w:rPr>
      </w:pPr>
      <w:r w:rsidRPr="00FB25CB">
        <w:rPr>
          <w:rFonts w:ascii="Arial" w:hAnsi="Arial" w:cs="Arial"/>
          <w:sz w:val="20"/>
          <w:szCs w:val="20"/>
          <w:lang w:val="sr-Latn-RS" w:eastAsia="de-DE"/>
        </w:rPr>
        <w:t xml:space="preserve">Vlada Crne Gore </w:t>
      </w:r>
      <w:r w:rsidR="00176DC5" w:rsidRPr="00FB25CB">
        <w:rPr>
          <w:rFonts w:ascii="Arial" w:hAnsi="Arial" w:cs="Arial"/>
          <w:sz w:val="20"/>
          <w:szCs w:val="20"/>
          <w:lang w:val="sr-Latn-RS" w:eastAsia="de-DE"/>
        </w:rPr>
        <w:t xml:space="preserve">(2024), </w:t>
      </w:r>
      <w:r w:rsidRPr="00FB25CB">
        <w:rPr>
          <w:rFonts w:ascii="Arial" w:hAnsi="Arial" w:cs="Arial"/>
          <w:sz w:val="20"/>
          <w:szCs w:val="20"/>
          <w:lang w:val="sr-Latn-RS" w:eastAsia="de-DE"/>
        </w:rPr>
        <w:t>Program</w:t>
      </w:r>
      <w:r w:rsidRPr="00FB25CB">
        <w:rPr>
          <w:rFonts w:ascii="Arial" w:hAnsi="Arial"/>
          <w:sz w:val="20"/>
          <w:szCs w:val="20"/>
          <w:lang w:val="sr-Latn-RS"/>
        </w:rPr>
        <w:t xml:space="preserve"> pristupanja Crne Gore Evropskoj uniji 2024-2027</w:t>
      </w:r>
    </w:p>
    <w:p w14:paraId="43F7313D" w14:textId="5F3419A7" w:rsidR="00176DC5" w:rsidRPr="00FB25CB" w:rsidRDefault="00176DC5" w:rsidP="006D6681">
      <w:pPr>
        <w:pStyle w:val="ListParagraph"/>
        <w:numPr>
          <w:ilvl w:val="0"/>
          <w:numId w:val="14"/>
        </w:numPr>
        <w:rPr>
          <w:rFonts w:ascii="Arial" w:hAnsi="Arial" w:cs="Arial"/>
          <w:sz w:val="20"/>
          <w:szCs w:val="20"/>
          <w:lang w:val="sr-Latn-RS" w:eastAsia="de-DE"/>
        </w:rPr>
      </w:pPr>
      <w:r w:rsidRPr="00FB25CB">
        <w:rPr>
          <w:rFonts w:ascii="Arial" w:hAnsi="Arial" w:cs="Arial"/>
          <w:sz w:val="20"/>
          <w:szCs w:val="20"/>
          <w:lang w:val="sr-Latn-RS" w:eastAsia="de-DE"/>
        </w:rPr>
        <w:t>Agenc</w:t>
      </w:r>
      <w:r w:rsidR="00FB25CB">
        <w:rPr>
          <w:rFonts w:ascii="Arial" w:hAnsi="Arial" w:cs="Arial"/>
          <w:sz w:val="20"/>
          <w:szCs w:val="20"/>
          <w:lang w:val="sr-Latn-RS" w:eastAsia="de-DE"/>
        </w:rPr>
        <w:t>ija</w:t>
      </w:r>
      <w:r w:rsidRPr="00FB25CB">
        <w:rPr>
          <w:rFonts w:ascii="Arial" w:hAnsi="Arial" w:cs="Arial"/>
          <w:sz w:val="20"/>
          <w:szCs w:val="20"/>
          <w:lang w:val="sr-Latn-RS" w:eastAsia="de-DE"/>
        </w:rPr>
        <w:t xml:space="preserve"> </w:t>
      </w:r>
      <w:r w:rsidR="00FB25CB" w:rsidRPr="00FB25CB">
        <w:rPr>
          <w:rFonts w:ascii="Arial" w:hAnsi="Arial" w:cs="Arial"/>
          <w:sz w:val="20"/>
          <w:szCs w:val="20"/>
          <w:lang w:val="sr-Latn-RS" w:eastAsia="de-DE"/>
        </w:rPr>
        <w:t>za elektronske komunikacije i poštanske usluge</w:t>
      </w:r>
      <w:r w:rsidRPr="00FB25CB">
        <w:rPr>
          <w:rFonts w:ascii="Arial" w:hAnsi="Arial" w:cs="Arial"/>
          <w:sz w:val="20"/>
          <w:szCs w:val="20"/>
          <w:lang w:val="sr-Latn-RS" w:eastAsia="de-DE"/>
        </w:rPr>
        <w:t xml:space="preserve"> (2024), </w:t>
      </w:r>
      <w:r w:rsidR="00FB25CB" w:rsidRPr="00FB25CB">
        <w:rPr>
          <w:rFonts w:ascii="Arial" w:hAnsi="Arial" w:cs="Arial"/>
          <w:sz w:val="20"/>
          <w:szCs w:val="20"/>
          <w:lang w:val="sr-Latn-RS" w:eastAsia="de-DE"/>
        </w:rPr>
        <w:t>Godišnji izveštaj</w:t>
      </w:r>
    </w:p>
    <w:p w14:paraId="427B5749" w14:textId="77777777" w:rsidR="00176DC5" w:rsidRPr="00176DC5" w:rsidRDefault="00176DC5" w:rsidP="00176DC5">
      <w:pPr>
        <w:ind w:left="360"/>
        <w:rPr>
          <w:rFonts w:ascii="Arial" w:hAnsi="Arial" w:cs="Arial"/>
          <w:sz w:val="20"/>
          <w:szCs w:val="20"/>
          <w:lang w:eastAsia="de-DE"/>
        </w:rPr>
      </w:pPr>
    </w:p>
    <w:p w14:paraId="152F42A4" w14:textId="77777777" w:rsidR="00663AFC" w:rsidRPr="00663AFC" w:rsidRDefault="00663AFC" w:rsidP="00663AFC">
      <w:pPr>
        <w:pStyle w:val="ListParagraph"/>
        <w:rPr>
          <w:rFonts w:ascii="Arial" w:hAnsi="Arial" w:cs="Arial"/>
          <w:sz w:val="20"/>
          <w:szCs w:val="20"/>
          <w:lang w:eastAsia="de-DE"/>
        </w:rPr>
      </w:pPr>
    </w:p>
    <w:p w14:paraId="5F8ED4B1" w14:textId="40A0847E" w:rsidR="00FE6F36" w:rsidRPr="00146F9D" w:rsidRDefault="007910AB" w:rsidP="00DE468B">
      <w:pPr>
        <w:pStyle w:val="Heading2"/>
        <w:numPr>
          <w:ilvl w:val="0"/>
          <w:numId w:val="0"/>
        </w:numPr>
        <w:ind w:left="567" w:hanging="567"/>
        <w:rPr>
          <w:rFonts w:ascii="Arial" w:hAnsi="Arial" w:cs="Arial"/>
          <w:b/>
          <w:bCs/>
          <w:i/>
          <w:iCs/>
          <w:szCs w:val="18"/>
          <w:lang w:val="sr-Latn-RS"/>
        </w:rPr>
      </w:pPr>
      <w:bookmarkStart w:id="22" w:name="_Toc199479359"/>
      <w:r w:rsidRPr="00146F9D">
        <w:rPr>
          <w:rFonts w:ascii="Arial" w:hAnsi="Arial" w:cs="Arial"/>
          <w:b/>
          <w:bCs/>
          <w:i/>
          <w:iCs/>
          <w:szCs w:val="18"/>
          <w:lang w:val="sr-Latn-RS"/>
        </w:rPr>
        <w:t>II</w:t>
      </w:r>
      <w:r w:rsidR="00FE6F36" w:rsidRPr="00146F9D">
        <w:rPr>
          <w:rFonts w:ascii="Arial" w:hAnsi="Arial" w:cs="Arial"/>
          <w:b/>
          <w:bCs/>
          <w:i/>
          <w:iCs/>
          <w:szCs w:val="18"/>
          <w:lang w:val="sr-Latn-RS"/>
        </w:rPr>
        <w:t xml:space="preserve">. </w:t>
      </w:r>
      <w:r w:rsidR="00905010" w:rsidRPr="00146F9D">
        <w:rPr>
          <w:rFonts w:ascii="Arial" w:hAnsi="Arial" w:cs="Arial"/>
          <w:b/>
          <w:bCs/>
          <w:i/>
          <w:iCs/>
          <w:szCs w:val="18"/>
          <w:lang w:val="sr-Latn-RS"/>
        </w:rPr>
        <w:t xml:space="preserve">Lista </w:t>
      </w:r>
      <w:proofErr w:type="spellStart"/>
      <w:r w:rsidR="00905010" w:rsidRPr="00146F9D">
        <w:rPr>
          <w:rFonts w:ascii="Arial" w:hAnsi="Arial" w:cs="Arial"/>
          <w:b/>
          <w:bCs/>
          <w:i/>
          <w:iCs/>
          <w:szCs w:val="18"/>
          <w:lang w:val="sr-Latn-RS"/>
        </w:rPr>
        <w:t>stejkholdera</w:t>
      </w:r>
      <w:bookmarkEnd w:id="22"/>
      <w:proofErr w:type="spellEnd"/>
    </w:p>
    <w:p w14:paraId="0582620C" w14:textId="77777777" w:rsidR="00FE6F36" w:rsidRPr="00146F9D" w:rsidRDefault="00FE6F36" w:rsidP="00FE6F36">
      <w:pPr>
        <w:rPr>
          <w:rFonts w:ascii="Arial" w:hAnsi="Arial" w:cs="Arial"/>
          <w:b/>
          <w:bCs/>
          <w:i/>
          <w:iCs/>
          <w:szCs w:val="18"/>
        </w:rPr>
      </w:pPr>
    </w:p>
    <w:tbl>
      <w:tblPr>
        <w:tblStyle w:val="TableGrid"/>
        <w:tblW w:w="0" w:type="auto"/>
        <w:tblLook w:val="04A0" w:firstRow="1" w:lastRow="0" w:firstColumn="1" w:lastColumn="0" w:noHBand="0" w:noVBand="1"/>
      </w:tblPr>
      <w:tblGrid>
        <w:gridCol w:w="3020"/>
        <w:gridCol w:w="3021"/>
        <w:gridCol w:w="3021"/>
      </w:tblGrid>
      <w:tr w:rsidR="00E56BE3" w:rsidRPr="00146F9D" w14:paraId="6AB1BFC9" w14:textId="77777777" w:rsidTr="007E4ED3">
        <w:tc>
          <w:tcPr>
            <w:tcW w:w="3020" w:type="dxa"/>
            <w:shd w:val="clear" w:color="auto" w:fill="D9E2F3" w:themeFill="accent1" w:themeFillTint="33"/>
          </w:tcPr>
          <w:p w14:paraId="62218A97" w14:textId="0C9A7EF5" w:rsidR="00E56BE3" w:rsidRPr="00146F9D" w:rsidRDefault="00905010" w:rsidP="00FE6F36">
            <w:pPr>
              <w:rPr>
                <w:rFonts w:ascii="Arial" w:hAnsi="Arial" w:cs="Arial"/>
                <w:b/>
                <w:bCs/>
                <w:sz w:val="20"/>
                <w:szCs w:val="20"/>
              </w:rPr>
            </w:pPr>
            <w:r w:rsidRPr="00146F9D">
              <w:rPr>
                <w:rFonts w:ascii="Arial" w:hAnsi="Arial" w:cs="Arial"/>
                <w:b/>
                <w:bCs/>
                <w:sz w:val="20"/>
                <w:szCs w:val="20"/>
              </w:rPr>
              <w:t>Ime</w:t>
            </w:r>
          </w:p>
        </w:tc>
        <w:tc>
          <w:tcPr>
            <w:tcW w:w="3021" w:type="dxa"/>
            <w:shd w:val="clear" w:color="auto" w:fill="D9E2F3" w:themeFill="accent1" w:themeFillTint="33"/>
          </w:tcPr>
          <w:p w14:paraId="3BCE9EA5" w14:textId="2C3916E9" w:rsidR="00E56BE3" w:rsidRPr="00146F9D" w:rsidRDefault="00E56BE3" w:rsidP="00FE6F36">
            <w:pPr>
              <w:rPr>
                <w:rFonts w:ascii="Arial" w:hAnsi="Arial" w:cs="Arial"/>
                <w:b/>
                <w:bCs/>
                <w:sz w:val="20"/>
                <w:szCs w:val="20"/>
              </w:rPr>
            </w:pPr>
            <w:r w:rsidRPr="00146F9D">
              <w:rPr>
                <w:rFonts w:ascii="Arial" w:hAnsi="Arial" w:cs="Arial"/>
                <w:b/>
                <w:bCs/>
                <w:sz w:val="20"/>
                <w:szCs w:val="20"/>
              </w:rPr>
              <w:t>Organi</w:t>
            </w:r>
            <w:r w:rsidR="00905010" w:rsidRPr="00146F9D">
              <w:rPr>
                <w:rFonts w:ascii="Arial" w:hAnsi="Arial" w:cs="Arial"/>
                <w:b/>
                <w:bCs/>
                <w:sz w:val="20"/>
                <w:szCs w:val="20"/>
              </w:rPr>
              <w:t>zacija</w:t>
            </w:r>
          </w:p>
        </w:tc>
        <w:tc>
          <w:tcPr>
            <w:tcW w:w="3021" w:type="dxa"/>
            <w:shd w:val="clear" w:color="auto" w:fill="D9E2F3" w:themeFill="accent1" w:themeFillTint="33"/>
          </w:tcPr>
          <w:p w14:paraId="00A8E6FA" w14:textId="5F95372C" w:rsidR="00E56BE3" w:rsidRPr="00146F9D" w:rsidRDefault="00E56BE3" w:rsidP="00FE6F36">
            <w:pPr>
              <w:rPr>
                <w:rFonts w:ascii="Arial" w:hAnsi="Arial" w:cs="Arial"/>
                <w:b/>
                <w:bCs/>
                <w:sz w:val="20"/>
                <w:szCs w:val="20"/>
              </w:rPr>
            </w:pPr>
            <w:r w:rsidRPr="00146F9D">
              <w:rPr>
                <w:rFonts w:ascii="Arial" w:hAnsi="Arial" w:cs="Arial"/>
                <w:b/>
                <w:bCs/>
                <w:sz w:val="20"/>
                <w:szCs w:val="20"/>
              </w:rPr>
              <w:t>Email</w:t>
            </w:r>
          </w:p>
        </w:tc>
      </w:tr>
      <w:tr w:rsidR="00E56BE3" w:rsidRPr="00146F9D" w14:paraId="0AFBC2EB" w14:textId="77777777" w:rsidTr="00E56BE3">
        <w:tc>
          <w:tcPr>
            <w:tcW w:w="3020" w:type="dxa"/>
          </w:tcPr>
          <w:p w14:paraId="4017805A" w14:textId="65510862" w:rsidR="00E56BE3" w:rsidRPr="00146F9D" w:rsidRDefault="00E56BE3" w:rsidP="00E56BE3">
            <w:pPr>
              <w:rPr>
                <w:rFonts w:ascii="Arial" w:hAnsi="Arial" w:cs="Arial"/>
                <w:sz w:val="20"/>
                <w:szCs w:val="20"/>
              </w:rPr>
            </w:pPr>
            <w:r w:rsidRPr="00146F9D">
              <w:rPr>
                <w:rFonts w:ascii="Arial" w:hAnsi="Arial" w:cs="Arial"/>
                <w:sz w:val="20"/>
                <w:szCs w:val="20"/>
              </w:rPr>
              <w:t>Marina Janković</w:t>
            </w:r>
          </w:p>
        </w:tc>
        <w:tc>
          <w:tcPr>
            <w:tcW w:w="3021" w:type="dxa"/>
          </w:tcPr>
          <w:p w14:paraId="60A3C513" w14:textId="52F807E1" w:rsidR="00E56BE3" w:rsidRPr="00146F9D" w:rsidRDefault="00905010" w:rsidP="00E56BE3">
            <w:pPr>
              <w:rPr>
                <w:rFonts w:ascii="Arial" w:hAnsi="Arial" w:cs="Arial"/>
                <w:sz w:val="20"/>
                <w:szCs w:val="20"/>
              </w:rPr>
            </w:pPr>
            <w:r w:rsidRPr="00146F9D">
              <w:rPr>
                <w:rFonts w:ascii="Arial" w:hAnsi="Arial" w:cs="Arial"/>
                <w:sz w:val="18"/>
                <w:szCs w:val="18"/>
              </w:rPr>
              <w:t>Direkcija za tržišnu inspekciju</w:t>
            </w:r>
          </w:p>
        </w:tc>
        <w:tc>
          <w:tcPr>
            <w:tcW w:w="3021" w:type="dxa"/>
          </w:tcPr>
          <w:p w14:paraId="05CC5594" w14:textId="7178F7EA" w:rsidR="00E56BE3" w:rsidRPr="00146F9D" w:rsidRDefault="00E56BE3" w:rsidP="00E56BE3">
            <w:pPr>
              <w:rPr>
                <w:rFonts w:ascii="Arial" w:hAnsi="Arial" w:cs="Arial"/>
                <w:sz w:val="20"/>
                <w:szCs w:val="20"/>
              </w:rPr>
            </w:pPr>
            <w:r w:rsidRPr="00146F9D">
              <w:rPr>
                <w:rFonts w:ascii="Arial" w:hAnsi="Arial" w:cs="Arial"/>
                <w:sz w:val="20"/>
                <w:szCs w:val="20"/>
              </w:rPr>
              <w:t>marina.jankovic@mek.gov.me</w:t>
            </w:r>
          </w:p>
        </w:tc>
      </w:tr>
      <w:tr w:rsidR="00E56BE3" w:rsidRPr="00146F9D" w14:paraId="556C67A3" w14:textId="77777777" w:rsidTr="00E56BE3">
        <w:tc>
          <w:tcPr>
            <w:tcW w:w="3020" w:type="dxa"/>
          </w:tcPr>
          <w:p w14:paraId="77717507" w14:textId="70BB7AF4" w:rsidR="00E56BE3" w:rsidRPr="00146F9D" w:rsidRDefault="00E56BE3" w:rsidP="00E56BE3">
            <w:pPr>
              <w:rPr>
                <w:rFonts w:ascii="Arial" w:hAnsi="Arial" w:cs="Arial"/>
                <w:sz w:val="20"/>
                <w:szCs w:val="20"/>
              </w:rPr>
            </w:pPr>
            <w:r w:rsidRPr="00146F9D">
              <w:rPr>
                <w:rFonts w:ascii="Arial" w:hAnsi="Arial" w:cs="Arial"/>
                <w:sz w:val="20"/>
                <w:szCs w:val="20"/>
              </w:rPr>
              <w:t xml:space="preserve">Saša </w:t>
            </w:r>
            <w:proofErr w:type="spellStart"/>
            <w:r w:rsidRPr="00146F9D">
              <w:rPr>
                <w:rFonts w:ascii="Arial" w:hAnsi="Arial" w:cs="Arial"/>
                <w:sz w:val="20"/>
                <w:szCs w:val="20"/>
              </w:rPr>
              <w:t>Lješković</w:t>
            </w:r>
            <w:proofErr w:type="spellEnd"/>
          </w:p>
        </w:tc>
        <w:tc>
          <w:tcPr>
            <w:tcW w:w="3021" w:type="dxa"/>
          </w:tcPr>
          <w:p w14:paraId="56A38E92" w14:textId="5FC1E71E" w:rsidR="00E56BE3" w:rsidRPr="00146F9D" w:rsidRDefault="00905010" w:rsidP="00E56BE3">
            <w:pPr>
              <w:rPr>
                <w:rFonts w:ascii="Arial" w:hAnsi="Arial" w:cs="Arial"/>
                <w:sz w:val="20"/>
                <w:szCs w:val="20"/>
              </w:rPr>
            </w:pPr>
            <w:r w:rsidRPr="00146F9D">
              <w:rPr>
                <w:rFonts w:ascii="Arial" w:hAnsi="Arial" w:cs="Arial"/>
                <w:sz w:val="18"/>
                <w:szCs w:val="18"/>
              </w:rPr>
              <w:t xml:space="preserve">Uprava za </w:t>
            </w:r>
            <w:proofErr w:type="spellStart"/>
            <w:r w:rsidRPr="00146F9D">
              <w:rPr>
                <w:rFonts w:ascii="Arial" w:hAnsi="Arial" w:cs="Arial"/>
                <w:sz w:val="18"/>
                <w:szCs w:val="18"/>
              </w:rPr>
              <w:t>bezbjednost</w:t>
            </w:r>
            <w:proofErr w:type="spellEnd"/>
            <w:r w:rsidRPr="00146F9D">
              <w:rPr>
                <w:rFonts w:ascii="Arial" w:hAnsi="Arial" w:cs="Arial"/>
                <w:sz w:val="18"/>
                <w:szCs w:val="18"/>
              </w:rPr>
              <w:t xml:space="preserve"> hrane, veterinu i </w:t>
            </w:r>
            <w:proofErr w:type="spellStart"/>
            <w:r w:rsidRPr="00146F9D">
              <w:rPr>
                <w:rFonts w:ascii="Arial" w:hAnsi="Arial" w:cs="Arial"/>
                <w:sz w:val="18"/>
                <w:szCs w:val="18"/>
              </w:rPr>
              <w:t>fitosanitarne</w:t>
            </w:r>
            <w:proofErr w:type="spellEnd"/>
            <w:r w:rsidRPr="00146F9D">
              <w:rPr>
                <w:rFonts w:ascii="Arial" w:hAnsi="Arial" w:cs="Arial"/>
                <w:sz w:val="18"/>
                <w:szCs w:val="18"/>
              </w:rPr>
              <w:t xml:space="preserve"> poslove</w:t>
            </w:r>
          </w:p>
        </w:tc>
        <w:tc>
          <w:tcPr>
            <w:tcW w:w="3021" w:type="dxa"/>
          </w:tcPr>
          <w:p w14:paraId="5BA148A2" w14:textId="58A22B5C" w:rsidR="00E56BE3" w:rsidRPr="00146F9D" w:rsidRDefault="00E56BE3" w:rsidP="00E56BE3">
            <w:pPr>
              <w:rPr>
                <w:rFonts w:ascii="Arial" w:hAnsi="Arial" w:cs="Arial"/>
                <w:sz w:val="20"/>
                <w:szCs w:val="20"/>
              </w:rPr>
            </w:pPr>
            <w:r w:rsidRPr="00146F9D">
              <w:rPr>
                <w:rFonts w:ascii="Arial" w:hAnsi="Arial" w:cs="Arial"/>
                <w:sz w:val="20"/>
                <w:szCs w:val="20"/>
              </w:rPr>
              <w:t>sasa.ljeskovic@ubh.gov.me</w:t>
            </w:r>
          </w:p>
        </w:tc>
      </w:tr>
      <w:tr w:rsidR="00E56BE3" w:rsidRPr="00146F9D" w14:paraId="271651AC" w14:textId="77777777" w:rsidTr="00E56BE3">
        <w:tc>
          <w:tcPr>
            <w:tcW w:w="3020" w:type="dxa"/>
          </w:tcPr>
          <w:p w14:paraId="3AD0AA90" w14:textId="2CAE8515" w:rsidR="00E56BE3" w:rsidRPr="00146F9D" w:rsidRDefault="00905010" w:rsidP="00E56BE3">
            <w:pPr>
              <w:rPr>
                <w:rFonts w:ascii="Arial" w:hAnsi="Arial" w:cs="Arial"/>
                <w:sz w:val="20"/>
                <w:szCs w:val="20"/>
              </w:rPr>
            </w:pPr>
            <w:r w:rsidRPr="00146F9D">
              <w:rPr>
                <w:rFonts w:ascii="Arial" w:hAnsi="Arial" w:cs="Arial"/>
                <w:sz w:val="20"/>
                <w:szCs w:val="20"/>
              </w:rPr>
              <w:t>Ž</w:t>
            </w:r>
            <w:r w:rsidR="007E4ED3" w:rsidRPr="00146F9D">
              <w:rPr>
                <w:rFonts w:ascii="Arial" w:hAnsi="Arial" w:cs="Arial"/>
                <w:sz w:val="20"/>
                <w:szCs w:val="20"/>
              </w:rPr>
              <w:t>eljko Tomovi</w:t>
            </w:r>
            <w:r w:rsidRPr="00146F9D">
              <w:rPr>
                <w:rFonts w:ascii="Arial" w:hAnsi="Arial" w:cs="Arial"/>
                <w:sz w:val="20"/>
                <w:szCs w:val="20"/>
              </w:rPr>
              <w:t>ć</w:t>
            </w:r>
          </w:p>
        </w:tc>
        <w:tc>
          <w:tcPr>
            <w:tcW w:w="3021" w:type="dxa"/>
          </w:tcPr>
          <w:p w14:paraId="722C21B0" w14:textId="2BE0AEF3" w:rsidR="00E56BE3" w:rsidRPr="00146F9D" w:rsidRDefault="00905010" w:rsidP="00E56BE3">
            <w:pPr>
              <w:rPr>
                <w:rFonts w:ascii="Arial" w:hAnsi="Arial" w:cs="Arial"/>
                <w:sz w:val="20"/>
                <w:szCs w:val="20"/>
              </w:rPr>
            </w:pPr>
            <w:r w:rsidRPr="00146F9D">
              <w:rPr>
                <w:rFonts w:ascii="Arial" w:hAnsi="Arial" w:cs="Arial"/>
                <w:sz w:val="20"/>
                <w:szCs w:val="20"/>
              </w:rPr>
              <w:t>Ministarstvo ekonomskog razboja</w:t>
            </w:r>
          </w:p>
        </w:tc>
        <w:tc>
          <w:tcPr>
            <w:tcW w:w="3021" w:type="dxa"/>
          </w:tcPr>
          <w:p w14:paraId="221552CD" w14:textId="72F3A14B" w:rsidR="00E56BE3" w:rsidRPr="00146F9D" w:rsidRDefault="007E4ED3" w:rsidP="00E56BE3">
            <w:pPr>
              <w:rPr>
                <w:rFonts w:ascii="Arial" w:hAnsi="Arial" w:cs="Arial"/>
                <w:sz w:val="20"/>
                <w:szCs w:val="20"/>
              </w:rPr>
            </w:pPr>
            <w:r w:rsidRPr="00146F9D">
              <w:rPr>
                <w:rFonts w:ascii="Arial" w:hAnsi="Arial" w:cs="Arial"/>
                <w:sz w:val="20"/>
                <w:szCs w:val="20"/>
              </w:rPr>
              <w:t>zejko.tomovic</w:t>
            </w:r>
            <w:r w:rsidR="00E56BE3" w:rsidRPr="00146F9D">
              <w:rPr>
                <w:rFonts w:ascii="Arial" w:hAnsi="Arial" w:cs="Arial"/>
                <w:sz w:val="20"/>
                <w:szCs w:val="20"/>
              </w:rPr>
              <w:t>@me</w:t>
            </w:r>
            <w:r w:rsidRPr="00146F9D">
              <w:rPr>
                <w:rFonts w:ascii="Arial" w:hAnsi="Arial" w:cs="Arial"/>
                <w:sz w:val="20"/>
                <w:szCs w:val="20"/>
              </w:rPr>
              <w:t>r</w:t>
            </w:r>
            <w:r w:rsidR="00E56BE3" w:rsidRPr="00146F9D">
              <w:rPr>
                <w:rFonts w:ascii="Arial" w:hAnsi="Arial" w:cs="Arial"/>
                <w:sz w:val="20"/>
                <w:szCs w:val="20"/>
              </w:rPr>
              <w:t>.gov.me</w:t>
            </w:r>
          </w:p>
        </w:tc>
      </w:tr>
      <w:tr w:rsidR="00EA5192" w:rsidRPr="00146F9D" w14:paraId="4F836031" w14:textId="77777777" w:rsidTr="00E56BE3">
        <w:tc>
          <w:tcPr>
            <w:tcW w:w="3020" w:type="dxa"/>
          </w:tcPr>
          <w:p w14:paraId="71DE2E21" w14:textId="75E095B5" w:rsidR="00EA5192" w:rsidRPr="00146F9D" w:rsidRDefault="00EA5192" w:rsidP="00E56BE3">
            <w:pPr>
              <w:rPr>
                <w:rFonts w:ascii="Arial" w:hAnsi="Arial" w:cs="Arial"/>
                <w:sz w:val="20"/>
                <w:szCs w:val="20"/>
              </w:rPr>
            </w:pPr>
            <w:r w:rsidRPr="00146F9D">
              <w:rPr>
                <w:rFonts w:ascii="Arial" w:hAnsi="Arial" w:cs="Arial"/>
                <w:sz w:val="20"/>
                <w:szCs w:val="20"/>
              </w:rPr>
              <w:t>Jasna Vujovi</w:t>
            </w:r>
            <w:r w:rsidR="00905010" w:rsidRPr="00146F9D">
              <w:rPr>
                <w:rFonts w:ascii="Arial" w:hAnsi="Arial" w:cs="Arial"/>
                <w:sz w:val="20"/>
                <w:szCs w:val="20"/>
              </w:rPr>
              <w:t>ć</w:t>
            </w:r>
          </w:p>
        </w:tc>
        <w:tc>
          <w:tcPr>
            <w:tcW w:w="3021" w:type="dxa"/>
          </w:tcPr>
          <w:p w14:paraId="739C9A8D" w14:textId="3B9D6420" w:rsidR="00EA5192" w:rsidRPr="00146F9D" w:rsidRDefault="00905010" w:rsidP="00E56BE3">
            <w:pPr>
              <w:rPr>
                <w:rFonts w:ascii="Arial" w:hAnsi="Arial" w:cs="Arial"/>
                <w:sz w:val="20"/>
                <w:szCs w:val="20"/>
              </w:rPr>
            </w:pPr>
            <w:r w:rsidRPr="00146F9D">
              <w:rPr>
                <w:rFonts w:ascii="Arial" w:hAnsi="Arial" w:cs="Arial"/>
                <w:sz w:val="20"/>
                <w:szCs w:val="20"/>
              </w:rPr>
              <w:t>Ministarstvo ekonomskog razboja</w:t>
            </w:r>
          </w:p>
        </w:tc>
        <w:tc>
          <w:tcPr>
            <w:tcW w:w="3021" w:type="dxa"/>
          </w:tcPr>
          <w:p w14:paraId="59E20915" w14:textId="40CD9640" w:rsidR="00EA5192" w:rsidRPr="00146F9D" w:rsidRDefault="00EA5192" w:rsidP="00E56BE3">
            <w:pPr>
              <w:rPr>
                <w:rFonts w:ascii="Arial" w:hAnsi="Arial" w:cs="Arial"/>
                <w:sz w:val="20"/>
                <w:szCs w:val="20"/>
              </w:rPr>
            </w:pPr>
            <w:r w:rsidRPr="00146F9D">
              <w:rPr>
                <w:rFonts w:ascii="Arial" w:hAnsi="Arial" w:cs="Arial"/>
                <w:sz w:val="20"/>
                <w:szCs w:val="20"/>
              </w:rPr>
              <w:t>jasna.vujovic@mer.gov.me</w:t>
            </w:r>
          </w:p>
        </w:tc>
      </w:tr>
      <w:tr w:rsidR="00E56BE3" w:rsidRPr="00146F9D" w14:paraId="062CBCCE" w14:textId="77777777" w:rsidTr="00E56BE3">
        <w:tc>
          <w:tcPr>
            <w:tcW w:w="3020" w:type="dxa"/>
          </w:tcPr>
          <w:p w14:paraId="0CF4A7B5" w14:textId="0B979397" w:rsidR="00E56BE3" w:rsidRPr="00146F9D" w:rsidRDefault="00E56BE3" w:rsidP="00E56BE3">
            <w:pPr>
              <w:rPr>
                <w:rFonts w:ascii="Arial" w:hAnsi="Arial" w:cs="Arial"/>
                <w:sz w:val="20"/>
                <w:szCs w:val="20"/>
              </w:rPr>
            </w:pPr>
            <w:r w:rsidRPr="00146F9D">
              <w:rPr>
                <w:rFonts w:ascii="Arial" w:hAnsi="Arial" w:cs="Arial"/>
                <w:sz w:val="20"/>
                <w:szCs w:val="20"/>
              </w:rPr>
              <w:t xml:space="preserve">Marija </w:t>
            </w:r>
            <w:proofErr w:type="spellStart"/>
            <w:r w:rsidRPr="00146F9D">
              <w:rPr>
                <w:rFonts w:ascii="Arial" w:hAnsi="Arial" w:cs="Arial"/>
                <w:sz w:val="20"/>
                <w:szCs w:val="20"/>
              </w:rPr>
              <w:t>Lalović</w:t>
            </w:r>
            <w:proofErr w:type="spellEnd"/>
          </w:p>
        </w:tc>
        <w:tc>
          <w:tcPr>
            <w:tcW w:w="3021" w:type="dxa"/>
          </w:tcPr>
          <w:p w14:paraId="20D28E44" w14:textId="097C3DED" w:rsidR="00E56BE3" w:rsidRPr="00146F9D" w:rsidRDefault="00905010" w:rsidP="00E56BE3">
            <w:pPr>
              <w:rPr>
                <w:rFonts w:ascii="Arial" w:hAnsi="Arial" w:cs="Arial"/>
                <w:sz w:val="20"/>
                <w:szCs w:val="20"/>
              </w:rPr>
            </w:pPr>
            <w:r w:rsidRPr="00146F9D">
              <w:rPr>
                <w:rFonts w:ascii="Arial" w:hAnsi="Arial" w:cs="Arial"/>
                <w:sz w:val="20"/>
                <w:szCs w:val="20"/>
              </w:rPr>
              <w:t xml:space="preserve">Agencija za </w:t>
            </w:r>
            <w:r w:rsidR="00146F9D" w:rsidRPr="00146F9D">
              <w:rPr>
                <w:rFonts w:ascii="Arial" w:hAnsi="Arial" w:cs="Arial"/>
                <w:sz w:val="20"/>
                <w:szCs w:val="20"/>
              </w:rPr>
              <w:t xml:space="preserve">nadzor </w:t>
            </w:r>
            <w:r w:rsidRPr="00146F9D">
              <w:rPr>
                <w:rFonts w:ascii="Arial" w:hAnsi="Arial" w:cs="Arial"/>
                <w:sz w:val="20"/>
                <w:szCs w:val="20"/>
              </w:rPr>
              <w:t>osig</w:t>
            </w:r>
            <w:r w:rsidR="00146F9D" w:rsidRPr="00146F9D">
              <w:rPr>
                <w:rFonts w:ascii="Arial" w:hAnsi="Arial" w:cs="Arial"/>
                <w:sz w:val="20"/>
                <w:szCs w:val="20"/>
              </w:rPr>
              <w:t>u</w:t>
            </w:r>
            <w:r w:rsidRPr="00146F9D">
              <w:rPr>
                <w:rFonts w:ascii="Arial" w:hAnsi="Arial" w:cs="Arial"/>
                <w:sz w:val="20"/>
                <w:szCs w:val="20"/>
              </w:rPr>
              <w:t>ranje</w:t>
            </w:r>
          </w:p>
        </w:tc>
        <w:tc>
          <w:tcPr>
            <w:tcW w:w="3021" w:type="dxa"/>
          </w:tcPr>
          <w:p w14:paraId="48A8936E" w14:textId="1747ECCC" w:rsidR="00E56BE3" w:rsidRPr="00146F9D" w:rsidRDefault="00E56BE3" w:rsidP="00E56BE3">
            <w:pPr>
              <w:rPr>
                <w:rFonts w:ascii="Arial" w:hAnsi="Arial" w:cs="Arial"/>
                <w:sz w:val="20"/>
                <w:szCs w:val="20"/>
              </w:rPr>
            </w:pPr>
            <w:r w:rsidRPr="00146F9D">
              <w:rPr>
                <w:rFonts w:ascii="Arial" w:hAnsi="Arial" w:cs="Arial"/>
                <w:sz w:val="20"/>
                <w:szCs w:val="20"/>
              </w:rPr>
              <w:t>marija.lalovic@ano.co.me</w:t>
            </w:r>
          </w:p>
        </w:tc>
      </w:tr>
      <w:tr w:rsidR="00E56BE3" w:rsidRPr="00146F9D" w14:paraId="2A10E4C5" w14:textId="77777777" w:rsidTr="00E56BE3">
        <w:tc>
          <w:tcPr>
            <w:tcW w:w="3020" w:type="dxa"/>
          </w:tcPr>
          <w:p w14:paraId="4926339B" w14:textId="3D15C287" w:rsidR="00E56BE3" w:rsidRPr="00146F9D" w:rsidRDefault="00E56BE3" w:rsidP="00E56BE3">
            <w:pPr>
              <w:rPr>
                <w:rFonts w:ascii="Arial" w:hAnsi="Arial" w:cs="Arial"/>
                <w:sz w:val="20"/>
                <w:szCs w:val="20"/>
              </w:rPr>
            </w:pPr>
            <w:r w:rsidRPr="00146F9D">
              <w:rPr>
                <w:rFonts w:ascii="Arial" w:hAnsi="Arial" w:cs="Arial"/>
                <w:sz w:val="20"/>
                <w:szCs w:val="20"/>
              </w:rPr>
              <w:t xml:space="preserve">Ivana </w:t>
            </w:r>
            <w:proofErr w:type="spellStart"/>
            <w:r w:rsidRPr="00146F9D">
              <w:rPr>
                <w:rFonts w:ascii="Arial" w:hAnsi="Arial" w:cs="Arial"/>
                <w:sz w:val="20"/>
                <w:szCs w:val="20"/>
              </w:rPr>
              <w:t>Đuranović</w:t>
            </w:r>
            <w:proofErr w:type="spellEnd"/>
            <w:r w:rsidRPr="00146F9D">
              <w:rPr>
                <w:rFonts w:ascii="Arial" w:hAnsi="Arial" w:cs="Arial"/>
                <w:sz w:val="20"/>
                <w:szCs w:val="20"/>
              </w:rPr>
              <w:t xml:space="preserve"> Sudar</w:t>
            </w:r>
          </w:p>
        </w:tc>
        <w:tc>
          <w:tcPr>
            <w:tcW w:w="3021" w:type="dxa"/>
          </w:tcPr>
          <w:p w14:paraId="59968F75" w14:textId="24BC365A" w:rsidR="00E56BE3" w:rsidRPr="00146F9D" w:rsidRDefault="00146F9D" w:rsidP="00E56BE3">
            <w:pPr>
              <w:rPr>
                <w:rFonts w:ascii="Arial" w:hAnsi="Arial" w:cs="Arial"/>
                <w:sz w:val="20"/>
                <w:szCs w:val="20"/>
              </w:rPr>
            </w:pPr>
            <w:r w:rsidRPr="00146F9D">
              <w:rPr>
                <w:rFonts w:ascii="Arial" w:hAnsi="Arial" w:cs="Arial"/>
                <w:sz w:val="20"/>
                <w:szCs w:val="20"/>
              </w:rPr>
              <w:t>Agencija za elektronske komunikacije i poštanske usluge</w:t>
            </w:r>
          </w:p>
        </w:tc>
        <w:tc>
          <w:tcPr>
            <w:tcW w:w="3021" w:type="dxa"/>
          </w:tcPr>
          <w:p w14:paraId="000A66A8" w14:textId="4D578659" w:rsidR="00E56BE3" w:rsidRPr="00146F9D" w:rsidRDefault="00E56BE3" w:rsidP="00E56BE3">
            <w:pPr>
              <w:rPr>
                <w:rFonts w:ascii="Arial" w:hAnsi="Arial" w:cs="Arial"/>
                <w:sz w:val="20"/>
                <w:szCs w:val="20"/>
              </w:rPr>
            </w:pPr>
            <w:r w:rsidRPr="00146F9D">
              <w:rPr>
                <w:rFonts w:ascii="Arial" w:hAnsi="Arial" w:cs="Arial"/>
                <w:sz w:val="20"/>
                <w:szCs w:val="20"/>
              </w:rPr>
              <w:t>ivana.djuranovic@ekip.me</w:t>
            </w:r>
          </w:p>
        </w:tc>
      </w:tr>
      <w:tr w:rsidR="00E56BE3" w:rsidRPr="00146F9D" w14:paraId="74AB9D1C" w14:textId="77777777" w:rsidTr="00E56BE3">
        <w:tc>
          <w:tcPr>
            <w:tcW w:w="3020" w:type="dxa"/>
          </w:tcPr>
          <w:p w14:paraId="11BF3EF7" w14:textId="06D47868" w:rsidR="00E56BE3" w:rsidRPr="00146F9D" w:rsidRDefault="00E56BE3" w:rsidP="00E56BE3">
            <w:pPr>
              <w:rPr>
                <w:rFonts w:ascii="Arial" w:hAnsi="Arial" w:cs="Arial"/>
                <w:sz w:val="20"/>
                <w:szCs w:val="20"/>
              </w:rPr>
            </w:pPr>
            <w:r w:rsidRPr="00146F9D">
              <w:rPr>
                <w:rFonts w:ascii="Arial" w:hAnsi="Arial" w:cs="Arial"/>
                <w:sz w:val="20"/>
                <w:szCs w:val="20"/>
              </w:rPr>
              <w:t>Jadranka Vojvodić</w:t>
            </w:r>
          </w:p>
        </w:tc>
        <w:tc>
          <w:tcPr>
            <w:tcW w:w="3021" w:type="dxa"/>
          </w:tcPr>
          <w:p w14:paraId="70DF466B" w14:textId="467D49F3" w:rsidR="00E56BE3" w:rsidRPr="00146F9D" w:rsidRDefault="00146F9D" w:rsidP="00E56BE3">
            <w:pPr>
              <w:rPr>
                <w:rFonts w:ascii="Arial" w:hAnsi="Arial" w:cs="Arial"/>
                <w:sz w:val="20"/>
                <w:szCs w:val="20"/>
              </w:rPr>
            </w:pPr>
            <w:r w:rsidRPr="00146F9D">
              <w:rPr>
                <w:rFonts w:ascii="Arial" w:hAnsi="Arial" w:cs="Arial"/>
                <w:sz w:val="20"/>
                <w:szCs w:val="20"/>
              </w:rPr>
              <w:t>Agencija za elektronske medije</w:t>
            </w:r>
          </w:p>
        </w:tc>
        <w:tc>
          <w:tcPr>
            <w:tcW w:w="3021" w:type="dxa"/>
          </w:tcPr>
          <w:p w14:paraId="409D7C05" w14:textId="6E9522F6" w:rsidR="00E56BE3" w:rsidRPr="00146F9D" w:rsidRDefault="00E56BE3" w:rsidP="00E56BE3">
            <w:pPr>
              <w:rPr>
                <w:rFonts w:ascii="Arial" w:hAnsi="Arial" w:cs="Arial"/>
                <w:sz w:val="20"/>
                <w:szCs w:val="20"/>
              </w:rPr>
            </w:pPr>
            <w:r w:rsidRPr="00146F9D">
              <w:rPr>
                <w:rFonts w:ascii="Arial" w:hAnsi="Arial" w:cs="Arial"/>
                <w:sz w:val="20"/>
                <w:szCs w:val="20"/>
              </w:rPr>
              <w:t>jadranka.vojvodic@aemcg.org</w:t>
            </w:r>
          </w:p>
        </w:tc>
      </w:tr>
      <w:tr w:rsidR="00E56BE3" w:rsidRPr="00146F9D" w14:paraId="2E18FF17" w14:textId="77777777" w:rsidTr="00E56BE3">
        <w:tc>
          <w:tcPr>
            <w:tcW w:w="3020" w:type="dxa"/>
          </w:tcPr>
          <w:p w14:paraId="721D8081" w14:textId="0FFEE515" w:rsidR="00E56BE3" w:rsidRPr="00146F9D" w:rsidRDefault="00E56BE3" w:rsidP="00E56BE3">
            <w:pPr>
              <w:rPr>
                <w:rFonts w:ascii="Arial" w:hAnsi="Arial" w:cs="Arial"/>
                <w:sz w:val="20"/>
                <w:szCs w:val="20"/>
              </w:rPr>
            </w:pPr>
            <w:r w:rsidRPr="00146F9D">
              <w:rPr>
                <w:rFonts w:ascii="Arial" w:hAnsi="Arial" w:cs="Arial"/>
                <w:sz w:val="20"/>
                <w:szCs w:val="20"/>
              </w:rPr>
              <w:t>Sanja Živković</w:t>
            </w:r>
          </w:p>
        </w:tc>
        <w:tc>
          <w:tcPr>
            <w:tcW w:w="3021" w:type="dxa"/>
          </w:tcPr>
          <w:p w14:paraId="70D7CC4C" w14:textId="7D5C191C" w:rsidR="00E56BE3" w:rsidRPr="00146F9D" w:rsidRDefault="00146F9D" w:rsidP="00E56BE3">
            <w:pPr>
              <w:rPr>
                <w:rFonts w:ascii="Arial" w:hAnsi="Arial" w:cs="Arial"/>
                <w:sz w:val="20"/>
                <w:szCs w:val="20"/>
              </w:rPr>
            </w:pPr>
            <w:r w:rsidRPr="00146F9D">
              <w:rPr>
                <w:rFonts w:ascii="Arial" w:hAnsi="Arial" w:cs="Arial"/>
                <w:sz w:val="20"/>
                <w:szCs w:val="20"/>
              </w:rPr>
              <w:t>Zajednica opština</w:t>
            </w:r>
          </w:p>
        </w:tc>
        <w:tc>
          <w:tcPr>
            <w:tcW w:w="3021" w:type="dxa"/>
          </w:tcPr>
          <w:p w14:paraId="21C56DFB" w14:textId="2C32FB28" w:rsidR="00E56BE3" w:rsidRPr="00146F9D" w:rsidRDefault="00E56BE3" w:rsidP="00E56BE3">
            <w:pPr>
              <w:rPr>
                <w:rFonts w:ascii="Arial" w:hAnsi="Arial" w:cs="Arial"/>
                <w:sz w:val="20"/>
                <w:szCs w:val="20"/>
              </w:rPr>
            </w:pPr>
            <w:r w:rsidRPr="00146F9D">
              <w:rPr>
                <w:rFonts w:ascii="Arial" w:hAnsi="Arial" w:cs="Arial"/>
                <w:sz w:val="20"/>
                <w:szCs w:val="20"/>
              </w:rPr>
              <w:t>sanja.zivkovic@uom.co.me</w:t>
            </w:r>
          </w:p>
        </w:tc>
      </w:tr>
    </w:tbl>
    <w:p w14:paraId="75F80E5E" w14:textId="0DD2789A" w:rsidR="00FE6F36" w:rsidRPr="00146F9D" w:rsidRDefault="00FE6F36" w:rsidP="00FE6F36">
      <w:pPr>
        <w:rPr>
          <w:rFonts w:ascii="Arial" w:hAnsi="Arial" w:cs="Arial"/>
          <w:b/>
          <w:bCs/>
          <w:i/>
          <w:iCs/>
          <w:szCs w:val="18"/>
        </w:rPr>
      </w:pPr>
    </w:p>
    <w:p w14:paraId="484C2C33" w14:textId="0928AA49" w:rsidR="00FE6F36" w:rsidRPr="007910AB" w:rsidRDefault="007910AB" w:rsidP="007910AB">
      <w:pPr>
        <w:pStyle w:val="Heading3"/>
        <w:numPr>
          <w:ilvl w:val="0"/>
          <w:numId w:val="0"/>
        </w:numPr>
        <w:ind w:left="567" w:hanging="567"/>
        <w:rPr>
          <w:rFonts w:ascii="Arial" w:hAnsi="Arial"/>
          <w:b/>
          <w:bCs/>
          <w:i/>
          <w:iCs/>
          <w:sz w:val="22"/>
          <w:szCs w:val="28"/>
        </w:rPr>
      </w:pPr>
      <w:bookmarkStart w:id="23" w:name="_Toc199479360"/>
      <w:r w:rsidRPr="007910AB">
        <w:rPr>
          <w:rFonts w:ascii="Arial" w:hAnsi="Arial"/>
          <w:b/>
          <w:bCs/>
          <w:i/>
          <w:iCs/>
          <w:sz w:val="22"/>
          <w:szCs w:val="28"/>
        </w:rPr>
        <w:t xml:space="preserve">III. </w:t>
      </w:r>
      <w:proofErr w:type="spellStart"/>
      <w:r w:rsidR="00146F9D">
        <w:rPr>
          <w:rFonts w:ascii="Arial" w:hAnsi="Arial"/>
          <w:b/>
          <w:bCs/>
          <w:i/>
          <w:iCs/>
          <w:sz w:val="22"/>
          <w:szCs w:val="28"/>
        </w:rPr>
        <w:t>Upitnik</w:t>
      </w:r>
      <w:proofErr w:type="spellEnd"/>
      <w:r w:rsidR="00146F9D">
        <w:rPr>
          <w:rFonts w:ascii="Arial" w:hAnsi="Arial"/>
          <w:b/>
          <w:bCs/>
          <w:i/>
          <w:iCs/>
          <w:sz w:val="22"/>
          <w:szCs w:val="28"/>
        </w:rPr>
        <w:t xml:space="preserve"> za </w:t>
      </w:r>
      <w:proofErr w:type="spellStart"/>
      <w:r w:rsidR="00146F9D">
        <w:rPr>
          <w:rFonts w:ascii="Arial" w:hAnsi="Arial"/>
          <w:b/>
          <w:bCs/>
          <w:i/>
          <w:iCs/>
          <w:sz w:val="22"/>
          <w:szCs w:val="28"/>
        </w:rPr>
        <w:t>konsultacije</w:t>
      </w:r>
      <w:bookmarkEnd w:id="23"/>
      <w:proofErr w:type="spellEnd"/>
    </w:p>
    <w:p w14:paraId="3F4A32CA" w14:textId="77777777" w:rsidR="007910AB" w:rsidRDefault="007910AB" w:rsidP="007910AB">
      <w:pPr>
        <w:jc w:val="center"/>
      </w:pPr>
      <w:r>
        <w:t>NACIONALNI PROGRAM ZAŠTITE POTROŠAČA 2022 – 2024</w:t>
      </w:r>
    </w:p>
    <w:p w14:paraId="2573CDAB" w14:textId="3B96325A" w:rsidR="007910AB" w:rsidRDefault="007910AB" w:rsidP="007910AB">
      <w:pPr>
        <w:jc w:val="center"/>
      </w:pPr>
      <w:r>
        <w:t>UPITNIK U SKLOPU FINALNE EVALUACIJE</w:t>
      </w:r>
    </w:p>
    <w:p w14:paraId="66A5D403" w14:textId="77777777" w:rsidR="007910AB" w:rsidRDefault="007910AB" w:rsidP="007910AB">
      <w:pPr>
        <w:jc w:val="both"/>
      </w:pPr>
    </w:p>
    <w:p w14:paraId="02C36E74" w14:textId="77777777" w:rsidR="007910AB" w:rsidRPr="009C0048" w:rsidRDefault="007910AB" w:rsidP="007910AB">
      <w:pPr>
        <w:jc w:val="both"/>
        <w:rPr>
          <w:rFonts w:ascii="Calibri Light" w:hAnsi="Calibri Light" w:cs="Calibri Light"/>
          <w:b/>
          <w:bCs/>
          <w:sz w:val="21"/>
          <w:szCs w:val="21"/>
        </w:rPr>
      </w:pPr>
      <w:r w:rsidRPr="009C0048">
        <w:rPr>
          <w:rFonts w:ascii="Calibri Light" w:hAnsi="Calibri Light" w:cs="Calibri Light"/>
          <w:b/>
          <w:bCs/>
          <w:sz w:val="21"/>
          <w:szCs w:val="21"/>
        </w:rPr>
        <w:t>RELEVANTNOST PROGRAMA</w:t>
      </w:r>
    </w:p>
    <w:p w14:paraId="1E71192E" w14:textId="77777777" w:rsidR="007910AB" w:rsidRPr="009C0048" w:rsidRDefault="007910AB" w:rsidP="007910AB">
      <w:pPr>
        <w:jc w:val="both"/>
        <w:rPr>
          <w:rFonts w:ascii="Calibri Light" w:hAnsi="Calibri Light" w:cs="Calibri Light"/>
          <w:sz w:val="21"/>
          <w:szCs w:val="21"/>
        </w:rPr>
      </w:pPr>
    </w:p>
    <w:p w14:paraId="6AD54724" w14:textId="0C167D17"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1.U kontekstu ekonomije Crne Gore, koliko smatrate da je Program bio relevantan, te da su ciljevi Programa postavljeni na adekvatan način?</w:t>
      </w:r>
    </w:p>
    <w:p w14:paraId="77377EDB" w14:textId="55C99F64"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 xml:space="preserve">Ocenite od 1-5 (1-Nerelevantan; 2-U određenoj meri; 3-Osrednje relevantan; </w:t>
      </w:r>
      <w:r>
        <w:rPr>
          <w:rFonts w:ascii="Calibri Light" w:hAnsi="Calibri Light" w:cs="Calibri Light"/>
          <w:sz w:val="21"/>
          <w:szCs w:val="21"/>
        </w:rPr>
        <w:t>4-</w:t>
      </w:r>
      <w:r w:rsidRPr="009C0048">
        <w:rPr>
          <w:rFonts w:ascii="Calibri Light" w:hAnsi="Calibri Light" w:cs="Calibri Light"/>
          <w:sz w:val="21"/>
          <w:szCs w:val="21"/>
        </w:rPr>
        <w:t>Veoma relevantan; 5-Izuzetno relevantan)</w:t>
      </w:r>
    </w:p>
    <w:p w14:paraId="59846701" w14:textId="32F49679"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2. U kojom meri je Program uticao na povećanje znanja, kapaciteta i svesti o potrošačkim pravima kod svih aktera (javna uprava, potrošači, trgovine, i dr.)</w:t>
      </w:r>
    </w:p>
    <w:p w14:paraId="437665E4" w14:textId="6C3D5CF2"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 xml:space="preserve">Ocenite od 1-5 (1-Nije uticao; 2-U određenoj meri; 3-Osrednje; </w:t>
      </w:r>
      <w:r>
        <w:rPr>
          <w:rFonts w:ascii="Calibri Light" w:hAnsi="Calibri Light" w:cs="Calibri Light"/>
          <w:sz w:val="21"/>
          <w:szCs w:val="21"/>
        </w:rPr>
        <w:t>4-</w:t>
      </w:r>
      <w:r w:rsidRPr="009C0048">
        <w:rPr>
          <w:rFonts w:ascii="Calibri Light" w:hAnsi="Calibri Light" w:cs="Calibri Light"/>
          <w:sz w:val="21"/>
          <w:szCs w:val="21"/>
        </w:rPr>
        <w:t>Veoma; 5-Izuzetno)</w:t>
      </w:r>
    </w:p>
    <w:p w14:paraId="302FC554" w14:textId="77777777"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Dodatna pitanja:</w:t>
      </w:r>
    </w:p>
    <w:p w14:paraId="33B1F7C4" w14:textId="77777777" w:rsidR="007910AB" w:rsidRPr="009C0048" w:rsidRDefault="007910AB" w:rsidP="006D6681">
      <w:pPr>
        <w:pStyle w:val="ListParagraph"/>
        <w:numPr>
          <w:ilvl w:val="0"/>
          <w:numId w:val="23"/>
        </w:numPr>
        <w:jc w:val="both"/>
        <w:rPr>
          <w:rFonts w:ascii="Calibri Light" w:hAnsi="Calibri Light" w:cs="Calibri Light"/>
          <w:sz w:val="21"/>
          <w:szCs w:val="21"/>
          <w:lang w:val="sr-Latn-RS"/>
        </w:rPr>
      </w:pPr>
      <w:r w:rsidRPr="009C0048">
        <w:rPr>
          <w:rFonts w:ascii="Calibri Light" w:hAnsi="Calibri Light" w:cs="Calibri Light"/>
          <w:sz w:val="21"/>
          <w:szCs w:val="21"/>
          <w:lang w:val="sr-Latn-RS"/>
        </w:rPr>
        <w:t>Šta mislite da je najviše uticalo na implementaciju Programa?</w:t>
      </w:r>
    </w:p>
    <w:p w14:paraId="4D7AE249" w14:textId="77777777" w:rsidR="007910AB" w:rsidRPr="009C0048" w:rsidRDefault="007910AB" w:rsidP="006D6681">
      <w:pPr>
        <w:pStyle w:val="ListParagraph"/>
        <w:numPr>
          <w:ilvl w:val="0"/>
          <w:numId w:val="23"/>
        </w:numPr>
        <w:jc w:val="both"/>
        <w:rPr>
          <w:rFonts w:ascii="Calibri Light" w:hAnsi="Calibri Light" w:cs="Calibri Light"/>
          <w:sz w:val="21"/>
          <w:szCs w:val="21"/>
          <w:lang w:val="sr-Latn-RS"/>
        </w:rPr>
      </w:pPr>
      <w:r w:rsidRPr="009C0048">
        <w:rPr>
          <w:rFonts w:ascii="Calibri Light" w:hAnsi="Calibri Light" w:cs="Calibri Light"/>
          <w:sz w:val="21"/>
          <w:szCs w:val="21"/>
          <w:lang w:val="sr-Latn-RS"/>
        </w:rPr>
        <w:t>Da li smatrate da su ciljevi Programa doprineli razvoju zaštite potrošača?</w:t>
      </w:r>
    </w:p>
    <w:p w14:paraId="7E47DA51" w14:textId="77777777" w:rsidR="007910AB" w:rsidRPr="009C0048" w:rsidRDefault="007910AB" w:rsidP="006D6681">
      <w:pPr>
        <w:pStyle w:val="ListParagraph"/>
        <w:numPr>
          <w:ilvl w:val="0"/>
          <w:numId w:val="23"/>
        </w:numPr>
        <w:jc w:val="both"/>
        <w:rPr>
          <w:rFonts w:ascii="Calibri Light" w:hAnsi="Calibri Light" w:cs="Calibri Light"/>
          <w:sz w:val="21"/>
          <w:szCs w:val="21"/>
          <w:lang w:val="sr-Latn-RS"/>
        </w:rPr>
      </w:pPr>
      <w:r w:rsidRPr="009C0048">
        <w:rPr>
          <w:rFonts w:ascii="Calibri Light" w:hAnsi="Calibri Light" w:cs="Calibri Light"/>
          <w:sz w:val="21"/>
          <w:szCs w:val="21"/>
          <w:lang w:val="sr-Latn-RS"/>
        </w:rPr>
        <w:t>Da li je uloga Programa bila značajna u razvoju regulatornog i strateškog okvira u Crnoj Gori?</w:t>
      </w:r>
    </w:p>
    <w:p w14:paraId="258F406D" w14:textId="77777777" w:rsidR="007910AB" w:rsidRPr="009C0048" w:rsidRDefault="007910AB" w:rsidP="007910AB">
      <w:pPr>
        <w:jc w:val="both"/>
        <w:rPr>
          <w:rFonts w:ascii="Calibri Light" w:hAnsi="Calibri Light" w:cs="Calibri Light"/>
          <w:sz w:val="21"/>
          <w:szCs w:val="21"/>
        </w:rPr>
      </w:pPr>
    </w:p>
    <w:p w14:paraId="45DE963A" w14:textId="0923AA93" w:rsidR="007910AB" w:rsidRPr="007910AB" w:rsidRDefault="007910AB" w:rsidP="007910AB">
      <w:pPr>
        <w:jc w:val="both"/>
        <w:rPr>
          <w:rFonts w:ascii="Calibri Light" w:hAnsi="Calibri Light" w:cs="Calibri Light"/>
          <w:b/>
          <w:bCs/>
          <w:sz w:val="21"/>
          <w:szCs w:val="21"/>
        </w:rPr>
      </w:pPr>
      <w:r w:rsidRPr="009C0048">
        <w:rPr>
          <w:rFonts w:ascii="Calibri Light" w:hAnsi="Calibri Light" w:cs="Calibri Light"/>
          <w:b/>
          <w:bCs/>
          <w:sz w:val="21"/>
          <w:szCs w:val="21"/>
        </w:rPr>
        <w:t>EFEKTIVNOST</w:t>
      </w:r>
      <w:r>
        <w:rPr>
          <w:rFonts w:ascii="Calibri Light" w:hAnsi="Calibri Light" w:cs="Calibri Light"/>
          <w:b/>
          <w:bCs/>
          <w:sz w:val="21"/>
          <w:szCs w:val="21"/>
        </w:rPr>
        <w:t xml:space="preserve"> PROGRAMA</w:t>
      </w:r>
    </w:p>
    <w:p w14:paraId="3E9EE8B7" w14:textId="38538A37"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1.Koliko je efektivan bio Program, odnosno u kojoj meri su ostvareni ciljevi Programa?</w:t>
      </w:r>
    </w:p>
    <w:p w14:paraId="0519C943" w14:textId="77EA3E63"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 xml:space="preserve">Ocenite od 1-5 (1-Neefektivan; 2-U određenoj meri; 3-Osrednje efektivan; </w:t>
      </w:r>
      <w:r>
        <w:rPr>
          <w:rFonts w:ascii="Calibri Light" w:hAnsi="Calibri Light" w:cs="Calibri Light"/>
          <w:sz w:val="21"/>
          <w:szCs w:val="21"/>
        </w:rPr>
        <w:t>4-</w:t>
      </w:r>
      <w:r w:rsidRPr="009C0048">
        <w:rPr>
          <w:rFonts w:ascii="Calibri Light" w:hAnsi="Calibri Light" w:cs="Calibri Light"/>
          <w:sz w:val="21"/>
          <w:szCs w:val="21"/>
        </w:rPr>
        <w:t>Veoma efektivan; 5-Izuzetno efektivan)</w:t>
      </w:r>
    </w:p>
    <w:p w14:paraId="52B66DE4" w14:textId="70685712"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2.Koliko je efektivan bio Program u komuniciranju strateških ciljeva relevantnim akterima, a posebno javnoj upravi, lokalnoj samoupravi, organizacijama civilnog društva i potrošačima?</w:t>
      </w:r>
    </w:p>
    <w:p w14:paraId="6B89D822" w14:textId="6DE13829"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 xml:space="preserve">Ocenite od 1-5 (1-Neefektivan; 2-U određenoj meri; 3-Osrednje efektivan; </w:t>
      </w:r>
      <w:r>
        <w:rPr>
          <w:rFonts w:ascii="Calibri Light" w:hAnsi="Calibri Light" w:cs="Calibri Light"/>
          <w:sz w:val="21"/>
          <w:szCs w:val="21"/>
        </w:rPr>
        <w:t>4-</w:t>
      </w:r>
      <w:r w:rsidRPr="009C0048">
        <w:rPr>
          <w:rFonts w:ascii="Calibri Light" w:hAnsi="Calibri Light" w:cs="Calibri Light"/>
          <w:sz w:val="21"/>
          <w:szCs w:val="21"/>
        </w:rPr>
        <w:t>Veoma efektivan; 5-Izuzetno efektivan)</w:t>
      </w:r>
    </w:p>
    <w:p w14:paraId="223571D6" w14:textId="77777777" w:rsidR="007910AB" w:rsidRPr="009C0048"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Dodatna pitanja:</w:t>
      </w:r>
    </w:p>
    <w:p w14:paraId="775CDE5A" w14:textId="77777777" w:rsidR="007910AB" w:rsidRPr="009C0048" w:rsidRDefault="007910AB" w:rsidP="006D6681">
      <w:pPr>
        <w:pStyle w:val="ListParagraph"/>
        <w:numPr>
          <w:ilvl w:val="0"/>
          <w:numId w:val="24"/>
        </w:numPr>
        <w:jc w:val="both"/>
        <w:rPr>
          <w:rFonts w:ascii="Calibri Light" w:hAnsi="Calibri Light" w:cs="Calibri Light"/>
          <w:sz w:val="21"/>
          <w:szCs w:val="21"/>
          <w:lang w:val="sr-Latn-RS"/>
        </w:rPr>
      </w:pPr>
      <w:r w:rsidRPr="009C0048">
        <w:rPr>
          <w:rFonts w:ascii="Calibri Light" w:hAnsi="Calibri Light" w:cs="Calibri Light"/>
          <w:sz w:val="21"/>
          <w:szCs w:val="21"/>
          <w:lang w:val="sr-Latn-RS"/>
        </w:rPr>
        <w:t>Da li smatrate da je sistem za monitoring i evaluaciju Programa bio postavljen na adekvatan način po pitanju praćenja rezultata i izveštavanja?</w:t>
      </w:r>
    </w:p>
    <w:p w14:paraId="40CB2B11" w14:textId="77777777" w:rsidR="007910AB" w:rsidRPr="009C0048" w:rsidRDefault="007910AB" w:rsidP="006D6681">
      <w:pPr>
        <w:pStyle w:val="ListParagraph"/>
        <w:numPr>
          <w:ilvl w:val="0"/>
          <w:numId w:val="24"/>
        </w:numPr>
        <w:jc w:val="both"/>
        <w:rPr>
          <w:rFonts w:ascii="Calibri Light" w:hAnsi="Calibri Light" w:cs="Calibri Light"/>
          <w:sz w:val="21"/>
          <w:szCs w:val="21"/>
          <w:lang w:val="sr-Latn-RS"/>
        </w:rPr>
      </w:pPr>
      <w:r w:rsidRPr="009C0048">
        <w:rPr>
          <w:rFonts w:ascii="Calibri Light" w:hAnsi="Calibri Light" w:cs="Calibri Light"/>
          <w:sz w:val="21"/>
          <w:szCs w:val="21"/>
          <w:lang w:val="sr-Latn-RS"/>
        </w:rPr>
        <w:t>Šta smatrate da su primeri dobre, a šta loše prakse u toku implementacije Programa?</w:t>
      </w:r>
    </w:p>
    <w:p w14:paraId="4D3FF521" w14:textId="77777777" w:rsidR="007910AB" w:rsidRPr="009C0048" w:rsidRDefault="007910AB" w:rsidP="006D6681">
      <w:pPr>
        <w:pStyle w:val="ListParagraph"/>
        <w:numPr>
          <w:ilvl w:val="0"/>
          <w:numId w:val="24"/>
        </w:numPr>
        <w:jc w:val="both"/>
        <w:rPr>
          <w:rFonts w:ascii="Calibri Light" w:hAnsi="Calibri Light" w:cs="Calibri Light"/>
          <w:sz w:val="21"/>
          <w:szCs w:val="21"/>
          <w:lang w:val="sr-Latn-RS"/>
        </w:rPr>
      </w:pPr>
      <w:r w:rsidRPr="009C0048">
        <w:rPr>
          <w:rFonts w:ascii="Calibri Light" w:hAnsi="Calibri Light" w:cs="Calibri Light"/>
          <w:sz w:val="21"/>
          <w:szCs w:val="21"/>
          <w:lang w:val="sr-Latn-RS"/>
        </w:rPr>
        <w:t>Šta smatrate da može unaprediti u budućnosti implementaciju strategija u oblasti zaštite potrošača?</w:t>
      </w:r>
    </w:p>
    <w:p w14:paraId="29ABD78B" w14:textId="77777777" w:rsidR="007910AB" w:rsidRPr="009C0048" w:rsidRDefault="007910AB" w:rsidP="007910AB">
      <w:pPr>
        <w:jc w:val="both"/>
        <w:rPr>
          <w:rFonts w:ascii="Calibri Light" w:hAnsi="Calibri Light" w:cs="Calibri Light"/>
          <w:sz w:val="21"/>
          <w:szCs w:val="21"/>
        </w:rPr>
      </w:pPr>
    </w:p>
    <w:p w14:paraId="737209B0" w14:textId="74346903" w:rsidR="007910AB" w:rsidRDefault="007910AB" w:rsidP="007910AB">
      <w:pPr>
        <w:jc w:val="both"/>
        <w:rPr>
          <w:rFonts w:ascii="Calibri Light" w:hAnsi="Calibri Light" w:cs="Calibri Light"/>
          <w:b/>
          <w:bCs/>
          <w:sz w:val="21"/>
          <w:szCs w:val="21"/>
        </w:rPr>
      </w:pPr>
      <w:r w:rsidRPr="009C0048">
        <w:rPr>
          <w:rFonts w:ascii="Calibri Light" w:hAnsi="Calibri Light" w:cs="Calibri Light"/>
          <w:b/>
          <w:bCs/>
          <w:sz w:val="21"/>
          <w:szCs w:val="21"/>
        </w:rPr>
        <w:t>REZULTATI</w:t>
      </w:r>
    </w:p>
    <w:p w14:paraId="5D58219E" w14:textId="19AD9C7E" w:rsidR="007910AB" w:rsidRDefault="007910AB" w:rsidP="007910AB">
      <w:pPr>
        <w:jc w:val="both"/>
        <w:rPr>
          <w:rFonts w:ascii="Calibri Light" w:hAnsi="Calibri Light" w:cs="Calibri Light"/>
          <w:sz w:val="21"/>
          <w:szCs w:val="21"/>
        </w:rPr>
      </w:pPr>
      <w:r>
        <w:rPr>
          <w:rFonts w:ascii="Calibri Light" w:hAnsi="Calibri Light" w:cs="Calibri Light"/>
          <w:sz w:val="21"/>
          <w:szCs w:val="21"/>
        </w:rPr>
        <w:t>1.U kojoj meri su postignuti planirani rezultati Programa?</w:t>
      </w:r>
    </w:p>
    <w:p w14:paraId="5D0AE8CC" w14:textId="34593FC0" w:rsidR="007910AB"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Ocenite od 1-5 (1-</w:t>
      </w:r>
      <w:r>
        <w:rPr>
          <w:rFonts w:ascii="Calibri Light" w:hAnsi="Calibri Light" w:cs="Calibri Light"/>
          <w:sz w:val="21"/>
          <w:szCs w:val="21"/>
        </w:rPr>
        <w:t>Nisu postignuti</w:t>
      </w:r>
      <w:r w:rsidRPr="009C0048">
        <w:rPr>
          <w:rFonts w:ascii="Calibri Light" w:hAnsi="Calibri Light" w:cs="Calibri Light"/>
          <w:sz w:val="21"/>
          <w:szCs w:val="21"/>
        </w:rPr>
        <w:t>; 2-U određenoj meri; 3-</w:t>
      </w:r>
      <w:r>
        <w:rPr>
          <w:rFonts w:ascii="Calibri Light" w:hAnsi="Calibri Light" w:cs="Calibri Light"/>
          <w:sz w:val="21"/>
          <w:szCs w:val="21"/>
        </w:rPr>
        <w:t>Osrednji rezultati</w:t>
      </w:r>
      <w:r w:rsidRPr="009C0048">
        <w:rPr>
          <w:rFonts w:ascii="Calibri Light" w:hAnsi="Calibri Light" w:cs="Calibri Light"/>
          <w:sz w:val="21"/>
          <w:szCs w:val="21"/>
        </w:rPr>
        <w:t xml:space="preserve">; </w:t>
      </w:r>
      <w:r>
        <w:rPr>
          <w:rFonts w:ascii="Calibri Light" w:hAnsi="Calibri Light" w:cs="Calibri Light"/>
          <w:sz w:val="21"/>
          <w:szCs w:val="21"/>
        </w:rPr>
        <w:t>4-</w:t>
      </w:r>
      <w:r w:rsidRPr="009C0048">
        <w:rPr>
          <w:rFonts w:ascii="Calibri Light" w:hAnsi="Calibri Light" w:cs="Calibri Light"/>
          <w:sz w:val="21"/>
          <w:szCs w:val="21"/>
        </w:rPr>
        <w:t xml:space="preserve">Veoma </w:t>
      </w:r>
      <w:r>
        <w:rPr>
          <w:rFonts w:ascii="Calibri Light" w:hAnsi="Calibri Light" w:cs="Calibri Light"/>
          <w:sz w:val="21"/>
          <w:szCs w:val="21"/>
        </w:rPr>
        <w:t>dobri rezultati</w:t>
      </w:r>
      <w:r w:rsidRPr="009C0048">
        <w:rPr>
          <w:rFonts w:ascii="Calibri Light" w:hAnsi="Calibri Light" w:cs="Calibri Light"/>
          <w:sz w:val="21"/>
          <w:szCs w:val="21"/>
        </w:rPr>
        <w:t>; 5-Izuzetn</w:t>
      </w:r>
      <w:r>
        <w:rPr>
          <w:rFonts w:ascii="Calibri Light" w:hAnsi="Calibri Light" w:cs="Calibri Light"/>
          <w:sz w:val="21"/>
          <w:szCs w:val="21"/>
        </w:rPr>
        <w:t>i</w:t>
      </w:r>
      <w:r w:rsidRPr="009C0048">
        <w:rPr>
          <w:rFonts w:ascii="Calibri Light" w:hAnsi="Calibri Light" w:cs="Calibri Light"/>
          <w:sz w:val="21"/>
          <w:szCs w:val="21"/>
        </w:rPr>
        <w:t xml:space="preserve"> </w:t>
      </w:r>
      <w:r>
        <w:rPr>
          <w:rFonts w:ascii="Calibri Light" w:hAnsi="Calibri Light" w:cs="Calibri Light"/>
          <w:sz w:val="21"/>
          <w:szCs w:val="21"/>
        </w:rPr>
        <w:t>rezultati</w:t>
      </w:r>
      <w:r w:rsidRPr="009C0048">
        <w:rPr>
          <w:rFonts w:ascii="Calibri Light" w:hAnsi="Calibri Light" w:cs="Calibri Light"/>
          <w:sz w:val="21"/>
          <w:szCs w:val="21"/>
        </w:rPr>
        <w:t>)</w:t>
      </w:r>
    </w:p>
    <w:p w14:paraId="0691B8E6" w14:textId="77777777" w:rsidR="007910AB" w:rsidRDefault="007910AB" w:rsidP="007910AB">
      <w:pPr>
        <w:jc w:val="both"/>
        <w:rPr>
          <w:rFonts w:ascii="Calibri Light" w:hAnsi="Calibri Light" w:cs="Calibri Light"/>
          <w:sz w:val="21"/>
          <w:szCs w:val="21"/>
        </w:rPr>
      </w:pPr>
      <w:r>
        <w:rPr>
          <w:rFonts w:ascii="Calibri Light" w:hAnsi="Calibri Light" w:cs="Calibri Light"/>
          <w:sz w:val="21"/>
          <w:szCs w:val="21"/>
        </w:rPr>
        <w:t>Dodatna pitanja:</w:t>
      </w:r>
    </w:p>
    <w:p w14:paraId="1F6EFA6A" w14:textId="77777777" w:rsidR="007910AB" w:rsidRDefault="007910AB" w:rsidP="006D6681">
      <w:pPr>
        <w:pStyle w:val="ListParagraph"/>
        <w:numPr>
          <w:ilvl w:val="0"/>
          <w:numId w:val="25"/>
        </w:numPr>
        <w:jc w:val="both"/>
        <w:rPr>
          <w:rFonts w:ascii="Calibri Light" w:hAnsi="Calibri Light" w:cs="Calibri Light"/>
          <w:sz w:val="21"/>
          <w:szCs w:val="21"/>
          <w:lang w:val="sr-Latn-RS"/>
        </w:rPr>
      </w:pPr>
      <w:r>
        <w:rPr>
          <w:rFonts w:ascii="Calibri Light" w:hAnsi="Calibri Light" w:cs="Calibri Light"/>
          <w:sz w:val="21"/>
          <w:szCs w:val="21"/>
          <w:lang w:val="sr-Latn-RS"/>
        </w:rPr>
        <w:t>Šta je uticalo na rezultate Programe u najvećoj meri?</w:t>
      </w:r>
    </w:p>
    <w:p w14:paraId="7F898A72" w14:textId="77777777" w:rsidR="007910AB" w:rsidRDefault="007910AB" w:rsidP="006D6681">
      <w:pPr>
        <w:pStyle w:val="ListParagraph"/>
        <w:numPr>
          <w:ilvl w:val="0"/>
          <w:numId w:val="25"/>
        </w:numPr>
        <w:jc w:val="both"/>
        <w:rPr>
          <w:rFonts w:ascii="Calibri Light" w:hAnsi="Calibri Light" w:cs="Calibri Light"/>
          <w:sz w:val="21"/>
          <w:szCs w:val="21"/>
          <w:lang w:val="sr-Latn-RS"/>
        </w:rPr>
      </w:pPr>
      <w:r>
        <w:rPr>
          <w:rFonts w:ascii="Calibri Light" w:hAnsi="Calibri Light" w:cs="Calibri Light"/>
          <w:sz w:val="21"/>
          <w:szCs w:val="21"/>
          <w:lang w:val="sr-Latn-RS"/>
        </w:rPr>
        <w:t>Da li je bilo indirektnih (neočekivanih) efekata implementacije Programa (pozitivnih ili negativnih)?</w:t>
      </w:r>
    </w:p>
    <w:p w14:paraId="12068371" w14:textId="332BC532" w:rsidR="007910AB" w:rsidRPr="007910AB" w:rsidRDefault="007910AB" w:rsidP="006D6681">
      <w:pPr>
        <w:pStyle w:val="ListParagraph"/>
        <w:numPr>
          <w:ilvl w:val="0"/>
          <w:numId w:val="25"/>
        </w:numPr>
        <w:jc w:val="both"/>
        <w:rPr>
          <w:rFonts w:ascii="Calibri Light" w:hAnsi="Calibri Light" w:cs="Calibri Light"/>
          <w:sz w:val="21"/>
          <w:szCs w:val="21"/>
          <w:lang w:val="sr-Latn-RS"/>
        </w:rPr>
      </w:pPr>
      <w:r>
        <w:rPr>
          <w:rFonts w:ascii="Calibri Light" w:hAnsi="Calibri Light" w:cs="Calibri Light"/>
          <w:sz w:val="21"/>
          <w:szCs w:val="21"/>
          <w:lang w:val="sr-Latn-RS"/>
        </w:rPr>
        <w:t>Da li su ostvareni rezultati održivi na dugi rok?</w:t>
      </w:r>
    </w:p>
    <w:p w14:paraId="6D05376A" w14:textId="77777777" w:rsidR="007910AB" w:rsidRDefault="007910AB" w:rsidP="007910AB">
      <w:pPr>
        <w:jc w:val="both"/>
        <w:rPr>
          <w:rFonts w:ascii="Calibri Light" w:hAnsi="Calibri Light" w:cs="Calibri Light"/>
          <w:b/>
          <w:bCs/>
          <w:sz w:val="21"/>
          <w:szCs w:val="21"/>
        </w:rPr>
      </w:pPr>
    </w:p>
    <w:p w14:paraId="0EDB952C" w14:textId="7C2BD9F6" w:rsidR="007910AB" w:rsidRDefault="007910AB" w:rsidP="007910AB">
      <w:pPr>
        <w:jc w:val="both"/>
        <w:rPr>
          <w:rFonts w:ascii="Calibri Light" w:hAnsi="Calibri Light" w:cs="Calibri Light"/>
          <w:b/>
          <w:bCs/>
          <w:sz w:val="21"/>
          <w:szCs w:val="21"/>
        </w:rPr>
      </w:pPr>
      <w:r>
        <w:rPr>
          <w:rFonts w:ascii="Calibri Light" w:hAnsi="Calibri Light" w:cs="Calibri Light"/>
          <w:b/>
          <w:bCs/>
          <w:sz w:val="21"/>
          <w:szCs w:val="21"/>
        </w:rPr>
        <w:t>EFIKASNOST</w:t>
      </w:r>
    </w:p>
    <w:p w14:paraId="43F036E8" w14:textId="3955A755" w:rsidR="007910AB" w:rsidRDefault="007910AB" w:rsidP="007910AB">
      <w:pPr>
        <w:jc w:val="both"/>
        <w:rPr>
          <w:rFonts w:ascii="Calibri Light" w:hAnsi="Calibri Light" w:cs="Calibri Light"/>
          <w:sz w:val="21"/>
          <w:szCs w:val="21"/>
        </w:rPr>
      </w:pPr>
      <w:r>
        <w:rPr>
          <w:rFonts w:ascii="Calibri Light" w:hAnsi="Calibri Light" w:cs="Calibri Light"/>
          <w:sz w:val="21"/>
          <w:szCs w:val="21"/>
        </w:rPr>
        <w:t>1.Koliko je Program bio efikasan u kontekstu raspodele raspoloživih sredstava</w:t>
      </w:r>
    </w:p>
    <w:p w14:paraId="04BAB4EA" w14:textId="26013030" w:rsidR="007910AB"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lastRenderedPageBreak/>
        <w:t>Ocenite od 1-5 (1-Neef</w:t>
      </w:r>
      <w:r>
        <w:rPr>
          <w:rFonts w:ascii="Calibri Light" w:hAnsi="Calibri Light" w:cs="Calibri Light"/>
          <w:sz w:val="21"/>
          <w:szCs w:val="21"/>
        </w:rPr>
        <w:t>ikasan</w:t>
      </w:r>
      <w:r w:rsidRPr="009C0048">
        <w:rPr>
          <w:rFonts w:ascii="Calibri Light" w:hAnsi="Calibri Light" w:cs="Calibri Light"/>
          <w:sz w:val="21"/>
          <w:szCs w:val="21"/>
        </w:rPr>
        <w:t>; 2-U određenoj meri; 3-Osrednje ef</w:t>
      </w:r>
      <w:r>
        <w:rPr>
          <w:rFonts w:ascii="Calibri Light" w:hAnsi="Calibri Light" w:cs="Calibri Light"/>
          <w:sz w:val="21"/>
          <w:szCs w:val="21"/>
        </w:rPr>
        <w:t>ikasan</w:t>
      </w:r>
      <w:r w:rsidRPr="009C0048">
        <w:rPr>
          <w:rFonts w:ascii="Calibri Light" w:hAnsi="Calibri Light" w:cs="Calibri Light"/>
          <w:sz w:val="21"/>
          <w:szCs w:val="21"/>
        </w:rPr>
        <w:t xml:space="preserve">; </w:t>
      </w:r>
      <w:r>
        <w:rPr>
          <w:rFonts w:ascii="Calibri Light" w:hAnsi="Calibri Light" w:cs="Calibri Light"/>
          <w:sz w:val="21"/>
          <w:szCs w:val="21"/>
        </w:rPr>
        <w:t>4-</w:t>
      </w:r>
      <w:r w:rsidRPr="009C0048">
        <w:rPr>
          <w:rFonts w:ascii="Calibri Light" w:hAnsi="Calibri Light" w:cs="Calibri Light"/>
          <w:sz w:val="21"/>
          <w:szCs w:val="21"/>
        </w:rPr>
        <w:t>Veoma ef</w:t>
      </w:r>
      <w:r>
        <w:rPr>
          <w:rFonts w:ascii="Calibri Light" w:hAnsi="Calibri Light" w:cs="Calibri Light"/>
          <w:sz w:val="21"/>
          <w:szCs w:val="21"/>
        </w:rPr>
        <w:t>ikasan</w:t>
      </w:r>
      <w:r w:rsidRPr="009C0048">
        <w:rPr>
          <w:rFonts w:ascii="Calibri Light" w:hAnsi="Calibri Light" w:cs="Calibri Light"/>
          <w:sz w:val="21"/>
          <w:szCs w:val="21"/>
        </w:rPr>
        <w:t>; 5-Izuzetno ef</w:t>
      </w:r>
      <w:r>
        <w:rPr>
          <w:rFonts w:ascii="Calibri Light" w:hAnsi="Calibri Light" w:cs="Calibri Light"/>
          <w:sz w:val="21"/>
          <w:szCs w:val="21"/>
        </w:rPr>
        <w:t>ikasan</w:t>
      </w:r>
      <w:r w:rsidRPr="009C0048">
        <w:rPr>
          <w:rFonts w:ascii="Calibri Light" w:hAnsi="Calibri Light" w:cs="Calibri Light"/>
          <w:sz w:val="21"/>
          <w:szCs w:val="21"/>
        </w:rPr>
        <w:t>)</w:t>
      </w:r>
    </w:p>
    <w:p w14:paraId="09BB257D" w14:textId="77777777" w:rsidR="007910AB" w:rsidRDefault="007910AB" w:rsidP="007910AB">
      <w:pPr>
        <w:jc w:val="both"/>
        <w:rPr>
          <w:rFonts w:ascii="Calibri Light" w:hAnsi="Calibri Light" w:cs="Calibri Light"/>
          <w:sz w:val="21"/>
          <w:szCs w:val="21"/>
        </w:rPr>
      </w:pPr>
      <w:r>
        <w:rPr>
          <w:rFonts w:ascii="Calibri Light" w:hAnsi="Calibri Light" w:cs="Calibri Light"/>
          <w:sz w:val="21"/>
          <w:szCs w:val="21"/>
        </w:rPr>
        <w:t>Dodatna pitanja:</w:t>
      </w:r>
    </w:p>
    <w:p w14:paraId="6B99F3E4" w14:textId="77777777" w:rsidR="007910AB" w:rsidRDefault="007910AB" w:rsidP="006D6681">
      <w:pPr>
        <w:pStyle w:val="ListParagraph"/>
        <w:numPr>
          <w:ilvl w:val="0"/>
          <w:numId w:val="26"/>
        </w:numPr>
        <w:jc w:val="both"/>
        <w:rPr>
          <w:rFonts w:ascii="Calibri Light" w:hAnsi="Calibri Light" w:cs="Calibri Light"/>
          <w:sz w:val="21"/>
          <w:szCs w:val="21"/>
          <w:lang w:val="sr-Latn-RS"/>
        </w:rPr>
      </w:pPr>
      <w:r>
        <w:rPr>
          <w:rFonts w:ascii="Calibri Light" w:hAnsi="Calibri Light" w:cs="Calibri Light"/>
          <w:sz w:val="21"/>
          <w:szCs w:val="21"/>
          <w:lang w:val="sr-Latn-RS"/>
        </w:rPr>
        <w:t>Da li su raspoloživa sredstva korišćena u skladu sa planovima ili je bilo potrebe za preraspodelom sredstava?</w:t>
      </w:r>
    </w:p>
    <w:p w14:paraId="0C2E569C" w14:textId="77777777" w:rsidR="007910AB" w:rsidRDefault="007910AB" w:rsidP="006D6681">
      <w:pPr>
        <w:pStyle w:val="ListParagraph"/>
        <w:numPr>
          <w:ilvl w:val="0"/>
          <w:numId w:val="26"/>
        </w:numPr>
        <w:jc w:val="both"/>
        <w:rPr>
          <w:rFonts w:ascii="Calibri Light" w:hAnsi="Calibri Light" w:cs="Calibri Light"/>
          <w:sz w:val="21"/>
          <w:szCs w:val="21"/>
          <w:lang w:val="sr-Latn-RS"/>
        </w:rPr>
      </w:pPr>
      <w:r>
        <w:rPr>
          <w:rFonts w:ascii="Calibri Light" w:hAnsi="Calibri Light" w:cs="Calibri Light"/>
          <w:sz w:val="21"/>
          <w:szCs w:val="21"/>
          <w:lang w:val="sr-Latn-RS"/>
        </w:rPr>
        <w:t>Da li su raspoloživa sredstva bila dovoljna za realizaciju aktivnosti Programa?</w:t>
      </w:r>
    </w:p>
    <w:p w14:paraId="68BD5DFC" w14:textId="77777777" w:rsidR="007910AB" w:rsidRDefault="007910AB" w:rsidP="006D6681">
      <w:pPr>
        <w:pStyle w:val="ListParagraph"/>
        <w:numPr>
          <w:ilvl w:val="0"/>
          <w:numId w:val="26"/>
        </w:numPr>
        <w:jc w:val="both"/>
        <w:rPr>
          <w:rFonts w:ascii="Calibri Light" w:hAnsi="Calibri Light" w:cs="Calibri Light"/>
          <w:sz w:val="21"/>
          <w:szCs w:val="21"/>
          <w:lang w:val="sr-Latn-RS"/>
        </w:rPr>
      </w:pPr>
      <w:r>
        <w:rPr>
          <w:rFonts w:ascii="Calibri Light" w:hAnsi="Calibri Light" w:cs="Calibri Light"/>
          <w:sz w:val="21"/>
          <w:szCs w:val="21"/>
          <w:lang w:val="sr-Latn-RS"/>
        </w:rPr>
        <w:t>Da li je ljudski kapital (osoblje direktno angažovano za implementaciju Programa) bio dovoljan?</w:t>
      </w:r>
    </w:p>
    <w:p w14:paraId="43CB790B" w14:textId="77777777" w:rsidR="007910AB" w:rsidRDefault="007910AB" w:rsidP="006D6681">
      <w:pPr>
        <w:pStyle w:val="ListParagraph"/>
        <w:numPr>
          <w:ilvl w:val="0"/>
          <w:numId w:val="26"/>
        </w:numPr>
        <w:jc w:val="both"/>
        <w:rPr>
          <w:rFonts w:ascii="Calibri Light" w:hAnsi="Calibri Light" w:cs="Calibri Light"/>
          <w:sz w:val="21"/>
          <w:szCs w:val="21"/>
          <w:lang w:val="sr-Latn-RS"/>
        </w:rPr>
      </w:pPr>
      <w:r>
        <w:rPr>
          <w:rFonts w:ascii="Calibri Light" w:hAnsi="Calibri Light" w:cs="Calibri Light"/>
          <w:sz w:val="21"/>
          <w:szCs w:val="21"/>
          <w:lang w:val="sr-Latn-RS"/>
        </w:rPr>
        <w:t>Koliko je efikasna bila komunikacija između različitih organizacija koje su bile uključene u realizaciju Programa?</w:t>
      </w:r>
    </w:p>
    <w:p w14:paraId="6FEF756F" w14:textId="77777777" w:rsidR="007910AB" w:rsidRDefault="007910AB" w:rsidP="007910AB">
      <w:pPr>
        <w:jc w:val="both"/>
        <w:rPr>
          <w:rFonts w:ascii="Calibri Light" w:hAnsi="Calibri Light" w:cs="Calibri Light"/>
          <w:sz w:val="21"/>
          <w:szCs w:val="21"/>
        </w:rPr>
      </w:pPr>
    </w:p>
    <w:p w14:paraId="50790661" w14:textId="77777777" w:rsidR="007910AB" w:rsidRDefault="007910AB" w:rsidP="007910AB">
      <w:pPr>
        <w:jc w:val="both"/>
        <w:rPr>
          <w:rFonts w:ascii="Calibri Light" w:hAnsi="Calibri Light" w:cs="Calibri Light"/>
          <w:b/>
          <w:bCs/>
          <w:sz w:val="21"/>
          <w:szCs w:val="21"/>
        </w:rPr>
      </w:pPr>
      <w:r>
        <w:rPr>
          <w:rFonts w:ascii="Calibri Light" w:hAnsi="Calibri Light" w:cs="Calibri Light"/>
          <w:b/>
          <w:bCs/>
          <w:sz w:val="21"/>
          <w:szCs w:val="21"/>
        </w:rPr>
        <w:t>KOHERENTNOST</w:t>
      </w:r>
    </w:p>
    <w:p w14:paraId="4DF69606" w14:textId="77777777" w:rsidR="007910AB" w:rsidRDefault="007910AB" w:rsidP="007910AB">
      <w:pPr>
        <w:jc w:val="both"/>
        <w:rPr>
          <w:rFonts w:ascii="Calibri Light" w:hAnsi="Calibri Light" w:cs="Calibri Light"/>
          <w:b/>
          <w:bCs/>
          <w:sz w:val="21"/>
          <w:szCs w:val="21"/>
        </w:rPr>
      </w:pPr>
    </w:p>
    <w:p w14:paraId="259B865D" w14:textId="16A25FC8" w:rsidR="007910AB" w:rsidRDefault="007910AB" w:rsidP="007910AB">
      <w:pPr>
        <w:jc w:val="both"/>
        <w:rPr>
          <w:rFonts w:ascii="Calibri Light" w:hAnsi="Calibri Light" w:cs="Calibri Light"/>
          <w:sz w:val="21"/>
          <w:szCs w:val="21"/>
        </w:rPr>
      </w:pPr>
      <w:r>
        <w:rPr>
          <w:rFonts w:ascii="Calibri Light" w:hAnsi="Calibri Light" w:cs="Calibri Light"/>
          <w:sz w:val="21"/>
          <w:szCs w:val="21"/>
        </w:rPr>
        <w:t>1.U kojoj meri je Program bio koherentan sa drugim tekućim strateškim programima Vlade, u smislu predviđanih rezultata i ciljeva?</w:t>
      </w:r>
    </w:p>
    <w:p w14:paraId="3CF75261" w14:textId="6E4133ED" w:rsidR="007910AB" w:rsidRDefault="007910AB" w:rsidP="007910AB">
      <w:pPr>
        <w:jc w:val="both"/>
        <w:rPr>
          <w:rFonts w:ascii="Calibri Light" w:hAnsi="Calibri Light" w:cs="Calibri Light"/>
          <w:sz w:val="21"/>
          <w:szCs w:val="21"/>
        </w:rPr>
      </w:pPr>
      <w:r w:rsidRPr="009C0048">
        <w:rPr>
          <w:rFonts w:ascii="Calibri Light" w:hAnsi="Calibri Light" w:cs="Calibri Light"/>
          <w:sz w:val="21"/>
          <w:szCs w:val="21"/>
        </w:rPr>
        <w:t>Ocenite od 1-5 (1-Ne</w:t>
      </w:r>
      <w:r>
        <w:rPr>
          <w:rFonts w:ascii="Calibri Light" w:hAnsi="Calibri Light" w:cs="Calibri Light"/>
          <w:sz w:val="21"/>
          <w:szCs w:val="21"/>
        </w:rPr>
        <w:t>koherentan</w:t>
      </w:r>
      <w:r w:rsidRPr="009C0048">
        <w:rPr>
          <w:rFonts w:ascii="Calibri Light" w:hAnsi="Calibri Light" w:cs="Calibri Light"/>
          <w:sz w:val="21"/>
          <w:szCs w:val="21"/>
        </w:rPr>
        <w:t xml:space="preserve">; 2-U određenoj meri; 3-Osrednje </w:t>
      </w:r>
      <w:r>
        <w:rPr>
          <w:rFonts w:ascii="Calibri Light" w:hAnsi="Calibri Light" w:cs="Calibri Light"/>
          <w:sz w:val="21"/>
          <w:szCs w:val="21"/>
        </w:rPr>
        <w:t>koherentan</w:t>
      </w:r>
      <w:r w:rsidRPr="009C0048">
        <w:rPr>
          <w:rFonts w:ascii="Calibri Light" w:hAnsi="Calibri Light" w:cs="Calibri Light"/>
          <w:sz w:val="21"/>
          <w:szCs w:val="21"/>
        </w:rPr>
        <w:t xml:space="preserve">; </w:t>
      </w:r>
      <w:r>
        <w:rPr>
          <w:rFonts w:ascii="Calibri Light" w:hAnsi="Calibri Light" w:cs="Calibri Light"/>
          <w:sz w:val="21"/>
          <w:szCs w:val="21"/>
        </w:rPr>
        <w:t>4-</w:t>
      </w:r>
      <w:r w:rsidRPr="009C0048">
        <w:rPr>
          <w:rFonts w:ascii="Calibri Light" w:hAnsi="Calibri Light" w:cs="Calibri Light"/>
          <w:sz w:val="21"/>
          <w:szCs w:val="21"/>
        </w:rPr>
        <w:t xml:space="preserve">Veoma </w:t>
      </w:r>
      <w:proofErr w:type="spellStart"/>
      <w:r>
        <w:rPr>
          <w:rFonts w:ascii="Calibri Light" w:hAnsi="Calibri Light" w:cs="Calibri Light"/>
          <w:sz w:val="21"/>
          <w:szCs w:val="21"/>
        </w:rPr>
        <w:t>koherent</w:t>
      </w:r>
      <w:proofErr w:type="spellEnd"/>
      <w:r>
        <w:rPr>
          <w:rFonts w:ascii="Calibri Light" w:hAnsi="Calibri Light" w:cs="Calibri Light"/>
          <w:sz w:val="21"/>
          <w:szCs w:val="21"/>
          <w:lang w:val="en-US"/>
        </w:rPr>
        <w:t>an</w:t>
      </w:r>
      <w:r w:rsidRPr="009C0048">
        <w:rPr>
          <w:rFonts w:ascii="Calibri Light" w:hAnsi="Calibri Light" w:cs="Calibri Light"/>
          <w:sz w:val="21"/>
          <w:szCs w:val="21"/>
        </w:rPr>
        <w:t xml:space="preserve">; 5-Izuzetno </w:t>
      </w:r>
      <w:r>
        <w:rPr>
          <w:rFonts w:ascii="Calibri Light" w:hAnsi="Calibri Light" w:cs="Calibri Light"/>
          <w:sz w:val="21"/>
          <w:szCs w:val="21"/>
        </w:rPr>
        <w:t>koherentan</w:t>
      </w:r>
      <w:r w:rsidRPr="009C0048">
        <w:rPr>
          <w:rFonts w:ascii="Calibri Light" w:hAnsi="Calibri Light" w:cs="Calibri Light"/>
          <w:sz w:val="21"/>
          <w:szCs w:val="21"/>
        </w:rPr>
        <w:t>)</w:t>
      </w:r>
    </w:p>
    <w:p w14:paraId="77203458" w14:textId="77777777" w:rsidR="007910AB" w:rsidRDefault="007910AB" w:rsidP="007910AB">
      <w:pPr>
        <w:jc w:val="both"/>
        <w:rPr>
          <w:rFonts w:ascii="Calibri Light" w:hAnsi="Calibri Light" w:cs="Calibri Light"/>
          <w:sz w:val="21"/>
          <w:szCs w:val="21"/>
        </w:rPr>
      </w:pPr>
      <w:r>
        <w:rPr>
          <w:rFonts w:ascii="Calibri Light" w:hAnsi="Calibri Light" w:cs="Calibri Light"/>
          <w:sz w:val="21"/>
          <w:szCs w:val="21"/>
        </w:rPr>
        <w:t>Dodatna pitanja:</w:t>
      </w:r>
    </w:p>
    <w:p w14:paraId="2984FD65" w14:textId="77777777" w:rsidR="007910AB" w:rsidRDefault="007910AB" w:rsidP="006D6681">
      <w:pPr>
        <w:pStyle w:val="ListParagraph"/>
        <w:numPr>
          <w:ilvl w:val="0"/>
          <w:numId w:val="27"/>
        </w:numPr>
        <w:jc w:val="both"/>
        <w:rPr>
          <w:rFonts w:ascii="Calibri Light" w:hAnsi="Calibri Light" w:cs="Calibri Light"/>
          <w:sz w:val="21"/>
          <w:szCs w:val="21"/>
          <w:lang w:val="sr-Latn-RS"/>
        </w:rPr>
      </w:pPr>
      <w:r>
        <w:rPr>
          <w:rFonts w:ascii="Calibri Light" w:hAnsi="Calibri Light" w:cs="Calibri Light"/>
          <w:sz w:val="21"/>
          <w:szCs w:val="21"/>
          <w:lang w:val="sr-Latn-RS"/>
        </w:rPr>
        <w:t xml:space="preserve">Da li je program bio u skladu sa tekućim projektima finansiranim od strane </w:t>
      </w:r>
      <w:proofErr w:type="spellStart"/>
      <w:r>
        <w:rPr>
          <w:rFonts w:ascii="Calibri Light" w:hAnsi="Calibri Light" w:cs="Calibri Light"/>
          <w:sz w:val="21"/>
          <w:szCs w:val="21"/>
          <w:lang w:val="sr-Latn-RS"/>
        </w:rPr>
        <w:t>donorske</w:t>
      </w:r>
      <w:proofErr w:type="spellEnd"/>
      <w:r>
        <w:rPr>
          <w:rFonts w:ascii="Calibri Light" w:hAnsi="Calibri Light" w:cs="Calibri Light"/>
          <w:sz w:val="21"/>
          <w:szCs w:val="21"/>
          <w:lang w:val="sr-Latn-RS"/>
        </w:rPr>
        <w:t xml:space="preserve"> zajednice ili iz nacionalnog, odnosno lokalnih budžeta?</w:t>
      </w:r>
    </w:p>
    <w:p w14:paraId="6DF9D50B" w14:textId="77777777" w:rsidR="007910AB" w:rsidRDefault="007910AB" w:rsidP="007910AB">
      <w:pPr>
        <w:jc w:val="both"/>
        <w:rPr>
          <w:rFonts w:ascii="Calibri Light" w:hAnsi="Calibri Light" w:cs="Calibri Light"/>
          <w:sz w:val="21"/>
          <w:szCs w:val="21"/>
        </w:rPr>
      </w:pPr>
    </w:p>
    <w:p w14:paraId="246F0088" w14:textId="77777777" w:rsidR="007910AB" w:rsidRDefault="007910AB" w:rsidP="007910AB">
      <w:pPr>
        <w:jc w:val="both"/>
        <w:rPr>
          <w:rFonts w:ascii="Calibri Light" w:hAnsi="Calibri Light" w:cs="Calibri Light"/>
          <w:b/>
          <w:bCs/>
          <w:sz w:val="21"/>
          <w:szCs w:val="21"/>
        </w:rPr>
      </w:pPr>
      <w:r w:rsidRPr="009C0048">
        <w:rPr>
          <w:rFonts w:ascii="Calibri Light" w:hAnsi="Calibri Light" w:cs="Calibri Light"/>
          <w:b/>
          <w:bCs/>
          <w:sz w:val="21"/>
          <w:szCs w:val="21"/>
        </w:rPr>
        <w:t>PITANJA U VEZI BUDUĆEG PROGRAMA ZAŠTITE POTROŠAČA</w:t>
      </w:r>
    </w:p>
    <w:p w14:paraId="51742CB5" w14:textId="77777777" w:rsidR="007910AB" w:rsidRDefault="007910AB" w:rsidP="007910AB">
      <w:pPr>
        <w:jc w:val="both"/>
        <w:rPr>
          <w:rFonts w:ascii="Calibri Light" w:hAnsi="Calibri Light" w:cs="Calibri Light"/>
          <w:b/>
          <w:bCs/>
          <w:sz w:val="21"/>
          <w:szCs w:val="21"/>
        </w:rPr>
      </w:pPr>
    </w:p>
    <w:p w14:paraId="70E40AA5" w14:textId="77777777" w:rsidR="007910AB" w:rsidRDefault="007910AB" w:rsidP="006D6681">
      <w:pPr>
        <w:pStyle w:val="ListParagraph"/>
        <w:numPr>
          <w:ilvl w:val="0"/>
          <w:numId w:val="27"/>
        </w:numPr>
        <w:jc w:val="both"/>
        <w:rPr>
          <w:rFonts w:ascii="Calibri Light" w:hAnsi="Calibri Light" w:cs="Calibri Light"/>
          <w:b/>
          <w:bCs/>
          <w:sz w:val="21"/>
          <w:szCs w:val="21"/>
          <w:lang w:val="sr-Latn-RS"/>
        </w:rPr>
      </w:pPr>
      <w:r>
        <w:rPr>
          <w:rFonts w:ascii="Calibri Light" w:hAnsi="Calibri Light" w:cs="Calibri Light"/>
          <w:b/>
          <w:bCs/>
          <w:sz w:val="21"/>
          <w:szCs w:val="21"/>
          <w:lang w:val="sr-Latn-RS"/>
        </w:rPr>
        <w:t>Koje nerealizovane aktivnosti iz prethodnog Programa mislite da bi trebalo da se prenesu u budući Program?</w:t>
      </w:r>
    </w:p>
    <w:p w14:paraId="7779558C" w14:textId="77777777" w:rsidR="007910AB" w:rsidRDefault="007910AB" w:rsidP="006D6681">
      <w:pPr>
        <w:pStyle w:val="ListParagraph"/>
        <w:numPr>
          <w:ilvl w:val="0"/>
          <w:numId w:val="27"/>
        </w:numPr>
        <w:jc w:val="both"/>
        <w:rPr>
          <w:rFonts w:ascii="Calibri Light" w:hAnsi="Calibri Light" w:cs="Calibri Light"/>
          <w:b/>
          <w:bCs/>
          <w:sz w:val="21"/>
          <w:szCs w:val="21"/>
          <w:lang w:val="sr-Latn-RS"/>
        </w:rPr>
      </w:pPr>
      <w:r>
        <w:rPr>
          <w:rFonts w:ascii="Calibri Light" w:hAnsi="Calibri Light" w:cs="Calibri Light"/>
          <w:b/>
          <w:bCs/>
          <w:sz w:val="21"/>
          <w:szCs w:val="21"/>
          <w:lang w:val="sr-Latn-RS"/>
        </w:rPr>
        <w:t>Koje nove aktivnosti bi trebalo da se uvrste u novi Program?</w:t>
      </w:r>
    </w:p>
    <w:p w14:paraId="04D3D493" w14:textId="77777777" w:rsidR="007910AB" w:rsidRDefault="007910AB" w:rsidP="006D6681">
      <w:pPr>
        <w:pStyle w:val="ListParagraph"/>
        <w:numPr>
          <w:ilvl w:val="0"/>
          <w:numId w:val="27"/>
        </w:numPr>
        <w:jc w:val="both"/>
        <w:rPr>
          <w:rFonts w:ascii="Calibri Light" w:hAnsi="Calibri Light" w:cs="Calibri Light"/>
          <w:b/>
          <w:bCs/>
          <w:sz w:val="21"/>
          <w:szCs w:val="21"/>
          <w:lang w:val="sr-Latn-RS"/>
        </w:rPr>
      </w:pPr>
      <w:r>
        <w:rPr>
          <w:rFonts w:ascii="Calibri Light" w:hAnsi="Calibri Light" w:cs="Calibri Light"/>
          <w:b/>
          <w:bCs/>
          <w:sz w:val="21"/>
          <w:szCs w:val="21"/>
          <w:lang w:val="sr-Latn-RS"/>
        </w:rPr>
        <w:t>Koji su strateški ciljevi koje novi Program treba da obuhvati?</w:t>
      </w:r>
    </w:p>
    <w:p w14:paraId="4D8EB07E" w14:textId="2E5FC43E" w:rsidR="007910AB" w:rsidRPr="009C0048" w:rsidRDefault="007910AB" w:rsidP="006D6681">
      <w:pPr>
        <w:pStyle w:val="ListParagraph"/>
        <w:numPr>
          <w:ilvl w:val="0"/>
          <w:numId w:val="27"/>
        </w:numPr>
        <w:jc w:val="both"/>
        <w:rPr>
          <w:rFonts w:ascii="Calibri Light" w:hAnsi="Calibri Light" w:cs="Calibri Light"/>
          <w:b/>
          <w:bCs/>
          <w:sz w:val="21"/>
          <w:szCs w:val="21"/>
          <w:lang w:val="sr-Latn-RS"/>
        </w:rPr>
      </w:pPr>
      <w:r>
        <w:rPr>
          <w:rFonts w:ascii="Calibri Light" w:hAnsi="Calibri Light" w:cs="Calibri Light"/>
          <w:b/>
          <w:bCs/>
          <w:sz w:val="21"/>
          <w:szCs w:val="21"/>
          <w:lang w:val="sr-Latn-RS"/>
        </w:rPr>
        <w:t>Da li je potrebno unaprediti strukturu za praćenje i izveštavanje o budućem Programu, a u odnosu na strukturu prethodnog Programa?</w:t>
      </w:r>
    </w:p>
    <w:p w14:paraId="1AC2EABC" w14:textId="77777777" w:rsidR="007910AB" w:rsidRPr="007910AB" w:rsidRDefault="007910AB" w:rsidP="00FE6F36">
      <w:pPr>
        <w:rPr>
          <w:b/>
          <w:bCs/>
          <w:i/>
          <w:iCs/>
          <w:sz w:val="28"/>
          <w:szCs w:val="28"/>
        </w:rPr>
      </w:pPr>
    </w:p>
    <w:p w14:paraId="2236BD62" w14:textId="76139C84" w:rsidR="00A40ADB" w:rsidRDefault="007910AB" w:rsidP="00E56BE3">
      <w:pPr>
        <w:pStyle w:val="Heading2"/>
        <w:numPr>
          <w:ilvl w:val="0"/>
          <w:numId w:val="0"/>
        </w:numPr>
        <w:ind w:left="567" w:hanging="567"/>
        <w:rPr>
          <w:rFonts w:ascii="Arial" w:hAnsi="Arial" w:cs="Arial"/>
          <w:b/>
          <w:bCs/>
          <w:i/>
          <w:iCs/>
          <w:szCs w:val="18"/>
        </w:rPr>
      </w:pPr>
      <w:bookmarkStart w:id="24" w:name="_Toc199479361"/>
      <w:r>
        <w:rPr>
          <w:rFonts w:ascii="Arial" w:hAnsi="Arial" w:cs="Arial"/>
          <w:b/>
          <w:bCs/>
          <w:i/>
          <w:iCs/>
          <w:szCs w:val="18"/>
        </w:rPr>
        <w:t>IV</w:t>
      </w:r>
      <w:r w:rsidR="00FE6F36">
        <w:rPr>
          <w:rFonts w:ascii="Arial" w:hAnsi="Arial" w:cs="Arial"/>
          <w:b/>
          <w:bCs/>
          <w:i/>
          <w:iCs/>
          <w:szCs w:val="18"/>
        </w:rPr>
        <w:t xml:space="preserve">. </w:t>
      </w:r>
      <w:r w:rsidR="003119F6" w:rsidRPr="00A20BF1">
        <w:rPr>
          <w:rFonts w:ascii="Arial" w:hAnsi="Arial" w:cs="Arial"/>
          <w:b/>
          <w:bCs/>
          <w:i/>
          <w:iCs/>
          <w:szCs w:val="18"/>
        </w:rPr>
        <w:t>Terms of Reference</w:t>
      </w:r>
      <w:bookmarkEnd w:id="24"/>
    </w:p>
    <w:p w14:paraId="7289D348" w14:textId="77777777" w:rsidR="00E56BE3" w:rsidRPr="008F2A91" w:rsidRDefault="00E56BE3" w:rsidP="00E56BE3">
      <w:pPr>
        <w:pStyle w:val="Title"/>
        <w:shd w:val="clear" w:color="auto" w:fill="EEECE1"/>
        <w:rPr>
          <w:rFonts w:cs="Calibri"/>
          <w:sz w:val="22"/>
          <w:szCs w:val="22"/>
        </w:rPr>
      </w:pPr>
      <w:r w:rsidRPr="008F2A91">
        <w:rPr>
          <w:rFonts w:cs="Calibri"/>
          <w:sz w:val="22"/>
          <w:szCs w:val="22"/>
        </w:rPr>
        <w:t>TERMS OF REFERENCE</w:t>
      </w:r>
    </w:p>
    <w:p w14:paraId="2C7B5E07" w14:textId="77777777" w:rsidR="00E56BE3" w:rsidRPr="008F2A91" w:rsidRDefault="00E56BE3" w:rsidP="00E56BE3">
      <w:pPr>
        <w:rPr>
          <w:rFonts w:ascii="Calibri" w:hAnsi="Calibri" w:cs="Calibri"/>
          <w:b/>
          <w:bCs/>
        </w:rPr>
      </w:pPr>
    </w:p>
    <w:p w14:paraId="13D3098A" w14:textId="77777777" w:rsidR="00E56BE3" w:rsidRPr="008F2A91" w:rsidRDefault="00E56BE3" w:rsidP="006D6681">
      <w:pPr>
        <w:numPr>
          <w:ilvl w:val="0"/>
          <w:numId w:val="15"/>
        </w:numPr>
        <w:tabs>
          <w:tab w:val="clear" w:pos="720"/>
        </w:tabs>
        <w:spacing w:after="0" w:line="240" w:lineRule="auto"/>
        <w:jc w:val="both"/>
        <w:rPr>
          <w:rFonts w:ascii="Calibri" w:hAnsi="Calibri" w:cs="Calibri"/>
          <w:b/>
        </w:rPr>
      </w:pPr>
      <w:proofErr w:type="spellStart"/>
      <w:r w:rsidRPr="008F2A91">
        <w:rPr>
          <w:rFonts w:ascii="Calibri" w:hAnsi="Calibri" w:cs="Calibri"/>
          <w:b/>
        </w:rPr>
        <w:t>Job</w:t>
      </w:r>
      <w:proofErr w:type="spellEnd"/>
      <w:r w:rsidRPr="008F2A91">
        <w:rPr>
          <w:rFonts w:ascii="Calibri" w:hAnsi="Calibri" w:cs="Calibri"/>
          <w:b/>
        </w:rPr>
        <w:t xml:space="preserve"> title:</w:t>
      </w:r>
      <w:bookmarkStart w:id="25" w:name="_Hlk524617498"/>
      <w:bookmarkStart w:id="26" w:name="_Hlk77860131"/>
      <w:r w:rsidRPr="008F2A91">
        <w:rPr>
          <w:rFonts w:ascii="Calibri" w:hAnsi="Calibri" w:cs="Calibri"/>
          <w:b/>
        </w:rPr>
        <w:t xml:space="preserve"> </w:t>
      </w:r>
      <w:bookmarkEnd w:id="25"/>
      <w:bookmarkEnd w:id="26"/>
      <w:proofErr w:type="spellStart"/>
      <w:r w:rsidRPr="008F2A91">
        <w:rPr>
          <w:rFonts w:ascii="Calibri" w:hAnsi="Calibri" w:cs="Calibri"/>
          <w:bCs/>
        </w:rPr>
        <w:t>Final</w:t>
      </w:r>
      <w:proofErr w:type="spellEnd"/>
      <w:r w:rsidRPr="008F2A91">
        <w:rPr>
          <w:rFonts w:ascii="Calibri" w:hAnsi="Calibri" w:cs="Calibri"/>
          <w:bCs/>
        </w:rPr>
        <w:t xml:space="preserve"> </w:t>
      </w:r>
      <w:proofErr w:type="spellStart"/>
      <w:r w:rsidRPr="008F2A91">
        <w:rPr>
          <w:rFonts w:ascii="Calibri" w:hAnsi="Calibri" w:cs="Calibri"/>
          <w:bCs/>
        </w:rPr>
        <w:t>Evaluation</w:t>
      </w:r>
      <w:proofErr w:type="spellEnd"/>
      <w:r w:rsidRPr="008F2A91">
        <w:rPr>
          <w:rFonts w:ascii="Calibri" w:hAnsi="Calibri" w:cs="Calibri"/>
          <w:bCs/>
        </w:rPr>
        <w:t xml:space="preserve"> </w:t>
      </w:r>
      <w:proofErr w:type="spellStart"/>
      <w:r w:rsidRPr="008F2A91">
        <w:rPr>
          <w:rFonts w:ascii="Calibri" w:hAnsi="Calibri" w:cs="Calibri"/>
          <w:bCs/>
        </w:rPr>
        <w:t>of</w:t>
      </w:r>
      <w:proofErr w:type="spellEnd"/>
      <w:r w:rsidRPr="008F2A91">
        <w:rPr>
          <w:rFonts w:ascii="Calibri" w:hAnsi="Calibri" w:cs="Calibri"/>
          <w:bCs/>
        </w:rPr>
        <w:t xml:space="preserve"> </w:t>
      </w:r>
      <w:proofErr w:type="spellStart"/>
      <w:r w:rsidRPr="008F2A91">
        <w:rPr>
          <w:rFonts w:ascii="Calibri" w:hAnsi="Calibri" w:cs="Calibri"/>
          <w:bCs/>
        </w:rPr>
        <w:t>the</w:t>
      </w:r>
      <w:proofErr w:type="spellEnd"/>
      <w:r w:rsidRPr="008F2A91">
        <w:rPr>
          <w:rFonts w:ascii="Calibri" w:hAnsi="Calibri" w:cs="Calibri"/>
          <w:bCs/>
        </w:rPr>
        <w:t xml:space="preserve"> </w:t>
      </w:r>
      <w:proofErr w:type="spellStart"/>
      <w:r w:rsidRPr="008F2A91">
        <w:rPr>
          <w:rFonts w:ascii="Calibri" w:hAnsi="Calibri" w:cs="Calibri"/>
          <w:bCs/>
        </w:rPr>
        <w:t>National</w:t>
      </w:r>
      <w:proofErr w:type="spellEnd"/>
      <w:r w:rsidRPr="008F2A91">
        <w:rPr>
          <w:rFonts w:ascii="Calibri" w:hAnsi="Calibri" w:cs="Calibri"/>
          <w:bCs/>
        </w:rPr>
        <w:t xml:space="preserve"> </w:t>
      </w:r>
      <w:proofErr w:type="spellStart"/>
      <w:r w:rsidRPr="008F2A91">
        <w:rPr>
          <w:rFonts w:ascii="Calibri" w:hAnsi="Calibri" w:cs="Calibri"/>
          <w:bCs/>
        </w:rPr>
        <w:t>Consumer</w:t>
      </w:r>
      <w:proofErr w:type="spellEnd"/>
      <w:r w:rsidRPr="008F2A91">
        <w:rPr>
          <w:rFonts w:ascii="Calibri" w:hAnsi="Calibri" w:cs="Calibri"/>
          <w:bCs/>
        </w:rPr>
        <w:t xml:space="preserve"> </w:t>
      </w:r>
      <w:proofErr w:type="spellStart"/>
      <w:r w:rsidRPr="008F2A91">
        <w:rPr>
          <w:rFonts w:ascii="Calibri" w:hAnsi="Calibri" w:cs="Calibri"/>
          <w:bCs/>
        </w:rPr>
        <w:t>Protection</w:t>
      </w:r>
      <w:proofErr w:type="spellEnd"/>
      <w:r w:rsidRPr="008F2A91">
        <w:rPr>
          <w:rFonts w:ascii="Calibri" w:hAnsi="Calibri" w:cs="Calibri"/>
          <w:bCs/>
        </w:rPr>
        <w:t xml:space="preserve"> Program 2022-2024</w:t>
      </w:r>
    </w:p>
    <w:p w14:paraId="2221A231" w14:textId="77777777" w:rsidR="00E56BE3" w:rsidRPr="008F2A91" w:rsidRDefault="00E56BE3" w:rsidP="006D6681">
      <w:pPr>
        <w:numPr>
          <w:ilvl w:val="0"/>
          <w:numId w:val="15"/>
        </w:numPr>
        <w:spacing w:after="0" w:line="240" w:lineRule="auto"/>
        <w:jc w:val="both"/>
        <w:rPr>
          <w:rFonts w:ascii="Calibri" w:hAnsi="Calibri" w:cs="Calibri"/>
          <w:b/>
        </w:rPr>
      </w:pPr>
      <w:proofErr w:type="spellStart"/>
      <w:r w:rsidRPr="008F2A91">
        <w:rPr>
          <w:rFonts w:ascii="Calibri" w:hAnsi="Calibri" w:cs="Calibri"/>
          <w:b/>
        </w:rPr>
        <w:t>Type</w:t>
      </w:r>
      <w:proofErr w:type="spellEnd"/>
      <w:r w:rsidRPr="008F2A91">
        <w:rPr>
          <w:rFonts w:ascii="Calibri" w:hAnsi="Calibri" w:cs="Calibri"/>
          <w:b/>
        </w:rPr>
        <w:t xml:space="preserve"> </w:t>
      </w:r>
      <w:proofErr w:type="spellStart"/>
      <w:r w:rsidRPr="008F2A91">
        <w:rPr>
          <w:rFonts w:ascii="Calibri" w:hAnsi="Calibri" w:cs="Calibri"/>
          <w:b/>
        </w:rPr>
        <w:t>of</w:t>
      </w:r>
      <w:proofErr w:type="spellEnd"/>
      <w:r w:rsidRPr="008F2A91">
        <w:rPr>
          <w:rFonts w:ascii="Calibri" w:hAnsi="Calibri" w:cs="Calibri"/>
          <w:b/>
        </w:rPr>
        <w:t xml:space="preserve"> </w:t>
      </w:r>
      <w:proofErr w:type="spellStart"/>
      <w:r w:rsidRPr="008F2A91">
        <w:rPr>
          <w:rFonts w:ascii="Calibri" w:hAnsi="Calibri" w:cs="Calibri"/>
          <w:b/>
        </w:rPr>
        <w:t>position</w:t>
      </w:r>
      <w:proofErr w:type="spellEnd"/>
      <w:r w:rsidRPr="008F2A91">
        <w:rPr>
          <w:rFonts w:ascii="Calibri" w:hAnsi="Calibri" w:cs="Calibri"/>
          <w:b/>
        </w:rPr>
        <w:t xml:space="preserve">: </w:t>
      </w:r>
      <w:proofErr w:type="spellStart"/>
      <w:r w:rsidRPr="008F2A91">
        <w:rPr>
          <w:rFonts w:ascii="Calibri" w:hAnsi="Calibri" w:cs="Calibri"/>
        </w:rPr>
        <w:t>National</w:t>
      </w:r>
      <w:proofErr w:type="spellEnd"/>
      <w:r w:rsidRPr="008F2A91">
        <w:rPr>
          <w:rFonts w:ascii="Calibri" w:hAnsi="Calibri" w:cs="Calibri"/>
        </w:rPr>
        <w:t xml:space="preserve">, </w:t>
      </w:r>
      <w:proofErr w:type="spellStart"/>
      <w:r w:rsidRPr="008F2A91">
        <w:rPr>
          <w:rFonts w:ascii="Calibri" w:hAnsi="Calibri" w:cs="Calibri"/>
        </w:rPr>
        <w:t>short-term</w:t>
      </w:r>
      <w:proofErr w:type="spellEnd"/>
      <w:r w:rsidRPr="008F2A91">
        <w:rPr>
          <w:rFonts w:ascii="Calibri" w:hAnsi="Calibri" w:cs="Calibri"/>
        </w:rPr>
        <w:t xml:space="preserve"> </w:t>
      </w:r>
    </w:p>
    <w:p w14:paraId="7F57E7F8" w14:textId="77777777" w:rsidR="00E56BE3" w:rsidRPr="008F2A91" w:rsidRDefault="00E56BE3" w:rsidP="006D6681">
      <w:pPr>
        <w:numPr>
          <w:ilvl w:val="0"/>
          <w:numId w:val="15"/>
        </w:numPr>
        <w:spacing w:after="0" w:line="240" w:lineRule="auto"/>
        <w:jc w:val="both"/>
        <w:rPr>
          <w:rFonts w:ascii="Calibri" w:hAnsi="Calibri" w:cs="Calibri"/>
          <w:b/>
        </w:rPr>
      </w:pPr>
      <w:r w:rsidRPr="008F2A91">
        <w:rPr>
          <w:rFonts w:ascii="Calibri" w:hAnsi="Calibri" w:cs="Calibri"/>
          <w:b/>
        </w:rPr>
        <w:t xml:space="preserve">Post Reference: </w:t>
      </w:r>
      <w:r w:rsidRPr="008F2A91">
        <w:rPr>
          <w:rFonts w:ascii="Calibri" w:hAnsi="Calibri" w:cs="Calibri"/>
        </w:rPr>
        <w:t xml:space="preserve">MNE </w:t>
      </w:r>
      <w:r>
        <w:rPr>
          <w:rFonts w:ascii="Calibri" w:hAnsi="Calibri" w:cs="Calibri"/>
        </w:rPr>
        <w:t>2025-032</w:t>
      </w:r>
    </w:p>
    <w:p w14:paraId="6A6B21CF" w14:textId="77777777" w:rsidR="00E56BE3" w:rsidRPr="008F2A91" w:rsidRDefault="00E56BE3" w:rsidP="006D6681">
      <w:pPr>
        <w:numPr>
          <w:ilvl w:val="0"/>
          <w:numId w:val="15"/>
        </w:numPr>
        <w:spacing w:after="0" w:line="240" w:lineRule="auto"/>
        <w:jc w:val="both"/>
        <w:rPr>
          <w:rFonts w:ascii="Calibri" w:hAnsi="Calibri" w:cs="Calibri"/>
          <w:b/>
        </w:rPr>
      </w:pPr>
      <w:proofErr w:type="spellStart"/>
      <w:r w:rsidRPr="008F2A91">
        <w:rPr>
          <w:rFonts w:ascii="Calibri" w:hAnsi="Calibri" w:cs="Calibri"/>
          <w:b/>
        </w:rPr>
        <w:t>Duty</w:t>
      </w:r>
      <w:proofErr w:type="spellEnd"/>
      <w:r w:rsidRPr="008F2A91">
        <w:rPr>
          <w:rFonts w:ascii="Calibri" w:hAnsi="Calibri" w:cs="Calibri"/>
          <w:b/>
        </w:rPr>
        <w:t xml:space="preserve"> </w:t>
      </w:r>
      <w:proofErr w:type="spellStart"/>
      <w:r w:rsidRPr="008F2A91">
        <w:rPr>
          <w:rFonts w:ascii="Calibri" w:hAnsi="Calibri" w:cs="Calibri"/>
          <w:b/>
        </w:rPr>
        <w:t>Station</w:t>
      </w:r>
      <w:proofErr w:type="spellEnd"/>
      <w:r w:rsidRPr="008F2A91">
        <w:rPr>
          <w:rFonts w:ascii="Calibri" w:hAnsi="Calibri" w:cs="Calibri"/>
          <w:b/>
        </w:rPr>
        <w:t xml:space="preserve">: </w:t>
      </w:r>
      <w:proofErr w:type="spellStart"/>
      <w:r w:rsidRPr="008F2A91">
        <w:rPr>
          <w:rFonts w:ascii="Calibri" w:hAnsi="Calibri" w:cs="Calibri"/>
        </w:rPr>
        <w:t>Home-based</w:t>
      </w:r>
      <w:proofErr w:type="spellEnd"/>
      <w:r w:rsidRPr="008F2A91">
        <w:rPr>
          <w:rFonts w:ascii="Calibri" w:hAnsi="Calibri" w:cs="Calibri"/>
        </w:rPr>
        <w:t xml:space="preserve"> / Montenegro</w:t>
      </w:r>
    </w:p>
    <w:p w14:paraId="2AFCE0AF" w14:textId="77777777" w:rsidR="00E56BE3" w:rsidRPr="00BB37AF" w:rsidRDefault="00E56BE3" w:rsidP="006D6681">
      <w:pPr>
        <w:numPr>
          <w:ilvl w:val="0"/>
          <w:numId w:val="15"/>
        </w:numPr>
        <w:spacing w:after="0" w:line="240" w:lineRule="auto"/>
        <w:jc w:val="both"/>
        <w:rPr>
          <w:rFonts w:ascii="Calibri" w:hAnsi="Calibri" w:cs="Calibri"/>
        </w:rPr>
      </w:pPr>
      <w:proofErr w:type="spellStart"/>
      <w:r w:rsidRPr="008F2A91">
        <w:rPr>
          <w:rFonts w:ascii="Calibri" w:hAnsi="Calibri" w:cs="Calibri"/>
          <w:b/>
          <w:bCs/>
        </w:rPr>
        <w:t>Duration</w:t>
      </w:r>
      <w:proofErr w:type="spellEnd"/>
      <w:r w:rsidRPr="008F2A91">
        <w:rPr>
          <w:rFonts w:ascii="Calibri" w:hAnsi="Calibri" w:cs="Calibri"/>
          <w:b/>
          <w:bCs/>
        </w:rPr>
        <w:t xml:space="preserve"> </w:t>
      </w:r>
      <w:proofErr w:type="spellStart"/>
      <w:r w:rsidRPr="008F2A91">
        <w:rPr>
          <w:rFonts w:ascii="Calibri" w:hAnsi="Calibri" w:cs="Calibri"/>
          <w:b/>
          <w:bCs/>
        </w:rPr>
        <w:t>of</w:t>
      </w:r>
      <w:proofErr w:type="spellEnd"/>
      <w:r w:rsidRPr="008F2A91">
        <w:rPr>
          <w:rFonts w:ascii="Calibri" w:hAnsi="Calibri" w:cs="Calibri"/>
          <w:b/>
          <w:bCs/>
        </w:rPr>
        <w:t xml:space="preserve"> </w:t>
      </w:r>
      <w:proofErr w:type="spellStart"/>
      <w:r w:rsidRPr="008F2A91">
        <w:rPr>
          <w:rFonts w:ascii="Calibri" w:hAnsi="Calibri" w:cs="Calibri"/>
          <w:b/>
          <w:bCs/>
        </w:rPr>
        <w:t>appointment</w:t>
      </w:r>
      <w:bookmarkStart w:id="27" w:name="_Hlk77860829"/>
      <w:proofErr w:type="spellEnd"/>
      <w:r w:rsidRPr="008F2A91">
        <w:rPr>
          <w:rFonts w:ascii="Calibri" w:hAnsi="Calibri" w:cs="Calibri"/>
          <w:b/>
          <w:bCs/>
        </w:rPr>
        <w:t xml:space="preserve">: </w:t>
      </w:r>
      <w:bookmarkEnd w:id="27"/>
      <w:r w:rsidRPr="00BB37AF">
        <w:rPr>
          <w:rFonts w:ascii="Calibri" w:hAnsi="Calibri" w:cs="Calibri"/>
        </w:rPr>
        <w:t>2</w:t>
      </w:r>
      <w:r>
        <w:rPr>
          <w:rFonts w:ascii="Calibri" w:hAnsi="Calibri" w:cs="Calibri"/>
        </w:rPr>
        <w:t>0</w:t>
      </w:r>
      <w:r w:rsidRPr="00BB37AF">
        <w:rPr>
          <w:rFonts w:ascii="Calibri" w:hAnsi="Calibri" w:cs="Calibri"/>
        </w:rPr>
        <w:t xml:space="preserve"> </w:t>
      </w:r>
      <w:proofErr w:type="spellStart"/>
      <w:r w:rsidRPr="00BB37AF">
        <w:rPr>
          <w:rFonts w:ascii="Calibri" w:hAnsi="Calibri" w:cs="Calibri"/>
        </w:rPr>
        <w:t>consultancy</w:t>
      </w:r>
      <w:proofErr w:type="spellEnd"/>
      <w:r w:rsidRPr="00BB37AF">
        <w:rPr>
          <w:rFonts w:ascii="Calibri" w:hAnsi="Calibri" w:cs="Calibri"/>
        </w:rPr>
        <w:t xml:space="preserve"> </w:t>
      </w:r>
      <w:proofErr w:type="spellStart"/>
      <w:r w:rsidRPr="00BB37AF">
        <w:rPr>
          <w:rFonts w:ascii="Calibri" w:hAnsi="Calibri" w:cs="Calibri"/>
        </w:rPr>
        <w:t>days</w:t>
      </w:r>
      <w:proofErr w:type="spellEnd"/>
      <w:r>
        <w:rPr>
          <w:rFonts w:ascii="Calibri" w:hAnsi="Calibri" w:cs="Calibri"/>
        </w:rPr>
        <w:t xml:space="preserve"> (24 April – 10 June 2025)</w:t>
      </w:r>
    </w:p>
    <w:p w14:paraId="42447549" w14:textId="77777777" w:rsidR="00E56BE3" w:rsidRPr="008F2A91" w:rsidRDefault="00E56BE3" w:rsidP="006D6681">
      <w:pPr>
        <w:numPr>
          <w:ilvl w:val="0"/>
          <w:numId w:val="15"/>
        </w:numPr>
        <w:spacing w:after="0" w:line="240" w:lineRule="auto"/>
        <w:jc w:val="both"/>
        <w:rPr>
          <w:rFonts w:ascii="Calibri" w:hAnsi="Calibri" w:cs="Calibri"/>
          <w:b/>
        </w:rPr>
      </w:pPr>
      <w:proofErr w:type="spellStart"/>
      <w:r w:rsidRPr="008F2A91">
        <w:rPr>
          <w:rFonts w:ascii="Calibri" w:hAnsi="Calibri" w:cs="Calibri"/>
          <w:b/>
        </w:rPr>
        <w:t>Contract</w:t>
      </w:r>
      <w:proofErr w:type="spellEnd"/>
      <w:r w:rsidRPr="008F2A91">
        <w:rPr>
          <w:rFonts w:ascii="Calibri" w:hAnsi="Calibri" w:cs="Calibri"/>
          <w:b/>
        </w:rPr>
        <w:t xml:space="preserve"> </w:t>
      </w:r>
      <w:proofErr w:type="spellStart"/>
      <w:r w:rsidRPr="008F2A91">
        <w:rPr>
          <w:rFonts w:ascii="Calibri" w:hAnsi="Calibri" w:cs="Calibri"/>
          <w:b/>
        </w:rPr>
        <w:t>type</w:t>
      </w:r>
      <w:proofErr w:type="spellEnd"/>
      <w:r w:rsidRPr="008F2A91">
        <w:rPr>
          <w:rFonts w:ascii="Calibri" w:hAnsi="Calibri" w:cs="Calibri"/>
          <w:b/>
        </w:rPr>
        <w:t xml:space="preserve">: </w:t>
      </w:r>
      <w:r w:rsidRPr="008F2A91">
        <w:rPr>
          <w:rFonts w:ascii="Calibri" w:hAnsi="Calibri" w:cs="Calibri"/>
        </w:rPr>
        <w:t>IC (</w:t>
      </w:r>
      <w:proofErr w:type="spellStart"/>
      <w:r w:rsidRPr="008F2A91">
        <w:rPr>
          <w:rFonts w:ascii="Calibri" w:hAnsi="Calibri" w:cs="Calibri"/>
        </w:rPr>
        <w:t>Individual</w:t>
      </w:r>
      <w:proofErr w:type="spellEnd"/>
      <w:r w:rsidRPr="008F2A91">
        <w:rPr>
          <w:rFonts w:ascii="Calibri" w:hAnsi="Calibri" w:cs="Calibri"/>
        </w:rPr>
        <w:t xml:space="preserve"> </w:t>
      </w:r>
      <w:proofErr w:type="spellStart"/>
      <w:r w:rsidRPr="008F2A91">
        <w:rPr>
          <w:rFonts w:ascii="Calibri" w:hAnsi="Calibri" w:cs="Calibri"/>
        </w:rPr>
        <w:t>Contract</w:t>
      </w:r>
      <w:proofErr w:type="spellEnd"/>
      <w:r w:rsidRPr="008F2A91">
        <w:rPr>
          <w:rFonts w:ascii="Calibri" w:hAnsi="Calibri" w:cs="Calibri"/>
        </w:rPr>
        <w:t>)</w:t>
      </w:r>
    </w:p>
    <w:p w14:paraId="575457F2" w14:textId="77777777" w:rsidR="00E56BE3" w:rsidRPr="008F2A91" w:rsidRDefault="00E56BE3" w:rsidP="00E56BE3">
      <w:pPr>
        <w:rPr>
          <w:rFonts w:ascii="Calibri" w:hAnsi="Calibri" w:cs="Calibri"/>
          <w:b/>
        </w:rPr>
      </w:pPr>
    </w:p>
    <w:p w14:paraId="59BEC45E" w14:textId="77777777" w:rsidR="00E56BE3" w:rsidRPr="008F2A91" w:rsidRDefault="00E56BE3" w:rsidP="00E56BE3">
      <w:pPr>
        <w:suppressAutoHyphens/>
        <w:rPr>
          <w:rFonts w:ascii="Calibri" w:hAnsi="Calibri" w:cs="Calibri"/>
          <w:b/>
          <w:bCs/>
        </w:rPr>
      </w:pPr>
    </w:p>
    <w:p w14:paraId="068021BE" w14:textId="77777777" w:rsidR="00E56BE3" w:rsidRPr="008F2A91" w:rsidRDefault="00E56BE3" w:rsidP="006D6681">
      <w:pPr>
        <w:pStyle w:val="ListParagraph"/>
        <w:numPr>
          <w:ilvl w:val="0"/>
          <w:numId w:val="18"/>
        </w:numPr>
        <w:shd w:val="clear" w:color="auto" w:fill="EEECE1"/>
        <w:jc w:val="both"/>
        <w:rPr>
          <w:rFonts w:ascii="Calibri" w:hAnsi="Calibri" w:cs="Calibri"/>
          <w:b/>
          <w:bCs/>
          <w:sz w:val="22"/>
          <w:szCs w:val="22"/>
        </w:rPr>
      </w:pPr>
      <w:r w:rsidRPr="008F2A91">
        <w:rPr>
          <w:rFonts w:ascii="Calibri" w:hAnsi="Calibri" w:cs="Calibri"/>
          <w:b/>
          <w:bCs/>
          <w:sz w:val="22"/>
          <w:szCs w:val="22"/>
        </w:rPr>
        <w:lastRenderedPageBreak/>
        <w:t>Background:</w:t>
      </w:r>
    </w:p>
    <w:p w14:paraId="7C9B3675" w14:textId="77777777" w:rsidR="00E56BE3" w:rsidRPr="008F2A91" w:rsidRDefault="00E56BE3" w:rsidP="00E56BE3">
      <w:pPr>
        <w:rPr>
          <w:rFonts w:ascii="Calibri" w:hAnsi="Calibri" w:cs="Calibri"/>
          <w:bCs/>
        </w:rPr>
      </w:pPr>
    </w:p>
    <w:p w14:paraId="69852ECC" w14:textId="77777777" w:rsidR="00E56BE3" w:rsidRPr="008F2A91" w:rsidRDefault="00E56BE3" w:rsidP="00E56BE3">
      <w:pPr>
        <w:ind w:left="360"/>
        <w:rPr>
          <w:rFonts w:ascii="Calibri" w:hAnsi="Calibri" w:cs="Calibri"/>
          <w:bCs/>
        </w:rPr>
      </w:pPr>
      <w:proofErr w:type="spellStart"/>
      <w:r w:rsidRPr="008F2A91">
        <w:rPr>
          <w:rFonts w:ascii="Calibri" w:hAnsi="Calibri" w:cs="Calibri"/>
          <w:bCs/>
        </w:rPr>
        <w:t>Based</w:t>
      </w:r>
      <w:proofErr w:type="spellEnd"/>
      <w:r w:rsidRPr="008F2A91">
        <w:rPr>
          <w:rFonts w:ascii="Calibri" w:hAnsi="Calibri" w:cs="Calibri"/>
          <w:bCs/>
        </w:rPr>
        <w:t xml:space="preserve"> on </w:t>
      </w:r>
      <w:proofErr w:type="spellStart"/>
      <w:r w:rsidRPr="008F2A91">
        <w:rPr>
          <w:rFonts w:ascii="Calibri" w:hAnsi="Calibri" w:cs="Calibri"/>
          <w:bCs/>
        </w:rPr>
        <w:t>Article</w:t>
      </w:r>
      <w:proofErr w:type="spellEnd"/>
      <w:r w:rsidRPr="008F2A91">
        <w:rPr>
          <w:rFonts w:ascii="Calibri" w:hAnsi="Calibri" w:cs="Calibri"/>
          <w:bCs/>
        </w:rPr>
        <w:t xml:space="preserve"> 154 </w:t>
      </w:r>
      <w:proofErr w:type="spellStart"/>
      <w:r w:rsidRPr="008F2A91">
        <w:rPr>
          <w:rFonts w:ascii="Calibri" w:hAnsi="Calibri" w:cs="Calibri"/>
          <w:bCs/>
        </w:rPr>
        <w:t>of</w:t>
      </w:r>
      <w:proofErr w:type="spellEnd"/>
      <w:r w:rsidRPr="008F2A91">
        <w:rPr>
          <w:rFonts w:ascii="Calibri" w:hAnsi="Calibri" w:cs="Calibri"/>
          <w:bCs/>
        </w:rPr>
        <w:t xml:space="preserve"> </w:t>
      </w:r>
      <w:proofErr w:type="spellStart"/>
      <w:r w:rsidRPr="008F2A91">
        <w:rPr>
          <w:rFonts w:ascii="Calibri" w:hAnsi="Calibri" w:cs="Calibri"/>
          <w:bCs/>
        </w:rPr>
        <w:t>the</w:t>
      </w:r>
      <w:proofErr w:type="spellEnd"/>
      <w:r w:rsidRPr="008F2A91">
        <w:rPr>
          <w:rFonts w:ascii="Calibri" w:hAnsi="Calibri" w:cs="Calibri"/>
          <w:bCs/>
        </w:rPr>
        <w:t xml:space="preserve"> </w:t>
      </w:r>
      <w:proofErr w:type="spellStart"/>
      <w:r w:rsidRPr="008F2A91">
        <w:rPr>
          <w:rFonts w:ascii="Calibri" w:hAnsi="Calibri" w:cs="Calibri"/>
          <w:bCs/>
        </w:rPr>
        <w:t>Consumer</w:t>
      </w:r>
      <w:proofErr w:type="spellEnd"/>
      <w:r w:rsidRPr="008F2A91">
        <w:rPr>
          <w:rFonts w:ascii="Calibri" w:hAnsi="Calibri" w:cs="Calibri"/>
          <w:bCs/>
        </w:rPr>
        <w:t xml:space="preserve"> </w:t>
      </w:r>
      <w:proofErr w:type="spellStart"/>
      <w:r w:rsidRPr="008F2A91">
        <w:rPr>
          <w:rFonts w:ascii="Calibri" w:hAnsi="Calibri" w:cs="Calibri"/>
          <w:bCs/>
        </w:rPr>
        <w:t>Protection</w:t>
      </w:r>
      <w:proofErr w:type="spellEnd"/>
      <w:r w:rsidRPr="008F2A91">
        <w:rPr>
          <w:rFonts w:ascii="Calibri" w:hAnsi="Calibri" w:cs="Calibri"/>
          <w:bCs/>
        </w:rPr>
        <w:t xml:space="preserve"> </w:t>
      </w:r>
      <w:proofErr w:type="spellStart"/>
      <w:r w:rsidRPr="008F2A91">
        <w:rPr>
          <w:rFonts w:ascii="Calibri" w:hAnsi="Calibri" w:cs="Calibri"/>
          <w:bCs/>
        </w:rPr>
        <w:t>Act</w:t>
      </w:r>
      <w:proofErr w:type="spellEnd"/>
      <w:r w:rsidRPr="008F2A91">
        <w:rPr>
          <w:rFonts w:ascii="Calibri" w:hAnsi="Calibri" w:cs="Calibri"/>
          <w:bCs/>
        </w:rPr>
        <w:t xml:space="preserve">, </w:t>
      </w:r>
      <w:proofErr w:type="spellStart"/>
      <w:r w:rsidRPr="008F2A91">
        <w:rPr>
          <w:rFonts w:ascii="Calibri" w:hAnsi="Calibri" w:cs="Calibri"/>
          <w:bCs/>
        </w:rPr>
        <w:t>the</w:t>
      </w:r>
      <w:proofErr w:type="spellEnd"/>
      <w:r w:rsidRPr="008F2A91">
        <w:rPr>
          <w:rFonts w:ascii="Calibri" w:hAnsi="Calibri" w:cs="Calibri"/>
          <w:bCs/>
        </w:rPr>
        <w:t xml:space="preserve"> </w:t>
      </w:r>
      <w:proofErr w:type="spellStart"/>
      <w:r w:rsidRPr="008F2A91">
        <w:rPr>
          <w:rFonts w:ascii="Calibri" w:hAnsi="Calibri" w:cs="Calibri"/>
          <w:bCs/>
        </w:rPr>
        <w:t>Government</w:t>
      </w:r>
      <w:proofErr w:type="spellEnd"/>
      <w:r w:rsidRPr="008F2A91">
        <w:rPr>
          <w:rFonts w:ascii="Calibri" w:hAnsi="Calibri" w:cs="Calibri"/>
          <w:bCs/>
        </w:rPr>
        <w:t xml:space="preserve"> </w:t>
      </w:r>
      <w:proofErr w:type="spellStart"/>
      <w:r w:rsidRPr="008F2A91">
        <w:rPr>
          <w:rFonts w:ascii="Calibri" w:hAnsi="Calibri" w:cs="Calibri"/>
          <w:bCs/>
        </w:rPr>
        <w:t>of</w:t>
      </w:r>
      <w:proofErr w:type="spellEnd"/>
      <w:r w:rsidRPr="008F2A91">
        <w:rPr>
          <w:rFonts w:ascii="Calibri" w:hAnsi="Calibri" w:cs="Calibri"/>
          <w:bCs/>
        </w:rPr>
        <w:t xml:space="preserve"> Montenegro, at </w:t>
      </w:r>
      <w:proofErr w:type="spellStart"/>
      <w:r w:rsidRPr="008F2A91">
        <w:rPr>
          <w:rFonts w:ascii="Calibri" w:hAnsi="Calibri" w:cs="Calibri"/>
          <w:bCs/>
        </w:rPr>
        <w:t>its</w:t>
      </w:r>
      <w:proofErr w:type="spellEnd"/>
      <w:r w:rsidRPr="008F2A91">
        <w:rPr>
          <w:rFonts w:ascii="Calibri" w:hAnsi="Calibri" w:cs="Calibri"/>
          <w:bCs/>
        </w:rPr>
        <w:t xml:space="preserve"> </w:t>
      </w:r>
      <w:proofErr w:type="spellStart"/>
      <w:r w:rsidRPr="008F2A91">
        <w:rPr>
          <w:rFonts w:ascii="Calibri" w:hAnsi="Calibri" w:cs="Calibri"/>
          <w:bCs/>
        </w:rPr>
        <w:t>session</w:t>
      </w:r>
      <w:proofErr w:type="spellEnd"/>
      <w:r w:rsidRPr="008F2A91">
        <w:rPr>
          <w:rFonts w:ascii="Calibri" w:hAnsi="Calibri" w:cs="Calibri"/>
          <w:bCs/>
        </w:rPr>
        <w:t xml:space="preserve"> on </w:t>
      </w:r>
      <w:proofErr w:type="spellStart"/>
      <w:r w:rsidRPr="008F2A91">
        <w:rPr>
          <w:rFonts w:ascii="Calibri" w:hAnsi="Calibri" w:cs="Calibri"/>
          <w:bCs/>
        </w:rPr>
        <w:t>December</w:t>
      </w:r>
      <w:proofErr w:type="spellEnd"/>
      <w:r w:rsidRPr="008F2A91">
        <w:rPr>
          <w:rFonts w:ascii="Calibri" w:hAnsi="Calibri" w:cs="Calibri"/>
          <w:bCs/>
        </w:rPr>
        <w:t xml:space="preserve"> 29, 2021, </w:t>
      </w:r>
      <w:proofErr w:type="spellStart"/>
      <w:r w:rsidRPr="008F2A91">
        <w:rPr>
          <w:rFonts w:ascii="Calibri" w:hAnsi="Calibri" w:cs="Calibri"/>
          <w:bCs/>
        </w:rPr>
        <w:t>adopted</w:t>
      </w:r>
      <w:proofErr w:type="spellEnd"/>
      <w:r w:rsidRPr="008F2A91">
        <w:rPr>
          <w:rFonts w:ascii="Calibri" w:hAnsi="Calibri" w:cs="Calibri"/>
          <w:bCs/>
        </w:rPr>
        <w:t xml:space="preserve"> </w:t>
      </w:r>
      <w:proofErr w:type="spellStart"/>
      <w:r w:rsidRPr="008F2A91">
        <w:rPr>
          <w:rFonts w:ascii="Calibri" w:hAnsi="Calibri" w:cs="Calibri"/>
          <w:bCs/>
        </w:rPr>
        <w:t>the</w:t>
      </w:r>
      <w:proofErr w:type="spellEnd"/>
      <w:r w:rsidRPr="008F2A91">
        <w:rPr>
          <w:rFonts w:ascii="Calibri" w:hAnsi="Calibri" w:cs="Calibri"/>
          <w:bCs/>
        </w:rPr>
        <w:t xml:space="preserve"> </w:t>
      </w:r>
      <w:proofErr w:type="spellStart"/>
      <w:r w:rsidRPr="008F2A91">
        <w:rPr>
          <w:rFonts w:ascii="Calibri" w:hAnsi="Calibri" w:cs="Calibri"/>
          <w:bCs/>
        </w:rPr>
        <w:t>National</w:t>
      </w:r>
      <w:proofErr w:type="spellEnd"/>
      <w:r w:rsidRPr="008F2A91">
        <w:rPr>
          <w:rFonts w:ascii="Calibri" w:hAnsi="Calibri" w:cs="Calibri"/>
          <w:bCs/>
        </w:rPr>
        <w:t xml:space="preserve"> </w:t>
      </w:r>
      <w:proofErr w:type="spellStart"/>
      <w:r w:rsidRPr="008F2A91">
        <w:rPr>
          <w:rFonts w:ascii="Calibri" w:hAnsi="Calibri" w:cs="Calibri"/>
          <w:bCs/>
        </w:rPr>
        <w:t>Consumer</w:t>
      </w:r>
      <w:proofErr w:type="spellEnd"/>
      <w:r w:rsidRPr="008F2A91">
        <w:rPr>
          <w:rFonts w:ascii="Calibri" w:hAnsi="Calibri" w:cs="Calibri"/>
          <w:bCs/>
        </w:rPr>
        <w:t xml:space="preserve"> </w:t>
      </w:r>
      <w:proofErr w:type="spellStart"/>
      <w:r w:rsidRPr="008F2A91">
        <w:rPr>
          <w:rFonts w:ascii="Calibri" w:hAnsi="Calibri" w:cs="Calibri"/>
          <w:bCs/>
        </w:rPr>
        <w:t>Protection</w:t>
      </w:r>
      <w:proofErr w:type="spellEnd"/>
      <w:r w:rsidRPr="008F2A91">
        <w:rPr>
          <w:rFonts w:ascii="Calibri" w:hAnsi="Calibri" w:cs="Calibri"/>
          <w:bCs/>
        </w:rPr>
        <w:t xml:space="preserve"> Program </w:t>
      </w:r>
      <w:proofErr w:type="spellStart"/>
      <w:r w:rsidRPr="008F2A91">
        <w:rPr>
          <w:rFonts w:ascii="Calibri" w:hAnsi="Calibri" w:cs="Calibri"/>
          <w:bCs/>
        </w:rPr>
        <w:t>for</w:t>
      </w:r>
      <w:proofErr w:type="spellEnd"/>
      <w:r w:rsidRPr="008F2A91">
        <w:rPr>
          <w:rFonts w:ascii="Calibri" w:hAnsi="Calibri" w:cs="Calibri"/>
          <w:bCs/>
        </w:rPr>
        <w:t xml:space="preserve"> a </w:t>
      </w:r>
      <w:proofErr w:type="spellStart"/>
      <w:r w:rsidRPr="008F2A91">
        <w:rPr>
          <w:rFonts w:ascii="Calibri" w:hAnsi="Calibri" w:cs="Calibri"/>
          <w:bCs/>
        </w:rPr>
        <w:t>three-year</w:t>
      </w:r>
      <w:proofErr w:type="spellEnd"/>
      <w:r w:rsidRPr="008F2A91">
        <w:rPr>
          <w:rFonts w:ascii="Calibri" w:hAnsi="Calibri" w:cs="Calibri"/>
          <w:bCs/>
        </w:rPr>
        <w:t xml:space="preserve"> period, </w:t>
      </w:r>
      <w:proofErr w:type="spellStart"/>
      <w:r w:rsidRPr="008F2A91">
        <w:rPr>
          <w:rFonts w:ascii="Calibri" w:hAnsi="Calibri" w:cs="Calibri"/>
          <w:bCs/>
        </w:rPr>
        <w:t>covering</w:t>
      </w:r>
      <w:proofErr w:type="spellEnd"/>
      <w:r w:rsidRPr="008F2A91">
        <w:rPr>
          <w:rFonts w:ascii="Calibri" w:hAnsi="Calibri" w:cs="Calibri"/>
          <w:bCs/>
        </w:rPr>
        <w:t xml:space="preserve"> 2022–2024. </w:t>
      </w:r>
      <w:proofErr w:type="spellStart"/>
      <w:r w:rsidRPr="00BB37AF">
        <w:rPr>
          <w:rFonts w:ascii="Calibri" w:hAnsi="Calibri" w:cs="Calibri"/>
          <w:bCs/>
        </w:rPr>
        <w:t>The</w:t>
      </w:r>
      <w:proofErr w:type="spellEnd"/>
      <w:r w:rsidRPr="00BB37AF">
        <w:rPr>
          <w:rFonts w:ascii="Calibri" w:hAnsi="Calibri" w:cs="Calibri"/>
          <w:bCs/>
        </w:rPr>
        <w:t xml:space="preserve"> </w:t>
      </w:r>
      <w:proofErr w:type="spellStart"/>
      <w:r w:rsidRPr="00BB37AF">
        <w:rPr>
          <w:rFonts w:ascii="Calibri" w:hAnsi="Calibri" w:cs="Calibri"/>
          <w:bCs/>
        </w:rPr>
        <w:t>National</w:t>
      </w:r>
      <w:proofErr w:type="spellEnd"/>
      <w:r w:rsidRPr="00BB37AF">
        <w:rPr>
          <w:rFonts w:ascii="Calibri" w:hAnsi="Calibri" w:cs="Calibri"/>
          <w:bCs/>
        </w:rPr>
        <w:t xml:space="preserve"> </w:t>
      </w:r>
      <w:proofErr w:type="spellStart"/>
      <w:r w:rsidRPr="00BB37AF">
        <w:rPr>
          <w:rFonts w:ascii="Calibri" w:hAnsi="Calibri" w:cs="Calibri"/>
          <w:bCs/>
        </w:rPr>
        <w:t>Consumer</w:t>
      </w:r>
      <w:proofErr w:type="spellEnd"/>
      <w:r w:rsidRPr="00BB37AF">
        <w:rPr>
          <w:rFonts w:ascii="Calibri" w:hAnsi="Calibri" w:cs="Calibri"/>
          <w:bCs/>
        </w:rPr>
        <w:t xml:space="preserve"> </w:t>
      </w:r>
      <w:proofErr w:type="spellStart"/>
      <w:r w:rsidRPr="00BB37AF">
        <w:rPr>
          <w:rFonts w:ascii="Calibri" w:hAnsi="Calibri" w:cs="Calibri"/>
          <w:bCs/>
        </w:rPr>
        <w:t>Protection</w:t>
      </w:r>
      <w:proofErr w:type="spellEnd"/>
      <w:r w:rsidRPr="00BB37AF">
        <w:rPr>
          <w:rFonts w:ascii="Calibri" w:hAnsi="Calibri" w:cs="Calibri"/>
          <w:bCs/>
        </w:rPr>
        <w:t xml:space="preserve"> Program 2022-2024 is a</w:t>
      </w:r>
      <w:r w:rsidRPr="008F2A91">
        <w:rPr>
          <w:rFonts w:ascii="Calibri" w:hAnsi="Calibri" w:cs="Calibri"/>
          <w:bCs/>
        </w:rPr>
        <w:t xml:space="preserve"> </w:t>
      </w:r>
      <w:proofErr w:type="spellStart"/>
      <w:r w:rsidRPr="008F2A91">
        <w:rPr>
          <w:rFonts w:ascii="Calibri" w:hAnsi="Calibri" w:cs="Calibri"/>
          <w:bCs/>
        </w:rPr>
        <w:t>strategic</w:t>
      </w:r>
      <w:proofErr w:type="spellEnd"/>
      <w:r w:rsidRPr="008F2A91">
        <w:rPr>
          <w:rFonts w:ascii="Calibri" w:hAnsi="Calibri" w:cs="Calibri"/>
          <w:bCs/>
        </w:rPr>
        <w:t xml:space="preserve"> </w:t>
      </w:r>
      <w:proofErr w:type="spellStart"/>
      <w:r w:rsidRPr="008F2A91">
        <w:rPr>
          <w:rFonts w:ascii="Calibri" w:hAnsi="Calibri" w:cs="Calibri"/>
          <w:bCs/>
        </w:rPr>
        <w:t>document</w:t>
      </w:r>
      <w:proofErr w:type="spellEnd"/>
      <w:r w:rsidRPr="008F2A91">
        <w:rPr>
          <w:rFonts w:ascii="Calibri" w:hAnsi="Calibri" w:cs="Calibri"/>
          <w:bCs/>
        </w:rPr>
        <w:t xml:space="preserve"> </w:t>
      </w:r>
      <w:proofErr w:type="spellStart"/>
      <w:r w:rsidRPr="008F2A91">
        <w:rPr>
          <w:rFonts w:ascii="Calibri" w:hAnsi="Calibri" w:cs="Calibri"/>
          <w:bCs/>
        </w:rPr>
        <w:t>developed</w:t>
      </w:r>
      <w:proofErr w:type="spellEnd"/>
      <w:r w:rsidRPr="008F2A91">
        <w:rPr>
          <w:rFonts w:ascii="Calibri" w:hAnsi="Calibri" w:cs="Calibri"/>
          <w:bCs/>
        </w:rPr>
        <w:t xml:space="preserve"> </w:t>
      </w:r>
      <w:proofErr w:type="spellStart"/>
      <w:r w:rsidRPr="008F2A91">
        <w:rPr>
          <w:rFonts w:ascii="Calibri" w:hAnsi="Calibri" w:cs="Calibri"/>
          <w:bCs/>
        </w:rPr>
        <w:t>by</w:t>
      </w:r>
      <w:proofErr w:type="spellEnd"/>
      <w:r w:rsidRPr="008F2A91">
        <w:rPr>
          <w:rFonts w:ascii="Calibri" w:hAnsi="Calibri" w:cs="Calibri"/>
          <w:bCs/>
        </w:rPr>
        <w:t xml:space="preserve"> </w:t>
      </w:r>
      <w:proofErr w:type="spellStart"/>
      <w:r w:rsidRPr="008F2A91">
        <w:rPr>
          <w:rFonts w:ascii="Calibri" w:hAnsi="Calibri" w:cs="Calibri"/>
          <w:bCs/>
        </w:rPr>
        <w:t>the</w:t>
      </w:r>
      <w:proofErr w:type="spellEnd"/>
      <w:r w:rsidRPr="008F2A91">
        <w:rPr>
          <w:rFonts w:ascii="Calibri" w:hAnsi="Calibri" w:cs="Calibri"/>
          <w:bCs/>
        </w:rPr>
        <w:t xml:space="preserve"> </w:t>
      </w:r>
      <w:proofErr w:type="spellStart"/>
      <w:r w:rsidRPr="008F2A91">
        <w:rPr>
          <w:rFonts w:ascii="Calibri" w:hAnsi="Calibri" w:cs="Calibri"/>
          <w:bCs/>
        </w:rPr>
        <w:t>Government</w:t>
      </w:r>
      <w:proofErr w:type="spellEnd"/>
      <w:r w:rsidRPr="008F2A91">
        <w:rPr>
          <w:rFonts w:ascii="Calibri" w:hAnsi="Calibri" w:cs="Calibri"/>
          <w:bCs/>
        </w:rPr>
        <w:t xml:space="preserve"> </w:t>
      </w:r>
      <w:proofErr w:type="spellStart"/>
      <w:r w:rsidRPr="008F2A91">
        <w:rPr>
          <w:rFonts w:ascii="Calibri" w:hAnsi="Calibri" w:cs="Calibri"/>
          <w:bCs/>
        </w:rPr>
        <w:t>of</w:t>
      </w:r>
      <w:proofErr w:type="spellEnd"/>
      <w:r w:rsidRPr="008F2A91">
        <w:rPr>
          <w:rFonts w:ascii="Calibri" w:hAnsi="Calibri" w:cs="Calibri"/>
          <w:bCs/>
        </w:rPr>
        <w:t xml:space="preserve"> Montenegro to </w:t>
      </w:r>
      <w:proofErr w:type="spellStart"/>
      <w:r w:rsidRPr="008F2A91">
        <w:rPr>
          <w:rFonts w:ascii="Calibri" w:hAnsi="Calibri" w:cs="Calibri"/>
          <w:bCs/>
        </w:rPr>
        <w:t>strengthen</w:t>
      </w:r>
      <w:proofErr w:type="spellEnd"/>
      <w:r w:rsidRPr="008F2A91">
        <w:rPr>
          <w:rFonts w:ascii="Calibri" w:hAnsi="Calibri" w:cs="Calibri"/>
          <w:bCs/>
        </w:rPr>
        <w:t xml:space="preserve"> </w:t>
      </w:r>
      <w:proofErr w:type="spellStart"/>
      <w:r w:rsidRPr="008F2A91">
        <w:rPr>
          <w:rFonts w:ascii="Calibri" w:hAnsi="Calibri" w:cs="Calibri"/>
          <w:bCs/>
        </w:rPr>
        <w:t>consumer</w:t>
      </w:r>
      <w:proofErr w:type="spellEnd"/>
      <w:r w:rsidRPr="008F2A91">
        <w:rPr>
          <w:rFonts w:ascii="Calibri" w:hAnsi="Calibri" w:cs="Calibri"/>
          <w:bCs/>
        </w:rPr>
        <w:t xml:space="preserve"> </w:t>
      </w:r>
      <w:proofErr w:type="spellStart"/>
      <w:r w:rsidRPr="008F2A91">
        <w:rPr>
          <w:rFonts w:ascii="Calibri" w:hAnsi="Calibri" w:cs="Calibri"/>
          <w:bCs/>
        </w:rPr>
        <w:t>rights</w:t>
      </w:r>
      <w:proofErr w:type="spellEnd"/>
      <w:r w:rsidRPr="008F2A91">
        <w:rPr>
          <w:rFonts w:ascii="Calibri" w:hAnsi="Calibri" w:cs="Calibri"/>
          <w:bCs/>
        </w:rPr>
        <w:t xml:space="preserve">, </w:t>
      </w:r>
      <w:proofErr w:type="spellStart"/>
      <w:r w:rsidRPr="008F2A91">
        <w:rPr>
          <w:rFonts w:ascii="Calibri" w:hAnsi="Calibri" w:cs="Calibri"/>
          <w:bCs/>
        </w:rPr>
        <w:t>improve</w:t>
      </w:r>
      <w:proofErr w:type="spellEnd"/>
      <w:r w:rsidRPr="008F2A91">
        <w:rPr>
          <w:rFonts w:ascii="Calibri" w:hAnsi="Calibri" w:cs="Calibri"/>
          <w:bCs/>
        </w:rPr>
        <w:t xml:space="preserve"> market </w:t>
      </w:r>
      <w:proofErr w:type="spellStart"/>
      <w:r w:rsidRPr="008F2A91">
        <w:rPr>
          <w:rFonts w:ascii="Calibri" w:hAnsi="Calibri" w:cs="Calibri"/>
          <w:bCs/>
        </w:rPr>
        <w:t>transparency</w:t>
      </w:r>
      <w:proofErr w:type="spellEnd"/>
      <w:r w:rsidRPr="008F2A91">
        <w:rPr>
          <w:rFonts w:ascii="Calibri" w:hAnsi="Calibri" w:cs="Calibri"/>
          <w:bCs/>
        </w:rPr>
        <w:t xml:space="preserve">, </w:t>
      </w:r>
      <w:proofErr w:type="spellStart"/>
      <w:r w:rsidRPr="008F2A91">
        <w:rPr>
          <w:rFonts w:ascii="Calibri" w:hAnsi="Calibri" w:cs="Calibri"/>
          <w:bCs/>
        </w:rPr>
        <w:t>and</w:t>
      </w:r>
      <w:proofErr w:type="spellEnd"/>
      <w:r w:rsidRPr="008F2A91">
        <w:rPr>
          <w:rFonts w:ascii="Calibri" w:hAnsi="Calibri" w:cs="Calibri"/>
          <w:bCs/>
        </w:rPr>
        <w:t xml:space="preserve"> </w:t>
      </w:r>
      <w:proofErr w:type="spellStart"/>
      <w:r w:rsidRPr="008F2A91">
        <w:rPr>
          <w:rFonts w:ascii="Calibri" w:hAnsi="Calibri" w:cs="Calibri"/>
          <w:bCs/>
        </w:rPr>
        <w:t>align</w:t>
      </w:r>
      <w:proofErr w:type="spellEnd"/>
      <w:r w:rsidRPr="008F2A91">
        <w:rPr>
          <w:rFonts w:ascii="Calibri" w:hAnsi="Calibri" w:cs="Calibri"/>
          <w:bCs/>
        </w:rPr>
        <w:t xml:space="preserve"> </w:t>
      </w:r>
      <w:proofErr w:type="spellStart"/>
      <w:r w:rsidRPr="008F2A91">
        <w:rPr>
          <w:rFonts w:ascii="Calibri" w:hAnsi="Calibri" w:cs="Calibri"/>
          <w:bCs/>
        </w:rPr>
        <w:t>national</w:t>
      </w:r>
      <w:proofErr w:type="spellEnd"/>
      <w:r w:rsidRPr="008F2A91">
        <w:rPr>
          <w:rFonts w:ascii="Calibri" w:hAnsi="Calibri" w:cs="Calibri"/>
          <w:bCs/>
        </w:rPr>
        <w:t xml:space="preserve"> </w:t>
      </w:r>
      <w:proofErr w:type="spellStart"/>
      <w:r w:rsidRPr="008F2A91">
        <w:rPr>
          <w:rFonts w:ascii="Calibri" w:hAnsi="Calibri" w:cs="Calibri"/>
          <w:bCs/>
        </w:rPr>
        <w:t>policies</w:t>
      </w:r>
      <w:proofErr w:type="spellEnd"/>
      <w:r w:rsidRPr="008F2A91">
        <w:rPr>
          <w:rFonts w:ascii="Calibri" w:hAnsi="Calibri" w:cs="Calibri"/>
          <w:bCs/>
        </w:rPr>
        <w:t xml:space="preserve"> </w:t>
      </w:r>
      <w:proofErr w:type="spellStart"/>
      <w:r w:rsidRPr="008F2A91">
        <w:rPr>
          <w:rFonts w:ascii="Calibri" w:hAnsi="Calibri" w:cs="Calibri"/>
          <w:bCs/>
        </w:rPr>
        <w:t>with</w:t>
      </w:r>
      <w:proofErr w:type="spellEnd"/>
      <w:r w:rsidRPr="008F2A91">
        <w:rPr>
          <w:rFonts w:ascii="Calibri" w:hAnsi="Calibri" w:cs="Calibri"/>
          <w:bCs/>
        </w:rPr>
        <w:t xml:space="preserve"> </w:t>
      </w:r>
      <w:proofErr w:type="spellStart"/>
      <w:r w:rsidRPr="008F2A91">
        <w:rPr>
          <w:rFonts w:ascii="Calibri" w:hAnsi="Calibri" w:cs="Calibri"/>
          <w:bCs/>
        </w:rPr>
        <w:t>European</w:t>
      </w:r>
      <w:proofErr w:type="spellEnd"/>
      <w:r w:rsidRPr="008F2A91">
        <w:rPr>
          <w:rFonts w:ascii="Calibri" w:hAnsi="Calibri" w:cs="Calibri"/>
          <w:bCs/>
        </w:rPr>
        <w:t xml:space="preserve"> Union </w:t>
      </w:r>
      <w:proofErr w:type="spellStart"/>
      <w:r w:rsidRPr="008F2A91">
        <w:rPr>
          <w:rFonts w:ascii="Calibri" w:hAnsi="Calibri" w:cs="Calibri"/>
          <w:bCs/>
        </w:rPr>
        <w:t>standards</w:t>
      </w:r>
      <w:proofErr w:type="spellEnd"/>
      <w:r w:rsidRPr="008F2A91">
        <w:rPr>
          <w:rFonts w:ascii="Calibri" w:hAnsi="Calibri" w:cs="Calibri"/>
          <w:bCs/>
        </w:rPr>
        <w:t xml:space="preserve">. </w:t>
      </w:r>
    </w:p>
    <w:p w14:paraId="35613189" w14:textId="77777777" w:rsidR="00E56BE3" w:rsidRPr="008F2A91" w:rsidRDefault="00E56BE3" w:rsidP="00E56BE3">
      <w:pPr>
        <w:ind w:left="360"/>
        <w:rPr>
          <w:rFonts w:ascii="Calibri" w:hAnsi="Calibri" w:cs="Calibri"/>
          <w:bCs/>
        </w:rPr>
      </w:pPr>
    </w:p>
    <w:p w14:paraId="6CB61E0C" w14:textId="77777777" w:rsidR="00E56BE3" w:rsidRPr="008F2A91" w:rsidRDefault="00E56BE3" w:rsidP="00E56BE3">
      <w:pPr>
        <w:ind w:left="360"/>
        <w:rPr>
          <w:rFonts w:ascii="Calibri" w:hAnsi="Calibri" w:cs="Calibri"/>
          <w:bCs/>
          <w:lang w:val="en-RS"/>
        </w:rPr>
      </w:pPr>
      <w:r w:rsidRPr="008F2A91">
        <w:rPr>
          <w:rFonts w:ascii="Calibri" w:hAnsi="Calibri" w:cs="Calibri"/>
          <w:bCs/>
          <w:lang w:val="sr-Latn-ME"/>
        </w:rPr>
        <w:t>The Program identifies</w:t>
      </w:r>
      <w:r w:rsidRPr="008F2A91">
        <w:rPr>
          <w:rFonts w:ascii="Calibri" w:hAnsi="Calibri" w:cs="Calibri"/>
          <w:bCs/>
          <w:lang w:val="en-RS"/>
        </w:rPr>
        <w:t xml:space="preserve"> three key conceptual challenges—the lack of effective consumer rights enforcement mechanisms, inconsistencies in market </w:t>
      </w:r>
      <w:r w:rsidRPr="008F2A91">
        <w:rPr>
          <w:rFonts w:ascii="Calibri" w:hAnsi="Calibri" w:cs="Calibri"/>
          <w:bCs/>
          <w:lang w:val="sr-Latn-ME"/>
        </w:rPr>
        <w:t>surveillance</w:t>
      </w:r>
      <w:r w:rsidRPr="008F2A91">
        <w:rPr>
          <w:rFonts w:ascii="Calibri" w:hAnsi="Calibri" w:cs="Calibri"/>
          <w:bCs/>
          <w:lang w:val="en-RS"/>
        </w:rPr>
        <w:t xml:space="preserve"> procedures, and insufficient coordination among consumer protection institutions. Furthermore, the fragmented nature of the current framework has been highlighted as one of its biggest shortcomings.</w:t>
      </w:r>
      <w:r w:rsidRPr="008F2A91">
        <w:rPr>
          <w:rFonts w:ascii="Calibri" w:hAnsi="Calibri" w:cs="Calibri"/>
          <w:bCs/>
          <w:lang w:val="sr-Latn-ME"/>
        </w:rPr>
        <w:t xml:space="preserve"> </w:t>
      </w:r>
      <w:r w:rsidRPr="008F2A91">
        <w:rPr>
          <w:rFonts w:ascii="Calibri" w:hAnsi="Calibri" w:cs="Calibri"/>
          <w:bCs/>
          <w:lang w:val="en-RS"/>
        </w:rPr>
        <w:t>A particular concern for businesses and consumer organizations involves certain ambiguities in terminology, such as definitions of consumer vulnerability, unfair contract terms, misleading advertising, and dispute resolution procedures. Additionally, a significant number of inconsistencies within the legal framework, resulting from contradictory provisions, have been noted, ultimately contributing to legal uncertainty. While some of these issues can be addressed through clearer interpretation and regulatory guidance, others require direct legislative intervention. Therefore, while maintaining and further refining well-established consumer protection principles, the need for a comprehensive evaluation and potential legal amendments has become evident.</w:t>
      </w:r>
    </w:p>
    <w:p w14:paraId="21ABA4ED" w14:textId="77777777" w:rsidR="00E56BE3" w:rsidRPr="008F2A91" w:rsidRDefault="00E56BE3" w:rsidP="00E56BE3">
      <w:pPr>
        <w:rPr>
          <w:rFonts w:ascii="Calibri" w:hAnsi="Calibri" w:cs="Calibri"/>
          <w:bCs/>
        </w:rPr>
      </w:pPr>
    </w:p>
    <w:p w14:paraId="50E2E799" w14:textId="77777777" w:rsidR="00E56BE3" w:rsidRPr="008F2A91" w:rsidRDefault="00E56BE3" w:rsidP="00E56BE3">
      <w:pPr>
        <w:ind w:left="360"/>
        <w:rPr>
          <w:rFonts w:ascii="Calibri" w:hAnsi="Calibri" w:cs="Calibri"/>
          <w:bCs/>
          <w:lang w:val="en-US"/>
        </w:rPr>
      </w:pPr>
      <w:r w:rsidRPr="008F2A91">
        <w:rPr>
          <w:rFonts w:ascii="Calibri" w:hAnsi="Calibri" w:cs="Calibri"/>
          <w:bCs/>
          <w:lang w:val="en-US"/>
        </w:rPr>
        <w:t>Based on the previously conducted analysis and assessment of the current state of consumer protection, the following strategic goal has been identified:</w:t>
      </w:r>
    </w:p>
    <w:p w14:paraId="2BDBA7B5" w14:textId="77777777" w:rsidR="00E56BE3" w:rsidRPr="00BB37AF" w:rsidRDefault="00E56BE3" w:rsidP="006D6681">
      <w:pPr>
        <w:numPr>
          <w:ilvl w:val="0"/>
          <w:numId w:val="19"/>
        </w:numPr>
        <w:spacing w:after="0" w:line="240" w:lineRule="auto"/>
        <w:jc w:val="both"/>
        <w:rPr>
          <w:rFonts w:ascii="Calibri" w:hAnsi="Calibri" w:cs="Calibri"/>
          <w:lang w:val="en-US"/>
        </w:rPr>
      </w:pPr>
      <w:r w:rsidRPr="00BB37AF">
        <w:rPr>
          <w:rFonts w:ascii="Calibri" w:hAnsi="Calibri" w:cs="Calibri"/>
          <w:lang w:val="en-US"/>
        </w:rPr>
        <w:t>Improvement of the consumer protection system in Montenegro in line with new challenges in the global market, ensuring more comprehensive consumer protection in accordance with the best practices of the European Union.</w:t>
      </w:r>
    </w:p>
    <w:p w14:paraId="24BD9D67" w14:textId="77777777" w:rsidR="00E56BE3" w:rsidRPr="008F2A91" w:rsidRDefault="00E56BE3" w:rsidP="00E56BE3">
      <w:pPr>
        <w:rPr>
          <w:rFonts w:ascii="Calibri" w:hAnsi="Calibri" w:cs="Calibri"/>
          <w:bCs/>
          <w:lang w:val="en-US"/>
        </w:rPr>
      </w:pPr>
    </w:p>
    <w:p w14:paraId="194C394F" w14:textId="77777777" w:rsidR="00E56BE3" w:rsidRPr="00BB37AF" w:rsidRDefault="00E56BE3" w:rsidP="00E56BE3">
      <w:pPr>
        <w:ind w:left="360"/>
        <w:rPr>
          <w:rFonts w:ascii="Calibri" w:hAnsi="Calibri" w:cs="Calibri"/>
          <w:lang w:val="en-US"/>
        </w:rPr>
      </w:pPr>
      <w:r w:rsidRPr="008F2A91">
        <w:rPr>
          <w:rFonts w:ascii="Calibri" w:hAnsi="Calibri" w:cs="Calibri"/>
          <w:bCs/>
          <w:lang w:val="en-US"/>
        </w:rPr>
        <w:t xml:space="preserve">To contribute to the achievement of this strategic goal over the past three-year period, the following </w:t>
      </w:r>
      <w:r w:rsidRPr="00BB37AF">
        <w:rPr>
          <w:rFonts w:ascii="Calibri" w:hAnsi="Calibri" w:cs="Calibri"/>
          <w:lang w:val="en-US"/>
        </w:rPr>
        <w:t>operational objectives have been identified as priorities:</w:t>
      </w:r>
    </w:p>
    <w:p w14:paraId="1C3F4AB7" w14:textId="77777777" w:rsidR="00E56BE3" w:rsidRPr="00BB37AF" w:rsidRDefault="00E56BE3" w:rsidP="00E56BE3">
      <w:pPr>
        <w:ind w:left="360"/>
        <w:rPr>
          <w:rFonts w:ascii="Calibri" w:hAnsi="Calibri" w:cs="Calibri"/>
          <w:lang w:val="en-US"/>
        </w:rPr>
      </w:pPr>
    </w:p>
    <w:p w14:paraId="43221F1A" w14:textId="77777777" w:rsidR="00E56BE3" w:rsidRPr="00BB37AF" w:rsidRDefault="00E56BE3" w:rsidP="006D6681">
      <w:pPr>
        <w:numPr>
          <w:ilvl w:val="0"/>
          <w:numId w:val="20"/>
        </w:numPr>
        <w:spacing w:after="0" w:line="240" w:lineRule="auto"/>
        <w:jc w:val="both"/>
        <w:rPr>
          <w:rFonts w:ascii="Calibri" w:hAnsi="Calibri" w:cs="Calibri"/>
          <w:lang w:val="en-US"/>
        </w:rPr>
      </w:pPr>
      <w:r w:rsidRPr="00BB37AF">
        <w:rPr>
          <w:rFonts w:ascii="Calibri" w:hAnsi="Calibri" w:cs="Calibri"/>
          <w:lang w:val="en-US"/>
        </w:rPr>
        <w:t>Ensuring a higher level of protection of consumer rights and interests through improvements in the legislative framework.</w:t>
      </w:r>
    </w:p>
    <w:p w14:paraId="0F10135F" w14:textId="77777777" w:rsidR="00E56BE3" w:rsidRPr="00BB37AF" w:rsidRDefault="00E56BE3" w:rsidP="006D6681">
      <w:pPr>
        <w:numPr>
          <w:ilvl w:val="0"/>
          <w:numId w:val="20"/>
        </w:numPr>
        <w:spacing w:after="0" w:line="240" w:lineRule="auto"/>
        <w:jc w:val="both"/>
        <w:rPr>
          <w:rFonts w:ascii="Calibri" w:hAnsi="Calibri" w:cs="Calibri"/>
          <w:lang w:val="en-US"/>
        </w:rPr>
      </w:pPr>
      <w:r w:rsidRPr="00BB37AF">
        <w:rPr>
          <w:rFonts w:ascii="Calibri" w:hAnsi="Calibri" w:cs="Calibri"/>
          <w:lang w:val="en-US"/>
        </w:rPr>
        <w:t>Enhancing consumer and trader knowledge and awareness of their rights and obligations through informational and educational activities.</w:t>
      </w:r>
    </w:p>
    <w:p w14:paraId="76C3DEB4" w14:textId="77777777" w:rsidR="00E56BE3" w:rsidRPr="00BB37AF" w:rsidRDefault="00E56BE3" w:rsidP="006D6681">
      <w:pPr>
        <w:numPr>
          <w:ilvl w:val="0"/>
          <w:numId w:val="20"/>
        </w:numPr>
        <w:spacing w:after="0" w:line="240" w:lineRule="auto"/>
        <w:jc w:val="both"/>
        <w:rPr>
          <w:rFonts w:ascii="Calibri" w:hAnsi="Calibri" w:cs="Calibri"/>
          <w:lang w:val="en-US"/>
        </w:rPr>
      </w:pPr>
      <w:r w:rsidRPr="00BB37AF">
        <w:rPr>
          <w:rFonts w:ascii="Calibri" w:hAnsi="Calibri" w:cs="Calibri"/>
          <w:lang w:val="en-US"/>
        </w:rPr>
        <w:t>Establishing an effective system of cooperation and coordination with various stakeholders significant for the implementation of consumer protection policies.</w:t>
      </w:r>
    </w:p>
    <w:p w14:paraId="53438C43" w14:textId="77777777" w:rsidR="00E56BE3" w:rsidRPr="008F2A91" w:rsidRDefault="00E56BE3" w:rsidP="00E56BE3">
      <w:pPr>
        <w:ind w:left="360"/>
        <w:rPr>
          <w:rFonts w:ascii="Calibri" w:hAnsi="Calibri" w:cs="Calibri"/>
          <w:bCs/>
        </w:rPr>
      </w:pPr>
    </w:p>
    <w:p w14:paraId="6168BD54" w14:textId="77777777" w:rsidR="00E56BE3" w:rsidRPr="008F2A91" w:rsidRDefault="00E56BE3" w:rsidP="00E56BE3">
      <w:pPr>
        <w:ind w:left="360"/>
        <w:rPr>
          <w:rFonts w:ascii="Calibri" w:hAnsi="Calibri" w:cs="Calibri"/>
          <w:lang w:val="sr-Latn-ME"/>
        </w:rPr>
      </w:pPr>
      <w:r w:rsidRPr="008F2A91">
        <w:rPr>
          <w:rFonts w:ascii="Calibri" w:hAnsi="Calibri" w:cs="Calibri"/>
          <w:lang w:val="sr-Latn-ME"/>
        </w:rPr>
        <w:t xml:space="preserve">Operational goals are tied to specific actions and performance indicators, ensuring measurable progress which include raising solved consumer complaints by 3 - 5% to regulatory bodies, indicating increased awareness and enforcement; increasing consumer knowledge by 5 - 8% through education initiatives; boosting the resolution rate of consumer disputes, particularly in out-of-court settlements and establishing better coordination between the relevant </w:t>
      </w:r>
      <w:r w:rsidRPr="008F2A91">
        <w:rPr>
          <w:rFonts w:ascii="Calibri" w:hAnsi="Calibri" w:cs="Calibri"/>
          <w:lang w:val="sr-Latn-ME"/>
        </w:rPr>
        <w:lastRenderedPageBreak/>
        <w:t>stakeholders, particularly by increasing the number of local governments that have established cooperation with NGO associations.</w:t>
      </w:r>
    </w:p>
    <w:p w14:paraId="0A343B4D" w14:textId="77777777" w:rsidR="00E56BE3" w:rsidRPr="008F2A91" w:rsidRDefault="00E56BE3" w:rsidP="00E56BE3">
      <w:pPr>
        <w:ind w:left="360"/>
        <w:rPr>
          <w:rFonts w:ascii="Calibri" w:hAnsi="Calibri" w:cs="Calibri"/>
          <w:lang w:val="sr-Latn-ME"/>
        </w:rPr>
      </w:pPr>
    </w:p>
    <w:p w14:paraId="10D3AF26" w14:textId="77777777" w:rsidR="00E56BE3" w:rsidRPr="008F2A91" w:rsidRDefault="00E56BE3" w:rsidP="00E56BE3">
      <w:pPr>
        <w:ind w:left="360"/>
        <w:rPr>
          <w:rFonts w:ascii="Calibri" w:hAnsi="Calibri" w:cs="Calibri"/>
          <w:lang w:val="sr-Latn-ME"/>
        </w:rPr>
      </w:pPr>
      <w:r w:rsidRPr="008F2A91">
        <w:rPr>
          <w:rFonts w:ascii="Calibri" w:hAnsi="Calibri" w:cs="Calibri"/>
          <w:lang w:val="sr-Latn-ME"/>
        </w:rPr>
        <w:t>To implement the National Program, the Government adopts an Action Plan for a one-year period. The Action Plan defines tasks, responsibilities, scope, implementing entities, execution timeline, required financial resources, and other conditions necessary for the realization of the National Program. The Ministry submits an annual report to the Government on the implementation of consumer protection policies outlined in the National Program. Accordingly, the Government adopted the annual report on the implementation of the Action Plan for 2022 at its session on July 6, 2023, and the report on the implementation of the Action Plan for 2023 at its session on July 4, 2024.</w:t>
      </w:r>
    </w:p>
    <w:p w14:paraId="23F304CC" w14:textId="77777777" w:rsidR="00E56BE3" w:rsidRPr="008F2A91" w:rsidRDefault="00E56BE3" w:rsidP="00E56BE3">
      <w:pPr>
        <w:rPr>
          <w:rFonts w:ascii="Calibri" w:hAnsi="Calibri" w:cs="Calibri"/>
          <w:lang w:val="sr-Latn-ME"/>
        </w:rPr>
      </w:pPr>
    </w:p>
    <w:p w14:paraId="3D0BBE3B" w14:textId="77777777" w:rsidR="00E56BE3" w:rsidRPr="008F2A91" w:rsidRDefault="00E56BE3" w:rsidP="00E56BE3">
      <w:pPr>
        <w:ind w:left="360"/>
        <w:rPr>
          <w:rFonts w:ascii="Calibri" w:hAnsi="Calibri" w:cs="Calibri"/>
          <w:lang w:val="sr-Latn-ME"/>
        </w:rPr>
      </w:pPr>
      <w:r w:rsidRPr="008F2A91">
        <w:rPr>
          <w:rFonts w:ascii="Calibri" w:hAnsi="Calibri" w:cs="Calibri"/>
          <w:lang w:val="sr-Latn-ME"/>
        </w:rPr>
        <w:t xml:space="preserve">As per part V of the Program, the evaluation of the strategic document in question will be conducted ex post by external expert due to its complexity and scope, as well as to ensure a higher degree of objectivity. These findings will be presented in the final report and will serve as a solid foundation for the potential development of a new strategic document. The evaluation results </w:t>
      </w:r>
      <w:bookmarkStart w:id="28" w:name="_Hlk191986638"/>
      <w:r w:rsidRPr="008F2A91">
        <w:rPr>
          <w:rFonts w:ascii="Calibri" w:hAnsi="Calibri" w:cs="Calibri"/>
          <w:lang w:val="sr-Latn-ME"/>
        </w:rPr>
        <w:t>will provide a clear and precise assessment of the effectiveness of policy implementation through a consolidated document</w:t>
      </w:r>
      <w:bookmarkEnd w:id="28"/>
      <w:r w:rsidRPr="008F2A91">
        <w:rPr>
          <w:rFonts w:ascii="Calibri" w:hAnsi="Calibri" w:cs="Calibri"/>
          <w:lang w:val="sr-Latn-ME"/>
        </w:rPr>
        <w:t>. This approach aims to determine whether the intended effects are being achieved, assess the sustainability of the policy in question, and explore the feasibility of implementing a greater number of activities with the support of European Union funds.</w:t>
      </w:r>
    </w:p>
    <w:p w14:paraId="068DB926" w14:textId="77777777" w:rsidR="00E56BE3" w:rsidRPr="008F2A91" w:rsidRDefault="00E56BE3" w:rsidP="00E56BE3">
      <w:pPr>
        <w:ind w:left="360"/>
        <w:rPr>
          <w:rFonts w:ascii="Calibri" w:hAnsi="Calibri" w:cs="Calibri"/>
          <w:lang w:val="sr-Latn-ME"/>
        </w:rPr>
      </w:pPr>
    </w:p>
    <w:p w14:paraId="0604A6DF" w14:textId="77777777" w:rsidR="00E56BE3" w:rsidRPr="008F2A91" w:rsidRDefault="00E56BE3" w:rsidP="00E56BE3">
      <w:pPr>
        <w:ind w:left="360"/>
        <w:rPr>
          <w:rFonts w:ascii="Calibri" w:hAnsi="Calibri" w:cs="Calibri"/>
        </w:rPr>
      </w:pPr>
      <w:proofErr w:type="spellStart"/>
      <w:r>
        <w:rPr>
          <w:rFonts w:ascii="Calibri" w:hAnsi="Calibri" w:cs="Calibri"/>
        </w:rPr>
        <w:t>Having</w:t>
      </w:r>
      <w:proofErr w:type="spellEnd"/>
      <w:r>
        <w:rPr>
          <w:rFonts w:ascii="Calibri" w:hAnsi="Calibri" w:cs="Calibri"/>
        </w:rPr>
        <w:t xml:space="preserve"> </w:t>
      </w:r>
      <w:proofErr w:type="spellStart"/>
      <w:r>
        <w:rPr>
          <w:rFonts w:ascii="Calibri" w:hAnsi="Calibri" w:cs="Calibri"/>
        </w:rPr>
        <w:t>all</w:t>
      </w:r>
      <w:proofErr w:type="spellEnd"/>
      <w:r>
        <w:rPr>
          <w:rFonts w:ascii="Calibri" w:hAnsi="Calibri" w:cs="Calibri"/>
        </w:rPr>
        <w:t xml:space="preserve"> </w:t>
      </w:r>
      <w:proofErr w:type="spellStart"/>
      <w:r>
        <w:rPr>
          <w:rFonts w:ascii="Calibri" w:hAnsi="Calibri" w:cs="Calibri"/>
        </w:rPr>
        <w:t>this</w:t>
      </w:r>
      <w:proofErr w:type="spellEnd"/>
      <w:r>
        <w:rPr>
          <w:rFonts w:ascii="Calibri" w:hAnsi="Calibri" w:cs="Calibri"/>
        </w:rPr>
        <w:t xml:space="preserve"> in </w:t>
      </w:r>
      <w:proofErr w:type="spellStart"/>
      <w:r>
        <w:rPr>
          <w:rFonts w:ascii="Calibri" w:hAnsi="Calibri" w:cs="Calibri"/>
        </w:rPr>
        <w:t>mind</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coordination</w:t>
      </w:r>
      <w:proofErr w:type="spellEnd"/>
      <w:r>
        <w:rPr>
          <w:rFonts w:ascii="Calibri" w:hAnsi="Calibri" w:cs="Calibri"/>
        </w:rPr>
        <w:t xml:space="preserve">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Ministry</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Development</w:t>
      </w:r>
      <w:proofErr w:type="spellEnd"/>
      <w:r>
        <w:rPr>
          <w:rFonts w:ascii="Calibri" w:hAnsi="Calibri" w:cs="Calibri"/>
        </w:rPr>
        <w:t xml:space="preserve">, </w:t>
      </w:r>
      <w:r w:rsidRPr="008F2A91">
        <w:rPr>
          <w:rFonts w:ascii="Calibri" w:hAnsi="Calibri" w:cs="Calibri"/>
        </w:rPr>
        <w:t xml:space="preserve">UNDP </w:t>
      </w:r>
      <w:proofErr w:type="spellStart"/>
      <w:r w:rsidRPr="008F2A91">
        <w:rPr>
          <w:rFonts w:ascii="Calibri" w:hAnsi="Calibri" w:cs="Calibri"/>
        </w:rPr>
        <w:t>intends</w:t>
      </w:r>
      <w:proofErr w:type="spellEnd"/>
      <w:r w:rsidRPr="008F2A91">
        <w:rPr>
          <w:rFonts w:ascii="Calibri" w:hAnsi="Calibri" w:cs="Calibri"/>
        </w:rPr>
        <w:t xml:space="preserve"> to hire </w:t>
      </w:r>
      <w:proofErr w:type="spellStart"/>
      <w:r w:rsidRPr="008F2A91">
        <w:rPr>
          <w:rFonts w:ascii="Calibri" w:hAnsi="Calibri" w:cs="Calibri"/>
        </w:rPr>
        <w:t>an</w:t>
      </w:r>
      <w:proofErr w:type="spellEnd"/>
      <w:r w:rsidRPr="008F2A91">
        <w:rPr>
          <w:rFonts w:ascii="Calibri" w:hAnsi="Calibri" w:cs="Calibri"/>
        </w:rPr>
        <w:t xml:space="preserve"> </w:t>
      </w:r>
      <w:proofErr w:type="spellStart"/>
      <w:r w:rsidRPr="008F2A91">
        <w:rPr>
          <w:rFonts w:ascii="Calibri" w:hAnsi="Calibri" w:cs="Calibri"/>
        </w:rPr>
        <w:t>individual</w:t>
      </w:r>
      <w:proofErr w:type="spellEnd"/>
      <w:r w:rsidRPr="008F2A91">
        <w:rPr>
          <w:rFonts w:ascii="Calibri" w:hAnsi="Calibri" w:cs="Calibri"/>
        </w:rPr>
        <w:t xml:space="preserve"> </w:t>
      </w:r>
      <w:proofErr w:type="spellStart"/>
      <w:r w:rsidRPr="008F2A91">
        <w:rPr>
          <w:rFonts w:ascii="Calibri" w:hAnsi="Calibri" w:cs="Calibri"/>
        </w:rPr>
        <w:t>consultant</w:t>
      </w:r>
      <w:proofErr w:type="spellEnd"/>
      <w:r w:rsidRPr="008F2A91">
        <w:rPr>
          <w:rFonts w:ascii="Calibri" w:hAnsi="Calibri" w:cs="Calibri"/>
        </w:rPr>
        <w:t xml:space="preserve"> to </w:t>
      </w:r>
      <w:proofErr w:type="spellStart"/>
      <w:r w:rsidRPr="008F2A91">
        <w:rPr>
          <w:rFonts w:ascii="Calibri" w:hAnsi="Calibri" w:cs="Calibri"/>
        </w:rPr>
        <w:t>undertake</w:t>
      </w:r>
      <w:proofErr w:type="spellEnd"/>
      <w:r w:rsidRPr="008F2A91">
        <w:rPr>
          <w:rFonts w:ascii="Calibri" w:hAnsi="Calibri" w:cs="Calibri"/>
        </w:rPr>
        <w:t xml:space="preserve"> </w:t>
      </w:r>
      <w:proofErr w:type="spellStart"/>
      <w:r w:rsidRPr="008F2A91">
        <w:rPr>
          <w:rFonts w:ascii="Calibri" w:hAnsi="Calibri" w:cs="Calibri"/>
        </w:rPr>
        <w:t>final</w:t>
      </w:r>
      <w:proofErr w:type="spellEnd"/>
      <w:r w:rsidRPr="008F2A91">
        <w:rPr>
          <w:rFonts w:ascii="Calibri" w:hAnsi="Calibri" w:cs="Calibri"/>
        </w:rPr>
        <w:t xml:space="preserve"> </w:t>
      </w:r>
      <w:proofErr w:type="spellStart"/>
      <w:r w:rsidRPr="008F2A91">
        <w:rPr>
          <w:rFonts w:ascii="Calibri" w:hAnsi="Calibri" w:cs="Calibri"/>
        </w:rPr>
        <w:t>evaluation</w:t>
      </w:r>
      <w:proofErr w:type="spellEnd"/>
      <w:r w:rsidRPr="008F2A91">
        <w:rPr>
          <w:rFonts w:ascii="Calibri" w:hAnsi="Calibri" w:cs="Calibri"/>
        </w:rPr>
        <w:t xml:space="preserve"> </w:t>
      </w:r>
      <w:proofErr w:type="spellStart"/>
      <w:r w:rsidRPr="008F2A91">
        <w:rPr>
          <w:rFonts w:ascii="Calibri" w:hAnsi="Calibri" w:cs="Calibri"/>
        </w:rPr>
        <w:t>of</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National</w:t>
      </w:r>
      <w:proofErr w:type="spellEnd"/>
      <w:r w:rsidRPr="008F2A91">
        <w:rPr>
          <w:rFonts w:ascii="Calibri" w:hAnsi="Calibri" w:cs="Calibri"/>
        </w:rPr>
        <w:t xml:space="preserve"> </w:t>
      </w:r>
      <w:proofErr w:type="spellStart"/>
      <w:r w:rsidRPr="008F2A91">
        <w:rPr>
          <w:rFonts w:ascii="Calibri" w:hAnsi="Calibri" w:cs="Calibri"/>
        </w:rPr>
        <w:t>Consumer</w:t>
      </w:r>
      <w:proofErr w:type="spellEnd"/>
      <w:r w:rsidRPr="008F2A91">
        <w:rPr>
          <w:rFonts w:ascii="Calibri" w:hAnsi="Calibri" w:cs="Calibri"/>
        </w:rPr>
        <w:t xml:space="preserve"> </w:t>
      </w:r>
      <w:proofErr w:type="spellStart"/>
      <w:r w:rsidRPr="008F2A91">
        <w:rPr>
          <w:rFonts w:ascii="Calibri" w:hAnsi="Calibri" w:cs="Calibri"/>
        </w:rPr>
        <w:t>Protection</w:t>
      </w:r>
      <w:proofErr w:type="spellEnd"/>
      <w:r w:rsidRPr="008F2A91">
        <w:rPr>
          <w:rFonts w:ascii="Calibri" w:hAnsi="Calibri" w:cs="Calibri"/>
        </w:rPr>
        <w:t xml:space="preserve"> </w:t>
      </w:r>
      <w:proofErr w:type="spellStart"/>
      <w:r w:rsidRPr="008F2A91">
        <w:rPr>
          <w:rFonts w:ascii="Calibri" w:hAnsi="Calibri" w:cs="Calibri"/>
        </w:rPr>
        <w:t>Programme</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objective</w:t>
      </w:r>
      <w:proofErr w:type="spellEnd"/>
      <w:r w:rsidRPr="008F2A91">
        <w:rPr>
          <w:rFonts w:ascii="Calibri" w:hAnsi="Calibri" w:cs="Calibri"/>
        </w:rPr>
        <w:t xml:space="preserve"> </w:t>
      </w:r>
      <w:proofErr w:type="spellStart"/>
      <w:r w:rsidRPr="008F2A91">
        <w:rPr>
          <w:rFonts w:ascii="Calibri" w:hAnsi="Calibri" w:cs="Calibri"/>
        </w:rPr>
        <w:t>of</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evaluation</w:t>
      </w:r>
      <w:proofErr w:type="spellEnd"/>
      <w:r w:rsidRPr="008F2A91">
        <w:rPr>
          <w:rFonts w:ascii="Calibri" w:hAnsi="Calibri" w:cs="Calibri"/>
        </w:rPr>
        <w:t xml:space="preserve"> is to </w:t>
      </w:r>
      <w:proofErr w:type="spellStart"/>
      <w:r w:rsidRPr="008F2A91">
        <w:rPr>
          <w:rFonts w:ascii="Calibri" w:hAnsi="Calibri" w:cs="Calibri"/>
        </w:rPr>
        <w:t>assess</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impact</w:t>
      </w:r>
      <w:proofErr w:type="spellEnd"/>
      <w:r w:rsidRPr="008F2A91">
        <w:rPr>
          <w:rFonts w:ascii="Calibri" w:hAnsi="Calibri" w:cs="Calibri"/>
        </w:rPr>
        <w:t xml:space="preserve"> </w:t>
      </w:r>
      <w:proofErr w:type="spellStart"/>
      <w:r w:rsidRPr="008F2A91">
        <w:rPr>
          <w:rFonts w:ascii="Calibri" w:hAnsi="Calibri" w:cs="Calibri"/>
        </w:rPr>
        <w:t>of</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programme</w:t>
      </w:r>
      <w:proofErr w:type="spellEnd"/>
      <w:r w:rsidRPr="008F2A91">
        <w:rPr>
          <w:rFonts w:ascii="Calibri" w:hAnsi="Calibri" w:cs="Calibri"/>
        </w:rPr>
        <w:t xml:space="preserve"> (</w:t>
      </w:r>
      <w:proofErr w:type="spellStart"/>
      <w:r w:rsidRPr="008F2A91">
        <w:rPr>
          <w:rFonts w:ascii="Calibri" w:hAnsi="Calibri" w:cs="Calibri"/>
        </w:rPr>
        <w:t>results</w:t>
      </w:r>
      <w:proofErr w:type="spellEnd"/>
      <w:r w:rsidRPr="008F2A91">
        <w:rPr>
          <w:rFonts w:ascii="Calibri" w:hAnsi="Calibri" w:cs="Calibri"/>
        </w:rPr>
        <w:t xml:space="preserve">, </w:t>
      </w:r>
      <w:proofErr w:type="spellStart"/>
      <w:r w:rsidRPr="008F2A91">
        <w:rPr>
          <w:rFonts w:ascii="Calibri" w:hAnsi="Calibri" w:cs="Calibri"/>
        </w:rPr>
        <w:t>achievements</w:t>
      </w:r>
      <w:proofErr w:type="spellEnd"/>
      <w:r w:rsidRPr="008F2A91">
        <w:rPr>
          <w:rFonts w:ascii="Calibri" w:hAnsi="Calibri" w:cs="Calibri"/>
        </w:rPr>
        <w:t xml:space="preserve">, </w:t>
      </w:r>
      <w:proofErr w:type="spellStart"/>
      <w:r w:rsidRPr="008F2A91">
        <w:rPr>
          <w:rFonts w:ascii="Calibri" w:hAnsi="Calibri" w:cs="Calibri"/>
        </w:rPr>
        <w:t>constraints</w:t>
      </w:r>
      <w:proofErr w:type="spellEnd"/>
      <w:r w:rsidRPr="008F2A91">
        <w:rPr>
          <w:rFonts w:ascii="Calibri" w:hAnsi="Calibri" w:cs="Calibri"/>
        </w:rPr>
        <w:t xml:space="preserve">), to provide </w:t>
      </w:r>
      <w:proofErr w:type="spellStart"/>
      <w:r w:rsidRPr="008F2A91">
        <w:rPr>
          <w:rFonts w:ascii="Calibri" w:hAnsi="Calibri" w:cs="Calibri"/>
        </w:rPr>
        <w:t>information</w:t>
      </w:r>
      <w:proofErr w:type="spellEnd"/>
      <w:r w:rsidRPr="008F2A91">
        <w:rPr>
          <w:rFonts w:ascii="Calibri" w:hAnsi="Calibri" w:cs="Calibri"/>
        </w:rPr>
        <w:t xml:space="preserve"> on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effectiveness</w:t>
      </w:r>
      <w:proofErr w:type="spellEnd"/>
      <w:r w:rsidRPr="008F2A91">
        <w:rPr>
          <w:rFonts w:ascii="Calibri" w:hAnsi="Calibri" w:cs="Calibri"/>
        </w:rPr>
        <w:t xml:space="preserve">, </w:t>
      </w:r>
      <w:proofErr w:type="spellStart"/>
      <w:r w:rsidRPr="008F2A91">
        <w:rPr>
          <w:rFonts w:ascii="Calibri" w:hAnsi="Calibri" w:cs="Calibri"/>
        </w:rPr>
        <w:t>relevance</w:t>
      </w:r>
      <w:proofErr w:type="spellEnd"/>
      <w:r w:rsidRPr="008F2A91">
        <w:rPr>
          <w:rFonts w:ascii="Calibri" w:hAnsi="Calibri" w:cs="Calibri"/>
        </w:rPr>
        <w:t xml:space="preserve"> </w:t>
      </w:r>
      <w:proofErr w:type="spellStart"/>
      <w:r w:rsidRPr="008F2A91">
        <w:rPr>
          <w:rFonts w:ascii="Calibri" w:hAnsi="Calibri" w:cs="Calibri"/>
        </w:rPr>
        <w:t>and</w:t>
      </w:r>
      <w:proofErr w:type="spellEnd"/>
      <w:r w:rsidRPr="008F2A91">
        <w:rPr>
          <w:rFonts w:ascii="Calibri" w:hAnsi="Calibri" w:cs="Calibri"/>
        </w:rPr>
        <w:t xml:space="preserve"> </w:t>
      </w:r>
      <w:proofErr w:type="spellStart"/>
      <w:r w:rsidRPr="008F2A91">
        <w:rPr>
          <w:rFonts w:ascii="Calibri" w:hAnsi="Calibri" w:cs="Calibri"/>
        </w:rPr>
        <w:t>value</w:t>
      </w:r>
      <w:proofErr w:type="spellEnd"/>
      <w:r w:rsidRPr="008F2A91">
        <w:rPr>
          <w:rFonts w:ascii="Calibri" w:hAnsi="Calibri" w:cs="Calibri"/>
        </w:rPr>
        <w:t xml:space="preserve"> </w:t>
      </w:r>
      <w:proofErr w:type="spellStart"/>
      <w:r w:rsidRPr="008F2A91">
        <w:rPr>
          <w:rFonts w:ascii="Calibri" w:hAnsi="Calibri" w:cs="Calibri"/>
        </w:rPr>
        <w:t>added</w:t>
      </w:r>
      <w:proofErr w:type="spellEnd"/>
      <w:r w:rsidRPr="008F2A91">
        <w:rPr>
          <w:rFonts w:ascii="Calibri" w:hAnsi="Calibri" w:cs="Calibri"/>
        </w:rPr>
        <w:t xml:space="preserve"> </w:t>
      </w:r>
      <w:proofErr w:type="spellStart"/>
      <w:r w:rsidRPr="008F2A91">
        <w:rPr>
          <w:rFonts w:ascii="Calibri" w:hAnsi="Calibri" w:cs="Calibri"/>
        </w:rPr>
        <w:t>of</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undertaken</w:t>
      </w:r>
      <w:proofErr w:type="spellEnd"/>
      <w:r w:rsidRPr="008F2A91">
        <w:rPr>
          <w:rFonts w:ascii="Calibri" w:hAnsi="Calibri" w:cs="Calibri"/>
        </w:rPr>
        <w:t xml:space="preserve"> </w:t>
      </w:r>
      <w:proofErr w:type="spellStart"/>
      <w:r w:rsidRPr="008F2A91">
        <w:rPr>
          <w:rFonts w:ascii="Calibri" w:hAnsi="Calibri" w:cs="Calibri"/>
        </w:rPr>
        <w:t>activities</w:t>
      </w:r>
      <w:proofErr w:type="spellEnd"/>
      <w:r w:rsidRPr="008F2A91">
        <w:rPr>
          <w:rFonts w:ascii="Calibri" w:hAnsi="Calibri" w:cs="Calibri"/>
        </w:rPr>
        <w:t xml:space="preserve">, </w:t>
      </w:r>
      <w:proofErr w:type="spellStart"/>
      <w:r w:rsidRPr="008F2A91">
        <w:rPr>
          <w:rFonts w:ascii="Calibri" w:hAnsi="Calibri" w:cs="Calibri"/>
        </w:rPr>
        <w:t>and</w:t>
      </w:r>
      <w:proofErr w:type="spellEnd"/>
      <w:r w:rsidRPr="008F2A91">
        <w:rPr>
          <w:rFonts w:ascii="Calibri" w:hAnsi="Calibri" w:cs="Calibri"/>
        </w:rPr>
        <w:t xml:space="preserve"> to </w:t>
      </w:r>
      <w:proofErr w:type="spellStart"/>
      <w:r w:rsidRPr="008F2A91">
        <w:rPr>
          <w:rFonts w:ascii="Calibri" w:hAnsi="Calibri" w:cs="Calibri"/>
        </w:rPr>
        <w:t>receive</w:t>
      </w:r>
      <w:proofErr w:type="spellEnd"/>
      <w:r w:rsidRPr="008F2A91">
        <w:rPr>
          <w:rFonts w:ascii="Calibri" w:hAnsi="Calibri" w:cs="Calibri"/>
        </w:rPr>
        <w:t xml:space="preserve"> </w:t>
      </w:r>
      <w:proofErr w:type="spellStart"/>
      <w:r w:rsidRPr="008F2A91">
        <w:rPr>
          <w:rFonts w:ascii="Calibri" w:hAnsi="Calibri" w:cs="Calibri"/>
        </w:rPr>
        <w:t>recommendations</w:t>
      </w:r>
      <w:proofErr w:type="spellEnd"/>
      <w:r w:rsidRPr="008F2A91">
        <w:rPr>
          <w:rFonts w:ascii="Calibri" w:hAnsi="Calibri" w:cs="Calibri"/>
        </w:rPr>
        <w:t xml:space="preserve"> </w:t>
      </w:r>
      <w:proofErr w:type="spellStart"/>
      <w:r w:rsidRPr="008F2A91">
        <w:rPr>
          <w:rFonts w:ascii="Calibri" w:hAnsi="Calibri" w:cs="Calibri"/>
        </w:rPr>
        <w:t>for</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design</w:t>
      </w:r>
      <w:proofErr w:type="spellEnd"/>
      <w:r w:rsidRPr="008F2A91">
        <w:rPr>
          <w:rFonts w:ascii="Calibri" w:hAnsi="Calibri" w:cs="Calibri"/>
        </w:rPr>
        <w:t xml:space="preserve"> </w:t>
      </w:r>
      <w:proofErr w:type="spellStart"/>
      <w:r w:rsidRPr="008F2A91">
        <w:rPr>
          <w:rFonts w:ascii="Calibri" w:hAnsi="Calibri" w:cs="Calibri"/>
        </w:rPr>
        <w:t>of</w:t>
      </w:r>
      <w:proofErr w:type="spellEnd"/>
      <w:r w:rsidRPr="008F2A91">
        <w:rPr>
          <w:rFonts w:ascii="Calibri" w:hAnsi="Calibri" w:cs="Calibri"/>
        </w:rPr>
        <w:t xml:space="preserve"> a </w:t>
      </w:r>
      <w:proofErr w:type="spellStart"/>
      <w:r w:rsidRPr="008F2A91">
        <w:rPr>
          <w:rFonts w:ascii="Calibri" w:hAnsi="Calibri" w:cs="Calibri"/>
        </w:rPr>
        <w:t>follow</w:t>
      </w:r>
      <w:proofErr w:type="spellEnd"/>
      <w:r w:rsidRPr="008F2A91">
        <w:rPr>
          <w:rFonts w:ascii="Calibri" w:hAnsi="Calibri" w:cs="Calibri"/>
        </w:rPr>
        <w:t xml:space="preserve"> </w:t>
      </w:r>
      <w:proofErr w:type="spellStart"/>
      <w:r w:rsidRPr="008F2A91">
        <w:rPr>
          <w:rFonts w:ascii="Calibri" w:hAnsi="Calibri" w:cs="Calibri"/>
        </w:rPr>
        <w:t>up</w:t>
      </w:r>
      <w:proofErr w:type="spellEnd"/>
      <w:r w:rsidRPr="008F2A91">
        <w:rPr>
          <w:rFonts w:ascii="Calibri" w:hAnsi="Calibri" w:cs="Calibri"/>
        </w:rPr>
        <w:t xml:space="preserve"> program </w:t>
      </w:r>
      <w:proofErr w:type="spellStart"/>
      <w:r w:rsidRPr="008F2A91">
        <w:rPr>
          <w:rFonts w:ascii="Calibri" w:hAnsi="Calibri" w:cs="Calibri"/>
        </w:rPr>
        <w:t>for</w:t>
      </w:r>
      <w:proofErr w:type="spellEnd"/>
      <w:r w:rsidRPr="008F2A91">
        <w:rPr>
          <w:rFonts w:ascii="Calibri" w:hAnsi="Calibri" w:cs="Calibri"/>
        </w:rPr>
        <w:t xml:space="preserve"> </w:t>
      </w:r>
      <w:proofErr w:type="spellStart"/>
      <w:r w:rsidRPr="008F2A91">
        <w:rPr>
          <w:rFonts w:ascii="Calibri" w:hAnsi="Calibri" w:cs="Calibri"/>
        </w:rPr>
        <w:t>the</w:t>
      </w:r>
      <w:proofErr w:type="spellEnd"/>
      <w:r w:rsidRPr="008F2A91">
        <w:rPr>
          <w:rFonts w:ascii="Calibri" w:hAnsi="Calibri" w:cs="Calibri"/>
        </w:rPr>
        <w:t xml:space="preserve"> </w:t>
      </w:r>
      <w:proofErr w:type="spellStart"/>
      <w:r w:rsidRPr="008F2A91">
        <w:rPr>
          <w:rFonts w:ascii="Calibri" w:hAnsi="Calibri" w:cs="Calibri"/>
        </w:rPr>
        <w:t>next</w:t>
      </w:r>
      <w:proofErr w:type="spellEnd"/>
      <w:r w:rsidRPr="008F2A91">
        <w:rPr>
          <w:rFonts w:ascii="Calibri" w:hAnsi="Calibri" w:cs="Calibri"/>
        </w:rPr>
        <w:t xml:space="preserve"> 3-year period. </w:t>
      </w:r>
    </w:p>
    <w:p w14:paraId="7B827819" w14:textId="77777777" w:rsidR="00E56BE3" w:rsidRPr="008F2A91" w:rsidRDefault="00E56BE3" w:rsidP="00E56BE3">
      <w:pPr>
        <w:ind w:left="360"/>
        <w:rPr>
          <w:rFonts w:ascii="Calibri" w:hAnsi="Calibri" w:cs="Calibri"/>
        </w:rPr>
      </w:pPr>
    </w:p>
    <w:p w14:paraId="57465509" w14:textId="77777777" w:rsidR="00E56BE3" w:rsidRPr="008F2A91" w:rsidRDefault="00E56BE3" w:rsidP="00E56BE3">
      <w:pPr>
        <w:ind w:left="360"/>
        <w:rPr>
          <w:rFonts w:ascii="Calibri" w:hAnsi="Calibri" w:cs="Calibri"/>
        </w:rPr>
      </w:pPr>
    </w:p>
    <w:p w14:paraId="40392125" w14:textId="77777777" w:rsidR="00E56BE3" w:rsidRPr="008F2A91" w:rsidRDefault="00E56BE3" w:rsidP="00E56BE3">
      <w:pPr>
        <w:shd w:val="clear" w:color="auto" w:fill="EEECE1"/>
        <w:tabs>
          <w:tab w:val="left" w:pos="0"/>
        </w:tabs>
        <w:suppressAutoHyphens/>
        <w:rPr>
          <w:rFonts w:ascii="Calibri" w:hAnsi="Calibri" w:cs="Calibri"/>
          <w:b/>
          <w:bCs/>
        </w:rPr>
      </w:pPr>
      <w:r w:rsidRPr="008F2A91">
        <w:rPr>
          <w:rFonts w:ascii="Calibri" w:hAnsi="Calibri" w:cs="Calibri"/>
          <w:b/>
          <w:bCs/>
        </w:rPr>
        <w:t>II.</w:t>
      </w:r>
      <w:r w:rsidRPr="008F2A91">
        <w:rPr>
          <w:rFonts w:ascii="Calibri" w:hAnsi="Calibri" w:cs="Calibri"/>
          <w:b/>
          <w:bCs/>
        </w:rPr>
        <w:tab/>
      </w:r>
      <w:proofErr w:type="spellStart"/>
      <w:r w:rsidRPr="008F2A91">
        <w:rPr>
          <w:rFonts w:ascii="Calibri" w:hAnsi="Calibri" w:cs="Calibri"/>
          <w:b/>
          <w:bCs/>
        </w:rPr>
        <w:t>Duties</w:t>
      </w:r>
      <w:proofErr w:type="spellEnd"/>
      <w:r w:rsidRPr="008F2A91">
        <w:rPr>
          <w:rFonts w:ascii="Calibri" w:hAnsi="Calibri" w:cs="Calibri"/>
          <w:b/>
          <w:bCs/>
        </w:rPr>
        <w:t xml:space="preserve"> </w:t>
      </w:r>
      <w:proofErr w:type="spellStart"/>
      <w:r w:rsidRPr="008F2A91">
        <w:rPr>
          <w:rFonts w:ascii="Calibri" w:hAnsi="Calibri" w:cs="Calibri"/>
          <w:b/>
          <w:bCs/>
        </w:rPr>
        <w:t>and</w:t>
      </w:r>
      <w:proofErr w:type="spellEnd"/>
      <w:r w:rsidRPr="008F2A91">
        <w:rPr>
          <w:rFonts w:ascii="Calibri" w:hAnsi="Calibri" w:cs="Calibri"/>
          <w:b/>
          <w:bCs/>
        </w:rPr>
        <w:t xml:space="preserve"> </w:t>
      </w:r>
      <w:proofErr w:type="spellStart"/>
      <w:r w:rsidRPr="008F2A91">
        <w:rPr>
          <w:rFonts w:ascii="Calibri" w:hAnsi="Calibri" w:cs="Calibri"/>
          <w:b/>
          <w:bCs/>
        </w:rPr>
        <w:t>Responsibilities</w:t>
      </w:r>
      <w:proofErr w:type="spellEnd"/>
      <w:r w:rsidRPr="008F2A91">
        <w:rPr>
          <w:rFonts w:ascii="Calibri" w:hAnsi="Calibri" w:cs="Calibri"/>
          <w:b/>
          <w:bCs/>
        </w:rPr>
        <w:t>:</w:t>
      </w:r>
    </w:p>
    <w:p w14:paraId="6AB97157" w14:textId="77777777" w:rsidR="00E56BE3" w:rsidRDefault="00E56BE3" w:rsidP="00E56BE3">
      <w:pPr>
        <w:pStyle w:val="BodyText23"/>
        <w:ind w:left="360" w:right="-108" w:firstLine="0"/>
        <w:rPr>
          <w:rFonts w:ascii="Calibri" w:hAnsi="Calibri" w:cs="Calibri"/>
          <w:bCs/>
          <w:snapToGrid/>
          <w:szCs w:val="22"/>
        </w:rPr>
      </w:pPr>
    </w:p>
    <w:p w14:paraId="673DFBD5" w14:textId="77777777" w:rsidR="00E56BE3" w:rsidRPr="008F2A91" w:rsidRDefault="00E56BE3" w:rsidP="00E56BE3">
      <w:pPr>
        <w:tabs>
          <w:tab w:val="left" w:pos="0"/>
        </w:tabs>
        <w:suppressAutoHyphens/>
        <w:rPr>
          <w:rFonts w:ascii="Calibri" w:hAnsi="Calibri" w:cs="Calibri"/>
        </w:rPr>
      </w:pPr>
      <w:proofErr w:type="spellStart"/>
      <w:r w:rsidRPr="000F534A">
        <w:rPr>
          <w:rFonts w:ascii="Calibri" w:hAnsi="Calibri" w:cs="Calibri"/>
          <w:bCs/>
          <w:i/>
          <w:u w:val="single"/>
        </w:rPr>
        <w:t>Objectives</w:t>
      </w:r>
      <w:proofErr w:type="spellEnd"/>
      <w:r w:rsidRPr="000F534A">
        <w:rPr>
          <w:rFonts w:ascii="Calibri" w:hAnsi="Calibri" w:cs="Calibri"/>
          <w:bCs/>
          <w:i/>
          <w:u w:val="single"/>
        </w:rPr>
        <w:t xml:space="preserve"> </w:t>
      </w:r>
      <w:proofErr w:type="spellStart"/>
      <w:r w:rsidRPr="000F534A">
        <w:rPr>
          <w:rFonts w:ascii="Calibri" w:hAnsi="Calibri" w:cs="Calibri"/>
          <w:bCs/>
          <w:i/>
          <w:u w:val="single"/>
        </w:rPr>
        <w:t>of</w:t>
      </w:r>
      <w:proofErr w:type="spellEnd"/>
      <w:r w:rsidRPr="000F534A">
        <w:rPr>
          <w:rFonts w:ascii="Calibri" w:hAnsi="Calibri" w:cs="Calibri"/>
          <w:bCs/>
          <w:i/>
          <w:u w:val="single"/>
        </w:rPr>
        <w:t xml:space="preserve"> </w:t>
      </w:r>
      <w:proofErr w:type="spellStart"/>
      <w:r w:rsidRPr="000F534A">
        <w:rPr>
          <w:rFonts w:ascii="Calibri" w:hAnsi="Calibri" w:cs="Calibri"/>
          <w:bCs/>
          <w:i/>
          <w:u w:val="single"/>
        </w:rPr>
        <w:t>the</w:t>
      </w:r>
      <w:proofErr w:type="spellEnd"/>
      <w:r w:rsidRPr="000F534A">
        <w:rPr>
          <w:rFonts w:ascii="Calibri" w:hAnsi="Calibri" w:cs="Calibri"/>
          <w:bCs/>
          <w:i/>
          <w:u w:val="single"/>
        </w:rPr>
        <w:t xml:space="preserve"> </w:t>
      </w:r>
      <w:proofErr w:type="spellStart"/>
      <w:r w:rsidRPr="000F534A">
        <w:rPr>
          <w:rFonts w:ascii="Calibri" w:hAnsi="Calibri" w:cs="Calibri"/>
          <w:bCs/>
          <w:i/>
          <w:u w:val="single"/>
        </w:rPr>
        <w:t>assignment</w:t>
      </w:r>
      <w:proofErr w:type="spellEnd"/>
      <w:r w:rsidRPr="000F534A">
        <w:rPr>
          <w:rFonts w:ascii="Calibri" w:hAnsi="Calibri" w:cs="Calibri"/>
          <w:bCs/>
          <w:i/>
          <w:u w:val="single"/>
        </w:rPr>
        <w:t>:</w:t>
      </w:r>
      <w:r w:rsidRPr="008F2A91">
        <w:rPr>
          <w:rFonts w:ascii="Calibri" w:hAnsi="Calibri" w:cs="Calibri"/>
          <w:bCs/>
          <w:i/>
          <w:u w:val="single"/>
        </w:rPr>
        <w:t xml:space="preserve"> </w:t>
      </w:r>
    </w:p>
    <w:p w14:paraId="4FF3036D" w14:textId="77777777" w:rsidR="00E56BE3" w:rsidRPr="008F2A91" w:rsidRDefault="00E56BE3" w:rsidP="00E56BE3">
      <w:pPr>
        <w:pStyle w:val="BodyText23"/>
        <w:ind w:left="360" w:right="-108" w:firstLine="0"/>
        <w:rPr>
          <w:rFonts w:ascii="Calibri" w:hAnsi="Calibri" w:cs="Calibri"/>
          <w:bCs/>
          <w:snapToGrid/>
          <w:szCs w:val="22"/>
        </w:rPr>
      </w:pPr>
    </w:p>
    <w:p w14:paraId="38D75FC3" w14:textId="77777777" w:rsidR="00E56BE3" w:rsidRPr="00727052" w:rsidRDefault="00E56BE3" w:rsidP="00E56BE3">
      <w:pPr>
        <w:pStyle w:val="BodyText23"/>
        <w:ind w:left="360" w:right="-108" w:firstLine="0"/>
        <w:rPr>
          <w:rFonts w:ascii="Calibri" w:hAnsi="Calibri" w:cs="Calibri"/>
          <w:snapToGrid/>
          <w:szCs w:val="22"/>
        </w:rPr>
      </w:pPr>
      <w:r w:rsidRPr="008F2A91">
        <w:rPr>
          <w:rFonts w:ascii="Calibri" w:hAnsi="Calibri" w:cs="Calibri"/>
          <w:bCs/>
          <w:snapToGrid/>
          <w:szCs w:val="22"/>
        </w:rPr>
        <w:t>The main objective of this assignment is to provide ex post external evaluation of the </w:t>
      </w:r>
      <w:r w:rsidRPr="00727052">
        <w:rPr>
          <w:rFonts w:ascii="Calibri" w:hAnsi="Calibri" w:cs="Calibri"/>
          <w:snapToGrid/>
          <w:szCs w:val="22"/>
        </w:rPr>
        <w:t>National Consumer Protection Program 2022-2024.</w:t>
      </w:r>
    </w:p>
    <w:p w14:paraId="39819CA6" w14:textId="77777777" w:rsidR="00E56BE3" w:rsidRPr="008F2A91" w:rsidRDefault="00E56BE3" w:rsidP="00E56BE3">
      <w:pPr>
        <w:pStyle w:val="BodyText23"/>
        <w:widowControl/>
        <w:tabs>
          <w:tab w:val="clear" w:pos="547"/>
        </w:tabs>
        <w:ind w:right="-108"/>
        <w:rPr>
          <w:rFonts w:ascii="Calibri" w:hAnsi="Calibri" w:cs="Calibri"/>
          <w:bCs/>
          <w:i/>
          <w:snapToGrid/>
          <w:szCs w:val="22"/>
          <w:u w:val="single"/>
        </w:rPr>
      </w:pPr>
    </w:p>
    <w:p w14:paraId="3C6359DB" w14:textId="77777777" w:rsidR="00E56BE3" w:rsidRPr="008F2A91" w:rsidRDefault="00E56BE3" w:rsidP="00E56BE3">
      <w:pPr>
        <w:pStyle w:val="BodyText23"/>
        <w:widowControl/>
        <w:tabs>
          <w:tab w:val="clear" w:pos="547"/>
        </w:tabs>
        <w:ind w:right="-108"/>
        <w:rPr>
          <w:rFonts w:ascii="Calibri" w:hAnsi="Calibri" w:cs="Calibri"/>
          <w:bCs/>
          <w:i/>
          <w:snapToGrid/>
          <w:szCs w:val="22"/>
          <w:u w:val="single"/>
        </w:rPr>
      </w:pPr>
      <w:r w:rsidRPr="008F2A91">
        <w:rPr>
          <w:rFonts w:ascii="Calibri" w:hAnsi="Calibri" w:cs="Calibri"/>
          <w:bCs/>
          <w:i/>
          <w:snapToGrid/>
          <w:szCs w:val="22"/>
          <w:u w:val="single"/>
        </w:rPr>
        <w:t>Job content:</w:t>
      </w:r>
    </w:p>
    <w:p w14:paraId="4A7B0053" w14:textId="77777777" w:rsidR="00E56BE3" w:rsidRPr="008F2A91" w:rsidRDefault="00E56BE3" w:rsidP="00E56BE3">
      <w:pPr>
        <w:pStyle w:val="BodyText23"/>
        <w:ind w:left="360" w:right="-108" w:firstLine="0"/>
        <w:rPr>
          <w:rFonts w:ascii="Calibri" w:hAnsi="Calibri" w:cs="Calibri"/>
          <w:bCs/>
          <w:szCs w:val="22"/>
        </w:rPr>
      </w:pPr>
      <w:r w:rsidRPr="008F2A91">
        <w:rPr>
          <w:rFonts w:ascii="Calibri" w:hAnsi="Calibri" w:cs="Calibri"/>
          <w:bCs/>
          <w:szCs w:val="22"/>
        </w:rPr>
        <w:t>Under the supervision of the UNDP Project manager</w:t>
      </w:r>
      <w:r>
        <w:rPr>
          <w:rFonts w:ascii="Calibri" w:hAnsi="Calibri" w:cs="Calibri"/>
          <w:bCs/>
          <w:szCs w:val="22"/>
        </w:rPr>
        <w:t xml:space="preserve"> and in close cooperation with the Ministry</w:t>
      </w:r>
      <w:r w:rsidRPr="008F2A91">
        <w:rPr>
          <w:rFonts w:ascii="Calibri" w:hAnsi="Calibri" w:cs="Calibri"/>
          <w:bCs/>
          <w:szCs w:val="22"/>
        </w:rPr>
        <w:t xml:space="preserve">, the Evaluator is expected to deliver the following services: </w:t>
      </w:r>
    </w:p>
    <w:p w14:paraId="6BC83ADA" w14:textId="77777777" w:rsidR="00E56BE3" w:rsidRPr="008F2A91" w:rsidRDefault="00E56BE3" w:rsidP="00E56BE3">
      <w:pPr>
        <w:pStyle w:val="BodyText23"/>
        <w:ind w:right="-108"/>
        <w:rPr>
          <w:rFonts w:ascii="Calibri" w:hAnsi="Calibri" w:cs="Calibri"/>
          <w:bCs/>
          <w:szCs w:val="22"/>
        </w:rPr>
      </w:pPr>
    </w:p>
    <w:p w14:paraId="7B86C111" w14:textId="77777777" w:rsidR="00E56BE3" w:rsidRPr="00CA2B6B" w:rsidRDefault="00E56BE3" w:rsidP="006D6681">
      <w:pPr>
        <w:pStyle w:val="BodyText23"/>
        <w:numPr>
          <w:ilvl w:val="0"/>
          <w:numId w:val="22"/>
        </w:numPr>
        <w:ind w:right="-108"/>
        <w:rPr>
          <w:rFonts w:ascii="Calibri" w:hAnsi="Calibri" w:cs="Calibri"/>
          <w:bCs/>
          <w:szCs w:val="22"/>
        </w:rPr>
      </w:pPr>
      <w:r w:rsidRPr="00CA2B6B">
        <w:rPr>
          <w:rFonts w:ascii="Calibri" w:hAnsi="Calibri" w:cs="Calibri"/>
          <w:b/>
          <w:bCs/>
          <w:szCs w:val="22"/>
        </w:rPr>
        <w:t>Develop an Evaluation Methodology:</w:t>
      </w:r>
    </w:p>
    <w:p w14:paraId="7BA99D63"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 xml:space="preserve">Outline the methodological approach, referencing existing strategic document </w:t>
      </w:r>
      <w:r w:rsidRPr="00CA2B6B">
        <w:rPr>
          <w:rFonts w:ascii="Calibri" w:hAnsi="Calibri" w:cs="Calibri"/>
          <w:bCs/>
          <w:szCs w:val="22"/>
        </w:rPr>
        <w:lastRenderedPageBreak/>
        <w:t>guidelines.</w:t>
      </w:r>
    </w:p>
    <w:p w14:paraId="3507D4AE"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Specify data collection methods (e.g., number of interviews, focus groups, online surveys).</w:t>
      </w:r>
    </w:p>
    <w:p w14:paraId="0876D87A"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 xml:space="preserve">Deliver an </w:t>
      </w:r>
      <w:r w:rsidRPr="00CA2B6B">
        <w:rPr>
          <w:rFonts w:ascii="Calibri" w:hAnsi="Calibri" w:cs="Calibri"/>
          <w:szCs w:val="22"/>
        </w:rPr>
        <w:t>Inception Report</w:t>
      </w:r>
      <w:r w:rsidRPr="00CA2B6B">
        <w:rPr>
          <w:rFonts w:ascii="Calibri" w:hAnsi="Calibri" w:cs="Calibri"/>
          <w:bCs/>
          <w:szCs w:val="22"/>
        </w:rPr>
        <w:t xml:space="preserve"> as the first deliverable, detailing the proposed methodology and application plan.</w:t>
      </w:r>
    </w:p>
    <w:p w14:paraId="525B7BD0" w14:textId="77777777" w:rsidR="00E56BE3" w:rsidRPr="00CA2B6B" w:rsidRDefault="00E56BE3" w:rsidP="006D6681">
      <w:pPr>
        <w:pStyle w:val="BodyText23"/>
        <w:numPr>
          <w:ilvl w:val="0"/>
          <w:numId w:val="22"/>
        </w:numPr>
        <w:ind w:right="-108"/>
        <w:rPr>
          <w:rFonts w:ascii="Calibri" w:hAnsi="Calibri" w:cs="Calibri"/>
          <w:bCs/>
          <w:szCs w:val="22"/>
        </w:rPr>
      </w:pPr>
      <w:r w:rsidRPr="00CA2B6B">
        <w:rPr>
          <w:rFonts w:ascii="Calibri" w:hAnsi="Calibri" w:cs="Calibri"/>
          <w:b/>
          <w:bCs/>
          <w:szCs w:val="22"/>
        </w:rPr>
        <w:t>Conduct the Evaluation:</w:t>
      </w:r>
    </w:p>
    <w:p w14:paraId="1AA9BCF2"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Review annual reports and the Final Implementation Report of the National Consumer Protection Program and Action Plans.</w:t>
      </w:r>
    </w:p>
    <w:p w14:paraId="7CC25658"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Assess achieved results against defined indicators.</w:t>
      </w:r>
    </w:p>
    <w:p w14:paraId="46776448"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Analyse the evolution of the EU consumer protection framework during the Program's implementation.</w:t>
      </w:r>
    </w:p>
    <w:p w14:paraId="6D4EF0CD"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Evaluate progress related to specific indicators, such as the increase in consumer awareness.</w:t>
      </w:r>
    </w:p>
    <w:p w14:paraId="0878CFBA" w14:textId="77777777" w:rsidR="00E56BE3" w:rsidRPr="00CA2B6B" w:rsidRDefault="00E56BE3" w:rsidP="006D6681">
      <w:pPr>
        <w:pStyle w:val="BodyText23"/>
        <w:numPr>
          <w:ilvl w:val="0"/>
          <w:numId w:val="22"/>
        </w:numPr>
        <w:ind w:right="-108"/>
        <w:rPr>
          <w:rFonts w:ascii="Calibri" w:hAnsi="Calibri" w:cs="Calibri"/>
          <w:bCs/>
          <w:szCs w:val="22"/>
        </w:rPr>
      </w:pPr>
      <w:r w:rsidRPr="00CA2B6B">
        <w:rPr>
          <w:rFonts w:ascii="Calibri" w:hAnsi="Calibri" w:cs="Calibri"/>
          <w:b/>
          <w:bCs/>
          <w:szCs w:val="22"/>
        </w:rPr>
        <w:t>Draft and Final Evaluation Reports:</w:t>
      </w:r>
    </w:p>
    <w:p w14:paraId="1DC5D196"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Provide a comprehensive assessment of policy effectiveness, efficiency, relevance, coherence, and impact.</w:t>
      </w:r>
    </w:p>
    <w:p w14:paraId="4906381D" w14:textId="77777777" w:rsidR="00E56BE3" w:rsidRPr="00CA2B6B" w:rsidRDefault="00E56BE3" w:rsidP="006D6681">
      <w:pPr>
        <w:pStyle w:val="BodyText23"/>
        <w:numPr>
          <w:ilvl w:val="1"/>
          <w:numId w:val="22"/>
        </w:numPr>
        <w:ind w:right="-108"/>
        <w:rPr>
          <w:rFonts w:ascii="Calibri" w:hAnsi="Calibri" w:cs="Calibri"/>
          <w:bCs/>
          <w:szCs w:val="22"/>
        </w:rPr>
      </w:pPr>
      <w:r w:rsidRPr="00CA2B6B">
        <w:rPr>
          <w:rFonts w:ascii="Calibri" w:hAnsi="Calibri" w:cs="Calibri"/>
          <w:bCs/>
          <w:szCs w:val="22"/>
        </w:rPr>
        <w:t>Present clear recommendations for future strategies, focusing on sustainability and EU integration.</w:t>
      </w:r>
    </w:p>
    <w:p w14:paraId="0EA39B76" w14:textId="77777777" w:rsidR="00E56BE3" w:rsidRPr="008F2A91" w:rsidRDefault="00E56BE3" w:rsidP="00E56BE3">
      <w:pPr>
        <w:pStyle w:val="BodyText23"/>
        <w:ind w:left="0" w:right="-108" w:firstLine="0"/>
        <w:rPr>
          <w:rFonts w:ascii="Calibri" w:hAnsi="Calibri" w:cs="Calibri"/>
          <w:szCs w:val="22"/>
        </w:rPr>
      </w:pPr>
    </w:p>
    <w:p w14:paraId="358FB910" w14:textId="77777777" w:rsidR="00E56BE3" w:rsidRPr="008F2A91" w:rsidRDefault="00E56BE3" w:rsidP="00E56BE3">
      <w:pPr>
        <w:pStyle w:val="BodyText23"/>
        <w:widowControl/>
        <w:tabs>
          <w:tab w:val="clear" w:pos="547"/>
        </w:tabs>
        <w:spacing w:after="120"/>
        <w:ind w:right="-115"/>
        <w:rPr>
          <w:rFonts w:ascii="Calibri" w:hAnsi="Calibri" w:cs="Calibri"/>
          <w:bCs/>
          <w:szCs w:val="22"/>
        </w:rPr>
      </w:pPr>
      <w:r w:rsidRPr="008F2A91">
        <w:rPr>
          <w:rFonts w:ascii="Calibri" w:hAnsi="Calibri" w:cs="Calibri"/>
          <w:bCs/>
          <w:i/>
          <w:snapToGrid/>
          <w:szCs w:val="22"/>
          <w:u w:val="single"/>
        </w:rPr>
        <w:t>The expected results:</w:t>
      </w:r>
    </w:p>
    <w:p w14:paraId="65BB6151" w14:textId="77777777" w:rsidR="00E56BE3" w:rsidRPr="008F2A91" w:rsidRDefault="00E56BE3" w:rsidP="00E56BE3">
      <w:pPr>
        <w:pStyle w:val="NoSpacing"/>
        <w:ind w:left="360" w:firstLine="0"/>
        <w:rPr>
          <w:rFonts w:cs="Calibri"/>
          <w:snapToGrid w:val="0"/>
          <w:lang w:val="en-GB"/>
        </w:rPr>
      </w:pPr>
      <w:r w:rsidRPr="008F2A91">
        <w:rPr>
          <w:rFonts w:cs="Calibri"/>
          <w:snapToGrid w:val="0"/>
          <w:lang w:val="en-GB"/>
        </w:rPr>
        <w:t>Under the supervision of the UNDP Project manager</w:t>
      </w:r>
      <w:r>
        <w:rPr>
          <w:rFonts w:cs="Calibri"/>
          <w:snapToGrid w:val="0"/>
          <w:lang w:val="en-GB"/>
        </w:rPr>
        <w:t xml:space="preserve"> in close cooperation with the Ministry</w:t>
      </w:r>
      <w:r w:rsidRPr="008F2A91">
        <w:rPr>
          <w:rFonts w:cs="Calibri"/>
          <w:snapToGrid w:val="0"/>
          <w:lang w:val="en-GB"/>
        </w:rPr>
        <w:t>, the Evaluator is expected to deliver the following results:</w:t>
      </w:r>
    </w:p>
    <w:p w14:paraId="60915DB4" w14:textId="77777777" w:rsidR="00E56BE3" w:rsidRPr="003F3925" w:rsidRDefault="00E56BE3" w:rsidP="006D6681">
      <w:pPr>
        <w:pStyle w:val="BodyText23"/>
        <w:numPr>
          <w:ilvl w:val="0"/>
          <w:numId w:val="21"/>
        </w:numPr>
        <w:ind w:left="1170" w:right="517"/>
        <w:rPr>
          <w:rFonts w:ascii="Calibri" w:hAnsi="Calibri" w:cs="Calibri"/>
          <w:bCs/>
          <w:szCs w:val="22"/>
        </w:rPr>
      </w:pPr>
      <w:r w:rsidRPr="003F3925">
        <w:rPr>
          <w:rFonts w:ascii="Calibri" w:hAnsi="Calibri" w:cs="Calibri"/>
          <w:szCs w:val="22"/>
          <w:lang w:eastAsia="en-GB"/>
        </w:rPr>
        <w:t>Inception Report: Outlining the evaluation methodology and implementation approach.</w:t>
      </w:r>
    </w:p>
    <w:p w14:paraId="43C4B734" w14:textId="77777777" w:rsidR="00E56BE3" w:rsidRPr="008F2A91" w:rsidRDefault="00E56BE3" w:rsidP="006D6681">
      <w:pPr>
        <w:pStyle w:val="BodyText23"/>
        <w:numPr>
          <w:ilvl w:val="0"/>
          <w:numId w:val="21"/>
        </w:numPr>
        <w:ind w:left="1170" w:right="517"/>
        <w:rPr>
          <w:rFonts w:ascii="Calibri" w:hAnsi="Calibri" w:cs="Calibri"/>
          <w:bCs/>
          <w:szCs w:val="22"/>
        </w:rPr>
      </w:pPr>
      <w:r w:rsidRPr="003F3925">
        <w:rPr>
          <w:rFonts w:ascii="Calibri" w:hAnsi="Calibri" w:cs="Calibri"/>
          <w:szCs w:val="22"/>
          <w:lang w:eastAsia="en-GB"/>
        </w:rPr>
        <w:t>Draft Evaluation Report: Detailed assessment with preliminary findings and recommendations</w:t>
      </w:r>
      <w:r w:rsidRPr="008F2A91">
        <w:rPr>
          <w:rFonts w:ascii="Calibri" w:hAnsi="Calibri" w:cs="Calibri"/>
          <w:bCs/>
          <w:szCs w:val="22"/>
        </w:rPr>
        <w:t xml:space="preserve"> </w:t>
      </w:r>
    </w:p>
    <w:p w14:paraId="6CB5268C" w14:textId="77777777" w:rsidR="00E56BE3" w:rsidRPr="003F3925" w:rsidRDefault="00E56BE3" w:rsidP="006D6681">
      <w:pPr>
        <w:pStyle w:val="BodyText23"/>
        <w:numPr>
          <w:ilvl w:val="0"/>
          <w:numId w:val="21"/>
        </w:numPr>
        <w:ind w:left="1170" w:right="517"/>
        <w:rPr>
          <w:rFonts w:ascii="Calibri" w:hAnsi="Calibri" w:cs="Calibri"/>
          <w:bCs/>
          <w:szCs w:val="22"/>
        </w:rPr>
      </w:pPr>
      <w:r w:rsidRPr="003F3925">
        <w:rPr>
          <w:rFonts w:ascii="Calibri" w:hAnsi="Calibri" w:cs="Calibri"/>
          <w:szCs w:val="22"/>
          <w:lang w:eastAsia="en-GB"/>
        </w:rPr>
        <w:t>Final Evaluation Report: Incorporating feedback and providing conclusive analysis and recommendations.</w:t>
      </w:r>
    </w:p>
    <w:p w14:paraId="7C94AED5" w14:textId="77777777" w:rsidR="00E56BE3" w:rsidRPr="008F2A91" w:rsidRDefault="00E56BE3" w:rsidP="00E56BE3">
      <w:pPr>
        <w:pStyle w:val="BodyText23"/>
        <w:ind w:left="1170" w:right="517" w:firstLine="0"/>
        <w:rPr>
          <w:rFonts w:ascii="Calibri" w:hAnsi="Calibri" w:cs="Calibri"/>
          <w:bCs/>
          <w:szCs w:val="22"/>
        </w:rPr>
      </w:pPr>
    </w:p>
    <w:p w14:paraId="6F0429D2" w14:textId="77777777" w:rsidR="00E56BE3" w:rsidRPr="008F2A91" w:rsidRDefault="00E56BE3" w:rsidP="00E56BE3">
      <w:pPr>
        <w:tabs>
          <w:tab w:val="left" w:pos="0"/>
          <w:tab w:val="right" w:pos="8050"/>
        </w:tabs>
        <w:spacing w:after="120"/>
        <w:rPr>
          <w:rFonts w:ascii="Calibri" w:hAnsi="Calibri" w:cs="Calibri"/>
          <w:bCs/>
        </w:rPr>
      </w:pPr>
      <w:proofErr w:type="spellStart"/>
      <w:r w:rsidRPr="008F2A91">
        <w:rPr>
          <w:rFonts w:ascii="Calibri" w:hAnsi="Calibri" w:cs="Calibri"/>
          <w:bCs/>
          <w:i/>
          <w:u w:val="single"/>
        </w:rPr>
        <w:t>Timing</w:t>
      </w:r>
      <w:proofErr w:type="spellEnd"/>
      <w:r w:rsidRPr="008F2A91">
        <w:rPr>
          <w:rFonts w:ascii="Calibri" w:hAnsi="Calibri" w:cs="Calibri"/>
          <w:bCs/>
          <w:i/>
          <w:u w:val="single"/>
        </w:rPr>
        <w:t xml:space="preserve"> </w:t>
      </w:r>
      <w:proofErr w:type="spellStart"/>
      <w:r w:rsidRPr="008F2A91">
        <w:rPr>
          <w:rFonts w:ascii="Calibri" w:hAnsi="Calibri" w:cs="Calibri"/>
          <w:bCs/>
          <w:i/>
          <w:u w:val="single"/>
        </w:rPr>
        <w:t>and</w:t>
      </w:r>
      <w:proofErr w:type="spellEnd"/>
      <w:r w:rsidRPr="008F2A91">
        <w:rPr>
          <w:rFonts w:ascii="Calibri" w:hAnsi="Calibri" w:cs="Calibri"/>
          <w:bCs/>
          <w:i/>
          <w:u w:val="single"/>
        </w:rPr>
        <w:t xml:space="preserve"> </w:t>
      </w:r>
      <w:proofErr w:type="spellStart"/>
      <w:r w:rsidRPr="008F2A91">
        <w:rPr>
          <w:rFonts w:ascii="Calibri" w:hAnsi="Calibri" w:cs="Calibri"/>
          <w:bCs/>
          <w:i/>
          <w:u w:val="single"/>
        </w:rPr>
        <w:t>reporting</w:t>
      </w:r>
      <w:proofErr w:type="spellEnd"/>
      <w:r w:rsidRPr="008F2A91">
        <w:rPr>
          <w:rFonts w:ascii="Calibri" w:hAnsi="Calibri" w:cs="Calibri"/>
          <w:bCs/>
          <w:i/>
          <w:u w:val="single"/>
        </w:rPr>
        <w:t>:</w:t>
      </w:r>
    </w:p>
    <w:p w14:paraId="0DC554A7" w14:textId="77777777" w:rsidR="00E56BE3" w:rsidRPr="008F2A91" w:rsidRDefault="00E56BE3" w:rsidP="00E56BE3">
      <w:pPr>
        <w:pStyle w:val="BodyText23"/>
        <w:ind w:left="360" w:right="-108" w:firstLine="0"/>
        <w:rPr>
          <w:rFonts w:ascii="Calibri" w:hAnsi="Calibri" w:cs="Calibri"/>
          <w:snapToGrid/>
          <w:szCs w:val="22"/>
        </w:rPr>
      </w:pPr>
      <w:r w:rsidRPr="008F2A91">
        <w:rPr>
          <w:rFonts w:ascii="Calibri" w:hAnsi="Calibri" w:cs="Calibri"/>
          <w:snapToGrid/>
          <w:szCs w:val="22"/>
        </w:rPr>
        <w:t xml:space="preserve">The evaluator will provide services </w:t>
      </w:r>
      <w:r>
        <w:rPr>
          <w:rFonts w:ascii="Calibri" w:hAnsi="Calibri" w:cs="Calibri"/>
          <w:snapToGrid/>
          <w:szCs w:val="22"/>
        </w:rPr>
        <w:t>for the period of</w:t>
      </w:r>
      <w:r w:rsidRPr="008F2A91">
        <w:rPr>
          <w:rFonts w:ascii="Calibri" w:hAnsi="Calibri" w:cs="Calibri"/>
          <w:snapToGrid/>
          <w:szCs w:val="22"/>
        </w:rPr>
        <w:t xml:space="preserve"> </w:t>
      </w:r>
      <w:r>
        <w:rPr>
          <w:rFonts w:ascii="Calibri" w:hAnsi="Calibri" w:cs="Calibri"/>
          <w:snapToGrid/>
          <w:szCs w:val="22"/>
        </w:rPr>
        <w:t xml:space="preserve">24 </w:t>
      </w:r>
      <w:r w:rsidRPr="008F2A91">
        <w:rPr>
          <w:rFonts w:ascii="Calibri" w:hAnsi="Calibri" w:cs="Calibri"/>
          <w:snapToGrid/>
          <w:szCs w:val="22"/>
        </w:rPr>
        <w:t>April</w:t>
      </w:r>
      <w:r>
        <w:rPr>
          <w:rFonts w:ascii="Calibri" w:hAnsi="Calibri" w:cs="Calibri"/>
          <w:snapToGrid/>
          <w:szCs w:val="22"/>
        </w:rPr>
        <w:t xml:space="preserve"> – 10 June</w:t>
      </w:r>
      <w:r w:rsidRPr="008F2A91">
        <w:rPr>
          <w:rFonts w:ascii="Calibri" w:hAnsi="Calibri" w:cs="Calibri"/>
          <w:snapToGrid/>
          <w:szCs w:val="22"/>
        </w:rPr>
        <w:t xml:space="preserve"> 2025. The estimated number of working days for the assignment is 2</w:t>
      </w:r>
      <w:r>
        <w:rPr>
          <w:rFonts w:ascii="Calibri" w:hAnsi="Calibri" w:cs="Calibri"/>
          <w:snapToGrid/>
          <w:szCs w:val="22"/>
        </w:rPr>
        <w:t>0</w:t>
      </w:r>
      <w:r w:rsidRPr="008F2A91">
        <w:rPr>
          <w:rFonts w:ascii="Calibri" w:hAnsi="Calibri" w:cs="Calibri"/>
          <w:snapToGrid/>
          <w:szCs w:val="22"/>
        </w:rPr>
        <w:t xml:space="preserve">. </w:t>
      </w:r>
    </w:p>
    <w:p w14:paraId="664D4BC7" w14:textId="77777777" w:rsidR="00E56BE3" w:rsidRPr="008F2A91" w:rsidRDefault="00E56BE3" w:rsidP="00E56BE3">
      <w:pPr>
        <w:pStyle w:val="BodyText23"/>
        <w:ind w:right="-108"/>
        <w:rPr>
          <w:rFonts w:ascii="Calibri" w:hAnsi="Calibri" w:cs="Calibri"/>
          <w:snapToGrid/>
          <w:szCs w:val="22"/>
        </w:rPr>
      </w:pPr>
    </w:p>
    <w:p w14:paraId="3E610B94" w14:textId="77777777" w:rsidR="00E56BE3" w:rsidRPr="008F2A91" w:rsidRDefault="00E56BE3" w:rsidP="00E56BE3">
      <w:pPr>
        <w:pStyle w:val="BodyText23"/>
        <w:ind w:left="360" w:right="-108" w:firstLine="0"/>
        <w:rPr>
          <w:rFonts w:ascii="Calibri" w:hAnsi="Calibri" w:cs="Calibri"/>
          <w:snapToGrid/>
          <w:szCs w:val="22"/>
        </w:rPr>
      </w:pPr>
      <w:r w:rsidRPr="008F2A91">
        <w:rPr>
          <w:rFonts w:ascii="Calibri" w:hAnsi="Calibri" w:cs="Calibri"/>
          <w:snapToGrid/>
          <w:szCs w:val="22"/>
        </w:rPr>
        <w:t>The Ministry will provide comments on the Draft Report within 7 calendar days of receipt and will approve the Final Evaluation Report within 14 days. If necessary, the evaluator will resubmit the revised Final Evaluation Report, incorporating additional comments from the Ministry, within 14 calendar days of receiving the feedback.</w:t>
      </w:r>
    </w:p>
    <w:p w14:paraId="2C05F107" w14:textId="77777777" w:rsidR="00E56BE3" w:rsidRPr="008F2A91" w:rsidRDefault="00E56BE3" w:rsidP="00E56BE3">
      <w:pPr>
        <w:pStyle w:val="BodyText23"/>
        <w:ind w:right="-108"/>
        <w:rPr>
          <w:rFonts w:ascii="Calibri" w:hAnsi="Calibri" w:cs="Calibri"/>
          <w:snapToGrid/>
          <w:szCs w:val="22"/>
        </w:rPr>
      </w:pPr>
    </w:p>
    <w:p w14:paraId="7AFC5F39" w14:textId="77777777" w:rsidR="00E56BE3" w:rsidRPr="008F2A91" w:rsidRDefault="00E56BE3" w:rsidP="00E56BE3">
      <w:pPr>
        <w:pStyle w:val="BodyText23"/>
        <w:widowControl/>
        <w:tabs>
          <w:tab w:val="clear" w:pos="547"/>
        </w:tabs>
        <w:ind w:left="360" w:right="-108" w:firstLine="0"/>
        <w:rPr>
          <w:rFonts w:ascii="Calibri" w:hAnsi="Calibri" w:cs="Calibri"/>
          <w:snapToGrid/>
          <w:szCs w:val="22"/>
        </w:rPr>
      </w:pPr>
      <w:r w:rsidRPr="008F2A91">
        <w:rPr>
          <w:rFonts w:ascii="Calibri" w:hAnsi="Calibri" w:cs="Calibri"/>
          <w:snapToGrid/>
          <w:szCs w:val="22"/>
        </w:rPr>
        <w:t>The services under this contract will be carried out in Podgorica, Montenegro, although the expert will have a certain number of remote working days to fulfil the contract requirements.</w:t>
      </w:r>
    </w:p>
    <w:p w14:paraId="3EDE0B10" w14:textId="77777777" w:rsidR="00E56BE3" w:rsidRPr="008F2A91" w:rsidRDefault="00E56BE3" w:rsidP="00E56BE3">
      <w:pPr>
        <w:pStyle w:val="BodyText23"/>
        <w:widowControl/>
        <w:tabs>
          <w:tab w:val="clear" w:pos="547"/>
        </w:tabs>
        <w:ind w:left="360" w:right="-108" w:firstLine="0"/>
        <w:rPr>
          <w:rFonts w:ascii="Calibri" w:hAnsi="Calibri" w:cs="Calibri"/>
          <w:snapToGrid/>
          <w:szCs w:val="22"/>
          <w:highlight w:val="yellow"/>
        </w:rPr>
      </w:pPr>
    </w:p>
    <w:p w14:paraId="675B3A4E" w14:textId="77777777" w:rsidR="00E56BE3" w:rsidRPr="008F2A91" w:rsidRDefault="00E56BE3" w:rsidP="00E56BE3">
      <w:pPr>
        <w:pStyle w:val="BodyText23"/>
        <w:ind w:right="-108"/>
        <w:rPr>
          <w:rFonts w:ascii="Calibri" w:hAnsi="Calibri" w:cs="Calibri"/>
          <w:i/>
          <w:snapToGrid/>
          <w:szCs w:val="22"/>
          <w:u w:val="single"/>
        </w:rPr>
      </w:pPr>
      <w:r w:rsidRPr="008F2A91">
        <w:rPr>
          <w:rFonts w:ascii="Calibri" w:hAnsi="Calibri" w:cs="Calibri"/>
          <w:i/>
          <w:snapToGrid/>
          <w:szCs w:val="22"/>
          <w:u w:val="single"/>
        </w:rPr>
        <w:t>Time duration and travel:</w:t>
      </w:r>
    </w:p>
    <w:p w14:paraId="31D8A5D8" w14:textId="77777777" w:rsidR="00E56BE3" w:rsidRPr="008F2A91" w:rsidRDefault="00E56BE3" w:rsidP="00E56BE3">
      <w:pPr>
        <w:pStyle w:val="BodyText23"/>
        <w:ind w:right="-108"/>
        <w:rPr>
          <w:rFonts w:ascii="Calibri" w:hAnsi="Calibri" w:cs="Calibri"/>
          <w:i/>
          <w:snapToGrid/>
          <w:szCs w:val="22"/>
          <w:u w:val="single"/>
        </w:rPr>
      </w:pPr>
    </w:p>
    <w:p w14:paraId="5F5F0B56" w14:textId="77777777" w:rsidR="00E56BE3" w:rsidRPr="008F2A91" w:rsidRDefault="00E56BE3" w:rsidP="00E56BE3">
      <w:pPr>
        <w:pStyle w:val="BodyText23"/>
        <w:ind w:left="360" w:right="-108" w:firstLine="0"/>
        <w:rPr>
          <w:rFonts w:ascii="Calibri" w:hAnsi="Calibri" w:cs="Calibri"/>
          <w:snapToGrid/>
          <w:szCs w:val="22"/>
        </w:rPr>
      </w:pPr>
      <w:r w:rsidRPr="008F2A91">
        <w:rPr>
          <w:rFonts w:ascii="Calibri" w:hAnsi="Calibri" w:cs="Calibri"/>
          <w:iCs/>
          <w:snapToGrid/>
          <w:szCs w:val="22"/>
        </w:rPr>
        <w:t>The evaluator</w:t>
      </w:r>
      <w:r w:rsidRPr="008F2A91">
        <w:rPr>
          <w:rFonts w:ascii="Calibri" w:hAnsi="Calibri" w:cs="Calibri"/>
          <w:snapToGrid/>
          <w:szCs w:val="22"/>
        </w:rPr>
        <w:t xml:space="preserve"> will be engaged under Individual Contract, for the total of </w:t>
      </w:r>
      <w:r w:rsidRPr="008F2A91">
        <w:rPr>
          <w:rFonts w:ascii="Calibri" w:hAnsi="Calibri" w:cs="Calibri"/>
          <w:b/>
          <w:snapToGrid/>
          <w:szCs w:val="22"/>
        </w:rPr>
        <w:t>20</w:t>
      </w:r>
      <w:r w:rsidRPr="008F2A91">
        <w:rPr>
          <w:rFonts w:ascii="Calibri" w:hAnsi="Calibri" w:cs="Calibri"/>
          <w:b/>
          <w:bCs/>
          <w:snapToGrid/>
          <w:szCs w:val="22"/>
        </w:rPr>
        <w:t xml:space="preserve"> consultancy days (</w:t>
      </w:r>
      <w:r>
        <w:rPr>
          <w:rFonts w:ascii="Calibri" w:hAnsi="Calibri" w:cs="Calibri"/>
          <w:b/>
          <w:bCs/>
          <w:snapToGrid/>
          <w:szCs w:val="22"/>
        </w:rPr>
        <w:t xml:space="preserve">24 </w:t>
      </w:r>
      <w:r w:rsidRPr="008F2A91">
        <w:rPr>
          <w:rFonts w:ascii="Calibri" w:hAnsi="Calibri" w:cs="Calibri"/>
          <w:b/>
          <w:bCs/>
          <w:snapToGrid/>
          <w:szCs w:val="22"/>
        </w:rPr>
        <w:t>April</w:t>
      </w:r>
      <w:r>
        <w:rPr>
          <w:rFonts w:ascii="Calibri" w:hAnsi="Calibri" w:cs="Calibri"/>
          <w:b/>
          <w:bCs/>
          <w:snapToGrid/>
          <w:szCs w:val="22"/>
        </w:rPr>
        <w:t xml:space="preserve"> – 10 June</w:t>
      </w:r>
      <w:r w:rsidRPr="008F2A91">
        <w:rPr>
          <w:rFonts w:ascii="Calibri" w:hAnsi="Calibri" w:cs="Calibri"/>
          <w:b/>
          <w:bCs/>
          <w:snapToGrid/>
          <w:szCs w:val="22"/>
        </w:rPr>
        <w:t xml:space="preserve"> 2025), </w:t>
      </w:r>
      <w:r w:rsidRPr="008F2A91">
        <w:rPr>
          <w:rFonts w:ascii="Calibri" w:hAnsi="Calibri" w:cs="Calibri"/>
          <w:snapToGrid/>
          <w:szCs w:val="22"/>
        </w:rPr>
        <w:t>pursuant to the agreed plan with UNDP</w:t>
      </w:r>
      <w:r>
        <w:rPr>
          <w:rFonts w:ascii="Calibri" w:hAnsi="Calibri" w:cs="Calibri"/>
          <w:snapToGrid/>
          <w:szCs w:val="22"/>
        </w:rPr>
        <w:t xml:space="preserve"> and the Ministry</w:t>
      </w:r>
      <w:r w:rsidRPr="008F2A91">
        <w:rPr>
          <w:rFonts w:ascii="Calibri" w:hAnsi="Calibri" w:cs="Calibri"/>
          <w:snapToGrid/>
          <w:szCs w:val="22"/>
        </w:rPr>
        <w:t xml:space="preserve">. No travel is envisaged under this assignment. </w:t>
      </w:r>
    </w:p>
    <w:p w14:paraId="5C42C11A" w14:textId="77777777" w:rsidR="00E56BE3" w:rsidRPr="008F2A91" w:rsidRDefault="00E56BE3" w:rsidP="00E56BE3">
      <w:pPr>
        <w:pStyle w:val="BodyText23"/>
        <w:widowControl/>
        <w:tabs>
          <w:tab w:val="clear" w:pos="547"/>
        </w:tabs>
        <w:ind w:left="0" w:right="-108" w:firstLine="0"/>
        <w:rPr>
          <w:rFonts w:ascii="Calibri" w:hAnsi="Calibri" w:cs="Calibri"/>
          <w:snapToGrid/>
          <w:szCs w:val="22"/>
        </w:rPr>
      </w:pPr>
    </w:p>
    <w:p w14:paraId="07F6DAA4" w14:textId="77777777" w:rsidR="00E56BE3" w:rsidRPr="008F2A91" w:rsidRDefault="00E56BE3" w:rsidP="00E56BE3">
      <w:pPr>
        <w:shd w:val="clear" w:color="auto" w:fill="EEECE1"/>
        <w:tabs>
          <w:tab w:val="left" w:pos="0"/>
        </w:tabs>
        <w:suppressAutoHyphens/>
        <w:rPr>
          <w:rFonts w:ascii="Calibri" w:hAnsi="Calibri" w:cs="Calibri"/>
        </w:rPr>
      </w:pPr>
      <w:r w:rsidRPr="008F2A91">
        <w:rPr>
          <w:rFonts w:ascii="Calibri" w:hAnsi="Calibri" w:cs="Calibri"/>
          <w:b/>
          <w:bCs/>
        </w:rPr>
        <w:t>III.</w:t>
      </w:r>
      <w:r w:rsidRPr="008F2A91">
        <w:rPr>
          <w:rFonts w:ascii="Calibri" w:hAnsi="Calibri" w:cs="Calibri"/>
          <w:b/>
          <w:bCs/>
        </w:rPr>
        <w:tab/>
      </w:r>
      <w:proofErr w:type="spellStart"/>
      <w:r w:rsidRPr="008F2A91">
        <w:rPr>
          <w:rFonts w:ascii="Calibri" w:hAnsi="Calibri" w:cs="Calibri"/>
          <w:b/>
          <w:bCs/>
        </w:rPr>
        <w:t>Competencies</w:t>
      </w:r>
      <w:proofErr w:type="spellEnd"/>
      <w:r w:rsidRPr="008F2A91">
        <w:rPr>
          <w:rFonts w:ascii="Calibri" w:hAnsi="Calibri" w:cs="Calibri"/>
          <w:b/>
          <w:bCs/>
        </w:rPr>
        <w:t>:</w:t>
      </w:r>
    </w:p>
    <w:p w14:paraId="242E710A" w14:textId="77777777" w:rsidR="00E56BE3" w:rsidRDefault="00E56BE3" w:rsidP="00E56BE3">
      <w:pPr>
        <w:pStyle w:val="ListParagraph"/>
        <w:autoSpaceDE w:val="0"/>
        <w:autoSpaceDN w:val="0"/>
        <w:adjustRightInd w:val="0"/>
        <w:rPr>
          <w:rFonts w:ascii="Calibri" w:hAnsi="Calibri" w:cs="Calibri"/>
          <w:sz w:val="22"/>
          <w:szCs w:val="22"/>
        </w:rPr>
      </w:pPr>
    </w:p>
    <w:p w14:paraId="24B34D99"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 xml:space="preserve">Demonstrates integrity by modelling the UN’s values and ethical </w:t>
      </w:r>
      <w:proofErr w:type="gramStart"/>
      <w:r w:rsidRPr="008F2A91">
        <w:rPr>
          <w:rFonts w:ascii="Calibri" w:hAnsi="Calibri" w:cs="Calibri"/>
          <w:sz w:val="22"/>
          <w:szCs w:val="22"/>
        </w:rPr>
        <w:t>standards;</w:t>
      </w:r>
      <w:proofErr w:type="gramEnd"/>
    </w:p>
    <w:p w14:paraId="0DB4AC92"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lastRenderedPageBreak/>
        <w:t>Promotes the vision, mission and strategic goals of UN/</w:t>
      </w:r>
      <w:proofErr w:type="gramStart"/>
      <w:r w:rsidRPr="008F2A91">
        <w:rPr>
          <w:rFonts w:ascii="Calibri" w:hAnsi="Calibri" w:cs="Calibri"/>
          <w:sz w:val="22"/>
          <w:szCs w:val="22"/>
        </w:rPr>
        <w:t>UNDP;</w:t>
      </w:r>
      <w:proofErr w:type="gramEnd"/>
    </w:p>
    <w:p w14:paraId="674D032D"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 xml:space="preserve">Displays cultural, gender, religion, race, nationality and age sensitivity and </w:t>
      </w:r>
      <w:proofErr w:type="gramStart"/>
      <w:r w:rsidRPr="008F2A91">
        <w:rPr>
          <w:rFonts w:ascii="Calibri" w:hAnsi="Calibri" w:cs="Calibri"/>
          <w:sz w:val="22"/>
          <w:szCs w:val="22"/>
        </w:rPr>
        <w:t>adaptability;</w:t>
      </w:r>
      <w:proofErr w:type="gramEnd"/>
    </w:p>
    <w:p w14:paraId="107FC0A6"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 xml:space="preserve">Ability to lead strategic planning, results-based management and </w:t>
      </w:r>
      <w:proofErr w:type="gramStart"/>
      <w:r w:rsidRPr="008F2A91">
        <w:rPr>
          <w:rFonts w:ascii="Calibri" w:hAnsi="Calibri" w:cs="Calibri"/>
          <w:sz w:val="22"/>
          <w:szCs w:val="22"/>
        </w:rPr>
        <w:t>reporting;</w:t>
      </w:r>
      <w:proofErr w:type="gramEnd"/>
    </w:p>
    <w:p w14:paraId="100E57FB"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 xml:space="preserve">Builds strong relationships with clients, focuses on impact and result for the client and responds positively to </w:t>
      </w:r>
      <w:proofErr w:type="gramStart"/>
      <w:r w:rsidRPr="008F2A91">
        <w:rPr>
          <w:rFonts w:ascii="Calibri" w:hAnsi="Calibri" w:cs="Calibri"/>
          <w:sz w:val="22"/>
          <w:szCs w:val="22"/>
        </w:rPr>
        <w:t>feedback;</w:t>
      </w:r>
      <w:proofErr w:type="gramEnd"/>
    </w:p>
    <w:p w14:paraId="1151EA17"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 xml:space="preserve">Consistently approaches work with energy and a positive, constructive </w:t>
      </w:r>
      <w:proofErr w:type="gramStart"/>
      <w:r w:rsidRPr="008F2A91">
        <w:rPr>
          <w:rFonts w:ascii="Calibri" w:hAnsi="Calibri" w:cs="Calibri"/>
          <w:sz w:val="22"/>
          <w:szCs w:val="22"/>
        </w:rPr>
        <w:t>attitude;</w:t>
      </w:r>
      <w:proofErr w:type="gramEnd"/>
    </w:p>
    <w:p w14:paraId="0E8E26C9"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 xml:space="preserve">Demonstrates good oral and written communication </w:t>
      </w:r>
      <w:proofErr w:type="gramStart"/>
      <w:r w:rsidRPr="008F2A91">
        <w:rPr>
          <w:rFonts w:ascii="Calibri" w:hAnsi="Calibri" w:cs="Calibri"/>
          <w:sz w:val="22"/>
          <w:szCs w:val="22"/>
        </w:rPr>
        <w:t>skills;</w:t>
      </w:r>
      <w:proofErr w:type="gramEnd"/>
    </w:p>
    <w:p w14:paraId="7E72A9DC" w14:textId="77777777" w:rsidR="00E56BE3" w:rsidRPr="008F2A91" w:rsidRDefault="00E56BE3" w:rsidP="006D6681">
      <w:pPr>
        <w:pStyle w:val="ListParagraph"/>
        <w:numPr>
          <w:ilvl w:val="0"/>
          <w:numId w:val="16"/>
        </w:numPr>
        <w:autoSpaceDE w:val="0"/>
        <w:autoSpaceDN w:val="0"/>
        <w:adjustRightInd w:val="0"/>
        <w:jc w:val="both"/>
        <w:rPr>
          <w:rFonts w:ascii="Calibri" w:hAnsi="Calibri" w:cs="Calibri"/>
          <w:sz w:val="22"/>
          <w:szCs w:val="22"/>
        </w:rPr>
      </w:pPr>
      <w:r w:rsidRPr="008F2A91">
        <w:rPr>
          <w:rFonts w:ascii="Calibri" w:hAnsi="Calibri" w:cs="Calibri"/>
          <w:sz w:val="22"/>
          <w:szCs w:val="22"/>
        </w:rPr>
        <w:t>Demonstrates ability to manage complexities and work under pressure, as well as conflict resolution skills.</w:t>
      </w:r>
    </w:p>
    <w:p w14:paraId="0FEB49A5" w14:textId="77777777" w:rsidR="00E56BE3" w:rsidRPr="008F2A91" w:rsidRDefault="00E56BE3" w:rsidP="00E56BE3">
      <w:pPr>
        <w:autoSpaceDE w:val="0"/>
        <w:autoSpaceDN w:val="0"/>
        <w:adjustRightInd w:val="0"/>
        <w:rPr>
          <w:rFonts w:ascii="Calibri" w:hAnsi="Calibri" w:cs="Calibri"/>
        </w:rPr>
      </w:pPr>
    </w:p>
    <w:p w14:paraId="507507FF" w14:textId="77777777" w:rsidR="00E56BE3" w:rsidRPr="008F2A91" w:rsidRDefault="00E56BE3" w:rsidP="00E56BE3">
      <w:pPr>
        <w:autoSpaceDE w:val="0"/>
        <w:autoSpaceDN w:val="0"/>
        <w:adjustRightInd w:val="0"/>
        <w:rPr>
          <w:rFonts w:ascii="Calibri" w:hAnsi="Calibri" w:cs="Calibri"/>
        </w:rPr>
      </w:pPr>
    </w:p>
    <w:p w14:paraId="34C09F4C" w14:textId="77777777" w:rsidR="00E56BE3" w:rsidRPr="008F2A91" w:rsidRDefault="00E56BE3" w:rsidP="00E56BE3">
      <w:pPr>
        <w:shd w:val="clear" w:color="auto" w:fill="EEECE1"/>
        <w:tabs>
          <w:tab w:val="left" w:pos="0"/>
        </w:tabs>
        <w:suppressAutoHyphens/>
        <w:rPr>
          <w:rFonts w:ascii="Calibri" w:hAnsi="Calibri" w:cs="Calibri"/>
        </w:rPr>
      </w:pPr>
      <w:r w:rsidRPr="008F2A91">
        <w:rPr>
          <w:rFonts w:ascii="Calibri" w:hAnsi="Calibri" w:cs="Calibri"/>
          <w:b/>
          <w:bCs/>
        </w:rPr>
        <w:t>IV.</w:t>
      </w:r>
      <w:r w:rsidRPr="008F2A91">
        <w:rPr>
          <w:rFonts w:ascii="Calibri" w:hAnsi="Calibri" w:cs="Calibri"/>
          <w:b/>
          <w:bCs/>
        </w:rPr>
        <w:tab/>
      </w:r>
      <w:proofErr w:type="spellStart"/>
      <w:r w:rsidRPr="008F2A91">
        <w:rPr>
          <w:rFonts w:ascii="Calibri" w:hAnsi="Calibri" w:cs="Calibri"/>
          <w:b/>
          <w:bCs/>
        </w:rPr>
        <w:t>Qualifications</w:t>
      </w:r>
      <w:proofErr w:type="spellEnd"/>
      <w:r w:rsidRPr="008F2A91">
        <w:rPr>
          <w:rFonts w:ascii="Calibri" w:hAnsi="Calibri" w:cs="Calibri"/>
          <w:b/>
          <w:bCs/>
        </w:rPr>
        <w:t xml:space="preserve"> </w:t>
      </w:r>
      <w:proofErr w:type="spellStart"/>
      <w:r w:rsidRPr="008F2A91">
        <w:rPr>
          <w:rFonts w:ascii="Calibri" w:hAnsi="Calibri" w:cs="Calibri"/>
          <w:b/>
          <w:bCs/>
        </w:rPr>
        <w:t>and</w:t>
      </w:r>
      <w:proofErr w:type="spellEnd"/>
      <w:r w:rsidRPr="008F2A91">
        <w:rPr>
          <w:rFonts w:ascii="Calibri" w:hAnsi="Calibri" w:cs="Calibri"/>
          <w:b/>
          <w:bCs/>
        </w:rPr>
        <w:t xml:space="preserve"> </w:t>
      </w:r>
      <w:proofErr w:type="spellStart"/>
      <w:r w:rsidRPr="008F2A91">
        <w:rPr>
          <w:rFonts w:ascii="Calibri" w:hAnsi="Calibri" w:cs="Calibri"/>
          <w:b/>
          <w:bCs/>
        </w:rPr>
        <w:t>expertise</w:t>
      </w:r>
      <w:proofErr w:type="spellEnd"/>
      <w:r w:rsidRPr="008F2A91">
        <w:rPr>
          <w:rFonts w:ascii="Calibri" w:hAnsi="Calibri" w:cs="Calibri"/>
          <w:b/>
          <w:bCs/>
        </w:rPr>
        <w:t>:</w:t>
      </w:r>
    </w:p>
    <w:p w14:paraId="5CAC0265" w14:textId="77777777" w:rsidR="00E56BE3" w:rsidRPr="008F2A91" w:rsidRDefault="00E56BE3" w:rsidP="00E56BE3">
      <w:pPr>
        <w:pStyle w:val="BodyText"/>
        <w:rPr>
          <w:rFonts w:ascii="Calibri" w:hAnsi="Calibri" w:cs="Calibri"/>
          <w:color w:val="auto"/>
          <w:lang w:val="en-GB"/>
        </w:rPr>
      </w:pPr>
    </w:p>
    <w:p w14:paraId="4DE4CA16"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 xml:space="preserve">VII-1 level of the National Qualifications </w:t>
      </w:r>
      <w:proofErr w:type="gramStart"/>
      <w:r w:rsidRPr="008F2A91">
        <w:rPr>
          <w:rFonts w:ascii="Calibri" w:hAnsi="Calibri" w:cs="Calibri"/>
          <w:color w:val="auto"/>
          <w:lang w:val="en-GB"/>
        </w:rPr>
        <w:t>Framework;</w:t>
      </w:r>
      <w:proofErr w:type="gramEnd"/>
    </w:p>
    <w:p w14:paraId="5D298F53"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 xml:space="preserve">Experience in at least one project task related to the evaluation of strategic policies in a relevant field and within the context of EU </w:t>
      </w:r>
      <w:proofErr w:type="gramStart"/>
      <w:r w:rsidRPr="008F2A91">
        <w:rPr>
          <w:rFonts w:ascii="Calibri" w:hAnsi="Calibri" w:cs="Calibri"/>
          <w:color w:val="auto"/>
          <w:lang w:val="en-GB"/>
        </w:rPr>
        <w:t>accession;</w:t>
      </w:r>
      <w:proofErr w:type="gramEnd"/>
    </w:p>
    <w:p w14:paraId="1E6C3B1F"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 xml:space="preserve">At least two years of experience in designing, implementing, or monitoring/evaluating strategies and policies in consumer protection, internal market, or similar </w:t>
      </w:r>
      <w:proofErr w:type="gramStart"/>
      <w:r w:rsidRPr="008F2A91">
        <w:rPr>
          <w:rFonts w:ascii="Calibri" w:hAnsi="Calibri" w:cs="Calibri"/>
          <w:color w:val="auto"/>
          <w:lang w:val="en-GB"/>
        </w:rPr>
        <w:t>fields;</w:t>
      </w:r>
      <w:proofErr w:type="gramEnd"/>
      <w:r w:rsidRPr="008F2A91">
        <w:rPr>
          <w:rFonts w:ascii="Calibri" w:hAnsi="Calibri" w:cs="Calibri"/>
          <w:color w:val="auto"/>
          <w:lang w:val="en-GB"/>
        </w:rPr>
        <w:t xml:space="preserve"> </w:t>
      </w:r>
    </w:p>
    <w:p w14:paraId="3924D12E"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 xml:space="preserve">Excellent knowledge of the relevant legal and institutional framework in </w:t>
      </w:r>
      <w:proofErr w:type="gramStart"/>
      <w:r w:rsidRPr="008F2A91">
        <w:rPr>
          <w:rFonts w:ascii="Calibri" w:hAnsi="Calibri" w:cs="Calibri"/>
          <w:color w:val="auto"/>
          <w:lang w:val="en-GB"/>
        </w:rPr>
        <w:t>Montenegro;</w:t>
      </w:r>
      <w:proofErr w:type="gramEnd"/>
    </w:p>
    <w:p w14:paraId="54799F09"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 xml:space="preserve">Expertise and prior experience in relevant sectoral </w:t>
      </w:r>
      <w:proofErr w:type="gramStart"/>
      <w:r w:rsidRPr="008F2A91">
        <w:rPr>
          <w:rFonts w:ascii="Calibri" w:hAnsi="Calibri" w:cs="Calibri"/>
          <w:color w:val="auto"/>
          <w:lang w:val="en-GB"/>
        </w:rPr>
        <w:t>policies;</w:t>
      </w:r>
      <w:proofErr w:type="gramEnd"/>
    </w:p>
    <w:p w14:paraId="58D7077E"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 xml:space="preserve">Excellent oral and written communication skills in Montenegrin </w:t>
      </w:r>
      <w:proofErr w:type="gramStart"/>
      <w:r w:rsidRPr="008F2A91">
        <w:rPr>
          <w:rFonts w:ascii="Calibri" w:hAnsi="Calibri" w:cs="Calibri"/>
          <w:color w:val="auto"/>
          <w:lang w:val="en-GB"/>
        </w:rPr>
        <w:t>language;</w:t>
      </w:r>
      <w:proofErr w:type="gramEnd"/>
      <w:r w:rsidRPr="008F2A91">
        <w:rPr>
          <w:rFonts w:ascii="Calibri" w:hAnsi="Calibri" w:cs="Calibri"/>
          <w:color w:val="auto"/>
          <w:lang w:val="en-GB"/>
        </w:rPr>
        <w:t xml:space="preserve"> </w:t>
      </w:r>
    </w:p>
    <w:p w14:paraId="4C4743D7" w14:textId="77777777" w:rsidR="00E56BE3" w:rsidRPr="008F2A91" w:rsidRDefault="00E56BE3" w:rsidP="006D6681">
      <w:pPr>
        <w:pStyle w:val="BodyText"/>
        <w:numPr>
          <w:ilvl w:val="0"/>
          <w:numId w:val="17"/>
        </w:numPr>
        <w:rPr>
          <w:rFonts w:ascii="Calibri" w:hAnsi="Calibri" w:cs="Calibri"/>
          <w:color w:val="auto"/>
          <w:lang w:val="en-GB"/>
        </w:rPr>
      </w:pPr>
      <w:r w:rsidRPr="008F2A91">
        <w:rPr>
          <w:rFonts w:ascii="Calibri" w:hAnsi="Calibri" w:cs="Calibri"/>
          <w:color w:val="auto"/>
          <w:lang w:val="en-GB"/>
        </w:rPr>
        <w:t>Advanced computer literacy (MS Office</w:t>
      </w:r>
      <w:proofErr w:type="gramStart"/>
      <w:r w:rsidRPr="008F2A91">
        <w:rPr>
          <w:rFonts w:ascii="Calibri" w:hAnsi="Calibri" w:cs="Calibri"/>
          <w:color w:val="auto"/>
          <w:lang w:val="en-GB"/>
        </w:rPr>
        <w:t>);</w:t>
      </w:r>
      <w:proofErr w:type="gramEnd"/>
      <w:r w:rsidRPr="008F2A91">
        <w:rPr>
          <w:rFonts w:ascii="Calibri" w:hAnsi="Calibri" w:cs="Calibri"/>
          <w:color w:val="auto"/>
          <w:lang w:val="en-GB"/>
        </w:rPr>
        <w:t xml:space="preserve"> </w:t>
      </w:r>
    </w:p>
    <w:p w14:paraId="65026B7D" w14:textId="77777777" w:rsidR="00E56BE3" w:rsidRPr="008F2A91" w:rsidRDefault="00E56BE3" w:rsidP="006D6681">
      <w:pPr>
        <w:pStyle w:val="BodyText"/>
        <w:numPr>
          <w:ilvl w:val="0"/>
          <w:numId w:val="17"/>
        </w:numPr>
        <w:rPr>
          <w:rFonts w:ascii="Calibri" w:hAnsi="Calibri" w:cs="Calibri"/>
          <w:bCs/>
          <w:i/>
          <w:color w:val="auto"/>
          <w:u w:val="single"/>
          <w:lang w:val="en-GB"/>
        </w:rPr>
      </w:pPr>
      <w:r w:rsidRPr="008F2A91">
        <w:rPr>
          <w:rFonts w:ascii="Calibri" w:hAnsi="Calibri" w:cs="Calibri"/>
          <w:color w:val="auto"/>
          <w:lang w:val="en-GB"/>
        </w:rPr>
        <w:t xml:space="preserve">Excellent organisational skills, proven communication and presentation skills, and ability to work in an environment requiring liaison and collaboration with multiple actors including government representatives, international organizations, and other stakeholders.  </w:t>
      </w:r>
    </w:p>
    <w:p w14:paraId="28E29931" w14:textId="77777777" w:rsidR="00E56BE3" w:rsidRPr="008F2A91" w:rsidRDefault="00E56BE3" w:rsidP="00E56BE3">
      <w:pPr>
        <w:pStyle w:val="BodyText"/>
        <w:rPr>
          <w:rFonts w:ascii="Calibri" w:hAnsi="Calibri" w:cs="Calibri"/>
          <w:bCs/>
          <w:i/>
          <w:color w:val="auto"/>
          <w:u w:val="single"/>
          <w:lang w:val="en-GB"/>
        </w:rPr>
      </w:pPr>
    </w:p>
    <w:p w14:paraId="181BAD2B" w14:textId="77777777" w:rsidR="00E56BE3" w:rsidRPr="008F2A91" w:rsidRDefault="00E56BE3" w:rsidP="00E56BE3">
      <w:pPr>
        <w:pStyle w:val="BodyText"/>
        <w:rPr>
          <w:rFonts w:ascii="Calibri" w:hAnsi="Calibri" w:cs="Calibri"/>
          <w:color w:val="auto"/>
          <w:lang w:val="en-GB"/>
        </w:rPr>
      </w:pPr>
    </w:p>
    <w:p w14:paraId="78CEFF38" w14:textId="77777777" w:rsidR="00E56BE3" w:rsidRPr="008F2A91" w:rsidRDefault="00E56BE3" w:rsidP="00E56BE3">
      <w:pPr>
        <w:shd w:val="clear" w:color="auto" w:fill="EEECE1"/>
        <w:tabs>
          <w:tab w:val="left" w:pos="0"/>
        </w:tabs>
        <w:suppressAutoHyphens/>
        <w:rPr>
          <w:rFonts w:ascii="Calibri" w:hAnsi="Calibri" w:cs="Calibri"/>
        </w:rPr>
      </w:pPr>
      <w:r w:rsidRPr="008F2A91">
        <w:rPr>
          <w:rFonts w:ascii="Calibri" w:hAnsi="Calibri" w:cs="Calibri"/>
          <w:b/>
          <w:bCs/>
        </w:rPr>
        <w:t>V.</w:t>
      </w:r>
      <w:r w:rsidRPr="008F2A91">
        <w:rPr>
          <w:rFonts w:ascii="Calibri" w:hAnsi="Calibri" w:cs="Calibri"/>
          <w:b/>
          <w:bCs/>
        </w:rPr>
        <w:tab/>
      </w:r>
      <w:proofErr w:type="spellStart"/>
      <w:r w:rsidRPr="008F2A91">
        <w:rPr>
          <w:rFonts w:ascii="Calibri" w:hAnsi="Calibri" w:cs="Calibri"/>
          <w:b/>
          <w:bCs/>
        </w:rPr>
        <w:t>Consultant’s</w:t>
      </w:r>
      <w:proofErr w:type="spellEnd"/>
      <w:r w:rsidRPr="008F2A91">
        <w:rPr>
          <w:rFonts w:ascii="Calibri" w:hAnsi="Calibri" w:cs="Calibri"/>
          <w:b/>
          <w:bCs/>
        </w:rPr>
        <w:t xml:space="preserve"> Signature: </w:t>
      </w:r>
    </w:p>
    <w:p w14:paraId="3821F4D1" w14:textId="77777777" w:rsidR="00E56BE3" w:rsidRPr="008F2A91" w:rsidRDefault="00E56BE3" w:rsidP="00E56BE3">
      <w:pPr>
        <w:pStyle w:val="BodyText"/>
        <w:rPr>
          <w:rFonts w:ascii="Calibri" w:hAnsi="Calibri" w:cs="Calibri"/>
          <w:bCs/>
          <w:iCs/>
          <w:color w:val="auto"/>
          <w:u w:val="single"/>
          <w:lang w:val="en-GB"/>
        </w:rPr>
      </w:pPr>
    </w:p>
    <w:p w14:paraId="09B9B7F1" w14:textId="77777777" w:rsidR="00E56BE3" w:rsidRPr="008F2A91" w:rsidRDefault="00E56BE3" w:rsidP="00E56BE3">
      <w:pPr>
        <w:pStyle w:val="BodyText"/>
        <w:rPr>
          <w:rFonts w:ascii="Calibri" w:hAnsi="Calibri" w:cs="Calibri"/>
          <w:bCs/>
          <w:iCs/>
          <w:color w:val="auto"/>
          <w:lang w:val="en-GB"/>
        </w:rPr>
      </w:pPr>
      <w:r w:rsidRPr="008F2A91">
        <w:rPr>
          <w:rFonts w:ascii="Calibri" w:hAnsi="Calibri" w:cs="Calibri"/>
          <w:bCs/>
          <w:iCs/>
          <w:color w:val="auto"/>
          <w:lang w:val="en-GB"/>
        </w:rPr>
        <w:t xml:space="preserve">Name: </w:t>
      </w:r>
      <w:r>
        <w:rPr>
          <w:rFonts w:ascii="Calibri" w:hAnsi="Calibri" w:cs="Calibri"/>
          <w:bCs/>
          <w:iCs/>
          <w:color w:val="auto"/>
          <w:lang w:val="en-GB"/>
        </w:rPr>
        <w:t>Marko PESIC</w:t>
      </w:r>
    </w:p>
    <w:p w14:paraId="34D24D00" w14:textId="77777777" w:rsidR="00E56BE3" w:rsidRPr="008F2A91" w:rsidRDefault="00E56BE3" w:rsidP="00E56BE3">
      <w:pPr>
        <w:pStyle w:val="BodyText"/>
        <w:rPr>
          <w:rFonts w:ascii="Calibri" w:hAnsi="Calibri" w:cs="Calibri"/>
          <w:bCs/>
          <w:iCs/>
          <w:color w:val="auto"/>
          <w:lang w:val="en-GB"/>
        </w:rPr>
      </w:pPr>
    </w:p>
    <w:p w14:paraId="02E0D88A" w14:textId="77777777" w:rsidR="00E56BE3" w:rsidRPr="008F2A91" w:rsidRDefault="00E56BE3" w:rsidP="00E56BE3">
      <w:pPr>
        <w:pStyle w:val="BodyText"/>
        <w:rPr>
          <w:rFonts w:ascii="Calibri" w:hAnsi="Calibri" w:cs="Calibri"/>
          <w:bCs/>
          <w:iCs/>
          <w:color w:val="auto"/>
          <w:lang w:val="en-GB"/>
        </w:rPr>
      </w:pPr>
      <w:r w:rsidRPr="008F2A91">
        <w:rPr>
          <w:rFonts w:ascii="Calibri" w:hAnsi="Calibri" w:cs="Calibri"/>
          <w:bCs/>
          <w:iCs/>
          <w:color w:val="auto"/>
          <w:lang w:val="en-GB"/>
        </w:rPr>
        <w:t>Signature: _______________________</w:t>
      </w:r>
    </w:p>
    <w:p w14:paraId="06DFC9F4" w14:textId="77777777" w:rsidR="00E56BE3" w:rsidRPr="008F2A91" w:rsidRDefault="00E56BE3" w:rsidP="00E56BE3">
      <w:pPr>
        <w:pStyle w:val="BodyText"/>
        <w:rPr>
          <w:rFonts w:ascii="Calibri" w:hAnsi="Calibri" w:cs="Calibri"/>
          <w:bCs/>
          <w:iCs/>
          <w:color w:val="auto"/>
          <w:lang w:val="en-GB"/>
        </w:rPr>
      </w:pPr>
    </w:p>
    <w:p w14:paraId="52534260" w14:textId="77777777" w:rsidR="00E56BE3" w:rsidRPr="008F2A91" w:rsidRDefault="00E56BE3" w:rsidP="00E56BE3">
      <w:pPr>
        <w:pStyle w:val="BodyText"/>
        <w:rPr>
          <w:rFonts w:ascii="Calibri" w:hAnsi="Calibri" w:cs="Calibri"/>
          <w:bCs/>
          <w:iCs/>
          <w:color w:val="auto"/>
          <w:lang w:val="en-GB"/>
        </w:rPr>
      </w:pPr>
      <w:r w:rsidRPr="008F2A91">
        <w:rPr>
          <w:rFonts w:ascii="Calibri" w:hAnsi="Calibri" w:cs="Calibri"/>
          <w:bCs/>
          <w:iCs/>
          <w:color w:val="auto"/>
          <w:lang w:val="en-GB"/>
        </w:rPr>
        <w:t>Date: ___________________________</w:t>
      </w:r>
    </w:p>
    <w:p w14:paraId="5F263834" w14:textId="77777777" w:rsidR="00E56BE3" w:rsidRPr="008F2A91" w:rsidRDefault="00E56BE3" w:rsidP="00E56BE3">
      <w:pPr>
        <w:rPr>
          <w:rFonts w:ascii="Calibri" w:hAnsi="Calibri" w:cs="Calibri"/>
        </w:rPr>
      </w:pPr>
    </w:p>
    <w:p w14:paraId="74B956DC" w14:textId="77777777" w:rsidR="00993EDA" w:rsidRDefault="00993EDA" w:rsidP="00993EDA">
      <w:pPr>
        <w:rPr>
          <w:lang w:val="en-GB" w:eastAsia="de-DE"/>
        </w:rPr>
        <w:sectPr w:rsidR="00993EDA">
          <w:pgSz w:w="11906" w:h="16838"/>
          <w:pgMar w:top="1417" w:right="1417" w:bottom="1417" w:left="1417" w:header="708" w:footer="708" w:gutter="0"/>
          <w:cols w:space="708"/>
          <w:docGrid w:linePitch="360"/>
        </w:sectPr>
      </w:pPr>
    </w:p>
    <w:p w14:paraId="0019AD90" w14:textId="63261DBD" w:rsidR="00993EDA" w:rsidRDefault="00993EDA" w:rsidP="00993EDA">
      <w:pPr>
        <w:pStyle w:val="Heading2"/>
        <w:numPr>
          <w:ilvl w:val="0"/>
          <w:numId w:val="0"/>
        </w:numPr>
        <w:ind w:left="567" w:hanging="567"/>
        <w:rPr>
          <w:rFonts w:ascii="Arial" w:hAnsi="Arial" w:cs="Arial"/>
          <w:b/>
          <w:bCs/>
          <w:i/>
          <w:iCs/>
          <w:szCs w:val="18"/>
        </w:rPr>
      </w:pPr>
      <w:bookmarkStart w:id="29" w:name="_Toc199479362"/>
      <w:r>
        <w:rPr>
          <w:rFonts w:ascii="Arial" w:hAnsi="Arial" w:cs="Arial"/>
          <w:b/>
          <w:bCs/>
          <w:i/>
          <w:iCs/>
          <w:szCs w:val="18"/>
        </w:rPr>
        <w:lastRenderedPageBreak/>
        <w:t xml:space="preserve">V. </w:t>
      </w:r>
      <w:proofErr w:type="spellStart"/>
      <w:r w:rsidR="00146F9D">
        <w:rPr>
          <w:rFonts w:ascii="Arial" w:hAnsi="Arial" w:cs="Arial"/>
          <w:b/>
          <w:bCs/>
          <w:i/>
          <w:iCs/>
          <w:szCs w:val="18"/>
        </w:rPr>
        <w:t>Matrica</w:t>
      </w:r>
      <w:proofErr w:type="spellEnd"/>
      <w:r w:rsidR="00146F9D">
        <w:rPr>
          <w:rFonts w:ascii="Arial" w:hAnsi="Arial" w:cs="Arial"/>
          <w:b/>
          <w:bCs/>
          <w:i/>
          <w:iCs/>
          <w:szCs w:val="18"/>
        </w:rPr>
        <w:t xml:space="preserve"> </w:t>
      </w:r>
      <w:proofErr w:type="spellStart"/>
      <w:r w:rsidR="00146F9D">
        <w:rPr>
          <w:rFonts w:ascii="Arial" w:hAnsi="Arial" w:cs="Arial"/>
          <w:b/>
          <w:bCs/>
          <w:i/>
          <w:iCs/>
          <w:szCs w:val="18"/>
        </w:rPr>
        <w:t>evaluacije</w:t>
      </w:r>
      <w:bookmarkEnd w:id="29"/>
      <w:proofErr w:type="spellEnd"/>
    </w:p>
    <w:tbl>
      <w:tblPr>
        <w:tblStyle w:val="TableGrid1"/>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1066"/>
        <w:gridCol w:w="3149"/>
        <w:gridCol w:w="1084"/>
        <w:gridCol w:w="2410"/>
        <w:gridCol w:w="1208"/>
        <w:gridCol w:w="828"/>
        <w:gridCol w:w="1380"/>
        <w:gridCol w:w="3016"/>
      </w:tblGrid>
      <w:tr w:rsidR="00B42667" w:rsidRPr="00146F9D" w14:paraId="483CE52B" w14:textId="77777777" w:rsidTr="00A25755">
        <w:trPr>
          <w:tblHeader/>
        </w:trPr>
        <w:tc>
          <w:tcPr>
            <w:tcW w:w="0" w:type="auto"/>
            <w:shd w:val="clear" w:color="auto" w:fill="EAEDF1" w:themeFill="text2" w:themeFillTint="1A"/>
          </w:tcPr>
          <w:p w14:paraId="403B344D" w14:textId="64B7FD63"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Kriterijum</w:t>
            </w:r>
          </w:p>
        </w:tc>
        <w:tc>
          <w:tcPr>
            <w:tcW w:w="0" w:type="auto"/>
            <w:shd w:val="clear" w:color="auto" w:fill="EAEDF1" w:themeFill="text2" w:themeFillTint="1A"/>
          </w:tcPr>
          <w:p w14:paraId="3A5255C0" w14:textId="537C354E"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Pitanje</w:t>
            </w:r>
          </w:p>
        </w:tc>
        <w:tc>
          <w:tcPr>
            <w:tcW w:w="0" w:type="auto"/>
            <w:shd w:val="clear" w:color="auto" w:fill="EAEDF1" w:themeFill="text2" w:themeFillTint="1A"/>
          </w:tcPr>
          <w:p w14:paraId="03B0702F" w14:textId="6D15B97C"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Metod prikupljanja podataka</w:t>
            </w:r>
          </w:p>
        </w:tc>
        <w:tc>
          <w:tcPr>
            <w:tcW w:w="0" w:type="auto"/>
            <w:shd w:val="clear" w:color="auto" w:fill="EAEDF1" w:themeFill="text2" w:themeFillTint="1A"/>
          </w:tcPr>
          <w:p w14:paraId="22CC6EDA" w14:textId="08D89068"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Odgovor</w:t>
            </w:r>
          </w:p>
        </w:tc>
        <w:tc>
          <w:tcPr>
            <w:tcW w:w="0" w:type="auto"/>
            <w:shd w:val="clear" w:color="auto" w:fill="EAEDF1" w:themeFill="text2" w:themeFillTint="1A"/>
          </w:tcPr>
          <w:p w14:paraId="17C56861" w14:textId="173BED4F"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Mera/Indikator</w:t>
            </w:r>
          </w:p>
        </w:tc>
        <w:tc>
          <w:tcPr>
            <w:tcW w:w="0" w:type="auto"/>
            <w:shd w:val="clear" w:color="auto" w:fill="EAEDF1" w:themeFill="text2" w:themeFillTint="1A"/>
          </w:tcPr>
          <w:p w14:paraId="0B421A26" w14:textId="2EF85A56"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Početna vrednost</w:t>
            </w:r>
          </w:p>
        </w:tc>
        <w:tc>
          <w:tcPr>
            <w:tcW w:w="0" w:type="auto"/>
            <w:shd w:val="clear" w:color="auto" w:fill="EAEDF1" w:themeFill="text2" w:themeFillTint="1A"/>
          </w:tcPr>
          <w:p w14:paraId="01F1CD2B" w14:textId="4232198B" w:rsidR="00993EDA" w:rsidRPr="00146F9D" w:rsidRDefault="00146F9D" w:rsidP="00DD1FEA">
            <w:pPr>
              <w:pStyle w:val="Tabelle"/>
              <w:rPr>
                <w:rFonts w:ascii="Arial" w:hAnsi="Arial"/>
                <w:b/>
                <w:bCs/>
                <w:sz w:val="16"/>
                <w:szCs w:val="16"/>
                <w:lang w:val="sr-Latn-RS" w:eastAsia="en-US"/>
              </w:rPr>
            </w:pPr>
            <w:r w:rsidRPr="00146F9D">
              <w:rPr>
                <w:rFonts w:ascii="Arial" w:hAnsi="Arial"/>
                <w:b/>
                <w:bCs/>
                <w:sz w:val="16"/>
                <w:szCs w:val="16"/>
                <w:lang w:val="sr-Latn-RS" w:eastAsia="en-US"/>
              </w:rPr>
              <w:t>Izvor podataka</w:t>
            </w:r>
          </w:p>
        </w:tc>
        <w:tc>
          <w:tcPr>
            <w:tcW w:w="0" w:type="auto"/>
            <w:shd w:val="clear" w:color="auto" w:fill="EAEDF1" w:themeFill="text2" w:themeFillTint="1A"/>
          </w:tcPr>
          <w:p w14:paraId="3458A84A" w14:textId="25CBC562" w:rsidR="00993EDA" w:rsidRPr="00146F9D" w:rsidRDefault="00924FE9" w:rsidP="00DD1FEA">
            <w:pPr>
              <w:pStyle w:val="Tabelle"/>
              <w:rPr>
                <w:rFonts w:ascii="Arial" w:hAnsi="Arial"/>
                <w:b/>
                <w:bCs/>
                <w:sz w:val="16"/>
                <w:szCs w:val="16"/>
                <w:lang w:val="sr-Latn-RS" w:eastAsia="en-US"/>
              </w:rPr>
            </w:pPr>
            <w:r>
              <w:rPr>
                <w:rFonts w:ascii="Arial" w:hAnsi="Arial"/>
                <w:b/>
                <w:bCs/>
                <w:sz w:val="16"/>
                <w:szCs w:val="16"/>
                <w:lang w:val="sr-Latn-RS" w:eastAsia="en-US"/>
              </w:rPr>
              <w:t>Komentar</w:t>
            </w:r>
          </w:p>
        </w:tc>
      </w:tr>
      <w:tr w:rsidR="00B42667" w:rsidRPr="00146F9D" w14:paraId="4288A0D7" w14:textId="77777777" w:rsidTr="00A25755">
        <w:tc>
          <w:tcPr>
            <w:tcW w:w="0" w:type="auto"/>
            <w:shd w:val="clear" w:color="auto" w:fill="E2EFD9" w:themeFill="accent6" w:themeFillTint="33"/>
          </w:tcPr>
          <w:p w14:paraId="63307BA2" w14:textId="04E302AD"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Relevantnost</w:t>
            </w:r>
          </w:p>
        </w:tc>
        <w:tc>
          <w:tcPr>
            <w:tcW w:w="0" w:type="auto"/>
            <w:shd w:val="clear" w:color="auto" w:fill="E2EFD9" w:themeFill="accent6" w:themeFillTint="33"/>
          </w:tcPr>
          <w:p w14:paraId="2C135DBF"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Koliko je pristup i logika intervencije NPZP bio prikladan i relevantan u smislu njegovih ciljeva i u kontekstu Crne Gore?</w:t>
            </w:r>
          </w:p>
          <w:p w14:paraId="5603EDF6" w14:textId="72EC9203" w:rsidR="00993EDA" w:rsidRPr="00146F9D" w:rsidRDefault="00993EDA" w:rsidP="00924FE9">
            <w:pPr>
              <w:pStyle w:val="Tabelle"/>
              <w:rPr>
                <w:rFonts w:ascii="Arial" w:hAnsi="Arial"/>
                <w:sz w:val="16"/>
                <w:szCs w:val="16"/>
                <w:lang w:val="sr-Latn-RS" w:eastAsia="en-US"/>
              </w:rPr>
            </w:pPr>
          </w:p>
        </w:tc>
        <w:tc>
          <w:tcPr>
            <w:tcW w:w="0" w:type="auto"/>
            <w:shd w:val="clear" w:color="auto" w:fill="E2EFD9" w:themeFill="accent6" w:themeFillTint="33"/>
          </w:tcPr>
          <w:p w14:paraId="3E68F17A"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205667AD" w14:textId="5B04B860" w:rsidR="00993EDA"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shd w:val="clear" w:color="auto" w:fill="E2EFD9" w:themeFill="accent6" w:themeFillTint="33"/>
          </w:tcPr>
          <w:p w14:paraId="4ACBC5BC" w14:textId="77777777" w:rsidR="00993EDA" w:rsidRPr="00146F9D" w:rsidRDefault="005A7409" w:rsidP="00993EDA">
            <w:pPr>
              <w:pStyle w:val="Tabelle"/>
              <w:rPr>
                <w:rFonts w:ascii="Arial" w:hAnsi="Arial"/>
                <w:sz w:val="16"/>
                <w:szCs w:val="16"/>
                <w:lang w:val="sr-Latn-RS" w:eastAsia="en-US"/>
              </w:rPr>
            </w:pPr>
            <w:r w:rsidRPr="00146F9D">
              <w:rPr>
                <w:rFonts w:ascii="Arial" w:hAnsi="Arial"/>
                <w:sz w:val="16"/>
                <w:szCs w:val="16"/>
                <w:lang w:val="sr-Latn-RS" w:eastAsia="en-US"/>
              </w:rPr>
              <w:t>3,66</w:t>
            </w:r>
          </w:p>
          <w:p w14:paraId="389345A0" w14:textId="77777777" w:rsidR="005A7409" w:rsidRPr="00146F9D" w:rsidRDefault="005A7409" w:rsidP="00993EDA">
            <w:pPr>
              <w:pStyle w:val="Tabelle"/>
              <w:rPr>
                <w:rFonts w:ascii="Arial" w:hAnsi="Arial"/>
                <w:sz w:val="16"/>
                <w:szCs w:val="16"/>
                <w:lang w:val="sr-Latn-RS" w:eastAsia="en-US"/>
              </w:rPr>
            </w:pPr>
          </w:p>
          <w:p w14:paraId="2DD4240D" w14:textId="2ADCD3AB" w:rsidR="005A7409" w:rsidRPr="00146F9D" w:rsidRDefault="005A7409" w:rsidP="00993EDA">
            <w:pPr>
              <w:pStyle w:val="Tabelle"/>
              <w:rPr>
                <w:rFonts w:ascii="Arial" w:hAnsi="Arial"/>
                <w:sz w:val="16"/>
                <w:szCs w:val="16"/>
                <w:highlight w:val="yellow"/>
                <w:lang w:val="sr-Latn-RS" w:eastAsia="en-US"/>
              </w:rPr>
            </w:pPr>
          </w:p>
        </w:tc>
        <w:tc>
          <w:tcPr>
            <w:tcW w:w="0" w:type="auto"/>
            <w:shd w:val="clear" w:color="auto" w:fill="E2EFD9" w:themeFill="accent6" w:themeFillTint="33"/>
          </w:tcPr>
          <w:p w14:paraId="3E77D626" w14:textId="77777777" w:rsidR="00993EDA" w:rsidRPr="00146F9D" w:rsidRDefault="00993EDA" w:rsidP="00993EDA">
            <w:pPr>
              <w:pStyle w:val="Tabelle"/>
              <w:rPr>
                <w:rFonts w:ascii="Arial" w:hAnsi="Arial"/>
                <w:sz w:val="16"/>
                <w:szCs w:val="16"/>
                <w:lang w:val="sr-Latn-RS" w:eastAsia="en-US"/>
              </w:rPr>
            </w:pPr>
            <w:r w:rsidRPr="00146F9D">
              <w:rPr>
                <w:rFonts w:ascii="Arial" w:hAnsi="Arial"/>
                <w:sz w:val="16"/>
                <w:szCs w:val="16"/>
                <w:lang w:val="sr-Latn-RS" w:eastAsia="en-US"/>
              </w:rPr>
              <w:t>1-5</w:t>
            </w:r>
          </w:p>
        </w:tc>
        <w:tc>
          <w:tcPr>
            <w:tcW w:w="0" w:type="auto"/>
            <w:shd w:val="clear" w:color="auto" w:fill="E2EFD9" w:themeFill="accent6" w:themeFillTint="33"/>
          </w:tcPr>
          <w:p w14:paraId="165F37F7" w14:textId="3BF05426"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Nije dostupno</w:t>
            </w:r>
          </w:p>
        </w:tc>
        <w:tc>
          <w:tcPr>
            <w:tcW w:w="0" w:type="auto"/>
            <w:shd w:val="clear" w:color="auto" w:fill="E2EFD9" w:themeFill="accent6" w:themeFillTint="33"/>
          </w:tcPr>
          <w:p w14:paraId="02B6C145" w14:textId="77777777" w:rsidR="00924FE9" w:rsidRDefault="00924FE9" w:rsidP="00993EDA">
            <w:pPr>
              <w:pStyle w:val="Tabelle"/>
              <w:rPr>
                <w:rFonts w:ascii="Arial" w:hAnsi="Arial"/>
                <w:sz w:val="16"/>
                <w:szCs w:val="16"/>
                <w:lang w:val="sr-Latn-RS" w:eastAsia="en-US"/>
              </w:rPr>
            </w:pPr>
            <w:r>
              <w:rPr>
                <w:rFonts w:ascii="Arial" w:hAnsi="Arial"/>
                <w:sz w:val="16"/>
                <w:szCs w:val="16"/>
                <w:lang w:val="sr-Latn-RS" w:eastAsia="en-US"/>
              </w:rPr>
              <w:t>Zapisnici sa intervjua</w:t>
            </w:r>
          </w:p>
          <w:p w14:paraId="039358C2" w14:textId="77777777" w:rsidR="00924FE9" w:rsidRDefault="00924FE9" w:rsidP="00993EDA">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798CD897" w14:textId="66B351D2" w:rsidR="00924FE9" w:rsidRDefault="00924FE9" w:rsidP="00993EDA">
            <w:pPr>
              <w:pStyle w:val="Tabelle"/>
              <w:rPr>
                <w:rFonts w:ascii="Arial" w:hAnsi="Arial"/>
                <w:sz w:val="16"/>
                <w:szCs w:val="16"/>
                <w:lang w:val="sr-Latn-RS" w:eastAsia="en-US"/>
              </w:rPr>
            </w:pPr>
            <w:r>
              <w:rPr>
                <w:rFonts w:ascii="Arial" w:hAnsi="Arial"/>
                <w:sz w:val="16"/>
                <w:szCs w:val="16"/>
                <w:lang w:val="sr-Latn-RS" w:eastAsia="en-US"/>
              </w:rPr>
              <w:t>Izveštaj EU o napretku</w:t>
            </w:r>
          </w:p>
          <w:p w14:paraId="1C37A3F9" w14:textId="2B5E04FB" w:rsidR="00993EDA" w:rsidRPr="00146F9D" w:rsidRDefault="00993EDA" w:rsidP="00993EDA">
            <w:pPr>
              <w:pStyle w:val="Tabelle"/>
              <w:rPr>
                <w:rFonts w:ascii="Arial" w:hAnsi="Arial"/>
                <w:sz w:val="16"/>
                <w:szCs w:val="16"/>
                <w:lang w:val="sr-Latn-RS" w:eastAsia="en-US"/>
              </w:rPr>
            </w:pPr>
          </w:p>
        </w:tc>
        <w:tc>
          <w:tcPr>
            <w:tcW w:w="0" w:type="auto"/>
            <w:shd w:val="clear" w:color="auto" w:fill="E2EFD9" w:themeFill="accent6" w:themeFillTint="33"/>
          </w:tcPr>
          <w:p w14:paraId="340CD77F" w14:textId="261E94E9"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Pristup N</w:t>
            </w:r>
            <w:r>
              <w:rPr>
                <w:rFonts w:ascii="Arial" w:hAnsi="Arial"/>
                <w:sz w:val="16"/>
                <w:szCs w:val="16"/>
                <w:lang w:val="sr-Latn-RS" w:eastAsia="en-US"/>
              </w:rPr>
              <w:t>PZP</w:t>
            </w:r>
            <w:r w:rsidRPr="00924FE9">
              <w:rPr>
                <w:rFonts w:ascii="Arial" w:hAnsi="Arial"/>
                <w:sz w:val="16"/>
                <w:szCs w:val="16"/>
                <w:lang w:val="sr-Latn-RS" w:eastAsia="en-US"/>
              </w:rPr>
              <w:t>-a utvrđen kao relevantni za celokupni strateški okvir Crne Gore, dok je hijerarhija strateških ciljeva uspostavljena u odnosu na potrebe ekonomije u oblasti zaštite potrošača.</w:t>
            </w:r>
          </w:p>
          <w:p w14:paraId="6BB4048B" w14:textId="77777777" w:rsidR="00924FE9" w:rsidRPr="00924FE9" w:rsidRDefault="00924FE9" w:rsidP="00924FE9">
            <w:pPr>
              <w:pStyle w:val="Tabelle"/>
              <w:rPr>
                <w:rFonts w:ascii="Arial" w:hAnsi="Arial"/>
                <w:sz w:val="16"/>
                <w:szCs w:val="16"/>
                <w:lang w:val="sr-Latn-RS" w:eastAsia="en-US"/>
              </w:rPr>
            </w:pPr>
          </w:p>
          <w:p w14:paraId="1D9A4653" w14:textId="741F276D" w:rsidR="00016755" w:rsidRPr="00146F9D"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Relativno mali uzorak je mogao uticati na ukupni rezultat.</w:t>
            </w:r>
          </w:p>
        </w:tc>
      </w:tr>
      <w:tr w:rsidR="00E82B3C" w:rsidRPr="00146F9D" w14:paraId="6D326D31" w14:textId="77777777" w:rsidTr="00A25755">
        <w:tc>
          <w:tcPr>
            <w:tcW w:w="0" w:type="auto"/>
          </w:tcPr>
          <w:p w14:paraId="0E8F24E9" w14:textId="74D326AF"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Relevantnost</w:t>
            </w:r>
          </w:p>
        </w:tc>
        <w:tc>
          <w:tcPr>
            <w:tcW w:w="0" w:type="auto"/>
          </w:tcPr>
          <w:p w14:paraId="2487B917" w14:textId="4A53009F" w:rsidR="00146F9D" w:rsidRPr="00146F9D" w:rsidRDefault="00924FE9" w:rsidP="00146F9D">
            <w:pPr>
              <w:pStyle w:val="Tabelle"/>
              <w:rPr>
                <w:rFonts w:ascii="Arial" w:hAnsi="Arial"/>
                <w:sz w:val="16"/>
                <w:szCs w:val="16"/>
                <w:lang w:val="sr-Latn-RS" w:eastAsia="en-US"/>
              </w:rPr>
            </w:pPr>
            <w:r w:rsidRPr="00924FE9">
              <w:rPr>
                <w:rFonts w:ascii="Arial" w:hAnsi="Arial"/>
                <w:sz w:val="16"/>
                <w:szCs w:val="16"/>
                <w:lang w:val="sr-Latn-RS" w:eastAsia="en-US"/>
              </w:rPr>
              <w:t xml:space="preserve">U kojoj meri je NPZP bio prikladan za promociju znanja, kapaciteta i svesti o rešenjima zaštite potrošača među donosiocima odluka, </w:t>
            </w:r>
            <w:proofErr w:type="spellStart"/>
            <w:r w:rsidRPr="00924FE9">
              <w:rPr>
                <w:rFonts w:ascii="Arial" w:hAnsi="Arial"/>
                <w:sz w:val="16"/>
                <w:szCs w:val="16"/>
                <w:lang w:val="sr-Latn-RS" w:eastAsia="en-US"/>
              </w:rPr>
              <w:t>implementacionim</w:t>
            </w:r>
            <w:proofErr w:type="spellEnd"/>
            <w:r w:rsidRPr="00924FE9">
              <w:rPr>
                <w:rFonts w:ascii="Arial" w:hAnsi="Arial"/>
                <w:sz w:val="16"/>
                <w:szCs w:val="16"/>
                <w:lang w:val="sr-Latn-RS" w:eastAsia="en-US"/>
              </w:rPr>
              <w:t xml:space="preserve"> javnim i privatnim institucijama i lokalnim zajednicama?</w:t>
            </w:r>
          </w:p>
        </w:tc>
        <w:tc>
          <w:tcPr>
            <w:tcW w:w="0" w:type="auto"/>
          </w:tcPr>
          <w:p w14:paraId="593A176A"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4295C20C" w14:textId="24A12330"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06421111" w14:textId="6B90CF5D" w:rsidR="00146F9D" w:rsidRPr="00146F9D" w:rsidRDefault="00146F9D" w:rsidP="00146F9D">
            <w:pPr>
              <w:pStyle w:val="Tabelle"/>
              <w:rPr>
                <w:rFonts w:ascii="Arial" w:hAnsi="Arial"/>
                <w:sz w:val="16"/>
                <w:szCs w:val="16"/>
                <w:highlight w:val="yellow"/>
                <w:lang w:val="sr-Latn-RS" w:eastAsia="en-US"/>
              </w:rPr>
            </w:pPr>
            <w:r w:rsidRPr="00146F9D">
              <w:rPr>
                <w:rFonts w:ascii="Arial" w:hAnsi="Arial"/>
                <w:sz w:val="16"/>
                <w:szCs w:val="16"/>
                <w:lang w:val="sr-Latn-RS" w:eastAsia="en-US"/>
              </w:rPr>
              <w:t>4</w:t>
            </w:r>
          </w:p>
        </w:tc>
        <w:tc>
          <w:tcPr>
            <w:tcW w:w="0" w:type="auto"/>
          </w:tcPr>
          <w:p w14:paraId="2F957053" w14:textId="77777777"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1-5</w:t>
            </w:r>
          </w:p>
        </w:tc>
        <w:tc>
          <w:tcPr>
            <w:tcW w:w="0" w:type="auto"/>
          </w:tcPr>
          <w:p w14:paraId="1302EE02" w14:textId="4D4DB74E" w:rsidR="00146F9D" w:rsidRPr="00146F9D" w:rsidRDefault="00146F9D" w:rsidP="00146F9D">
            <w:pPr>
              <w:pStyle w:val="Tabelle"/>
              <w:rPr>
                <w:rFonts w:ascii="Arial" w:hAnsi="Arial"/>
                <w:sz w:val="16"/>
                <w:szCs w:val="16"/>
                <w:lang w:val="sr-Latn-RS" w:eastAsia="en-US"/>
              </w:rPr>
            </w:pPr>
            <w:r w:rsidRPr="00280444">
              <w:rPr>
                <w:rFonts w:ascii="Arial" w:hAnsi="Arial"/>
                <w:sz w:val="16"/>
                <w:szCs w:val="16"/>
                <w:lang w:val="sr-Latn-RS" w:eastAsia="en-US"/>
              </w:rPr>
              <w:t>Nije dostupno</w:t>
            </w:r>
          </w:p>
        </w:tc>
        <w:tc>
          <w:tcPr>
            <w:tcW w:w="0" w:type="auto"/>
          </w:tcPr>
          <w:p w14:paraId="3B984D98" w14:textId="77777777" w:rsidR="00924FE9" w:rsidRDefault="00924FE9" w:rsidP="00924FE9">
            <w:pPr>
              <w:pStyle w:val="Tabelle"/>
              <w:rPr>
                <w:rFonts w:ascii="Arial" w:hAnsi="Arial"/>
                <w:sz w:val="16"/>
                <w:szCs w:val="16"/>
                <w:lang w:val="sr-Latn-RS" w:eastAsia="en-US"/>
              </w:rPr>
            </w:pPr>
            <w:r>
              <w:rPr>
                <w:rFonts w:ascii="Arial" w:hAnsi="Arial"/>
                <w:sz w:val="16"/>
                <w:szCs w:val="16"/>
                <w:lang w:val="sr-Latn-RS" w:eastAsia="en-US"/>
              </w:rPr>
              <w:t>Zapisnici sa intervjua</w:t>
            </w:r>
          </w:p>
          <w:p w14:paraId="72716BA2" w14:textId="487FC95D" w:rsidR="00146F9D" w:rsidRPr="00146F9D" w:rsidRDefault="00924FE9" w:rsidP="00146F9D">
            <w:pPr>
              <w:pStyle w:val="Tabelle"/>
              <w:rPr>
                <w:rFonts w:ascii="Arial" w:hAnsi="Arial"/>
                <w:sz w:val="16"/>
                <w:szCs w:val="16"/>
                <w:lang w:val="sr-Latn-RS" w:eastAsia="en-US"/>
              </w:rPr>
            </w:pPr>
            <w:r>
              <w:rPr>
                <w:rFonts w:ascii="Arial" w:hAnsi="Arial"/>
                <w:sz w:val="16"/>
                <w:szCs w:val="16"/>
                <w:lang w:val="sr-Latn-RS" w:eastAsia="en-US"/>
              </w:rPr>
              <w:t>Analiza dokumenata</w:t>
            </w:r>
          </w:p>
        </w:tc>
        <w:tc>
          <w:tcPr>
            <w:tcW w:w="0" w:type="auto"/>
          </w:tcPr>
          <w:p w14:paraId="043B2CCD" w14:textId="1F960CC4" w:rsidR="00146F9D" w:rsidRPr="00146F9D" w:rsidRDefault="00924FE9" w:rsidP="00146F9D">
            <w:pPr>
              <w:pStyle w:val="Tabelle"/>
              <w:rPr>
                <w:rFonts w:ascii="Arial" w:hAnsi="Arial"/>
                <w:sz w:val="16"/>
                <w:szCs w:val="16"/>
                <w:highlight w:val="yellow"/>
                <w:lang w:val="sr-Latn-RS" w:eastAsia="en-US"/>
              </w:rPr>
            </w:pPr>
            <w:r w:rsidRPr="00924FE9">
              <w:rPr>
                <w:rFonts w:ascii="Arial" w:hAnsi="Arial"/>
                <w:sz w:val="16"/>
                <w:szCs w:val="16"/>
                <w:lang w:val="sr-Latn-RS" w:eastAsia="en-US"/>
              </w:rPr>
              <w:t>Doseg N</w:t>
            </w:r>
            <w:r>
              <w:rPr>
                <w:rFonts w:ascii="Arial" w:hAnsi="Arial"/>
                <w:sz w:val="16"/>
                <w:szCs w:val="16"/>
                <w:lang w:val="sr-Latn-RS" w:eastAsia="en-US"/>
              </w:rPr>
              <w:t>PZP</w:t>
            </w:r>
            <w:r w:rsidRPr="00924FE9">
              <w:rPr>
                <w:rFonts w:ascii="Arial" w:hAnsi="Arial"/>
                <w:sz w:val="16"/>
                <w:szCs w:val="16"/>
                <w:lang w:val="sr-Latn-RS" w:eastAsia="en-US"/>
              </w:rPr>
              <w:t>-a se pokazao veoma relevantnim, dok lokalne zajednice i nevladine organizacije i dalje treba da budu angažovane u većem obimu.</w:t>
            </w:r>
          </w:p>
        </w:tc>
      </w:tr>
      <w:tr w:rsidR="00B42667" w:rsidRPr="00146F9D" w14:paraId="443E479B" w14:textId="77777777" w:rsidTr="00924FE9">
        <w:tc>
          <w:tcPr>
            <w:tcW w:w="0" w:type="auto"/>
          </w:tcPr>
          <w:p w14:paraId="4293DDE6" w14:textId="42FEE04C"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Relevantnost</w:t>
            </w:r>
          </w:p>
        </w:tc>
        <w:tc>
          <w:tcPr>
            <w:tcW w:w="0" w:type="auto"/>
          </w:tcPr>
          <w:p w14:paraId="4BB324BC"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Koje su specifičnosti crnogorske ekonomije (političke, ekološke, vladavina prava, itd.) i da li ih je NPZP obradio na način da su ključna pitanja, akcije, ishodi i rezultati dobro isplanirani?</w:t>
            </w:r>
          </w:p>
          <w:p w14:paraId="3DB48604" w14:textId="2B753D08" w:rsidR="00146F9D" w:rsidRPr="00146F9D" w:rsidRDefault="00146F9D" w:rsidP="00146F9D">
            <w:pPr>
              <w:pStyle w:val="Tabelle"/>
              <w:rPr>
                <w:rFonts w:ascii="Arial" w:hAnsi="Arial"/>
                <w:sz w:val="16"/>
                <w:szCs w:val="16"/>
                <w:lang w:val="sr-Latn-RS" w:eastAsia="en-US"/>
              </w:rPr>
            </w:pPr>
          </w:p>
        </w:tc>
        <w:tc>
          <w:tcPr>
            <w:tcW w:w="0" w:type="auto"/>
          </w:tcPr>
          <w:p w14:paraId="5186098A" w14:textId="30AAEE58"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vMerge w:val="restart"/>
          </w:tcPr>
          <w:p w14:paraId="04A8F00C" w14:textId="7AFFF1B0"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N</w:t>
            </w:r>
            <w:r>
              <w:rPr>
                <w:rFonts w:ascii="Arial" w:hAnsi="Arial"/>
                <w:sz w:val="16"/>
                <w:szCs w:val="16"/>
                <w:lang w:val="sr-Latn-RS" w:eastAsia="en-US"/>
              </w:rPr>
              <w:t>PZP</w:t>
            </w:r>
            <w:r w:rsidRPr="00924FE9">
              <w:rPr>
                <w:rFonts w:ascii="Arial" w:hAnsi="Arial"/>
                <w:sz w:val="16"/>
                <w:szCs w:val="16"/>
                <w:lang w:val="sr-Latn-RS" w:eastAsia="en-US"/>
              </w:rPr>
              <w:t xml:space="preserve"> se uklapa u opšti </w:t>
            </w:r>
            <w:r>
              <w:rPr>
                <w:rFonts w:ascii="Arial" w:hAnsi="Arial"/>
                <w:sz w:val="16"/>
                <w:szCs w:val="16"/>
                <w:lang w:val="sr-Latn-RS" w:eastAsia="en-US"/>
              </w:rPr>
              <w:t xml:space="preserve">okvir </w:t>
            </w:r>
            <w:r w:rsidRPr="00924FE9">
              <w:rPr>
                <w:rFonts w:ascii="Arial" w:hAnsi="Arial"/>
                <w:sz w:val="16"/>
                <w:szCs w:val="16"/>
                <w:lang w:val="sr-Latn-RS" w:eastAsia="en-US"/>
              </w:rPr>
              <w:t>javnih politika u Crnoj Gori.</w:t>
            </w:r>
          </w:p>
          <w:p w14:paraId="1E28D4EB" w14:textId="3C5406DF" w:rsidR="00146F9D" w:rsidRPr="00146F9D" w:rsidRDefault="00924FE9" w:rsidP="00924FE9">
            <w:pPr>
              <w:pStyle w:val="Tabelle"/>
              <w:rPr>
                <w:rFonts w:ascii="Arial" w:hAnsi="Arial"/>
                <w:sz w:val="16"/>
                <w:szCs w:val="16"/>
                <w:highlight w:val="yellow"/>
                <w:lang w:val="sr-Latn-RS" w:eastAsia="en-US"/>
              </w:rPr>
            </w:pPr>
            <w:r w:rsidRPr="00924FE9">
              <w:rPr>
                <w:rFonts w:ascii="Arial" w:hAnsi="Arial"/>
                <w:sz w:val="16"/>
                <w:szCs w:val="16"/>
                <w:lang w:val="sr-Latn-RS" w:eastAsia="en-US"/>
              </w:rPr>
              <w:t>Očigledno je da, iako je zaštita potrošača kao pojam relevantna za niz različitih politika, kao što su one u energetici, transportu i turizmu, retko se prepoznaje u tim političkim dokumentima. U tom smislu, N</w:t>
            </w:r>
            <w:r>
              <w:rPr>
                <w:rFonts w:ascii="Arial" w:hAnsi="Arial"/>
                <w:sz w:val="16"/>
                <w:szCs w:val="16"/>
                <w:lang w:val="sr-Latn-RS" w:eastAsia="en-US"/>
              </w:rPr>
              <w:t>PZP</w:t>
            </w:r>
            <w:r w:rsidRPr="00924FE9">
              <w:rPr>
                <w:rFonts w:ascii="Arial" w:hAnsi="Arial"/>
                <w:sz w:val="16"/>
                <w:szCs w:val="16"/>
                <w:lang w:val="sr-Latn-RS" w:eastAsia="en-US"/>
              </w:rPr>
              <w:t xml:space="preserve"> strateški pozicionira zaštitu potrošača kao horizontalno pitanje.</w:t>
            </w:r>
          </w:p>
        </w:tc>
        <w:tc>
          <w:tcPr>
            <w:tcW w:w="0" w:type="auto"/>
            <w:vMerge w:val="restart"/>
          </w:tcPr>
          <w:p w14:paraId="35E498E3" w14:textId="4650E585" w:rsidR="00146F9D" w:rsidRPr="00146F9D" w:rsidRDefault="00924FE9" w:rsidP="00146F9D">
            <w:pPr>
              <w:pStyle w:val="Tabelle"/>
              <w:rPr>
                <w:rFonts w:ascii="Arial" w:hAnsi="Arial"/>
                <w:sz w:val="16"/>
                <w:szCs w:val="16"/>
                <w:lang w:val="sr-Latn-RS" w:eastAsia="en-US"/>
              </w:rPr>
            </w:pPr>
            <w:r>
              <w:rPr>
                <w:rFonts w:ascii="Arial" w:hAnsi="Arial"/>
                <w:sz w:val="16"/>
                <w:szCs w:val="16"/>
                <w:lang w:val="sr-Latn-RS" w:eastAsia="en-US"/>
              </w:rPr>
              <w:t>Narativ</w:t>
            </w:r>
          </w:p>
          <w:p w14:paraId="1F7CF06C" w14:textId="7D7BF2F1" w:rsidR="00146F9D" w:rsidRPr="00146F9D" w:rsidRDefault="00146F9D" w:rsidP="00146F9D">
            <w:pPr>
              <w:pStyle w:val="Tabelle"/>
              <w:rPr>
                <w:rFonts w:ascii="Arial" w:hAnsi="Arial"/>
                <w:sz w:val="16"/>
                <w:szCs w:val="16"/>
                <w:lang w:val="sr-Latn-RS" w:eastAsia="en-US"/>
              </w:rPr>
            </w:pPr>
          </w:p>
        </w:tc>
        <w:tc>
          <w:tcPr>
            <w:tcW w:w="0" w:type="auto"/>
            <w:vMerge w:val="restart"/>
          </w:tcPr>
          <w:p w14:paraId="172029CA" w14:textId="397E1D01" w:rsidR="00146F9D" w:rsidRPr="00146F9D" w:rsidRDefault="00146F9D" w:rsidP="00146F9D">
            <w:pPr>
              <w:pStyle w:val="Tabelle"/>
              <w:rPr>
                <w:rFonts w:ascii="Arial" w:hAnsi="Arial"/>
                <w:sz w:val="16"/>
                <w:szCs w:val="16"/>
                <w:lang w:val="sr-Latn-RS" w:eastAsia="en-US"/>
              </w:rPr>
            </w:pPr>
            <w:r w:rsidRPr="00280444">
              <w:rPr>
                <w:rFonts w:ascii="Arial" w:hAnsi="Arial"/>
                <w:sz w:val="16"/>
                <w:szCs w:val="16"/>
                <w:lang w:val="sr-Latn-RS" w:eastAsia="en-US"/>
              </w:rPr>
              <w:t>Nije dostupno</w:t>
            </w:r>
          </w:p>
        </w:tc>
        <w:tc>
          <w:tcPr>
            <w:tcW w:w="0" w:type="auto"/>
            <w:vMerge w:val="restart"/>
          </w:tcPr>
          <w:p w14:paraId="0EB30E0A"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Zapisnici sa intervjua</w:t>
            </w:r>
          </w:p>
          <w:p w14:paraId="062E4B36" w14:textId="77777777" w:rsidR="00B42667" w:rsidRDefault="00B42667" w:rsidP="00B42667">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03BD34CD" w14:textId="6402BA8C"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NPZP</w:t>
            </w:r>
          </w:p>
          <w:p w14:paraId="47EFF9F5" w14:textId="091A3515" w:rsidR="00146F9D" w:rsidRPr="00146F9D" w:rsidRDefault="00146F9D" w:rsidP="00146F9D">
            <w:pPr>
              <w:pStyle w:val="Tabelle"/>
              <w:rPr>
                <w:rFonts w:ascii="Arial" w:hAnsi="Arial"/>
                <w:sz w:val="16"/>
                <w:szCs w:val="16"/>
                <w:lang w:val="sr-Latn-RS" w:eastAsia="en-US"/>
              </w:rPr>
            </w:pPr>
          </w:p>
        </w:tc>
        <w:tc>
          <w:tcPr>
            <w:tcW w:w="0" w:type="auto"/>
            <w:vMerge w:val="restart"/>
            <w:shd w:val="clear" w:color="auto" w:fill="auto"/>
          </w:tcPr>
          <w:p w14:paraId="5C550218" w14:textId="56D233AE" w:rsidR="00146F9D" w:rsidRPr="00146F9D" w:rsidRDefault="00924FE9" w:rsidP="00146F9D">
            <w:pPr>
              <w:pStyle w:val="Tabelle"/>
              <w:rPr>
                <w:rFonts w:ascii="Arial" w:hAnsi="Arial"/>
                <w:sz w:val="16"/>
                <w:szCs w:val="16"/>
                <w:highlight w:val="yellow"/>
                <w:lang w:val="sr-Latn-RS" w:eastAsia="en-US"/>
              </w:rPr>
            </w:pPr>
            <w:r w:rsidRPr="00924FE9">
              <w:rPr>
                <w:rFonts w:ascii="Arial" w:hAnsi="Arial"/>
                <w:sz w:val="16"/>
                <w:szCs w:val="16"/>
                <w:lang w:val="sr-Latn-RS" w:eastAsia="en-US"/>
              </w:rPr>
              <w:t>/</w:t>
            </w:r>
          </w:p>
        </w:tc>
      </w:tr>
      <w:tr w:rsidR="00B42667" w:rsidRPr="00146F9D" w14:paraId="2B93A654" w14:textId="77777777" w:rsidTr="00924FE9">
        <w:tc>
          <w:tcPr>
            <w:tcW w:w="0" w:type="auto"/>
          </w:tcPr>
          <w:p w14:paraId="244DECF0" w14:textId="7107FB7D"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Relevantnost</w:t>
            </w:r>
          </w:p>
        </w:tc>
        <w:tc>
          <w:tcPr>
            <w:tcW w:w="0" w:type="auto"/>
          </w:tcPr>
          <w:p w14:paraId="61E1A711"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Koliko je relevantan NPZP za opšti strateški okvir u Crnoj Gori?</w:t>
            </w:r>
          </w:p>
          <w:p w14:paraId="5C876EAE" w14:textId="27040FDF" w:rsidR="00146F9D" w:rsidRPr="00146F9D" w:rsidRDefault="00146F9D" w:rsidP="00146F9D">
            <w:pPr>
              <w:pStyle w:val="Tabelle"/>
              <w:rPr>
                <w:rFonts w:ascii="Arial" w:hAnsi="Arial"/>
                <w:sz w:val="16"/>
                <w:szCs w:val="16"/>
                <w:lang w:val="sr-Latn-RS" w:eastAsia="en-US"/>
              </w:rPr>
            </w:pPr>
          </w:p>
        </w:tc>
        <w:tc>
          <w:tcPr>
            <w:tcW w:w="0" w:type="auto"/>
          </w:tcPr>
          <w:p w14:paraId="0D3FB78F"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52ADEB97" w14:textId="6071A8C9"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vMerge/>
          </w:tcPr>
          <w:p w14:paraId="7533ECA6" w14:textId="36ADF165" w:rsidR="00146F9D" w:rsidRPr="00146F9D" w:rsidRDefault="00146F9D" w:rsidP="00146F9D">
            <w:pPr>
              <w:pStyle w:val="Tabelle"/>
              <w:rPr>
                <w:rFonts w:ascii="Arial" w:hAnsi="Arial"/>
                <w:sz w:val="16"/>
                <w:szCs w:val="16"/>
                <w:highlight w:val="yellow"/>
                <w:lang w:val="sr-Latn-RS" w:eastAsia="en-US"/>
              </w:rPr>
            </w:pPr>
          </w:p>
        </w:tc>
        <w:tc>
          <w:tcPr>
            <w:tcW w:w="0" w:type="auto"/>
            <w:vMerge/>
          </w:tcPr>
          <w:p w14:paraId="640A929D" w14:textId="7787F590" w:rsidR="00146F9D" w:rsidRPr="00146F9D" w:rsidRDefault="00146F9D" w:rsidP="00146F9D">
            <w:pPr>
              <w:pStyle w:val="Tabelle"/>
              <w:rPr>
                <w:rFonts w:ascii="Arial" w:hAnsi="Arial"/>
                <w:sz w:val="16"/>
                <w:szCs w:val="16"/>
                <w:lang w:val="sr-Latn-RS" w:eastAsia="en-US"/>
              </w:rPr>
            </w:pPr>
          </w:p>
        </w:tc>
        <w:tc>
          <w:tcPr>
            <w:tcW w:w="0" w:type="auto"/>
            <w:vMerge/>
          </w:tcPr>
          <w:p w14:paraId="04A78A0C" w14:textId="529298E4" w:rsidR="00146F9D" w:rsidRPr="00146F9D" w:rsidRDefault="00146F9D" w:rsidP="00146F9D">
            <w:pPr>
              <w:pStyle w:val="Tabelle"/>
              <w:rPr>
                <w:rFonts w:ascii="Arial" w:hAnsi="Arial"/>
                <w:sz w:val="16"/>
                <w:szCs w:val="16"/>
                <w:lang w:val="sr-Latn-RS" w:eastAsia="en-US"/>
              </w:rPr>
            </w:pPr>
          </w:p>
        </w:tc>
        <w:tc>
          <w:tcPr>
            <w:tcW w:w="0" w:type="auto"/>
            <w:vMerge/>
          </w:tcPr>
          <w:p w14:paraId="2A67AF40" w14:textId="38E2C0DE" w:rsidR="00146F9D" w:rsidRPr="00146F9D" w:rsidRDefault="00146F9D" w:rsidP="00146F9D">
            <w:pPr>
              <w:pStyle w:val="Tabelle"/>
              <w:rPr>
                <w:rFonts w:ascii="Arial" w:hAnsi="Arial"/>
                <w:sz w:val="16"/>
                <w:szCs w:val="16"/>
                <w:lang w:val="sr-Latn-RS" w:eastAsia="en-US"/>
              </w:rPr>
            </w:pPr>
          </w:p>
        </w:tc>
        <w:tc>
          <w:tcPr>
            <w:tcW w:w="0" w:type="auto"/>
            <w:vMerge/>
            <w:shd w:val="clear" w:color="auto" w:fill="auto"/>
          </w:tcPr>
          <w:p w14:paraId="66BAE943" w14:textId="20D7D408" w:rsidR="00146F9D" w:rsidRPr="00146F9D" w:rsidRDefault="00146F9D" w:rsidP="00146F9D">
            <w:pPr>
              <w:pStyle w:val="Tabelle"/>
              <w:rPr>
                <w:rFonts w:ascii="Arial" w:hAnsi="Arial"/>
                <w:sz w:val="16"/>
                <w:szCs w:val="16"/>
                <w:highlight w:val="yellow"/>
                <w:lang w:val="sr-Latn-RS" w:eastAsia="en-US"/>
              </w:rPr>
            </w:pPr>
          </w:p>
        </w:tc>
      </w:tr>
      <w:tr w:rsidR="00E82B3C" w:rsidRPr="00146F9D" w14:paraId="11135513" w14:textId="77777777" w:rsidTr="00A25755">
        <w:tc>
          <w:tcPr>
            <w:tcW w:w="0" w:type="auto"/>
          </w:tcPr>
          <w:p w14:paraId="5A60A913" w14:textId="1505EEF1"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Relevantnost</w:t>
            </w:r>
          </w:p>
        </w:tc>
        <w:tc>
          <w:tcPr>
            <w:tcW w:w="0" w:type="auto"/>
          </w:tcPr>
          <w:p w14:paraId="49431F75" w14:textId="20BFA368" w:rsidR="00146F9D" w:rsidRPr="00146F9D" w:rsidRDefault="00924FE9" w:rsidP="00146F9D">
            <w:pPr>
              <w:pStyle w:val="Tabelle"/>
              <w:rPr>
                <w:rFonts w:ascii="Arial" w:hAnsi="Arial"/>
                <w:sz w:val="16"/>
                <w:szCs w:val="16"/>
                <w:lang w:val="sr-Latn-RS" w:eastAsia="en-US"/>
              </w:rPr>
            </w:pPr>
            <w:r w:rsidRPr="00924FE9">
              <w:rPr>
                <w:rFonts w:ascii="Arial" w:hAnsi="Arial"/>
                <w:sz w:val="16"/>
                <w:szCs w:val="16"/>
                <w:lang w:val="sr-Latn-RS" w:eastAsia="en-US"/>
              </w:rPr>
              <w:t>Da li je došlo do nekih promena specifičnih za ekonomiju (osim epidemije Kovid-19) koje su ometale relevantnost NPZP-a u Crnoj Gori?</w:t>
            </w:r>
          </w:p>
        </w:tc>
        <w:tc>
          <w:tcPr>
            <w:tcW w:w="0" w:type="auto"/>
          </w:tcPr>
          <w:p w14:paraId="2F1AB860" w14:textId="568A3C98"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2F2011CB" w14:textId="286BB6B7" w:rsidR="00146F9D" w:rsidRPr="00146F9D" w:rsidRDefault="00B42667" w:rsidP="00146F9D">
            <w:pPr>
              <w:pStyle w:val="Tabelle"/>
              <w:rPr>
                <w:rFonts w:ascii="Arial" w:hAnsi="Arial"/>
                <w:sz w:val="16"/>
                <w:szCs w:val="16"/>
                <w:highlight w:val="yellow"/>
                <w:lang w:val="sr-Latn-RS" w:eastAsia="en-US"/>
              </w:rPr>
            </w:pPr>
            <w:r w:rsidRPr="00B42667">
              <w:rPr>
                <w:rFonts w:ascii="Arial" w:hAnsi="Arial"/>
                <w:sz w:val="16"/>
                <w:szCs w:val="16"/>
                <w:lang w:val="sr-Latn-RS" w:eastAsia="en-US"/>
              </w:rPr>
              <w:t>Politička nestabilnost je istaknuta kao glavni izazov</w:t>
            </w:r>
          </w:p>
        </w:tc>
        <w:tc>
          <w:tcPr>
            <w:tcW w:w="0" w:type="auto"/>
          </w:tcPr>
          <w:p w14:paraId="7C576731" w14:textId="41B4448F"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t>Narativ</w:t>
            </w:r>
          </w:p>
        </w:tc>
        <w:tc>
          <w:tcPr>
            <w:tcW w:w="0" w:type="auto"/>
          </w:tcPr>
          <w:p w14:paraId="401EC9D2" w14:textId="3CA35F70" w:rsidR="00146F9D" w:rsidRPr="00146F9D" w:rsidRDefault="00146F9D" w:rsidP="00146F9D">
            <w:pPr>
              <w:pStyle w:val="Tabelle"/>
              <w:rPr>
                <w:rFonts w:ascii="Arial" w:hAnsi="Arial"/>
                <w:sz w:val="16"/>
                <w:szCs w:val="16"/>
                <w:lang w:val="sr-Latn-RS" w:eastAsia="en-US"/>
              </w:rPr>
            </w:pPr>
            <w:r w:rsidRPr="00280444">
              <w:rPr>
                <w:rFonts w:ascii="Arial" w:hAnsi="Arial"/>
                <w:sz w:val="16"/>
                <w:szCs w:val="16"/>
                <w:lang w:val="sr-Latn-RS" w:eastAsia="en-US"/>
              </w:rPr>
              <w:t>Nije dostupno</w:t>
            </w:r>
          </w:p>
        </w:tc>
        <w:tc>
          <w:tcPr>
            <w:tcW w:w="0" w:type="auto"/>
          </w:tcPr>
          <w:p w14:paraId="4F5F04A9"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Zapisnici sa intervjua</w:t>
            </w:r>
          </w:p>
          <w:p w14:paraId="78316343" w14:textId="2D5A90D2" w:rsidR="00146F9D" w:rsidRPr="00146F9D" w:rsidRDefault="00146F9D" w:rsidP="00146F9D">
            <w:pPr>
              <w:pStyle w:val="Tabelle"/>
              <w:rPr>
                <w:rFonts w:ascii="Arial" w:hAnsi="Arial"/>
                <w:sz w:val="16"/>
                <w:szCs w:val="16"/>
                <w:lang w:val="sr-Latn-RS" w:eastAsia="en-US"/>
              </w:rPr>
            </w:pPr>
          </w:p>
        </w:tc>
        <w:tc>
          <w:tcPr>
            <w:tcW w:w="0" w:type="auto"/>
          </w:tcPr>
          <w:p w14:paraId="19BA09B6" w14:textId="33E25823" w:rsidR="00146F9D" w:rsidRPr="00146F9D" w:rsidRDefault="00B42667" w:rsidP="00146F9D">
            <w:pPr>
              <w:pStyle w:val="Tabelle"/>
              <w:rPr>
                <w:rFonts w:ascii="Arial" w:hAnsi="Arial"/>
                <w:sz w:val="16"/>
                <w:szCs w:val="16"/>
                <w:highlight w:val="yellow"/>
                <w:lang w:val="sr-Latn-RS" w:eastAsia="en-US"/>
              </w:rPr>
            </w:pPr>
            <w:r w:rsidRPr="00B42667">
              <w:rPr>
                <w:rFonts w:ascii="Arial" w:hAnsi="Arial"/>
                <w:sz w:val="16"/>
                <w:szCs w:val="16"/>
                <w:lang w:val="sr-Latn-RS" w:eastAsia="en-US"/>
              </w:rPr>
              <w:t xml:space="preserve">Nalazi se zasnivaju na intervjuima sprovedenim sa brojnim ispitanicima iz </w:t>
            </w:r>
            <w:r>
              <w:rPr>
                <w:rFonts w:ascii="Arial" w:hAnsi="Arial"/>
                <w:sz w:val="16"/>
                <w:szCs w:val="16"/>
                <w:lang w:val="sr-Latn-RS" w:eastAsia="en-US"/>
              </w:rPr>
              <w:t xml:space="preserve">SZP </w:t>
            </w:r>
            <w:r w:rsidRPr="00B42667">
              <w:rPr>
                <w:rFonts w:ascii="Arial" w:hAnsi="Arial"/>
                <w:sz w:val="16"/>
                <w:szCs w:val="16"/>
                <w:lang w:val="sr-Latn-RS" w:eastAsia="en-US"/>
              </w:rPr>
              <w:t>i potvrđenim sa nadležnim ministarstvom</w:t>
            </w:r>
          </w:p>
        </w:tc>
      </w:tr>
      <w:tr w:rsidR="00E82B3C" w:rsidRPr="00146F9D" w14:paraId="71C9C384" w14:textId="77777777" w:rsidTr="00A25755">
        <w:tc>
          <w:tcPr>
            <w:tcW w:w="0" w:type="auto"/>
            <w:shd w:val="clear" w:color="auto" w:fill="E2EFD9" w:themeFill="accent6" w:themeFillTint="33"/>
          </w:tcPr>
          <w:p w14:paraId="2DB37818" w14:textId="564FF9ED" w:rsidR="00F8383F" w:rsidRPr="00146F9D" w:rsidRDefault="00F8383F" w:rsidP="00993EDA">
            <w:pPr>
              <w:pStyle w:val="Tabelle"/>
              <w:rPr>
                <w:rFonts w:ascii="Arial" w:hAnsi="Arial"/>
                <w:sz w:val="16"/>
                <w:szCs w:val="16"/>
                <w:lang w:val="sr-Latn-RS" w:eastAsia="en-US"/>
              </w:rPr>
            </w:pPr>
            <w:r w:rsidRPr="00146F9D">
              <w:rPr>
                <w:rFonts w:ascii="Arial" w:hAnsi="Arial"/>
                <w:sz w:val="16"/>
                <w:szCs w:val="16"/>
                <w:lang w:val="sr-Latn-RS" w:eastAsia="en-US"/>
              </w:rPr>
              <w:t>E</w:t>
            </w:r>
            <w:r w:rsidR="00146F9D" w:rsidRPr="00146F9D">
              <w:rPr>
                <w:rFonts w:ascii="Arial" w:hAnsi="Arial"/>
                <w:sz w:val="16"/>
                <w:szCs w:val="16"/>
                <w:lang w:val="sr-Latn-RS" w:eastAsia="en-US"/>
              </w:rPr>
              <w:t>fektivnost</w:t>
            </w:r>
          </w:p>
        </w:tc>
        <w:tc>
          <w:tcPr>
            <w:tcW w:w="0" w:type="auto"/>
            <w:shd w:val="clear" w:color="auto" w:fill="E2EFD9" w:themeFill="accent6" w:themeFillTint="33"/>
          </w:tcPr>
          <w:p w14:paraId="145387ED" w14:textId="27DDFB4E" w:rsidR="00924FE9" w:rsidRPr="00146F9D"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 xml:space="preserve">Koliko je efektivan bio NPZP? Šta je dalo rezultate, a šta nije, i iz kojih razloga? </w:t>
            </w:r>
          </w:p>
          <w:p w14:paraId="5913016A" w14:textId="3825F8F8" w:rsidR="00F8383F" w:rsidRPr="00146F9D" w:rsidRDefault="00F8383F" w:rsidP="00993EDA">
            <w:pPr>
              <w:pStyle w:val="Tabelle"/>
              <w:rPr>
                <w:rFonts w:ascii="Arial" w:hAnsi="Arial"/>
                <w:sz w:val="16"/>
                <w:szCs w:val="16"/>
                <w:lang w:val="sr-Latn-RS" w:eastAsia="en-US"/>
              </w:rPr>
            </w:pPr>
          </w:p>
        </w:tc>
        <w:tc>
          <w:tcPr>
            <w:tcW w:w="0" w:type="auto"/>
            <w:vMerge w:val="restart"/>
            <w:shd w:val="clear" w:color="auto" w:fill="E2EFD9" w:themeFill="accent6" w:themeFillTint="33"/>
          </w:tcPr>
          <w:p w14:paraId="0F036A94"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492A3166" w14:textId="111C680A" w:rsidR="00F8383F"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r w:rsidRPr="00146F9D">
              <w:rPr>
                <w:rFonts w:ascii="Arial" w:hAnsi="Arial"/>
                <w:sz w:val="16"/>
                <w:szCs w:val="16"/>
                <w:lang w:val="sr-Latn-RS" w:eastAsia="en-US"/>
              </w:rPr>
              <w:t xml:space="preserve"> </w:t>
            </w:r>
          </w:p>
        </w:tc>
        <w:tc>
          <w:tcPr>
            <w:tcW w:w="0" w:type="auto"/>
            <w:vMerge w:val="restart"/>
            <w:shd w:val="clear" w:color="auto" w:fill="E2EFD9" w:themeFill="accent6" w:themeFillTint="33"/>
          </w:tcPr>
          <w:p w14:paraId="72B5F37D" w14:textId="14710A72" w:rsidR="00F8383F" w:rsidRPr="00146F9D" w:rsidRDefault="00F8383F" w:rsidP="00993EDA">
            <w:pPr>
              <w:pStyle w:val="Tabelle"/>
              <w:rPr>
                <w:rFonts w:ascii="Arial" w:hAnsi="Arial"/>
                <w:sz w:val="16"/>
                <w:szCs w:val="16"/>
                <w:lang w:val="sr-Latn-RS" w:eastAsia="en-US"/>
              </w:rPr>
            </w:pPr>
            <w:r w:rsidRPr="00146F9D">
              <w:rPr>
                <w:rFonts w:ascii="Arial" w:hAnsi="Arial"/>
                <w:sz w:val="16"/>
                <w:szCs w:val="16"/>
                <w:lang w:val="sr-Latn-RS" w:eastAsia="en-US"/>
              </w:rPr>
              <w:t>4,33</w:t>
            </w:r>
          </w:p>
        </w:tc>
        <w:tc>
          <w:tcPr>
            <w:tcW w:w="0" w:type="auto"/>
            <w:vMerge w:val="restart"/>
            <w:shd w:val="clear" w:color="auto" w:fill="E2EFD9" w:themeFill="accent6" w:themeFillTint="33"/>
          </w:tcPr>
          <w:p w14:paraId="5F4C062B" w14:textId="77777777" w:rsidR="00F8383F" w:rsidRPr="00146F9D" w:rsidRDefault="00F8383F" w:rsidP="00993EDA">
            <w:pPr>
              <w:pStyle w:val="Tabelle"/>
              <w:rPr>
                <w:rFonts w:ascii="Arial" w:hAnsi="Arial"/>
                <w:sz w:val="16"/>
                <w:szCs w:val="16"/>
                <w:lang w:val="sr-Latn-RS" w:eastAsia="en-US"/>
              </w:rPr>
            </w:pPr>
            <w:r w:rsidRPr="00146F9D">
              <w:rPr>
                <w:rFonts w:ascii="Arial" w:hAnsi="Arial"/>
                <w:sz w:val="16"/>
                <w:szCs w:val="16"/>
                <w:lang w:val="sr-Latn-RS" w:eastAsia="en-US"/>
              </w:rPr>
              <w:t>1-5</w:t>
            </w:r>
          </w:p>
          <w:p w14:paraId="494AEFA8" w14:textId="303E1683" w:rsidR="00F8383F" w:rsidRPr="00146F9D" w:rsidRDefault="00F8383F" w:rsidP="00993EDA">
            <w:pPr>
              <w:pStyle w:val="Tabelle"/>
              <w:rPr>
                <w:rFonts w:ascii="Arial" w:hAnsi="Arial"/>
                <w:sz w:val="16"/>
                <w:szCs w:val="16"/>
                <w:lang w:val="sr-Latn-RS" w:eastAsia="en-US"/>
              </w:rPr>
            </w:pPr>
          </w:p>
        </w:tc>
        <w:tc>
          <w:tcPr>
            <w:tcW w:w="0" w:type="auto"/>
            <w:vMerge w:val="restart"/>
            <w:shd w:val="clear" w:color="auto" w:fill="E2EFD9" w:themeFill="accent6" w:themeFillTint="33"/>
          </w:tcPr>
          <w:p w14:paraId="5AD8D36D" w14:textId="74372AC6" w:rsidR="00F8383F"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 xml:space="preserve">Nije dostupno </w:t>
            </w:r>
          </w:p>
        </w:tc>
        <w:tc>
          <w:tcPr>
            <w:tcW w:w="0" w:type="auto"/>
            <w:vMerge w:val="restart"/>
            <w:shd w:val="clear" w:color="auto" w:fill="E2EFD9" w:themeFill="accent6" w:themeFillTint="33"/>
          </w:tcPr>
          <w:p w14:paraId="265CFCAE"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Zapisnici sa intervjua</w:t>
            </w:r>
          </w:p>
          <w:p w14:paraId="4B33DCCE" w14:textId="04D6E2C8" w:rsidR="00F8383F" w:rsidRPr="00146F9D" w:rsidRDefault="00B42667" w:rsidP="00B42667">
            <w:pPr>
              <w:pStyle w:val="Tabelle"/>
              <w:rPr>
                <w:rFonts w:ascii="Arial" w:hAnsi="Arial"/>
                <w:sz w:val="16"/>
                <w:szCs w:val="16"/>
                <w:lang w:val="sr-Latn-RS" w:eastAsia="en-US"/>
              </w:rPr>
            </w:pPr>
            <w:r>
              <w:rPr>
                <w:rFonts w:ascii="Arial" w:hAnsi="Arial"/>
                <w:sz w:val="16"/>
                <w:szCs w:val="16"/>
                <w:lang w:val="sr-Latn-RS" w:eastAsia="en-US"/>
              </w:rPr>
              <w:t>Analiza dokumenata</w:t>
            </w:r>
            <w:r w:rsidRPr="00146F9D">
              <w:rPr>
                <w:rFonts w:ascii="Arial" w:hAnsi="Arial"/>
                <w:sz w:val="16"/>
                <w:szCs w:val="16"/>
                <w:lang w:val="sr-Latn-RS" w:eastAsia="en-US"/>
              </w:rPr>
              <w:t xml:space="preserve"> </w:t>
            </w:r>
          </w:p>
        </w:tc>
        <w:tc>
          <w:tcPr>
            <w:tcW w:w="0" w:type="auto"/>
            <w:vMerge w:val="restart"/>
            <w:shd w:val="clear" w:color="auto" w:fill="E2EFD9" w:themeFill="accent6" w:themeFillTint="33"/>
          </w:tcPr>
          <w:p w14:paraId="0B79D3B5" w14:textId="43404F6D" w:rsidR="00B42667" w:rsidRPr="00B42667" w:rsidRDefault="00B42667" w:rsidP="00B42667">
            <w:pPr>
              <w:pStyle w:val="Tabelle"/>
              <w:rPr>
                <w:rFonts w:ascii="Arial" w:hAnsi="Arial"/>
                <w:sz w:val="16"/>
                <w:szCs w:val="16"/>
                <w:lang w:val="sr-Latn-RS" w:eastAsia="en-US"/>
              </w:rPr>
            </w:pPr>
            <w:r w:rsidRPr="00B42667">
              <w:rPr>
                <w:rFonts w:ascii="Arial" w:hAnsi="Arial"/>
                <w:sz w:val="16"/>
                <w:szCs w:val="16"/>
                <w:lang w:val="sr-Latn-RS" w:eastAsia="en-US"/>
              </w:rPr>
              <w:t>N</w:t>
            </w:r>
            <w:r>
              <w:rPr>
                <w:rFonts w:ascii="Arial" w:hAnsi="Arial"/>
                <w:sz w:val="16"/>
                <w:szCs w:val="16"/>
                <w:lang w:val="sr-Latn-RS" w:eastAsia="en-US"/>
              </w:rPr>
              <w:t>PZP</w:t>
            </w:r>
            <w:r w:rsidRPr="00B42667">
              <w:rPr>
                <w:rFonts w:ascii="Arial" w:hAnsi="Arial"/>
                <w:sz w:val="16"/>
                <w:szCs w:val="16"/>
                <w:lang w:val="sr-Latn-RS" w:eastAsia="en-US"/>
              </w:rPr>
              <w:t xml:space="preserve"> je bio u proseku veoma efikasan, dok su neki učesnici istakli da je izuzetno efikasan. Ovaj rezultat ukazuje na to da je strateški cilj N</w:t>
            </w:r>
            <w:r>
              <w:rPr>
                <w:rFonts w:ascii="Arial" w:hAnsi="Arial"/>
                <w:sz w:val="16"/>
                <w:szCs w:val="16"/>
                <w:lang w:val="sr-Latn-RS" w:eastAsia="en-US"/>
              </w:rPr>
              <w:t>PZP</w:t>
            </w:r>
            <w:r w:rsidRPr="00B42667">
              <w:rPr>
                <w:rFonts w:ascii="Arial" w:hAnsi="Arial"/>
                <w:sz w:val="16"/>
                <w:szCs w:val="16"/>
                <w:lang w:val="sr-Latn-RS" w:eastAsia="en-US"/>
              </w:rPr>
              <w:t xml:space="preserve">-a u velikoj meri postignut sa stanovišta osoblja koje je lično bilo uključeno u fazu implementacije. S druge strane, objektivno je postignut mali napredak u cilju 3, i stoga FE zaključuje da strateški </w:t>
            </w:r>
            <w:r w:rsidRPr="00B42667">
              <w:rPr>
                <w:rFonts w:ascii="Arial" w:hAnsi="Arial"/>
                <w:sz w:val="16"/>
                <w:szCs w:val="16"/>
                <w:lang w:val="sr-Latn-RS" w:eastAsia="en-US"/>
              </w:rPr>
              <w:lastRenderedPageBreak/>
              <w:t>cilj nije u potpunosti postignut i da bi trebalo da posluži kao osnova za buduće politike zaštite potrošača.</w:t>
            </w:r>
          </w:p>
          <w:p w14:paraId="5BBB7FEC" w14:textId="77777777" w:rsidR="00B42667" w:rsidRPr="00B42667" w:rsidRDefault="00B42667" w:rsidP="00B42667">
            <w:pPr>
              <w:pStyle w:val="Tabelle"/>
              <w:rPr>
                <w:rFonts w:ascii="Arial" w:hAnsi="Arial"/>
                <w:sz w:val="16"/>
                <w:szCs w:val="16"/>
                <w:lang w:val="sr-Latn-RS" w:eastAsia="en-US"/>
              </w:rPr>
            </w:pPr>
          </w:p>
          <w:p w14:paraId="1FAAAD5E" w14:textId="43277147" w:rsidR="00016755" w:rsidRPr="00146F9D" w:rsidRDefault="00B42667" w:rsidP="00B42667">
            <w:pPr>
              <w:pStyle w:val="Tabelle"/>
              <w:rPr>
                <w:rFonts w:ascii="Arial" w:hAnsi="Arial"/>
                <w:sz w:val="16"/>
                <w:szCs w:val="16"/>
                <w:lang w:val="sr-Latn-RS" w:eastAsia="en-US"/>
              </w:rPr>
            </w:pPr>
            <w:r w:rsidRPr="00B42667">
              <w:rPr>
                <w:rFonts w:ascii="Arial" w:hAnsi="Arial"/>
                <w:sz w:val="16"/>
                <w:szCs w:val="16"/>
                <w:lang w:val="sr-Latn-RS" w:eastAsia="en-US"/>
              </w:rPr>
              <w:t>Relativno mali uzorak je mogao uticati na ukupni rezultat.</w:t>
            </w:r>
          </w:p>
        </w:tc>
      </w:tr>
      <w:tr w:rsidR="00B42667" w:rsidRPr="00146F9D" w14:paraId="2E1F65F5" w14:textId="77777777" w:rsidTr="00A25755">
        <w:tc>
          <w:tcPr>
            <w:tcW w:w="0" w:type="auto"/>
            <w:shd w:val="clear" w:color="auto" w:fill="E2EFD9" w:themeFill="accent6" w:themeFillTint="33"/>
          </w:tcPr>
          <w:p w14:paraId="645E8D05" w14:textId="0BEC437F"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Efektivnost</w:t>
            </w:r>
          </w:p>
        </w:tc>
        <w:tc>
          <w:tcPr>
            <w:tcW w:w="0" w:type="auto"/>
            <w:shd w:val="clear" w:color="auto" w:fill="E2EFD9" w:themeFill="accent6" w:themeFillTint="33"/>
          </w:tcPr>
          <w:p w14:paraId="4E8BA5FF"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Koliko je efektivno NPZP uticao na nacionalne kreatore politika i zainteresovane strane iz javnog sektora kako bi podigao interesovanje i razumevanje strateškog fokusa zaštite potrošača?</w:t>
            </w:r>
          </w:p>
          <w:p w14:paraId="1A54F294" w14:textId="2B71F9DF" w:rsidR="00146F9D" w:rsidRPr="00146F9D" w:rsidRDefault="00146F9D" w:rsidP="00146F9D">
            <w:pPr>
              <w:pStyle w:val="Tabelle"/>
              <w:rPr>
                <w:rFonts w:ascii="Arial" w:hAnsi="Arial"/>
                <w:sz w:val="16"/>
                <w:szCs w:val="16"/>
                <w:lang w:val="sr-Latn-RS" w:eastAsia="en-US"/>
              </w:rPr>
            </w:pPr>
          </w:p>
        </w:tc>
        <w:tc>
          <w:tcPr>
            <w:tcW w:w="0" w:type="auto"/>
            <w:vMerge/>
          </w:tcPr>
          <w:p w14:paraId="16783035" w14:textId="65CFD254" w:rsidR="00146F9D" w:rsidRPr="00146F9D" w:rsidRDefault="00146F9D" w:rsidP="00146F9D">
            <w:pPr>
              <w:pStyle w:val="Tabelle"/>
              <w:rPr>
                <w:rFonts w:ascii="Arial" w:hAnsi="Arial"/>
                <w:sz w:val="16"/>
                <w:szCs w:val="16"/>
                <w:lang w:val="sr-Latn-RS" w:eastAsia="en-US"/>
              </w:rPr>
            </w:pPr>
          </w:p>
        </w:tc>
        <w:tc>
          <w:tcPr>
            <w:tcW w:w="0" w:type="auto"/>
            <w:vMerge/>
          </w:tcPr>
          <w:p w14:paraId="1BDE0F43" w14:textId="49B5B891" w:rsidR="00146F9D" w:rsidRPr="00146F9D" w:rsidRDefault="00146F9D" w:rsidP="00146F9D">
            <w:pPr>
              <w:pStyle w:val="Tabelle"/>
              <w:rPr>
                <w:rFonts w:ascii="Arial" w:hAnsi="Arial"/>
                <w:sz w:val="16"/>
                <w:szCs w:val="16"/>
                <w:lang w:val="sr-Latn-RS" w:eastAsia="en-US"/>
              </w:rPr>
            </w:pPr>
          </w:p>
        </w:tc>
        <w:tc>
          <w:tcPr>
            <w:tcW w:w="0" w:type="auto"/>
            <w:vMerge/>
          </w:tcPr>
          <w:p w14:paraId="30FC450C" w14:textId="532576D1" w:rsidR="00146F9D" w:rsidRPr="00146F9D" w:rsidRDefault="00146F9D" w:rsidP="00146F9D">
            <w:pPr>
              <w:pStyle w:val="Tabelle"/>
              <w:rPr>
                <w:rFonts w:ascii="Arial" w:hAnsi="Arial"/>
                <w:sz w:val="16"/>
                <w:szCs w:val="16"/>
                <w:lang w:val="sr-Latn-RS" w:eastAsia="en-US"/>
              </w:rPr>
            </w:pPr>
          </w:p>
        </w:tc>
        <w:tc>
          <w:tcPr>
            <w:tcW w:w="0" w:type="auto"/>
            <w:vMerge/>
          </w:tcPr>
          <w:p w14:paraId="58F1B0AE" w14:textId="57E35ED6" w:rsidR="00146F9D" w:rsidRPr="00146F9D" w:rsidRDefault="00146F9D" w:rsidP="00146F9D">
            <w:pPr>
              <w:pStyle w:val="Tabelle"/>
              <w:rPr>
                <w:rFonts w:ascii="Arial" w:hAnsi="Arial"/>
                <w:sz w:val="16"/>
                <w:szCs w:val="16"/>
                <w:lang w:val="sr-Latn-RS" w:eastAsia="en-US"/>
              </w:rPr>
            </w:pPr>
          </w:p>
        </w:tc>
        <w:tc>
          <w:tcPr>
            <w:tcW w:w="0" w:type="auto"/>
            <w:vMerge/>
          </w:tcPr>
          <w:p w14:paraId="4B13DC73" w14:textId="0D6AF172" w:rsidR="00146F9D" w:rsidRPr="00146F9D" w:rsidRDefault="00146F9D" w:rsidP="00146F9D">
            <w:pPr>
              <w:pStyle w:val="Tabelle"/>
              <w:rPr>
                <w:rFonts w:ascii="Arial" w:hAnsi="Arial"/>
                <w:sz w:val="16"/>
                <w:szCs w:val="16"/>
                <w:lang w:val="sr-Latn-RS" w:eastAsia="en-US"/>
              </w:rPr>
            </w:pPr>
          </w:p>
        </w:tc>
        <w:tc>
          <w:tcPr>
            <w:tcW w:w="0" w:type="auto"/>
            <w:vMerge/>
          </w:tcPr>
          <w:p w14:paraId="53FD0E6E" w14:textId="264DB008" w:rsidR="00146F9D" w:rsidRPr="00146F9D" w:rsidRDefault="00146F9D" w:rsidP="00146F9D">
            <w:pPr>
              <w:pStyle w:val="Tabelle"/>
              <w:rPr>
                <w:rFonts w:ascii="Arial" w:hAnsi="Arial"/>
                <w:sz w:val="16"/>
                <w:szCs w:val="16"/>
                <w:lang w:val="sr-Latn-RS" w:eastAsia="en-US"/>
              </w:rPr>
            </w:pPr>
          </w:p>
        </w:tc>
      </w:tr>
      <w:tr w:rsidR="00E82B3C" w:rsidRPr="00146F9D" w14:paraId="0F0E62B2" w14:textId="77777777" w:rsidTr="00A25755">
        <w:tc>
          <w:tcPr>
            <w:tcW w:w="0" w:type="auto"/>
          </w:tcPr>
          <w:p w14:paraId="0597333C" w14:textId="7536623E"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Efektivnost</w:t>
            </w:r>
          </w:p>
        </w:tc>
        <w:tc>
          <w:tcPr>
            <w:tcW w:w="0" w:type="auto"/>
          </w:tcPr>
          <w:p w14:paraId="6B86B97D"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 xml:space="preserve">Da li je NPZP postigao zacrtane ciljeve i indikatore učinka? </w:t>
            </w:r>
          </w:p>
          <w:p w14:paraId="1495465D" w14:textId="33EECEF7" w:rsidR="00146F9D" w:rsidRPr="00146F9D" w:rsidRDefault="00146F9D" w:rsidP="00146F9D">
            <w:pPr>
              <w:pStyle w:val="Tabelle"/>
              <w:rPr>
                <w:rFonts w:ascii="Arial" w:hAnsi="Arial"/>
                <w:sz w:val="16"/>
                <w:szCs w:val="16"/>
                <w:lang w:val="sr-Latn-RS" w:eastAsia="en-US"/>
              </w:rPr>
            </w:pPr>
          </w:p>
        </w:tc>
        <w:tc>
          <w:tcPr>
            <w:tcW w:w="0" w:type="auto"/>
          </w:tcPr>
          <w:p w14:paraId="3DB90ECA" w14:textId="68036DBD"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tcPr>
          <w:p w14:paraId="7F792D47" w14:textId="4FFB366A"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t>Pregled u</w:t>
            </w:r>
            <w:r w:rsidR="00146F9D" w:rsidRPr="00146F9D">
              <w:rPr>
                <w:rFonts w:ascii="Arial" w:hAnsi="Arial"/>
                <w:sz w:val="16"/>
                <w:szCs w:val="16"/>
                <w:lang w:val="sr-Latn-RS" w:eastAsia="en-US"/>
              </w:rPr>
              <w:t xml:space="preserve"> Tab</w:t>
            </w:r>
            <w:r>
              <w:rPr>
                <w:rFonts w:ascii="Arial" w:hAnsi="Arial"/>
                <w:sz w:val="16"/>
                <w:szCs w:val="16"/>
                <w:lang w:val="sr-Latn-RS" w:eastAsia="en-US"/>
              </w:rPr>
              <w:t xml:space="preserve">eli </w:t>
            </w:r>
            <w:r w:rsidR="00146F9D" w:rsidRPr="00146F9D">
              <w:rPr>
                <w:rFonts w:ascii="Arial" w:hAnsi="Arial"/>
                <w:sz w:val="16"/>
                <w:szCs w:val="16"/>
                <w:lang w:val="sr-Latn-RS" w:eastAsia="en-US"/>
              </w:rPr>
              <w:t xml:space="preserve">4. </w:t>
            </w:r>
            <w:r>
              <w:rPr>
                <w:rFonts w:ascii="Arial" w:hAnsi="Arial"/>
                <w:sz w:val="16"/>
                <w:szCs w:val="16"/>
                <w:lang w:val="sr-Latn-RS" w:eastAsia="en-US"/>
              </w:rPr>
              <w:t>Indikatori učinka</w:t>
            </w:r>
          </w:p>
        </w:tc>
        <w:tc>
          <w:tcPr>
            <w:tcW w:w="0" w:type="auto"/>
          </w:tcPr>
          <w:p w14:paraId="66CAEB16" w14:textId="32A94A98"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t>Numerički</w:t>
            </w:r>
          </w:p>
        </w:tc>
        <w:tc>
          <w:tcPr>
            <w:tcW w:w="0" w:type="auto"/>
          </w:tcPr>
          <w:p w14:paraId="11A99338" w14:textId="358D93AD"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t>Kao u tabeli 4</w:t>
            </w:r>
          </w:p>
        </w:tc>
        <w:tc>
          <w:tcPr>
            <w:tcW w:w="0" w:type="auto"/>
          </w:tcPr>
          <w:p w14:paraId="4F2E915F" w14:textId="77777777" w:rsidR="00B42667" w:rsidRDefault="00B42667" w:rsidP="00B42667">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31819839" w14:textId="7F2F286B" w:rsidR="00146F9D" w:rsidRPr="00146F9D" w:rsidRDefault="00146F9D" w:rsidP="00146F9D">
            <w:pPr>
              <w:pStyle w:val="Tabelle"/>
              <w:rPr>
                <w:rFonts w:ascii="Arial" w:hAnsi="Arial"/>
                <w:sz w:val="16"/>
                <w:szCs w:val="16"/>
                <w:lang w:val="sr-Latn-RS" w:eastAsia="en-US"/>
              </w:rPr>
            </w:pPr>
          </w:p>
        </w:tc>
        <w:tc>
          <w:tcPr>
            <w:tcW w:w="0" w:type="auto"/>
          </w:tcPr>
          <w:p w14:paraId="53B9841E" w14:textId="148924CB" w:rsidR="00146F9D" w:rsidRPr="00146F9D" w:rsidRDefault="00B42667" w:rsidP="00146F9D">
            <w:pPr>
              <w:pStyle w:val="Tabelle"/>
              <w:rPr>
                <w:rFonts w:ascii="Arial" w:hAnsi="Arial"/>
                <w:sz w:val="16"/>
                <w:szCs w:val="16"/>
                <w:lang w:val="sr-Latn-RS" w:eastAsia="en-US"/>
              </w:rPr>
            </w:pPr>
            <w:r w:rsidRPr="00B42667">
              <w:rPr>
                <w:rFonts w:ascii="Arial" w:hAnsi="Arial"/>
                <w:sz w:val="16"/>
                <w:szCs w:val="16"/>
                <w:lang w:val="sr-Latn-RS" w:eastAsia="en-US"/>
              </w:rPr>
              <w:t>N</w:t>
            </w:r>
            <w:r>
              <w:rPr>
                <w:rFonts w:ascii="Arial" w:hAnsi="Arial"/>
                <w:sz w:val="16"/>
                <w:szCs w:val="16"/>
                <w:lang w:val="sr-Latn-RS" w:eastAsia="en-US"/>
              </w:rPr>
              <w:t>PZP</w:t>
            </w:r>
            <w:r w:rsidRPr="00B42667">
              <w:rPr>
                <w:rFonts w:ascii="Arial" w:hAnsi="Arial"/>
                <w:sz w:val="16"/>
                <w:szCs w:val="16"/>
                <w:lang w:val="sr-Latn-RS" w:eastAsia="en-US"/>
              </w:rPr>
              <w:t xml:space="preserve"> je postigao izvestan napredak u ciljevima 1 i 3, dok se za cilj 2 ne može dati konačan zaključak jer indikatori nisu dostupni u vremenskim okvirima za </w:t>
            </w:r>
            <w:r>
              <w:rPr>
                <w:rFonts w:ascii="Arial" w:hAnsi="Arial"/>
                <w:sz w:val="16"/>
                <w:szCs w:val="16"/>
                <w:lang w:val="sr-Latn-RS" w:eastAsia="en-US"/>
              </w:rPr>
              <w:t>srednje</w:t>
            </w:r>
            <w:r w:rsidRPr="00B42667">
              <w:rPr>
                <w:rFonts w:ascii="Arial" w:hAnsi="Arial"/>
                <w:sz w:val="16"/>
                <w:szCs w:val="16"/>
                <w:lang w:val="sr-Latn-RS" w:eastAsia="en-US"/>
              </w:rPr>
              <w:t xml:space="preserve"> i cilj</w:t>
            </w:r>
            <w:r>
              <w:rPr>
                <w:rFonts w:ascii="Arial" w:hAnsi="Arial"/>
                <w:sz w:val="16"/>
                <w:szCs w:val="16"/>
                <w:lang w:val="sr-Latn-RS" w:eastAsia="en-US"/>
              </w:rPr>
              <w:t>ane vrednosti</w:t>
            </w:r>
            <w:r w:rsidRPr="00B42667">
              <w:rPr>
                <w:rFonts w:ascii="Arial" w:hAnsi="Arial"/>
                <w:sz w:val="16"/>
                <w:szCs w:val="16"/>
                <w:lang w:val="sr-Latn-RS" w:eastAsia="en-US"/>
              </w:rPr>
              <w:t>.</w:t>
            </w:r>
          </w:p>
        </w:tc>
      </w:tr>
      <w:tr w:rsidR="00E82B3C" w:rsidRPr="00146F9D" w14:paraId="02665C77" w14:textId="77777777" w:rsidTr="00A25755">
        <w:tc>
          <w:tcPr>
            <w:tcW w:w="0" w:type="auto"/>
          </w:tcPr>
          <w:p w14:paraId="35ECFA71" w14:textId="0D6FFA7E"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Efektivnost</w:t>
            </w:r>
          </w:p>
        </w:tc>
        <w:tc>
          <w:tcPr>
            <w:tcW w:w="0" w:type="auto"/>
          </w:tcPr>
          <w:p w14:paraId="4F0660FB"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U kojoj meri su strategija i alati MEL-a bili adekvatni i efektivni za praćenje napretka u pogledu i) razumevanja rezultata i, na kraju krajeva, uticaja NPZP-a i ii) otkrivanja bilo kakvih potrebnih prilagođavanja implementacije za bolji napredak ka rezultatima?</w:t>
            </w:r>
          </w:p>
          <w:p w14:paraId="5F50883B" w14:textId="00B586F0" w:rsidR="00146F9D" w:rsidRPr="00146F9D" w:rsidRDefault="00146F9D" w:rsidP="00146F9D">
            <w:pPr>
              <w:pStyle w:val="Tabelle"/>
              <w:rPr>
                <w:rFonts w:ascii="Arial" w:hAnsi="Arial"/>
                <w:sz w:val="16"/>
                <w:szCs w:val="16"/>
                <w:lang w:val="sr-Latn-RS" w:eastAsia="en-US"/>
              </w:rPr>
            </w:pPr>
          </w:p>
        </w:tc>
        <w:tc>
          <w:tcPr>
            <w:tcW w:w="0" w:type="auto"/>
          </w:tcPr>
          <w:p w14:paraId="41DFD1C1"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2F872EB4" w14:textId="427EA16B"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7E89C296" w14:textId="2E97B8F0" w:rsidR="00B42667" w:rsidRPr="00B42667" w:rsidRDefault="00B42667" w:rsidP="00B42667">
            <w:pPr>
              <w:pStyle w:val="Tabelle"/>
              <w:rPr>
                <w:rFonts w:ascii="Arial" w:hAnsi="Arial"/>
                <w:sz w:val="16"/>
                <w:szCs w:val="16"/>
                <w:lang w:val="sr-Latn-RS" w:eastAsia="en-US"/>
              </w:rPr>
            </w:pPr>
            <w:r w:rsidRPr="00B42667">
              <w:rPr>
                <w:rFonts w:ascii="Arial" w:hAnsi="Arial"/>
                <w:sz w:val="16"/>
                <w:szCs w:val="16"/>
                <w:lang w:val="sr-Latn-RS" w:eastAsia="en-US"/>
              </w:rPr>
              <w:t>N</w:t>
            </w:r>
            <w:r>
              <w:rPr>
                <w:rFonts w:ascii="Arial" w:hAnsi="Arial"/>
                <w:sz w:val="16"/>
                <w:szCs w:val="16"/>
                <w:lang w:val="sr-Latn-RS" w:eastAsia="en-US"/>
              </w:rPr>
              <w:t>PZP</w:t>
            </w:r>
            <w:r w:rsidRPr="00B42667">
              <w:rPr>
                <w:rFonts w:ascii="Arial" w:hAnsi="Arial"/>
                <w:sz w:val="16"/>
                <w:szCs w:val="16"/>
                <w:lang w:val="sr-Latn-RS" w:eastAsia="en-US"/>
              </w:rPr>
              <w:t xml:space="preserve"> je predvideo detaljan MEL sistem, zasnovan na godišnjem izveštavanju i prikupljanju podataka od nadležnih tela.</w:t>
            </w:r>
          </w:p>
          <w:p w14:paraId="70177F1D" w14:textId="1A1AD67A" w:rsidR="00146F9D" w:rsidRPr="00146F9D" w:rsidRDefault="00B42667" w:rsidP="00B42667">
            <w:pPr>
              <w:pStyle w:val="Tabelle"/>
              <w:rPr>
                <w:rFonts w:ascii="Arial" w:hAnsi="Arial"/>
                <w:sz w:val="16"/>
                <w:szCs w:val="16"/>
                <w:lang w:val="sr-Latn-RS" w:eastAsia="en-US"/>
              </w:rPr>
            </w:pPr>
            <w:r w:rsidRPr="00B42667">
              <w:rPr>
                <w:rFonts w:ascii="Arial" w:hAnsi="Arial"/>
                <w:sz w:val="16"/>
                <w:szCs w:val="16"/>
                <w:lang w:val="sr-Latn-RS" w:eastAsia="en-US"/>
              </w:rPr>
              <w:t>MEL sistem se smatra sasvim adekvatnim s obzirom na obim i prirodu predmetnog strateškog dokumenta. Međutim, takođe je utvrđeno da je sprovedeno malo aktivnosti na komunikaciji godišnjih rezultata sa širom publikom, uključujući prosečne potrošače.</w:t>
            </w:r>
          </w:p>
        </w:tc>
        <w:tc>
          <w:tcPr>
            <w:tcW w:w="0" w:type="auto"/>
          </w:tcPr>
          <w:p w14:paraId="50745F90" w14:textId="3ECD0B2A"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t>Narativ</w:t>
            </w:r>
          </w:p>
        </w:tc>
        <w:tc>
          <w:tcPr>
            <w:tcW w:w="0" w:type="auto"/>
          </w:tcPr>
          <w:p w14:paraId="1B830409" w14:textId="1D7DCAC3"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Nije dostupno</w:t>
            </w:r>
          </w:p>
        </w:tc>
        <w:tc>
          <w:tcPr>
            <w:tcW w:w="0" w:type="auto"/>
          </w:tcPr>
          <w:p w14:paraId="0DBCB1FD"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Zapisnici sa intervjua</w:t>
            </w:r>
          </w:p>
          <w:p w14:paraId="0C3E9641" w14:textId="30F2897B" w:rsidR="00146F9D" w:rsidRPr="00146F9D" w:rsidRDefault="00146F9D" w:rsidP="00146F9D">
            <w:pPr>
              <w:pStyle w:val="Tabelle"/>
              <w:rPr>
                <w:rFonts w:ascii="Arial" w:hAnsi="Arial"/>
                <w:sz w:val="16"/>
                <w:szCs w:val="16"/>
                <w:lang w:val="sr-Latn-RS" w:eastAsia="en-US"/>
              </w:rPr>
            </w:pPr>
          </w:p>
        </w:tc>
        <w:tc>
          <w:tcPr>
            <w:tcW w:w="0" w:type="auto"/>
          </w:tcPr>
          <w:p w14:paraId="5816EBF1" w14:textId="0F96CF54"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574362A1" w14:textId="77777777" w:rsidTr="00A25755">
        <w:tc>
          <w:tcPr>
            <w:tcW w:w="0" w:type="auto"/>
          </w:tcPr>
          <w:p w14:paraId="2BF5E187" w14:textId="6D806CCD"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Efektivnost</w:t>
            </w:r>
          </w:p>
        </w:tc>
        <w:tc>
          <w:tcPr>
            <w:tcW w:w="0" w:type="auto"/>
          </w:tcPr>
          <w:p w14:paraId="12D9B68A" w14:textId="67EDD972" w:rsidR="00146F9D" w:rsidRPr="00146F9D" w:rsidRDefault="00924FE9" w:rsidP="00146F9D">
            <w:pPr>
              <w:pStyle w:val="Tabelle"/>
              <w:rPr>
                <w:rFonts w:ascii="Arial" w:hAnsi="Arial"/>
                <w:sz w:val="16"/>
                <w:szCs w:val="16"/>
                <w:lang w:val="sr-Latn-RS" w:eastAsia="en-US"/>
              </w:rPr>
            </w:pPr>
            <w:r w:rsidRPr="00924FE9">
              <w:rPr>
                <w:rFonts w:ascii="Arial" w:hAnsi="Arial"/>
                <w:sz w:val="16"/>
                <w:szCs w:val="16"/>
                <w:lang w:val="sr-Latn-RS" w:eastAsia="en-US"/>
              </w:rPr>
              <w:t>Koje su lekcije o tome kako poboljšati komunikaciju između MER i zainteresovanih strana, odnosno nacionalnih i lokalnih kreatora politike?</w:t>
            </w:r>
          </w:p>
        </w:tc>
        <w:tc>
          <w:tcPr>
            <w:tcW w:w="0" w:type="auto"/>
          </w:tcPr>
          <w:p w14:paraId="453C82FB" w14:textId="0C7E7AEC"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3D79AF86" w14:textId="45E1E44E" w:rsidR="00146F9D" w:rsidRPr="00146F9D" w:rsidRDefault="00B42667" w:rsidP="00146F9D">
            <w:pPr>
              <w:pStyle w:val="Tabelle"/>
              <w:rPr>
                <w:rFonts w:ascii="Arial" w:hAnsi="Arial"/>
                <w:sz w:val="16"/>
                <w:szCs w:val="16"/>
                <w:lang w:val="sr-Latn-RS" w:eastAsia="en-US"/>
              </w:rPr>
            </w:pPr>
            <w:r w:rsidRPr="00B42667">
              <w:rPr>
                <w:rFonts w:ascii="Arial" w:hAnsi="Arial"/>
                <w:sz w:val="16"/>
                <w:szCs w:val="16"/>
                <w:lang w:val="sr-Latn-RS" w:eastAsia="en-US"/>
              </w:rPr>
              <w:t>FE nije identifikovao nijednu najbolju praksu u efikasnoj komunikaciji, ali je celokupna komunikacija ocenjena kao odlična</w:t>
            </w:r>
          </w:p>
        </w:tc>
        <w:tc>
          <w:tcPr>
            <w:tcW w:w="0" w:type="auto"/>
          </w:tcPr>
          <w:p w14:paraId="004F8771" w14:textId="2EF5B55E"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t>Narativ</w:t>
            </w:r>
          </w:p>
        </w:tc>
        <w:tc>
          <w:tcPr>
            <w:tcW w:w="0" w:type="auto"/>
          </w:tcPr>
          <w:p w14:paraId="060BB2C6" w14:textId="6DB4716F"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Nije dostupno</w:t>
            </w:r>
          </w:p>
        </w:tc>
        <w:tc>
          <w:tcPr>
            <w:tcW w:w="0" w:type="auto"/>
          </w:tcPr>
          <w:p w14:paraId="1B04E5D1"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Zapisnici sa intervjua</w:t>
            </w:r>
          </w:p>
          <w:p w14:paraId="09D61CAB" w14:textId="0034351E" w:rsidR="00146F9D" w:rsidRPr="00146F9D" w:rsidRDefault="00146F9D" w:rsidP="00146F9D">
            <w:pPr>
              <w:pStyle w:val="Tabelle"/>
              <w:rPr>
                <w:rFonts w:ascii="Arial" w:hAnsi="Arial"/>
                <w:sz w:val="16"/>
                <w:szCs w:val="16"/>
                <w:lang w:val="sr-Latn-RS" w:eastAsia="en-US"/>
              </w:rPr>
            </w:pPr>
          </w:p>
        </w:tc>
        <w:tc>
          <w:tcPr>
            <w:tcW w:w="0" w:type="auto"/>
          </w:tcPr>
          <w:p w14:paraId="76167996" w14:textId="448B7B34" w:rsidR="00146F9D" w:rsidRPr="00146F9D" w:rsidRDefault="00B42667" w:rsidP="00146F9D">
            <w:pPr>
              <w:pStyle w:val="Tabelle"/>
              <w:rPr>
                <w:rFonts w:ascii="Arial" w:hAnsi="Arial"/>
                <w:sz w:val="16"/>
                <w:szCs w:val="16"/>
                <w:lang w:val="sr-Latn-RS" w:eastAsia="en-US"/>
              </w:rPr>
            </w:pPr>
            <w:r w:rsidRPr="00B42667">
              <w:rPr>
                <w:rFonts w:ascii="Arial" w:hAnsi="Arial"/>
                <w:sz w:val="16"/>
                <w:szCs w:val="16"/>
                <w:lang w:val="sr-Latn-RS" w:eastAsia="en-US"/>
              </w:rPr>
              <w:t>Uloga ME</w:t>
            </w:r>
            <w:r>
              <w:rPr>
                <w:rFonts w:ascii="Arial" w:hAnsi="Arial"/>
                <w:sz w:val="16"/>
                <w:szCs w:val="16"/>
                <w:lang w:val="sr-Latn-RS" w:eastAsia="en-US"/>
              </w:rPr>
              <w:t>R</w:t>
            </w:r>
            <w:r w:rsidRPr="00B42667">
              <w:rPr>
                <w:rFonts w:ascii="Arial" w:hAnsi="Arial"/>
                <w:sz w:val="16"/>
                <w:szCs w:val="16"/>
                <w:lang w:val="sr-Latn-RS" w:eastAsia="en-US"/>
              </w:rPr>
              <w:t xml:space="preserve"> je od strane ispitanika istaknuta kao ključna u unapređenju kvalitetne komunikacije</w:t>
            </w:r>
          </w:p>
        </w:tc>
      </w:tr>
      <w:tr w:rsidR="00E82B3C" w:rsidRPr="00146F9D" w14:paraId="28A08A78" w14:textId="77777777" w:rsidTr="00A25755">
        <w:tc>
          <w:tcPr>
            <w:tcW w:w="0" w:type="auto"/>
          </w:tcPr>
          <w:p w14:paraId="4F2B93E1" w14:textId="525A0014"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Efektivnost</w:t>
            </w:r>
          </w:p>
        </w:tc>
        <w:tc>
          <w:tcPr>
            <w:tcW w:w="0" w:type="auto"/>
          </w:tcPr>
          <w:p w14:paraId="136AAC1F" w14:textId="77777777" w:rsidR="00924FE9" w:rsidRPr="00924FE9"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Da li postoji efektivno rešenje u kojem se lokalni kreatori politike mogu dodatno uključiti u sprovođenje NPZP-a? Da li bi se ovo pokazalo efektivnim u ostvarivanju ciljeva NPZP-a u većoj meri?</w:t>
            </w:r>
          </w:p>
          <w:p w14:paraId="55D4ECF6" w14:textId="4E7C58E2" w:rsidR="00146F9D" w:rsidRPr="00146F9D" w:rsidRDefault="00146F9D" w:rsidP="00146F9D">
            <w:pPr>
              <w:pStyle w:val="Tabelle"/>
              <w:rPr>
                <w:rFonts w:ascii="Arial" w:hAnsi="Arial"/>
                <w:sz w:val="16"/>
                <w:szCs w:val="16"/>
                <w:lang w:val="sr-Latn-RS" w:eastAsia="en-US"/>
              </w:rPr>
            </w:pPr>
          </w:p>
        </w:tc>
        <w:tc>
          <w:tcPr>
            <w:tcW w:w="0" w:type="auto"/>
          </w:tcPr>
          <w:p w14:paraId="7C15308C"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64938B7B" w14:textId="53F452DC"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23B6BA13" w14:textId="61BF5458" w:rsidR="00B42667" w:rsidRPr="00B42667" w:rsidRDefault="00B42667" w:rsidP="00B42667">
            <w:pPr>
              <w:pStyle w:val="Tabelle"/>
              <w:rPr>
                <w:rFonts w:ascii="Arial" w:hAnsi="Arial"/>
                <w:sz w:val="16"/>
                <w:szCs w:val="16"/>
                <w:lang w:val="sr-Latn-RS" w:eastAsia="en-US"/>
              </w:rPr>
            </w:pPr>
            <w:r w:rsidRPr="00B42667">
              <w:rPr>
                <w:rFonts w:ascii="Arial" w:hAnsi="Arial"/>
                <w:sz w:val="16"/>
                <w:szCs w:val="16"/>
                <w:lang w:val="sr-Latn-RS" w:eastAsia="en-US"/>
              </w:rPr>
              <w:t>FE je zaključio da lokalni kreatori politike nisu mnogo angažovani u sprovođenju N</w:t>
            </w:r>
            <w:r>
              <w:rPr>
                <w:rFonts w:ascii="Arial" w:hAnsi="Arial"/>
                <w:sz w:val="16"/>
                <w:szCs w:val="16"/>
                <w:lang w:val="sr-Latn-RS" w:eastAsia="en-US"/>
              </w:rPr>
              <w:t>PZP</w:t>
            </w:r>
            <w:r w:rsidRPr="00B42667">
              <w:rPr>
                <w:rFonts w:ascii="Arial" w:hAnsi="Arial"/>
                <w:sz w:val="16"/>
                <w:szCs w:val="16"/>
                <w:lang w:val="sr-Latn-RS" w:eastAsia="en-US"/>
              </w:rPr>
              <w:t>-a. Razlozi za to su različiti, ali najočigledniji su: 1. Nedostatak internih kapaciteta; 2. Nedostatak razumevanja prava i standarda potrošača u lokalnoj zajednici i 3. Nizak angažman civilnog društva.</w:t>
            </w:r>
          </w:p>
          <w:p w14:paraId="340D29C5" w14:textId="77777777" w:rsidR="00B42667" w:rsidRPr="00B42667" w:rsidRDefault="00B42667" w:rsidP="00B42667">
            <w:pPr>
              <w:pStyle w:val="Tabelle"/>
              <w:rPr>
                <w:rFonts w:ascii="Arial" w:hAnsi="Arial"/>
                <w:sz w:val="16"/>
                <w:szCs w:val="16"/>
                <w:lang w:val="sr-Latn-RS" w:eastAsia="en-US"/>
              </w:rPr>
            </w:pPr>
          </w:p>
          <w:p w14:paraId="0B5AE007" w14:textId="78082D40" w:rsidR="00146F9D" w:rsidRPr="00146F9D" w:rsidRDefault="00B42667" w:rsidP="00B42667">
            <w:pPr>
              <w:pStyle w:val="Tabelle"/>
              <w:rPr>
                <w:rFonts w:ascii="Arial" w:hAnsi="Arial"/>
                <w:sz w:val="16"/>
                <w:szCs w:val="16"/>
                <w:lang w:val="sr-Latn-RS" w:eastAsia="en-US"/>
              </w:rPr>
            </w:pPr>
            <w:r w:rsidRPr="00B42667">
              <w:rPr>
                <w:rFonts w:ascii="Arial" w:hAnsi="Arial"/>
                <w:sz w:val="16"/>
                <w:szCs w:val="16"/>
                <w:lang w:val="sr-Latn-RS" w:eastAsia="en-US"/>
              </w:rPr>
              <w:lastRenderedPageBreak/>
              <w:t>Morala bi se razviti efikasna komunikaciona strategija.</w:t>
            </w:r>
          </w:p>
        </w:tc>
        <w:tc>
          <w:tcPr>
            <w:tcW w:w="0" w:type="auto"/>
          </w:tcPr>
          <w:p w14:paraId="38512710" w14:textId="3F6FC038" w:rsidR="00146F9D" w:rsidRPr="00146F9D" w:rsidRDefault="00B42667" w:rsidP="00146F9D">
            <w:pPr>
              <w:pStyle w:val="Tabelle"/>
              <w:rPr>
                <w:rFonts w:ascii="Arial" w:hAnsi="Arial"/>
                <w:sz w:val="16"/>
                <w:szCs w:val="16"/>
                <w:lang w:val="sr-Latn-RS" w:eastAsia="en-US"/>
              </w:rPr>
            </w:pPr>
            <w:r>
              <w:rPr>
                <w:rFonts w:ascii="Arial" w:hAnsi="Arial"/>
                <w:sz w:val="16"/>
                <w:szCs w:val="16"/>
                <w:lang w:val="sr-Latn-RS" w:eastAsia="en-US"/>
              </w:rPr>
              <w:lastRenderedPageBreak/>
              <w:t>Narativ</w:t>
            </w:r>
          </w:p>
        </w:tc>
        <w:tc>
          <w:tcPr>
            <w:tcW w:w="0" w:type="auto"/>
          </w:tcPr>
          <w:p w14:paraId="1C546556" w14:textId="7FC09130"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Nije dostupno</w:t>
            </w:r>
          </w:p>
        </w:tc>
        <w:tc>
          <w:tcPr>
            <w:tcW w:w="0" w:type="auto"/>
          </w:tcPr>
          <w:p w14:paraId="1B8ADE95"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Zapisnici sa intervjua</w:t>
            </w:r>
          </w:p>
          <w:p w14:paraId="3989C7D5" w14:textId="77777777" w:rsidR="00B42667" w:rsidRDefault="00B42667" w:rsidP="00B42667">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75C3F7B7" w14:textId="77777777" w:rsidR="00B42667" w:rsidRDefault="00B42667" w:rsidP="00B42667">
            <w:pPr>
              <w:pStyle w:val="Tabelle"/>
              <w:rPr>
                <w:rFonts w:ascii="Arial" w:hAnsi="Arial"/>
                <w:sz w:val="16"/>
                <w:szCs w:val="16"/>
                <w:lang w:val="sr-Latn-RS" w:eastAsia="en-US"/>
              </w:rPr>
            </w:pPr>
            <w:r>
              <w:rPr>
                <w:rFonts w:ascii="Arial" w:hAnsi="Arial"/>
                <w:sz w:val="16"/>
                <w:szCs w:val="16"/>
                <w:lang w:val="sr-Latn-RS" w:eastAsia="en-US"/>
              </w:rPr>
              <w:t>NPZP</w:t>
            </w:r>
          </w:p>
          <w:p w14:paraId="6CC04385" w14:textId="4001AE5C" w:rsidR="00146F9D" w:rsidRPr="00146F9D" w:rsidRDefault="00146F9D" w:rsidP="00146F9D">
            <w:pPr>
              <w:pStyle w:val="Tabelle"/>
              <w:rPr>
                <w:rFonts w:ascii="Arial" w:hAnsi="Arial"/>
                <w:sz w:val="16"/>
                <w:szCs w:val="16"/>
                <w:lang w:val="sr-Latn-RS" w:eastAsia="en-US"/>
              </w:rPr>
            </w:pPr>
          </w:p>
        </w:tc>
        <w:tc>
          <w:tcPr>
            <w:tcW w:w="0" w:type="auto"/>
          </w:tcPr>
          <w:p w14:paraId="26EB36C2" w14:textId="35F192BB"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55948F40" w14:textId="77777777" w:rsidTr="00A25755">
        <w:tc>
          <w:tcPr>
            <w:tcW w:w="0" w:type="auto"/>
          </w:tcPr>
          <w:p w14:paraId="31ECD6D7" w14:textId="08081165"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Efektivnost</w:t>
            </w:r>
          </w:p>
        </w:tc>
        <w:tc>
          <w:tcPr>
            <w:tcW w:w="0" w:type="auto"/>
          </w:tcPr>
          <w:p w14:paraId="65FAC740" w14:textId="25028582" w:rsidR="00993EDA" w:rsidRPr="00146F9D" w:rsidRDefault="00924FE9" w:rsidP="00924FE9">
            <w:pPr>
              <w:pStyle w:val="Tabelle"/>
              <w:rPr>
                <w:rFonts w:ascii="Arial" w:hAnsi="Arial"/>
                <w:sz w:val="16"/>
                <w:szCs w:val="16"/>
                <w:lang w:val="sr-Latn-RS" w:eastAsia="en-US"/>
              </w:rPr>
            </w:pPr>
            <w:r w:rsidRPr="00924FE9">
              <w:rPr>
                <w:rFonts w:ascii="Arial" w:hAnsi="Arial"/>
                <w:sz w:val="16"/>
                <w:szCs w:val="16"/>
                <w:lang w:val="sr-Latn-RS" w:eastAsia="en-US"/>
              </w:rPr>
              <w:t>Da li su aktivnosti NPZP-a bile komplementarne tekućim aktivnostima politika koje proizilaze iz drugih strateških dokumenata?</w:t>
            </w:r>
          </w:p>
        </w:tc>
        <w:tc>
          <w:tcPr>
            <w:tcW w:w="0" w:type="auto"/>
          </w:tcPr>
          <w:p w14:paraId="60BAD796" w14:textId="1CBABAAC"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tcPr>
          <w:p w14:paraId="7AED8090" w14:textId="50D542F9" w:rsidR="00993EDA" w:rsidRPr="00146F9D" w:rsidRDefault="00B42667" w:rsidP="00993EDA">
            <w:pPr>
              <w:pStyle w:val="Tabelle"/>
              <w:rPr>
                <w:rFonts w:ascii="Arial" w:hAnsi="Arial"/>
                <w:sz w:val="16"/>
                <w:szCs w:val="16"/>
                <w:lang w:val="sr-Latn-RS" w:eastAsia="en-US"/>
              </w:rPr>
            </w:pPr>
            <w:r>
              <w:rPr>
                <w:rFonts w:ascii="Arial" w:hAnsi="Arial"/>
                <w:sz w:val="16"/>
                <w:szCs w:val="16"/>
                <w:lang w:val="sr-Latn-RS" w:eastAsia="en-US"/>
              </w:rPr>
              <w:t>Da</w:t>
            </w:r>
          </w:p>
        </w:tc>
        <w:tc>
          <w:tcPr>
            <w:tcW w:w="0" w:type="auto"/>
          </w:tcPr>
          <w:p w14:paraId="046A03CF" w14:textId="12F265C4" w:rsidR="00993EDA" w:rsidRPr="00146F9D" w:rsidRDefault="00B42667" w:rsidP="00993EDA">
            <w:pPr>
              <w:pStyle w:val="Tabelle"/>
              <w:rPr>
                <w:rFonts w:ascii="Arial" w:hAnsi="Arial"/>
                <w:sz w:val="16"/>
                <w:szCs w:val="16"/>
                <w:lang w:val="sr-Latn-RS" w:eastAsia="en-US"/>
              </w:rPr>
            </w:pPr>
            <w:r>
              <w:rPr>
                <w:rFonts w:ascii="Arial" w:hAnsi="Arial"/>
                <w:sz w:val="16"/>
                <w:szCs w:val="16"/>
                <w:lang w:val="sr-Latn-RS" w:eastAsia="en-US"/>
              </w:rPr>
              <w:t>Da/Ne</w:t>
            </w:r>
          </w:p>
        </w:tc>
        <w:tc>
          <w:tcPr>
            <w:tcW w:w="0" w:type="auto"/>
          </w:tcPr>
          <w:p w14:paraId="7220DA76" w14:textId="084FDE5E" w:rsidR="00993EDA" w:rsidRPr="00146F9D" w:rsidRDefault="00B42667" w:rsidP="00993EDA">
            <w:pPr>
              <w:pStyle w:val="Tabelle"/>
              <w:rPr>
                <w:rFonts w:ascii="Arial" w:hAnsi="Arial"/>
                <w:sz w:val="16"/>
                <w:szCs w:val="16"/>
                <w:lang w:val="sr-Latn-RS" w:eastAsia="en-US"/>
              </w:rPr>
            </w:pPr>
            <w:r>
              <w:rPr>
                <w:rFonts w:ascii="Arial" w:hAnsi="Arial"/>
                <w:sz w:val="16"/>
                <w:szCs w:val="16"/>
                <w:lang w:val="sr-Latn-RS" w:eastAsia="en-US"/>
              </w:rPr>
              <w:t>Da</w:t>
            </w:r>
          </w:p>
        </w:tc>
        <w:tc>
          <w:tcPr>
            <w:tcW w:w="0" w:type="auto"/>
          </w:tcPr>
          <w:p w14:paraId="7169DEE5" w14:textId="1BBC58FD" w:rsidR="00993EDA" w:rsidRPr="00146F9D" w:rsidRDefault="00B42667" w:rsidP="00993EDA">
            <w:pPr>
              <w:pStyle w:val="Tabelle"/>
              <w:rPr>
                <w:rFonts w:ascii="Arial" w:hAnsi="Arial"/>
                <w:sz w:val="16"/>
                <w:szCs w:val="16"/>
                <w:lang w:val="sr-Latn-RS" w:eastAsia="en-US"/>
              </w:rPr>
            </w:pPr>
            <w:r>
              <w:rPr>
                <w:rFonts w:ascii="Arial" w:hAnsi="Arial"/>
                <w:sz w:val="16"/>
                <w:szCs w:val="16"/>
                <w:lang w:val="sr-Latn-RS" w:eastAsia="en-US"/>
              </w:rPr>
              <w:t>Analiza dokumenata</w:t>
            </w:r>
          </w:p>
        </w:tc>
        <w:tc>
          <w:tcPr>
            <w:tcW w:w="0" w:type="auto"/>
          </w:tcPr>
          <w:p w14:paraId="0598E4F7" w14:textId="50F240F5" w:rsidR="00993EDA" w:rsidRPr="00146F9D" w:rsidRDefault="00B42667" w:rsidP="00993EDA">
            <w:pPr>
              <w:pStyle w:val="Tabelle"/>
              <w:rPr>
                <w:rFonts w:ascii="Arial" w:hAnsi="Arial"/>
                <w:sz w:val="16"/>
                <w:szCs w:val="16"/>
                <w:lang w:val="sr-Latn-RS" w:eastAsia="en-US"/>
              </w:rPr>
            </w:pPr>
            <w:r>
              <w:rPr>
                <w:rFonts w:ascii="Arial" w:hAnsi="Arial"/>
                <w:sz w:val="16"/>
                <w:szCs w:val="16"/>
                <w:lang w:val="sr-Latn-RS" w:eastAsia="en-US"/>
              </w:rPr>
              <w:t>NPZP je komplementaran drugim strateškim dokumentima.</w:t>
            </w:r>
          </w:p>
        </w:tc>
      </w:tr>
      <w:tr w:rsidR="00B42667" w:rsidRPr="00146F9D" w14:paraId="7152BE98" w14:textId="77777777" w:rsidTr="00A25755">
        <w:tc>
          <w:tcPr>
            <w:tcW w:w="0" w:type="auto"/>
            <w:shd w:val="clear" w:color="auto" w:fill="E2EFD9" w:themeFill="accent6" w:themeFillTint="33"/>
          </w:tcPr>
          <w:p w14:paraId="3F487AF1" w14:textId="4C01FEEE"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Rezultati</w:t>
            </w:r>
          </w:p>
        </w:tc>
        <w:tc>
          <w:tcPr>
            <w:tcW w:w="0" w:type="auto"/>
            <w:shd w:val="clear" w:color="auto" w:fill="E2EFD9" w:themeFill="accent6" w:themeFillTint="33"/>
          </w:tcPr>
          <w:p w14:paraId="78918147" w14:textId="77777777" w:rsidR="00F2340F" w:rsidRPr="00F2340F" w:rsidRDefault="00F2340F" w:rsidP="00F2340F">
            <w:pPr>
              <w:pStyle w:val="Tabelle"/>
              <w:rPr>
                <w:rFonts w:ascii="Arial" w:hAnsi="Arial"/>
                <w:sz w:val="16"/>
                <w:szCs w:val="16"/>
                <w:lang w:val="sr-Latn-RS" w:eastAsia="en-US"/>
              </w:rPr>
            </w:pPr>
            <w:r w:rsidRPr="00F2340F">
              <w:rPr>
                <w:rFonts w:ascii="Arial" w:hAnsi="Arial"/>
                <w:sz w:val="16"/>
                <w:szCs w:val="16"/>
                <w:lang w:val="sr-Latn-RS" w:eastAsia="en-US"/>
              </w:rPr>
              <w:t>U kojoj meri je NPZP postigao očekivane rezultate u svakoj od svojih ključnih oblasti intervencije?</w:t>
            </w:r>
          </w:p>
          <w:p w14:paraId="5AA15095" w14:textId="77BBC5CB" w:rsidR="00993EDA" w:rsidRPr="00146F9D" w:rsidRDefault="00993EDA" w:rsidP="00F2340F">
            <w:pPr>
              <w:pStyle w:val="Tabelle"/>
              <w:rPr>
                <w:rFonts w:ascii="Arial" w:hAnsi="Arial"/>
                <w:sz w:val="16"/>
                <w:szCs w:val="16"/>
                <w:lang w:val="sr-Latn-RS" w:eastAsia="en-US"/>
              </w:rPr>
            </w:pPr>
          </w:p>
        </w:tc>
        <w:tc>
          <w:tcPr>
            <w:tcW w:w="0" w:type="auto"/>
            <w:shd w:val="clear" w:color="auto" w:fill="E2EFD9" w:themeFill="accent6" w:themeFillTint="33"/>
          </w:tcPr>
          <w:p w14:paraId="799D4695" w14:textId="5FC49A61"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shd w:val="clear" w:color="auto" w:fill="E2EFD9" w:themeFill="accent6" w:themeFillTint="33"/>
          </w:tcPr>
          <w:p w14:paraId="21A9B5E5" w14:textId="1F56EF8B" w:rsidR="00993EDA" w:rsidRPr="00146F9D" w:rsidRDefault="001C2AAD" w:rsidP="00993EDA">
            <w:pPr>
              <w:pStyle w:val="Tabelle"/>
              <w:rPr>
                <w:rFonts w:ascii="Arial" w:hAnsi="Arial"/>
                <w:sz w:val="16"/>
                <w:szCs w:val="16"/>
                <w:lang w:val="sr-Latn-RS" w:eastAsia="en-US"/>
              </w:rPr>
            </w:pPr>
            <w:r w:rsidRPr="00146F9D">
              <w:rPr>
                <w:rFonts w:ascii="Arial" w:hAnsi="Arial"/>
                <w:sz w:val="16"/>
                <w:szCs w:val="16"/>
                <w:lang w:val="sr-Latn-RS" w:eastAsia="en-US"/>
              </w:rPr>
              <w:t>4</w:t>
            </w:r>
          </w:p>
        </w:tc>
        <w:tc>
          <w:tcPr>
            <w:tcW w:w="0" w:type="auto"/>
            <w:shd w:val="clear" w:color="auto" w:fill="E2EFD9" w:themeFill="accent6" w:themeFillTint="33"/>
          </w:tcPr>
          <w:p w14:paraId="06B3DE19" w14:textId="7E21522B" w:rsidR="00993EDA" w:rsidRPr="00146F9D" w:rsidRDefault="001C2AAD" w:rsidP="00993EDA">
            <w:pPr>
              <w:pStyle w:val="Tabelle"/>
              <w:rPr>
                <w:rFonts w:ascii="Arial" w:hAnsi="Arial"/>
                <w:sz w:val="16"/>
                <w:szCs w:val="16"/>
                <w:lang w:val="sr-Latn-RS" w:eastAsia="en-US"/>
              </w:rPr>
            </w:pPr>
            <w:r w:rsidRPr="00146F9D">
              <w:rPr>
                <w:rFonts w:ascii="Arial" w:hAnsi="Arial"/>
                <w:sz w:val="16"/>
                <w:szCs w:val="16"/>
                <w:lang w:val="sr-Latn-RS" w:eastAsia="en-US"/>
              </w:rPr>
              <w:t>1-5</w:t>
            </w:r>
          </w:p>
        </w:tc>
        <w:tc>
          <w:tcPr>
            <w:tcW w:w="0" w:type="auto"/>
            <w:shd w:val="clear" w:color="auto" w:fill="E2EFD9" w:themeFill="accent6" w:themeFillTint="33"/>
          </w:tcPr>
          <w:p w14:paraId="3D5C18A2" w14:textId="1A2DDDAC" w:rsidR="00993EDA" w:rsidRPr="00146F9D" w:rsidRDefault="00146F9D" w:rsidP="00993EDA">
            <w:pPr>
              <w:pStyle w:val="Tabelle"/>
              <w:rPr>
                <w:rFonts w:ascii="Arial" w:hAnsi="Arial"/>
                <w:sz w:val="16"/>
                <w:szCs w:val="16"/>
                <w:lang w:val="sr-Latn-RS" w:eastAsia="en-US"/>
              </w:rPr>
            </w:pPr>
            <w:r w:rsidRPr="00146F9D">
              <w:rPr>
                <w:rFonts w:ascii="Arial" w:hAnsi="Arial"/>
                <w:sz w:val="16"/>
                <w:szCs w:val="16"/>
                <w:lang w:val="sr-Latn-RS" w:eastAsia="en-US"/>
              </w:rPr>
              <w:t>Nije dostupno</w:t>
            </w:r>
          </w:p>
        </w:tc>
        <w:tc>
          <w:tcPr>
            <w:tcW w:w="0" w:type="auto"/>
            <w:shd w:val="clear" w:color="auto" w:fill="E2EFD9" w:themeFill="accent6" w:themeFillTint="33"/>
          </w:tcPr>
          <w:p w14:paraId="5EE89EA4" w14:textId="77777777" w:rsidR="00F2340F" w:rsidRDefault="00F2340F" w:rsidP="00F2340F">
            <w:pPr>
              <w:pStyle w:val="Tabelle"/>
              <w:rPr>
                <w:rFonts w:ascii="Arial" w:hAnsi="Arial"/>
                <w:sz w:val="16"/>
                <w:szCs w:val="16"/>
                <w:lang w:val="sr-Latn-RS" w:eastAsia="en-US"/>
              </w:rPr>
            </w:pPr>
            <w:r>
              <w:rPr>
                <w:rFonts w:ascii="Arial" w:hAnsi="Arial"/>
                <w:sz w:val="16"/>
                <w:szCs w:val="16"/>
                <w:lang w:val="sr-Latn-RS" w:eastAsia="en-US"/>
              </w:rPr>
              <w:t>Zapisnici sa intervjua</w:t>
            </w:r>
          </w:p>
          <w:p w14:paraId="1D1AEB19" w14:textId="77777777" w:rsidR="00F2340F" w:rsidRDefault="00F2340F" w:rsidP="00F2340F">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2CB9D8AD" w14:textId="77777777" w:rsidR="00F2340F" w:rsidRDefault="00F2340F" w:rsidP="00F2340F">
            <w:pPr>
              <w:pStyle w:val="Tabelle"/>
              <w:rPr>
                <w:rFonts w:ascii="Arial" w:hAnsi="Arial"/>
                <w:sz w:val="16"/>
                <w:szCs w:val="16"/>
                <w:lang w:val="sr-Latn-RS" w:eastAsia="en-US"/>
              </w:rPr>
            </w:pPr>
            <w:r>
              <w:rPr>
                <w:rFonts w:ascii="Arial" w:hAnsi="Arial"/>
                <w:sz w:val="16"/>
                <w:szCs w:val="16"/>
                <w:lang w:val="sr-Latn-RS" w:eastAsia="en-US"/>
              </w:rPr>
              <w:t>NPZP</w:t>
            </w:r>
          </w:p>
          <w:p w14:paraId="1129D77F" w14:textId="7A064DEE" w:rsidR="00993EDA" w:rsidRPr="00146F9D" w:rsidRDefault="00993EDA" w:rsidP="001C2AAD">
            <w:pPr>
              <w:pStyle w:val="Tabelle"/>
              <w:rPr>
                <w:rFonts w:ascii="Arial" w:hAnsi="Arial"/>
                <w:sz w:val="16"/>
                <w:szCs w:val="16"/>
                <w:lang w:val="sr-Latn-RS" w:eastAsia="en-US"/>
              </w:rPr>
            </w:pPr>
          </w:p>
        </w:tc>
        <w:tc>
          <w:tcPr>
            <w:tcW w:w="0" w:type="auto"/>
            <w:shd w:val="clear" w:color="auto" w:fill="E2EFD9" w:themeFill="accent6" w:themeFillTint="33"/>
          </w:tcPr>
          <w:p w14:paraId="28AEEA07" w14:textId="4775F57F"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Ovaj rezultat je u suprotnosti sa stvarnim nalazima o statusu realizacije prijavljenih aktivnosti, što implicira da su ispitanici pridali veći značaj aktivnostima koje su u potpunosti ili delimično sprovedene, u poređenju sa onima koje nisu.</w:t>
            </w:r>
          </w:p>
          <w:p w14:paraId="0D3CD20C" w14:textId="5954D14E" w:rsidR="00993EDA"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Relativno mali uzorak je mogao uticati na ukupni rezultat.</w:t>
            </w:r>
          </w:p>
        </w:tc>
      </w:tr>
      <w:tr w:rsidR="00E82B3C" w:rsidRPr="00146F9D" w14:paraId="5B4A22DB" w14:textId="77777777" w:rsidTr="00A25755">
        <w:tc>
          <w:tcPr>
            <w:tcW w:w="0" w:type="auto"/>
          </w:tcPr>
          <w:p w14:paraId="0E66BBD1" w14:textId="5F69AE6A"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Rezultati</w:t>
            </w:r>
          </w:p>
        </w:tc>
        <w:tc>
          <w:tcPr>
            <w:tcW w:w="0" w:type="auto"/>
          </w:tcPr>
          <w:p w14:paraId="163FF84D" w14:textId="1BC62DDC" w:rsidR="00146F9D" w:rsidRPr="00146F9D" w:rsidRDefault="00F2340F" w:rsidP="00146F9D">
            <w:pPr>
              <w:pStyle w:val="Tabelle"/>
              <w:rPr>
                <w:rFonts w:ascii="Arial" w:hAnsi="Arial"/>
                <w:sz w:val="16"/>
                <w:szCs w:val="16"/>
                <w:lang w:val="sr-Latn-RS" w:eastAsia="en-US"/>
              </w:rPr>
            </w:pPr>
            <w:r w:rsidRPr="00F2340F">
              <w:rPr>
                <w:rFonts w:ascii="Arial" w:hAnsi="Arial"/>
                <w:sz w:val="16"/>
                <w:szCs w:val="16"/>
                <w:lang w:val="sr-Latn-RS" w:eastAsia="en-US"/>
              </w:rPr>
              <w:t>Koji su pokazatelji promena među donosiocima odluka/politika i drugim relevantnim partnerima koji pokazuju da je NPZP unapredio integraciju politika zaštite potrošača u nacionalno zakonodavstvo i praksu?</w:t>
            </w:r>
          </w:p>
        </w:tc>
        <w:tc>
          <w:tcPr>
            <w:tcW w:w="0" w:type="auto"/>
          </w:tcPr>
          <w:p w14:paraId="0F68DB34" w14:textId="7AB4445F"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Desk</w:t>
            </w:r>
            <w:r w:rsidR="00F2340F">
              <w:rPr>
                <w:rFonts w:ascii="Arial" w:hAnsi="Arial"/>
                <w:sz w:val="16"/>
                <w:szCs w:val="16"/>
                <w:lang w:val="sr-Latn-RS" w:eastAsia="en-US"/>
              </w:rPr>
              <w:t xml:space="preserve"> </w:t>
            </w:r>
            <w:r>
              <w:rPr>
                <w:rFonts w:ascii="Arial" w:hAnsi="Arial"/>
                <w:sz w:val="16"/>
                <w:szCs w:val="16"/>
                <w:lang w:val="sr-Latn-RS" w:eastAsia="en-US"/>
              </w:rPr>
              <w:t>analiza</w:t>
            </w:r>
          </w:p>
          <w:p w14:paraId="2F255E5E" w14:textId="44AE032D"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47A1FF0F" w14:textId="65CEED63" w:rsidR="00146F9D" w:rsidRPr="00146F9D" w:rsidRDefault="00E82B3C" w:rsidP="00146F9D">
            <w:pPr>
              <w:pStyle w:val="Tabelle"/>
              <w:rPr>
                <w:rFonts w:ascii="Arial" w:hAnsi="Arial"/>
                <w:sz w:val="16"/>
                <w:szCs w:val="16"/>
                <w:lang w:val="sr-Latn-RS" w:eastAsia="en-US"/>
              </w:rPr>
            </w:pPr>
            <w:r w:rsidRPr="00E82B3C">
              <w:rPr>
                <w:rFonts w:ascii="Arial" w:hAnsi="Arial"/>
                <w:sz w:val="16"/>
                <w:szCs w:val="16"/>
                <w:lang w:val="sr-Latn-RS" w:eastAsia="en-US"/>
              </w:rPr>
              <w:t>Način razmišljanja potrošača se menja, posebno u određenim oblastima koje su relevantne za zaštitu potrošača, kao što su elektronski mediji, onlajn trgovina i mobilne usluge</w:t>
            </w:r>
          </w:p>
        </w:tc>
        <w:tc>
          <w:tcPr>
            <w:tcW w:w="0" w:type="auto"/>
          </w:tcPr>
          <w:p w14:paraId="2CC2C428" w14:textId="49BAFAD6"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Narativ</w:t>
            </w:r>
          </w:p>
        </w:tc>
        <w:tc>
          <w:tcPr>
            <w:tcW w:w="0" w:type="auto"/>
          </w:tcPr>
          <w:p w14:paraId="46EC06FA" w14:textId="7731CF55" w:rsidR="00146F9D" w:rsidRPr="00146F9D" w:rsidRDefault="00146F9D" w:rsidP="00146F9D">
            <w:pPr>
              <w:pStyle w:val="Tabelle"/>
              <w:rPr>
                <w:rFonts w:ascii="Arial" w:hAnsi="Arial"/>
                <w:sz w:val="16"/>
                <w:szCs w:val="16"/>
                <w:lang w:val="sr-Latn-RS" w:eastAsia="en-US"/>
              </w:rPr>
            </w:pPr>
            <w:r w:rsidRPr="008C04AC">
              <w:rPr>
                <w:rFonts w:ascii="Arial" w:hAnsi="Arial"/>
                <w:sz w:val="16"/>
                <w:szCs w:val="16"/>
                <w:lang w:val="sr-Latn-RS" w:eastAsia="en-US"/>
              </w:rPr>
              <w:t>Nije dostupno</w:t>
            </w:r>
          </w:p>
        </w:tc>
        <w:tc>
          <w:tcPr>
            <w:tcW w:w="0" w:type="auto"/>
          </w:tcPr>
          <w:p w14:paraId="5A7B2163" w14:textId="77777777"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40BCC741" w14:textId="3B5A543A"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 različitih organa</w:t>
            </w:r>
          </w:p>
          <w:p w14:paraId="67D4737E" w14:textId="240B2445" w:rsidR="00146F9D" w:rsidRPr="00146F9D" w:rsidRDefault="00146F9D" w:rsidP="00146F9D">
            <w:pPr>
              <w:pStyle w:val="Tabelle"/>
              <w:rPr>
                <w:rFonts w:ascii="Arial" w:hAnsi="Arial"/>
                <w:sz w:val="16"/>
                <w:szCs w:val="16"/>
                <w:lang w:val="sr-Latn-RS" w:eastAsia="en-US"/>
              </w:rPr>
            </w:pPr>
          </w:p>
        </w:tc>
        <w:tc>
          <w:tcPr>
            <w:tcW w:w="0" w:type="auto"/>
          </w:tcPr>
          <w:p w14:paraId="5C5F9E56" w14:textId="56366075" w:rsidR="00146F9D" w:rsidRPr="00146F9D" w:rsidRDefault="00E82B3C" w:rsidP="00146F9D">
            <w:pPr>
              <w:pStyle w:val="Tabelle"/>
              <w:rPr>
                <w:rFonts w:ascii="Arial" w:hAnsi="Arial"/>
                <w:sz w:val="16"/>
                <w:szCs w:val="16"/>
                <w:lang w:val="sr-Latn-RS" w:eastAsia="en-US"/>
              </w:rPr>
            </w:pPr>
            <w:r w:rsidRPr="00E82B3C">
              <w:rPr>
                <w:rFonts w:ascii="Arial" w:hAnsi="Arial"/>
                <w:sz w:val="16"/>
                <w:szCs w:val="16"/>
                <w:lang w:val="sr-Latn-RS" w:eastAsia="en-US"/>
              </w:rPr>
              <w:t>Porast interakcije potrošača sa relevantnim institucijama potvrdio je da je politika zaštite potrošača postigla bolje razumevanje prava potrošača.</w:t>
            </w:r>
          </w:p>
        </w:tc>
      </w:tr>
      <w:tr w:rsidR="00E82B3C" w:rsidRPr="00146F9D" w14:paraId="59398881" w14:textId="77777777" w:rsidTr="00A25755">
        <w:tc>
          <w:tcPr>
            <w:tcW w:w="0" w:type="auto"/>
          </w:tcPr>
          <w:p w14:paraId="46280EB0" w14:textId="7C1578A7"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Rezultati</w:t>
            </w:r>
          </w:p>
        </w:tc>
        <w:tc>
          <w:tcPr>
            <w:tcW w:w="0" w:type="auto"/>
          </w:tcPr>
          <w:p w14:paraId="450FD73E" w14:textId="77777777" w:rsidR="00F2340F" w:rsidRPr="00F2340F" w:rsidRDefault="00F2340F" w:rsidP="00F2340F">
            <w:pPr>
              <w:pStyle w:val="Tabelle"/>
              <w:rPr>
                <w:rFonts w:ascii="Arial" w:hAnsi="Arial"/>
                <w:sz w:val="16"/>
                <w:szCs w:val="16"/>
                <w:lang w:val="sr-Latn-RS" w:eastAsia="en-US"/>
              </w:rPr>
            </w:pPr>
            <w:r w:rsidRPr="00F2340F">
              <w:rPr>
                <w:rFonts w:ascii="Arial" w:hAnsi="Arial"/>
                <w:sz w:val="16"/>
                <w:szCs w:val="16"/>
                <w:lang w:val="sr-Latn-RS" w:eastAsia="en-US"/>
              </w:rPr>
              <w:t xml:space="preserve">Koji su bili omogućavajući/ograničavajući faktori koji su uticali na postizanje i </w:t>
            </w:r>
            <w:proofErr w:type="spellStart"/>
            <w:r w:rsidRPr="00F2340F">
              <w:rPr>
                <w:rFonts w:ascii="Arial" w:hAnsi="Arial"/>
                <w:sz w:val="16"/>
                <w:szCs w:val="16"/>
                <w:lang w:val="sr-Latn-RS" w:eastAsia="en-US"/>
              </w:rPr>
              <w:t>nepostizanje</w:t>
            </w:r>
            <w:proofErr w:type="spellEnd"/>
            <w:r w:rsidRPr="00F2340F">
              <w:rPr>
                <w:rFonts w:ascii="Arial" w:hAnsi="Arial"/>
                <w:sz w:val="16"/>
                <w:szCs w:val="16"/>
                <w:lang w:val="sr-Latn-RS" w:eastAsia="en-US"/>
              </w:rPr>
              <w:t xml:space="preserve"> ishoda?</w:t>
            </w:r>
          </w:p>
          <w:p w14:paraId="09C85BB2" w14:textId="03573EC6" w:rsidR="00146F9D" w:rsidRPr="00146F9D" w:rsidRDefault="00146F9D" w:rsidP="00146F9D">
            <w:pPr>
              <w:pStyle w:val="Tabelle"/>
              <w:rPr>
                <w:rFonts w:ascii="Arial" w:hAnsi="Arial"/>
                <w:sz w:val="16"/>
                <w:szCs w:val="16"/>
                <w:lang w:val="sr-Latn-RS" w:eastAsia="en-US"/>
              </w:rPr>
            </w:pPr>
          </w:p>
        </w:tc>
        <w:tc>
          <w:tcPr>
            <w:tcW w:w="0" w:type="auto"/>
          </w:tcPr>
          <w:p w14:paraId="6DFDAE92"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66726266" w14:textId="381F0901"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vMerge w:val="restart"/>
          </w:tcPr>
          <w:p w14:paraId="4AB54FB3" w14:textId="02A046D8" w:rsidR="00E82B3C" w:rsidRP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F</w:t>
            </w:r>
            <w:r w:rsidRPr="00E82B3C">
              <w:rPr>
                <w:rFonts w:ascii="Arial" w:hAnsi="Arial"/>
                <w:sz w:val="16"/>
                <w:szCs w:val="16"/>
                <w:lang w:val="sr-Latn-RS" w:eastAsia="en-US"/>
              </w:rPr>
              <w:t>E je identifikova</w:t>
            </w:r>
            <w:r>
              <w:rPr>
                <w:rFonts w:ascii="Arial" w:hAnsi="Arial"/>
                <w:sz w:val="16"/>
                <w:szCs w:val="16"/>
                <w:lang w:val="sr-Latn-RS" w:eastAsia="en-US"/>
              </w:rPr>
              <w:t>la</w:t>
            </w:r>
            <w:r w:rsidRPr="00E82B3C">
              <w:rPr>
                <w:rFonts w:ascii="Arial" w:hAnsi="Arial"/>
                <w:sz w:val="16"/>
                <w:szCs w:val="16"/>
                <w:lang w:val="sr-Latn-RS" w:eastAsia="en-US"/>
              </w:rPr>
              <w:t xml:space="preserve"> nekoliko ograničavajućih faktora koji su mogli uticati na postizanje rezultata N</w:t>
            </w:r>
            <w:r>
              <w:rPr>
                <w:rFonts w:ascii="Arial" w:hAnsi="Arial"/>
                <w:sz w:val="16"/>
                <w:szCs w:val="16"/>
                <w:lang w:val="sr-Latn-RS" w:eastAsia="en-US"/>
              </w:rPr>
              <w:t>PZP</w:t>
            </w:r>
            <w:r w:rsidRPr="00E82B3C">
              <w:rPr>
                <w:rFonts w:ascii="Arial" w:hAnsi="Arial"/>
                <w:sz w:val="16"/>
                <w:szCs w:val="16"/>
                <w:lang w:val="sr-Latn-RS" w:eastAsia="en-US"/>
              </w:rPr>
              <w:t>-a. Najočiglednija posledica identifikovanih problema je nedostatak kontinuiteta u sprovođenju istraživanja relevantnih za praćenje operativnog cilja dva.</w:t>
            </w:r>
          </w:p>
          <w:p w14:paraId="28BF5FDE" w14:textId="77777777" w:rsidR="00E82B3C" w:rsidRPr="00E82B3C" w:rsidRDefault="00E82B3C" w:rsidP="00E82B3C">
            <w:pPr>
              <w:pStyle w:val="Tabelle"/>
              <w:rPr>
                <w:rFonts w:ascii="Arial" w:hAnsi="Arial"/>
                <w:sz w:val="16"/>
                <w:szCs w:val="16"/>
                <w:lang w:val="sr-Latn-RS" w:eastAsia="en-US"/>
              </w:rPr>
            </w:pPr>
          </w:p>
          <w:p w14:paraId="50CD9952" w14:textId="6FAA31BE"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Najvažniji ograničavajući faktor je na operativnoj strani N</w:t>
            </w:r>
            <w:r>
              <w:rPr>
                <w:rFonts w:ascii="Arial" w:hAnsi="Arial"/>
                <w:sz w:val="16"/>
                <w:szCs w:val="16"/>
                <w:lang w:val="sr-Latn-RS" w:eastAsia="en-US"/>
              </w:rPr>
              <w:t>PZP</w:t>
            </w:r>
            <w:r w:rsidRPr="00E82B3C">
              <w:rPr>
                <w:rFonts w:ascii="Arial" w:hAnsi="Arial"/>
                <w:sz w:val="16"/>
                <w:szCs w:val="16"/>
                <w:lang w:val="sr-Latn-RS" w:eastAsia="en-US"/>
              </w:rPr>
              <w:t>-a. Postoji očigledan problem administrativnih kapaciteta u Direkciji za zaštitu potrošača, što je prijavljeno u dva godišnja izveštaja o implementaciji.</w:t>
            </w:r>
          </w:p>
          <w:p w14:paraId="7A7FB82D" w14:textId="77777777" w:rsidR="00E82B3C" w:rsidRPr="00E82B3C" w:rsidRDefault="00E82B3C" w:rsidP="00E82B3C">
            <w:pPr>
              <w:pStyle w:val="Tabelle"/>
              <w:rPr>
                <w:rFonts w:ascii="Arial" w:hAnsi="Arial"/>
                <w:sz w:val="16"/>
                <w:szCs w:val="16"/>
                <w:lang w:val="sr-Latn-RS" w:eastAsia="en-US"/>
              </w:rPr>
            </w:pPr>
          </w:p>
          <w:p w14:paraId="4D35DFBC" w14:textId="7E86034E" w:rsidR="00146F9D"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 xml:space="preserve">Ključni izazov ostaju finansijska sredstva dodeljena oblasti zaštite potrošača, jer su </w:t>
            </w:r>
            <w:r w:rsidRPr="00E82B3C">
              <w:rPr>
                <w:rFonts w:ascii="Arial" w:hAnsi="Arial"/>
                <w:sz w:val="16"/>
                <w:szCs w:val="16"/>
                <w:lang w:val="sr-Latn-RS" w:eastAsia="en-US"/>
              </w:rPr>
              <w:lastRenderedPageBreak/>
              <w:t>odobrena sredstva bila znatno manja od planiranih i traženih od ME</w:t>
            </w:r>
            <w:r>
              <w:rPr>
                <w:rFonts w:ascii="Arial" w:hAnsi="Arial"/>
                <w:sz w:val="16"/>
                <w:szCs w:val="16"/>
                <w:lang w:val="sr-Latn-RS" w:eastAsia="en-US"/>
              </w:rPr>
              <w:t>R</w:t>
            </w:r>
            <w:r w:rsidRPr="00E82B3C">
              <w:rPr>
                <w:rFonts w:ascii="Arial" w:hAnsi="Arial"/>
                <w:sz w:val="16"/>
                <w:szCs w:val="16"/>
                <w:lang w:val="sr-Latn-RS" w:eastAsia="en-US"/>
              </w:rPr>
              <w:t>-a.</w:t>
            </w:r>
          </w:p>
        </w:tc>
        <w:tc>
          <w:tcPr>
            <w:tcW w:w="0" w:type="auto"/>
            <w:vMerge w:val="restart"/>
          </w:tcPr>
          <w:p w14:paraId="26D512BB" w14:textId="71CAC5B4"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lastRenderedPageBreak/>
              <w:t>Narativ</w:t>
            </w:r>
          </w:p>
        </w:tc>
        <w:tc>
          <w:tcPr>
            <w:tcW w:w="0" w:type="auto"/>
            <w:vMerge w:val="restart"/>
          </w:tcPr>
          <w:p w14:paraId="573C44D5" w14:textId="4CEBD5EE" w:rsidR="00146F9D" w:rsidRPr="00146F9D" w:rsidRDefault="00146F9D" w:rsidP="00146F9D">
            <w:pPr>
              <w:pStyle w:val="Tabelle"/>
              <w:rPr>
                <w:rFonts w:ascii="Arial" w:hAnsi="Arial"/>
                <w:sz w:val="16"/>
                <w:szCs w:val="16"/>
                <w:lang w:val="sr-Latn-RS" w:eastAsia="en-US"/>
              </w:rPr>
            </w:pPr>
            <w:r w:rsidRPr="008C04AC">
              <w:rPr>
                <w:rFonts w:ascii="Arial" w:hAnsi="Arial"/>
                <w:sz w:val="16"/>
                <w:szCs w:val="16"/>
                <w:lang w:val="sr-Latn-RS" w:eastAsia="en-US"/>
              </w:rPr>
              <w:t>Nije dostupno</w:t>
            </w:r>
          </w:p>
        </w:tc>
        <w:tc>
          <w:tcPr>
            <w:tcW w:w="0" w:type="auto"/>
            <w:vMerge w:val="restart"/>
          </w:tcPr>
          <w:p w14:paraId="526E06E5" w14:textId="77777777"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620B59C7" w14:textId="77777777"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3E29825C" w14:textId="5FB2337C" w:rsidR="00146F9D" w:rsidRPr="00146F9D" w:rsidRDefault="00146F9D" w:rsidP="00146F9D">
            <w:pPr>
              <w:pStyle w:val="Tabelle"/>
              <w:rPr>
                <w:rFonts w:ascii="Arial" w:hAnsi="Arial"/>
                <w:sz w:val="16"/>
                <w:szCs w:val="16"/>
                <w:lang w:val="sr-Latn-RS" w:eastAsia="en-US"/>
              </w:rPr>
            </w:pPr>
          </w:p>
        </w:tc>
        <w:tc>
          <w:tcPr>
            <w:tcW w:w="0" w:type="auto"/>
            <w:vMerge w:val="restart"/>
          </w:tcPr>
          <w:p w14:paraId="597ADB3D" w14:textId="18EC226E"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590D1885" w14:textId="77777777" w:rsidTr="00A25755">
        <w:tc>
          <w:tcPr>
            <w:tcW w:w="0" w:type="auto"/>
          </w:tcPr>
          <w:p w14:paraId="0F36926F" w14:textId="6AF3E727"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Rezultati</w:t>
            </w:r>
          </w:p>
        </w:tc>
        <w:tc>
          <w:tcPr>
            <w:tcW w:w="0" w:type="auto"/>
          </w:tcPr>
          <w:p w14:paraId="3B9C706F" w14:textId="2016C050" w:rsidR="00146F9D" w:rsidRPr="00146F9D" w:rsidRDefault="00F2340F" w:rsidP="00146F9D">
            <w:pPr>
              <w:pStyle w:val="Tabelle"/>
              <w:rPr>
                <w:rFonts w:ascii="Arial" w:hAnsi="Arial"/>
                <w:sz w:val="16"/>
                <w:szCs w:val="16"/>
                <w:lang w:val="sr-Latn-RS" w:eastAsia="en-US"/>
              </w:rPr>
            </w:pPr>
            <w:r w:rsidRPr="00F2340F">
              <w:rPr>
                <w:rFonts w:ascii="Arial" w:hAnsi="Arial"/>
                <w:sz w:val="16"/>
                <w:szCs w:val="16"/>
                <w:lang w:val="sr-Latn-RS" w:eastAsia="en-US"/>
              </w:rPr>
              <w:t>Da li je bilo nekih neželjenih posledica kao rezultat intervencija NPZP-a?</w:t>
            </w:r>
          </w:p>
        </w:tc>
        <w:tc>
          <w:tcPr>
            <w:tcW w:w="0" w:type="auto"/>
          </w:tcPr>
          <w:p w14:paraId="7B92306E" w14:textId="477CD143"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I</w:t>
            </w:r>
            <w:r>
              <w:rPr>
                <w:rFonts w:ascii="Arial" w:hAnsi="Arial"/>
                <w:sz w:val="16"/>
                <w:szCs w:val="16"/>
                <w:lang w:val="sr-Latn-RS" w:eastAsia="en-US"/>
              </w:rPr>
              <w:t xml:space="preserve"> Intervjui</w:t>
            </w:r>
          </w:p>
        </w:tc>
        <w:tc>
          <w:tcPr>
            <w:tcW w:w="0" w:type="auto"/>
            <w:vMerge/>
          </w:tcPr>
          <w:p w14:paraId="3258F18F" w14:textId="3EE3FE84" w:rsidR="00146F9D" w:rsidRPr="00146F9D" w:rsidRDefault="00146F9D" w:rsidP="00146F9D">
            <w:pPr>
              <w:pStyle w:val="Tabelle"/>
              <w:rPr>
                <w:rFonts w:ascii="Arial" w:hAnsi="Arial"/>
                <w:sz w:val="16"/>
                <w:szCs w:val="16"/>
                <w:lang w:val="sr-Latn-RS" w:eastAsia="en-US"/>
              </w:rPr>
            </w:pPr>
          </w:p>
        </w:tc>
        <w:tc>
          <w:tcPr>
            <w:tcW w:w="0" w:type="auto"/>
            <w:vMerge/>
          </w:tcPr>
          <w:p w14:paraId="1937CFB2" w14:textId="510CECA4" w:rsidR="00146F9D" w:rsidRPr="00146F9D" w:rsidRDefault="00146F9D" w:rsidP="00146F9D">
            <w:pPr>
              <w:pStyle w:val="Tabelle"/>
              <w:rPr>
                <w:rFonts w:ascii="Arial" w:hAnsi="Arial"/>
                <w:sz w:val="16"/>
                <w:szCs w:val="16"/>
                <w:lang w:val="sr-Latn-RS" w:eastAsia="en-US"/>
              </w:rPr>
            </w:pPr>
          </w:p>
        </w:tc>
        <w:tc>
          <w:tcPr>
            <w:tcW w:w="0" w:type="auto"/>
            <w:vMerge/>
          </w:tcPr>
          <w:p w14:paraId="0D27A3DA" w14:textId="3A5DBB18" w:rsidR="00146F9D" w:rsidRPr="00146F9D" w:rsidRDefault="00146F9D" w:rsidP="00146F9D">
            <w:pPr>
              <w:pStyle w:val="Tabelle"/>
              <w:rPr>
                <w:rFonts w:ascii="Arial" w:hAnsi="Arial"/>
                <w:sz w:val="16"/>
                <w:szCs w:val="16"/>
                <w:lang w:val="sr-Latn-RS" w:eastAsia="en-US"/>
              </w:rPr>
            </w:pPr>
          </w:p>
        </w:tc>
        <w:tc>
          <w:tcPr>
            <w:tcW w:w="0" w:type="auto"/>
            <w:vMerge/>
          </w:tcPr>
          <w:p w14:paraId="44C5A0E9" w14:textId="26CC6505" w:rsidR="00146F9D" w:rsidRPr="00146F9D" w:rsidRDefault="00146F9D" w:rsidP="00146F9D">
            <w:pPr>
              <w:pStyle w:val="Tabelle"/>
              <w:rPr>
                <w:rFonts w:ascii="Arial" w:hAnsi="Arial"/>
                <w:sz w:val="16"/>
                <w:szCs w:val="16"/>
                <w:lang w:val="sr-Latn-RS" w:eastAsia="en-US"/>
              </w:rPr>
            </w:pPr>
          </w:p>
        </w:tc>
        <w:tc>
          <w:tcPr>
            <w:tcW w:w="0" w:type="auto"/>
            <w:vMerge/>
          </w:tcPr>
          <w:p w14:paraId="6CBAE5C1" w14:textId="09E766B7" w:rsidR="00146F9D" w:rsidRPr="00146F9D" w:rsidRDefault="00146F9D" w:rsidP="00146F9D">
            <w:pPr>
              <w:pStyle w:val="Tabelle"/>
              <w:rPr>
                <w:rFonts w:ascii="Arial" w:hAnsi="Arial"/>
                <w:sz w:val="16"/>
                <w:szCs w:val="16"/>
                <w:lang w:val="sr-Latn-RS" w:eastAsia="en-US"/>
              </w:rPr>
            </w:pPr>
          </w:p>
        </w:tc>
      </w:tr>
      <w:tr w:rsidR="00E82B3C" w:rsidRPr="00146F9D" w14:paraId="5C928499" w14:textId="77777777" w:rsidTr="00A25755">
        <w:tc>
          <w:tcPr>
            <w:tcW w:w="0" w:type="auto"/>
          </w:tcPr>
          <w:p w14:paraId="66728673" w14:textId="061F1AFC"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Rezultati</w:t>
            </w:r>
          </w:p>
        </w:tc>
        <w:tc>
          <w:tcPr>
            <w:tcW w:w="0" w:type="auto"/>
          </w:tcPr>
          <w:p w14:paraId="5D766C78" w14:textId="77777777" w:rsidR="00E82B3C" w:rsidRPr="00F2340F" w:rsidRDefault="00E82B3C" w:rsidP="00E82B3C">
            <w:pPr>
              <w:pStyle w:val="Tabelle"/>
              <w:rPr>
                <w:rFonts w:ascii="Arial" w:hAnsi="Arial"/>
                <w:sz w:val="16"/>
                <w:szCs w:val="16"/>
                <w:lang w:val="sr-Latn-RS" w:eastAsia="en-US"/>
              </w:rPr>
            </w:pPr>
            <w:r w:rsidRPr="00F2340F">
              <w:rPr>
                <w:rFonts w:ascii="Arial" w:hAnsi="Arial"/>
                <w:sz w:val="16"/>
                <w:szCs w:val="16"/>
                <w:lang w:val="sr-Latn-RS" w:eastAsia="en-US"/>
              </w:rPr>
              <w:t>Koji se napori ulažu kako bi se osigurala održivost rezultata NPZP-a na duži rok?</w:t>
            </w:r>
          </w:p>
          <w:p w14:paraId="529CC557" w14:textId="057B1237" w:rsidR="00E82B3C" w:rsidRPr="00146F9D" w:rsidRDefault="00E82B3C" w:rsidP="00E82B3C">
            <w:pPr>
              <w:pStyle w:val="Tabelle"/>
              <w:rPr>
                <w:rFonts w:ascii="Arial" w:hAnsi="Arial"/>
                <w:sz w:val="16"/>
                <w:szCs w:val="16"/>
                <w:lang w:val="sr-Latn-RS" w:eastAsia="en-US"/>
              </w:rPr>
            </w:pPr>
          </w:p>
        </w:tc>
        <w:tc>
          <w:tcPr>
            <w:tcW w:w="0" w:type="auto"/>
          </w:tcPr>
          <w:p w14:paraId="634B7318" w14:textId="458F463A"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tcPr>
          <w:p w14:paraId="608B4D69" w14:textId="2D31F2CA" w:rsidR="00E82B3C"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 xml:space="preserve">Održivost </w:t>
            </w:r>
            <w:r>
              <w:rPr>
                <w:rFonts w:ascii="Arial" w:hAnsi="Arial"/>
                <w:sz w:val="16"/>
                <w:szCs w:val="16"/>
                <w:lang w:val="sr-Latn-RS" w:eastAsia="en-US"/>
              </w:rPr>
              <w:t>NPZP</w:t>
            </w:r>
            <w:r w:rsidRPr="00E82B3C">
              <w:rPr>
                <w:rFonts w:ascii="Arial" w:hAnsi="Arial"/>
                <w:sz w:val="16"/>
                <w:szCs w:val="16"/>
                <w:lang w:val="sr-Latn-RS" w:eastAsia="en-US"/>
              </w:rPr>
              <w:t xml:space="preserve"> obezbeđena je kontinuiranim kreiranjem politika, dok je usvajanje novog Programa zaštite potrošača planirano do kraja drugog kvartala 2025. godine. Ovo, shodno tome, osigurava da </w:t>
            </w:r>
            <w:proofErr w:type="spellStart"/>
            <w:r w:rsidRPr="00E82B3C">
              <w:rPr>
                <w:rFonts w:ascii="Arial" w:hAnsi="Arial"/>
                <w:sz w:val="16"/>
                <w:szCs w:val="16"/>
                <w:lang w:val="sr-Latn-RS" w:eastAsia="en-US"/>
              </w:rPr>
              <w:t>će</w:t>
            </w:r>
            <w:proofErr w:type="spellEnd"/>
            <w:r w:rsidRPr="00E82B3C">
              <w:rPr>
                <w:rFonts w:ascii="Arial" w:hAnsi="Arial"/>
                <w:sz w:val="16"/>
                <w:szCs w:val="16"/>
                <w:lang w:val="sr-Latn-RS" w:eastAsia="en-US"/>
              </w:rPr>
              <w:t xml:space="preserve"> politika zaštite potrošača biti obuhvaćena strateškim dokumentom i razrađena kroz aktivnosti sprovođenja.</w:t>
            </w:r>
          </w:p>
        </w:tc>
        <w:tc>
          <w:tcPr>
            <w:tcW w:w="0" w:type="auto"/>
          </w:tcPr>
          <w:p w14:paraId="5B25B259" w14:textId="5EC26CCB" w:rsidR="00E82B3C" w:rsidRPr="00146F9D" w:rsidRDefault="00E82B3C" w:rsidP="00E82B3C">
            <w:pPr>
              <w:pStyle w:val="Tabelle"/>
              <w:rPr>
                <w:rFonts w:ascii="Arial" w:hAnsi="Arial"/>
                <w:sz w:val="16"/>
                <w:szCs w:val="16"/>
                <w:lang w:val="sr-Latn-RS" w:eastAsia="en-US"/>
              </w:rPr>
            </w:pPr>
            <w:r w:rsidRPr="00822EFD">
              <w:rPr>
                <w:rFonts w:ascii="Arial" w:hAnsi="Arial"/>
                <w:sz w:val="16"/>
                <w:szCs w:val="16"/>
                <w:lang w:val="sr-Latn-RS" w:eastAsia="en-US"/>
              </w:rPr>
              <w:t>Narativ</w:t>
            </w:r>
          </w:p>
        </w:tc>
        <w:tc>
          <w:tcPr>
            <w:tcW w:w="0" w:type="auto"/>
          </w:tcPr>
          <w:p w14:paraId="5037EE2D" w14:textId="491D3A9A" w:rsidR="00E82B3C" w:rsidRPr="00146F9D" w:rsidRDefault="00E82B3C" w:rsidP="00E82B3C">
            <w:pPr>
              <w:pStyle w:val="Tabelle"/>
              <w:rPr>
                <w:rFonts w:ascii="Arial" w:hAnsi="Arial"/>
                <w:sz w:val="16"/>
                <w:szCs w:val="16"/>
                <w:lang w:val="sr-Latn-RS" w:eastAsia="en-US"/>
              </w:rPr>
            </w:pPr>
            <w:r w:rsidRPr="006527F5">
              <w:rPr>
                <w:rFonts w:ascii="Arial" w:hAnsi="Arial"/>
                <w:sz w:val="16"/>
                <w:szCs w:val="16"/>
                <w:lang w:val="sr-Latn-RS" w:eastAsia="en-US"/>
              </w:rPr>
              <w:t>Nije dostupno</w:t>
            </w:r>
          </w:p>
        </w:tc>
        <w:tc>
          <w:tcPr>
            <w:tcW w:w="0" w:type="auto"/>
          </w:tcPr>
          <w:p w14:paraId="2331822B" w14:textId="4A59CAFF"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1AA5E149" w14:textId="3D5B7B1F" w:rsidR="00E82B3C" w:rsidRPr="00146F9D" w:rsidRDefault="00E82B3C" w:rsidP="00E82B3C">
            <w:pPr>
              <w:pStyle w:val="Tabelle"/>
              <w:rPr>
                <w:rFonts w:ascii="Arial" w:hAnsi="Arial"/>
                <w:sz w:val="16"/>
                <w:szCs w:val="16"/>
                <w:lang w:val="sr-Latn-RS" w:eastAsia="en-US"/>
              </w:rPr>
            </w:pPr>
          </w:p>
          <w:p w14:paraId="0CB91921" w14:textId="0DC23E7E"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Program CG za EU 2024 - 2027</w:t>
            </w:r>
            <w:r w:rsidRPr="00146F9D">
              <w:rPr>
                <w:rFonts w:ascii="Arial" w:hAnsi="Arial"/>
                <w:sz w:val="16"/>
                <w:szCs w:val="16"/>
                <w:lang w:val="sr-Latn-RS" w:eastAsia="en-US"/>
              </w:rPr>
              <w:t xml:space="preserve"> </w:t>
            </w:r>
          </w:p>
        </w:tc>
        <w:tc>
          <w:tcPr>
            <w:tcW w:w="0" w:type="auto"/>
          </w:tcPr>
          <w:p w14:paraId="3405C63B" w14:textId="275C3F10"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703610C3" w14:textId="77777777" w:rsidTr="00A25755">
        <w:tc>
          <w:tcPr>
            <w:tcW w:w="0" w:type="auto"/>
          </w:tcPr>
          <w:p w14:paraId="7BF5C023" w14:textId="274DDE76"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Rezultati</w:t>
            </w:r>
          </w:p>
        </w:tc>
        <w:tc>
          <w:tcPr>
            <w:tcW w:w="0" w:type="auto"/>
          </w:tcPr>
          <w:p w14:paraId="1DD907C3" w14:textId="3BD57950" w:rsidR="00E82B3C" w:rsidRPr="00146F9D" w:rsidRDefault="00E82B3C" w:rsidP="00E82B3C">
            <w:pPr>
              <w:pStyle w:val="Tabelle"/>
              <w:rPr>
                <w:rFonts w:ascii="Arial" w:hAnsi="Arial"/>
                <w:sz w:val="16"/>
                <w:szCs w:val="16"/>
                <w:lang w:val="sr-Latn-RS" w:eastAsia="en-US"/>
              </w:rPr>
            </w:pPr>
            <w:r w:rsidRPr="00F2340F">
              <w:rPr>
                <w:rFonts w:ascii="Arial" w:hAnsi="Arial"/>
                <w:sz w:val="16"/>
                <w:szCs w:val="16"/>
                <w:lang w:val="sr-Latn-RS" w:eastAsia="en-US"/>
              </w:rPr>
              <w:t>Kako je NPZP uticao na regulatorni okvir za zaštitu potrošača?</w:t>
            </w:r>
          </w:p>
        </w:tc>
        <w:tc>
          <w:tcPr>
            <w:tcW w:w="0" w:type="auto"/>
          </w:tcPr>
          <w:p w14:paraId="5D6152BD" w14:textId="77777777" w:rsidR="00E82B3C"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2A0B7FDC" w14:textId="79B00CF9"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1634E15B" w14:textId="0A7DD36E"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Bilo ne neznatnog uticaja</w:t>
            </w:r>
          </w:p>
        </w:tc>
        <w:tc>
          <w:tcPr>
            <w:tcW w:w="0" w:type="auto"/>
          </w:tcPr>
          <w:p w14:paraId="05B63003" w14:textId="6F3C1275" w:rsidR="00E82B3C" w:rsidRPr="00146F9D" w:rsidRDefault="00E82B3C" w:rsidP="00E82B3C">
            <w:pPr>
              <w:pStyle w:val="Tabelle"/>
              <w:rPr>
                <w:rFonts w:ascii="Arial" w:hAnsi="Arial"/>
                <w:sz w:val="16"/>
                <w:szCs w:val="16"/>
                <w:lang w:val="sr-Latn-RS" w:eastAsia="en-US"/>
              </w:rPr>
            </w:pPr>
            <w:r w:rsidRPr="00822EFD">
              <w:rPr>
                <w:rFonts w:ascii="Arial" w:hAnsi="Arial"/>
                <w:sz w:val="16"/>
                <w:szCs w:val="16"/>
                <w:lang w:val="sr-Latn-RS" w:eastAsia="en-US"/>
              </w:rPr>
              <w:t>Narativ</w:t>
            </w:r>
          </w:p>
        </w:tc>
        <w:tc>
          <w:tcPr>
            <w:tcW w:w="0" w:type="auto"/>
          </w:tcPr>
          <w:p w14:paraId="395C8F4C" w14:textId="0F3307CC" w:rsidR="00E82B3C" w:rsidRPr="00146F9D" w:rsidRDefault="00E82B3C" w:rsidP="00E82B3C">
            <w:pPr>
              <w:pStyle w:val="Tabelle"/>
              <w:rPr>
                <w:rFonts w:ascii="Arial" w:hAnsi="Arial"/>
                <w:sz w:val="16"/>
                <w:szCs w:val="16"/>
                <w:lang w:val="sr-Latn-RS" w:eastAsia="en-US"/>
              </w:rPr>
            </w:pPr>
            <w:r w:rsidRPr="006527F5">
              <w:rPr>
                <w:rFonts w:ascii="Arial" w:hAnsi="Arial"/>
                <w:sz w:val="16"/>
                <w:szCs w:val="16"/>
                <w:lang w:val="sr-Latn-RS" w:eastAsia="en-US"/>
              </w:rPr>
              <w:t>Nije dostupno</w:t>
            </w:r>
          </w:p>
        </w:tc>
        <w:tc>
          <w:tcPr>
            <w:tcW w:w="0" w:type="auto"/>
          </w:tcPr>
          <w:p w14:paraId="6BBD80DF" w14:textId="77777777"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2EF236E5" w14:textId="773C9F70" w:rsidR="00E82B3C" w:rsidRPr="00146F9D" w:rsidRDefault="00E82B3C" w:rsidP="00E82B3C">
            <w:pPr>
              <w:pStyle w:val="Tabelle"/>
              <w:rPr>
                <w:rFonts w:ascii="Arial" w:hAnsi="Arial"/>
                <w:sz w:val="16"/>
                <w:szCs w:val="16"/>
                <w:lang w:val="sr-Latn-RS" w:eastAsia="en-US"/>
              </w:rPr>
            </w:pPr>
          </w:p>
        </w:tc>
        <w:tc>
          <w:tcPr>
            <w:tcW w:w="0" w:type="auto"/>
          </w:tcPr>
          <w:p w14:paraId="1D30B254" w14:textId="26408D4E"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U toku implementacije samo jedan zakon značajan za NPZP je usvojen</w:t>
            </w:r>
          </w:p>
        </w:tc>
      </w:tr>
      <w:tr w:rsidR="00B42667" w:rsidRPr="00146F9D" w14:paraId="5371FE55" w14:textId="77777777" w:rsidTr="00A25755">
        <w:tc>
          <w:tcPr>
            <w:tcW w:w="0" w:type="auto"/>
            <w:shd w:val="clear" w:color="auto" w:fill="E2EFD9" w:themeFill="accent6" w:themeFillTint="33"/>
          </w:tcPr>
          <w:p w14:paraId="652DF748" w14:textId="4C23C52A"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Efikasnost</w:t>
            </w:r>
          </w:p>
        </w:tc>
        <w:tc>
          <w:tcPr>
            <w:tcW w:w="0" w:type="auto"/>
            <w:shd w:val="clear" w:color="auto" w:fill="E2EFD9" w:themeFill="accent6" w:themeFillTint="33"/>
          </w:tcPr>
          <w:p w14:paraId="4841D0E7" w14:textId="77777777"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Koliko je NPZP bio efikasan u smislu raspodele raspoloživih sredstava?</w:t>
            </w:r>
          </w:p>
          <w:p w14:paraId="2F747B52" w14:textId="623B391D" w:rsidR="00146F9D" w:rsidRPr="00146F9D" w:rsidRDefault="00146F9D" w:rsidP="00E82B3C">
            <w:pPr>
              <w:pStyle w:val="Tabelle"/>
              <w:rPr>
                <w:rFonts w:ascii="Arial" w:hAnsi="Arial"/>
                <w:sz w:val="16"/>
                <w:szCs w:val="16"/>
                <w:lang w:val="sr-Latn-RS" w:eastAsia="en-US"/>
              </w:rPr>
            </w:pPr>
          </w:p>
        </w:tc>
        <w:tc>
          <w:tcPr>
            <w:tcW w:w="0" w:type="auto"/>
            <w:shd w:val="clear" w:color="auto" w:fill="E2EFD9" w:themeFill="accent6" w:themeFillTint="33"/>
          </w:tcPr>
          <w:p w14:paraId="64ED5B4A"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22ABBD6D" w14:textId="00D422F1"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shd w:val="clear" w:color="auto" w:fill="E2EFD9" w:themeFill="accent6" w:themeFillTint="33"/>
          </w:tcPr>
          <w:p w14:paraId="318EC0C3" w14:textId="087CE7F8"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3,5</w:t>
            </w:r>
          </w:p>
        </w:tc>
        <w:tc>
          <w:tcPr>
            <w:tcW w:w="0" w:type="auto"/>
            <w:shd w:val="clear" w:color="auto" w:fill="E2EFD9" w:themeFill="accent6" w:themeFillTint="33"/>
          </w:tcPr>
          <w:p w14:paraId="4C85BB3A" w14:textId="1C317EEF"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1-5</w:t>
            </w:r>
          </w:p>
        </w:tc>
        <w:tc>
          <w:tcPr>
            <w:tcW w:w="0" w:type="auto"/>
            <w:shd w:val="clear" w:color="auto" w:fill="E2EFD9" w:themeFill="accent6" w:themeFillTint="33"/>
          </w:tcPr>
          <w:p w14:paraId="416C775D" w14:textId="3AF020AF" w:rsidR="00146F9D" w:rsidRPr="00146F9D" w:rsidRDefault="00146F9D" w:rsidP="00146F9D">
            <w:pPr>
              <w:pStyle w:val="Tabelle"/>
              <w:rPr>
                <w:rFonts w:ascii="Arial" w:hAnsi="Arial"/>
                <w:sz w:val="16"/>
                <w:szCs w:val="16"/>
                <w:lang w:val="sr-Latn-RS" w:eastAsia="en-US"/>
              </w:rPr>
            </w:pPr>
            <w:r w:rsidRPr="006527F5">
              <w:rPr>
                <w:rFonts w:ascii="Arial" w:hAnsi="Arial"/>
                <w:sz w:val="16"/>
                <w:szCs w:val="16"/>
                <w:lang w:val="sr-Latn-RS" w:eastAsia="en-US"/>
              </w:rPr>
              <w:t>Nije dostupno</w:t>
            </w:r>
          </w:p>
        </w:tc>
        <w:tc>
          <w:tcPr>
            <w:tcW w:w="0" w:type="auto"/>
            <w:shd w:val="clear" w:color="auto" w:fill="E2EFD9" w:themeFill="accent6" w:themeFillTint="33"/>
          </w:tcPr>
          <w:p w14:paraId="45CB795B" w14:textId="2E337764"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792BF5B6" w14:textId="29FB713A" w:rsidR="00146F9D"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Analiza dokumenata</w:t>
            </w:r>
          </w:p>
        </w:tc>
        <w:tc>
          <w:tcPr>
            <w:tcW w:w="0" w:type="auto"/>
            <w:shd w:val="clear" w:color="auto" w:fill="E2EFD9" w:themeFill="accent6" w:themeFillTint="33"/>
          </w:tcPr>
          <w:p w14:paraId="267E3989" w14:textId="2784F4C7" w:rsidR="00146F9D" w:rsidRPr="00146F9D" w:rsidRDefault="00E82B3C" w:rsidP="00146F9D">
            <w:pPr>
              <w:pStyle w:val="Tabelle"/>
              <w:rPr>
                <w:rFonts w:ascii="Arial" w:hAnsi="Arial"/>
                <w:sz w:val="16"/>
                <w:szCs w:val="16"/>
                <w:lang w:val="sr-Latn-RS" w:eastAsia="en-US"/>
              </w:rPr>
            </w:pPr>
            <w:r w:rsidRPr="00E82B3C">
              <w:rPr>
                <w:rFonts w:ascii="Arial" w:hAnsi="Arial"/>
                <w:sz w:val="16"/>
                <w:szCs w:val="16"/>
                <w:lang w:val="sr-Latn-RS" w:eastAsia="en-US"/>
              </w:rPr>
              <w:t>Relativno mali uzorak je mogao uticati na ukupni rezultat.</w:t>
            </w:r>
          </w:p>
        </w:tc>
      </w:tr>
      <w:tr w:rsidR="00E82B3C" w:rsidRPr="00146F9D" w14:paraId="3587FED5" w14:textId="77777777" w:rsidTr="00A25755">
        <w:tc>
          <w:tcPr>
            <w:tcW w:w="0" w:type="auto"/>
          </w:tcPr>
          <w:p w14:paraId="5736DA3F" w14:textId="3E195AA7"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Efikasnost</w:t>
            </w:r>
          </w:p>
        </w:tc>
        <w:tc>
          <w:tcPr>
            <w:tcW w:w="0" w:type="auto"/>
          </w:tcPr>
          <w:p w14:paraId="32D8F38E" w14:textId="77777777"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Da li je budžet NPZP-a korišćen u skladu sa isprogramiranom/planiranim iznosima ili je bilo potrebe za prilagođavanjem budžeta i zašto?</w:t>
            </w:r>
          </w:p>
          <w:p w14:paraId="6E5F74C8" w14:textId="6E6BA655" w:rsidR="00146F9D" w:rsidRPr="00146F9D" w:rsidRDefault="00146F9D" w:rsidP="00146F9D">
            <w:pPr>
              <w:pStyle w:val="Tabelle"/>
              <w:rPr>
                <w:rFonts w:ascii="Arial" w:hAnsi="Arial"/>
                <w:sz w:val="16"/>
                <w:szCs w:val="16"/>
                <w:lang w:val="sr-Latn-RS" w:eastAsia="en-US"/>
              </w:rPr>
            </w:pPr>
          </w:p>
        </w:tc>
        <w:tc>
          <w:tcPr>
            <w:tcW w:w="0" w:type="auto"/>
          </w:tcPr>
          <w:p w14:paraId="5F100AF3" w14:textId="40D36987"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tcPr>
          <w:p w14:paraId="0580F482" w14:textId="57886BEF"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Kao u Tabeli 5 i 6</w:t>
            </w:r>
          </w:p>
        </w:tc>
        <w:tc>
          <w:tcPr>
            <w:tcW w:w="0" w:type="auto"/>
          </w:tcPr>
          <w:p w14:paraId="3F30C5BD" w14:textId="3B74C907"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Numerički</w:t>
            </w:r>
          </w:p>
        </w:tc>
        <w:tc>
          <w:tcPr>
            <w:tcW w:w="0" w:type="auto"/>
          </w:tcPr>
          <w:p w14:paraId="316F511E" w14:textId="10576E35"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Kao u tabeli 5 i 6</w:t>
            </w:r>
          </w:p>
        </w:tc>
        <w:tc>
          <w:tcPr>
            <w:tcW w:w="0" w:type="auto"/>
          </w:tcPr>
          <w:p w14:paraId="75B352E9" w14:textId="77777777"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1687C60A" w14:textId="04EF91A6" w:rsidR="00146F9D" w:rsidRPr="00146F9D" w:rsidRDefault="00146F9D" w:rsidP="00146F9D">
            <w:pPr>
              <w:pStyle w:val="Tabelle"/>
              <w:rPr>
                <w:rFonts w:ascii="Arial" w:hAnsi="Arial"/>
                <w:sz w:val="16"/>
                <w:szCs w:val="16"/>
                <w:lang w:val="sr-Latn-RS" w:eastAsia="en-US"/>
              </w:rPr>
            </w:pPr>
          </w:p>
        </w:tc>
        <w:tc>
          <w:tcPr>
            <w:tcW w:w="0" w:type="auto"/>
          </w:tcPr>
          <w:p w14:paraId="71C534D0" w14:textId="26C37769" w:rsidR="00146F9D" w:rsidRPr="00146F9D" w:rsidRDefault="00E82B3C" w:rsidP="00146F9D">
            <w:pPr>
              <w:pStyle w:val="Tabelle"/>
              <w:rPr>
                <w:rFonts w:ascii="Arial" w:hAnsi="Arial"/>
                <w:sz w:val="16"/>
                <w:szCs w:val="16"/>
                <w:lang w:val="sr-Latn-RS" w:eastAsia="en-US"/>
              </w:rPr>
            </w:pPr>
            <w:r w:rsidRPr="00E82B3C">
              <w:rPr>
                <w:rFonts w:ascii="Arial" w:hAnsi="Arial"/>
                <w:sz w:val="16"/>
                <w:szCs w:val="16"/>
                <w:lang w:val="sr-Latn-RS" w:eastAsia="en-US"/>
              </w:rPr>
              <w:t>Potrošeno je 70% planiranog godišnjeg budžeta</w:t>
            </w:r>
          </w:p>
        </w:tc>
      </w:tr>
      <w:tr w:rsidR="00E82B3C" w:rsidRPr="00146F9D" w14:paraId="213E63B3" w14:textId="77777777" w:rsidTr="00A25755">
        <w:tc>
          <w:tcPr>
            <w:tcW w:w="0" w:type="auto"/>
          </w:tcPr>
          <w:p w14:paraId="3D48012E" w14:textId="3881BF9F"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Efikasnost</w:t>
            </w:r>
          </w:p>
        </w:tc>
        <w:tc>
          <w:tcPr>
            <w:tcW w:w="0" w:type="auto"/>
          </w:tcPr>
          <w:p w14:paraId="660DE53B" w14:textId="77777777"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Da li se programirani budžet pokazao adekvatnim u skladu sa potrebama?</w:t>
            </w:r>
          </w:p>
          <w:p w14:paraId="0E620659" w14:textId="6ABCBF90" w:rsidR="00E82B3C" w:rsidRPr="00146F9D" w:rsidRDefault="00E82B3C" w:rsidP="00E82B3C">
            <w:pPr>
              <w:pStyle w:val="Tabelle"/>
              <w:rPr>
                <w:rFonts w:ascii="Arial" w:hAnsi="Arial"/>
                <w:sz w:val="16"/>
                <w:szCs w:val="16"/>
                <w:lang w:val="sr-Latn-RS" w:eastAsia="en-US"/>
              </w:rPr>
            </w:pPr>
          </w:p>
        </w:tc>
        <w:tc>
          <w:tcPr>
            <w:tcW w:w="0" w:type="auto"/>
          </w:tcPr>
          <w:p w14:paraId="619A467E" w14:textId="2E68BEE6"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tc>
        <w:tc>
          <w:tcPr>
            <w:tcW w:w="0" w:type="auto"/>
          </w:tcPr>
          <w:p w14:paraId="768F3885" w14:textId="1A0239CF" w:rsidR="00E82B3C"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Budžet se pokazao adekvatnim. Ipak, došlo je do značajnog smanjenja raspoloživog budžeta između dva programska perioda.</w:t>
            </w:r>
          </w:p>
        </w:tc>
        <w:tc>
          <w:tcPr>
            <w:tcW w:w="0" w:type="auto"/>
          </w:tcPr>
          <w:p w14:paraId="6F7843F8" w14:textId="7985576D" w:rsidR="00E82B3C" w:rsidRPr="00146F9D" w:rsidRDefault="00E82B3C" w:rsidP="00E82B3C">
            <w:pPr>
              <w:pStyle w:val="Tabelle"/>
              <w:rPr>
                <w:rFonts w:ascii="Arial" w:hAnsi="Arial"/>
                <w:sz w:val="16"/>
                <w:szCs w:val="16"/>
                <w:lang w:val="sr-Latn-RS" w:eastAsia="en-US"/>
              </w:rPr>
            </w:pPr>
            <w:r w:rsidRPr="00052E8F">
              <w:rPr>
                <w:rFonts w:ascii="Arial" w:hAnsi="Arial"/>
                <w:sz w:val="16"/>
                <w:szCs w:val="16"/>
                <w:lang w:val="sr-Latn-RS" w:eastAsia="en-US"/>
              </w:rPr>
              <w:t>Narativ</w:t>
            </w:r>
          </w:p>
        </w:tc>
        <w:tc>
          <w:tcPr>
            <w:tcW w:w="0" w:type="auto"/>
          </w:tcPr>
          <w:p w14:paraId="73D47275" w14:textId="0491C2FA" w:rsidR="00E82B3C" w:rsidRPr="00146F9D" w:rsidRDefault="00E82B3C" w:rsidP="00E82B3C">
            <w:pPr>
              <w:pStyle w:val="Tabelle"/>
              <w:rPr>
                <w:rFonts w:ascii="Arial" w:hAnsi="Arial"/>
                <w:sz w:val="16"/>
                <w:szCs w:val="16"/>
                <w:lang w:val="sr-Latn-RS" w:eastAsia="en-US"/>
              </w:rPr>
            </w:pPr>
            <w:r w:rsidRPr="004B4A34">
              <w:rPr>
                <w:rFonts w:ascii="Arial" w:hAnsi="Arial"/>
                <w:sz w:val="16"/>
                <w:szCs w:val="16"/>
                <w:lang w:val="sr-Latn-RS" w:eastAsia="en-US"/>
              </w:rPr>
              <w:t>Nije dostupno</w:t>
            </w:r>
          </w:p>
        </w:tc>
        <w:tc>
          <w:tcPr>
            <w:tcW w:w="0" w:type="auto"/>
          </w:tcPr>
          <w:p w14:paraId="0198AD54" w14:textId="412FEC2B"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3837EBF7" w14:textId="593E2C22" w:rsidR="00E82B3C" w:rsidRPr="00146F9D" w:rsidRDefault="00E82B3C" w:rsidP="00E82B3C">
            <w:pPr>
              <w:pStyle w:val="Tabelle"/>
              <w:rPr>
                <w:rFonts w:ascii="Arial" w:hAnsi="Arial"/>
                <w:sz w:val="16"/>
                <w:szCs w:val="16"/>
                <w:lang w:val="sr-Latn-RS" w:eastAsia="en-US"/>
              </w:rPr>
            </w:pPr>
          </w:p>
        </w:tc>
        <w:tc>
          <w:tcPr>
            <w:tcW w:w="0" w:type="auto"/>
          </w:tcPr>
          <w:p w14:paraId="54642724" w14:textId="53D4D780"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2BDD992B" w14:textId="77777777" w:rsidTr="00A25755">
        <w:tc>
          <w:tcPr>
            <w:tcW w:w="0" w:type="auto"/>
          </w:tcPr>
          <w:p w14:paraId="718398C6" w14:textId="10070CA4"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Efikasnost</w:t>
            </w:r>
          </w:p>
        </w:tc>
        <w:tc>
          <w:tcPr>
            <w:tcW w:w="0" w:type="auto"/>
          </w:tcPr>
          <w:p w14:paraId="4AE1BFB4" w14:textId="77777777"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Da li je bilo problema sa zapošljavanjem ili nabavkom i kako su oni uticali na sprovođenje NPZP?</w:t>
            </w:r>
          </w:p>
          <w:p w14:paraId="6088E075" w14:textId="6AE76A31" w:rsidR="00E82B3C" w:rsidRPr="00146F9D" w:rsidRDefault="00E82B3C" w:rsidP="00E82B3C">
            <w:pPr>
              <w:pStyle w:val="Tabelle"/>
              <w:rPr>
                <w:rFonts w:ascii="Arial" w:hAnsi="Arial"/>
                <w:sz w:val="16"/>
                <w:szCs w:val="16"/>
                <w:lang w:val="sr-Latn-RS" w:eastAsia="en-US"/>
              </w:rPr>
            </w:pPr>
          </w:p>
        </w:tc>
        <w:tc>
          <w:tcPr>
            <w:tcW w:w="0" w:type="auto"/>
          </w:tcPr>
          <w:p w14:paraId="63EE84F8" w14:textId="77777777" w:rsidR="00E82B3C"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7E17E45B" w14:textId="5070184D"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75A080EC" w14:textId="134D1D5A" w:rsidR="00E82B3C"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 xml:space="preserve">FE je zaključio da </w:t>
            </w:r>
            <w:proofErr w:type="spellStart"/>
            <w:r w:rsidRPr="00E82B3C">
              <w:rPr>
                <w:rFonts w:ascii="Arial" w:hAnsi="Arial"/>
                <w:sz w:val="16"/>
                <w:szCs w:val="16"/>
                <w:lang w:val="sr-Latn-RS" w:eastAsia="en-US"/>
              </w:rPr>
              <w:t>vodeće</w:t>
            </w:r>
            <w:proofErr w:type="spellEnd"/>
            <w:r w:rsidRPr="00E82B3C">
              <w:rPr>
                <w:rFonts w:ascii="Arial" w:hAnsi="Arial"/>
                <w:sz w:val="16"/>
                <w:szCs w:val="16"/>
                <w:lang w:val="sr-Latn-RS" w:eastAsia="en-US"/>
              </w:rPr>
              <w:t xml:space="preserve"> ministarstvo ima kadrovskih problema</w:t>
            </w:r>
          </w:p>
        </w:tc>
        <w:tc>
          <w:tcPr>
            <w:tcW w:w="0" w:type="auto"/>
          </w:tcPr>
          <w:p w14:paraId="297EE655" w14:textId="10895AD0" w:rsidR="00E82B3C" w:rsidRPr="00146F9D" w:rsidRDefault="00E82B3C" w:rsidP="00E82B3C">
            <w:pPr>
              <w:pStyle w:val="Tabelle"/>
              <w:rPr>
                <w:rFonts w:ascii="Arial" w:hAnsi="Arial"/>
                <w:sz w:val="16"/>
                <w:szCs w:val="16"/>
                <w:lang w:val="sr-Latn-RS" w:eastAsia="en-US"/>
              </w:rPr>
            </w:pPr>
            <w:r w:rsidRPr="00052E8F">
              <w:rPr>
                <w:rFonts w:ascii="Arial" w:hAnsi="Arial"/>
                <w:sz w:val="16"/>
                <w:szCs w:val="16"/>
                <w:lang w:val="sr-Latn-RS" w:eastAsia="en-US"/>
              </w:rPr>
              <w:t>Narativ</w:t>
            </w:r>
          </w:p>
        </w:tc>
        <w:tc>
          <w:tcPr>
            <w:tcW w:w="0" w:type="auto"/>
          </w:tcPr>
          <w:p w14:paraId="04570374" w14:textId="5C840873" w:rsidR="00E82B3C" w:rsidRPr="00146F9D" w:rsidRDefault="00E82B3C" w:rsidP="00E82B3C">
            <w:pPr>
              <w:pStyle w:val="Tabelle"/>
              <w:rPr>
                <w:rFonts w:ascii="Arial" w:hAnsi="Arial"/>
                <w:sz w:val="16"/>
                <w:szCs w:val="16"/>
                <w:lang w:val="sr-Latn-RS" w:eastAsia="en-US"/>
              </w:rPr>
            </w:pPr>
            <w:r w:rsidRPr="004B4A34">
              <w:rPr>
                <w:rFonts w:ascii="Arial" w:hAnsi="Arial"/>
                <w:sz w:val="16"/>
                <w:szCs w:val="16"/>
                <w:lang w:val="sr-Latn-RS" w:eastAsia="en-US"/>
              </w:rPr>
              <w:t>Nije dostupno</w:t>
            </w:r>
          </w:p>
        </w:tc>
        <w:tc>
          <w:tcPr>
            <w:tcW w:w="0" w:type="auto"/>
          </w:tcPr>
          <w:p w14:paraId="4878B6F3" w14:textId="77777777"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5A0F51EE" w14:textId="77777777" w:rsidR="00E82B3C" w:rsidRDefault="00E82B3C" w:rsidP="00E82B3C">
            <w:pPr>
              <w:pStyle w:val="Tabelle"/>
              <w:rPr>
                <w:rFonts w:ascii="Arial" w:hAnsi="Arial"/>
                <w:sz w:val="16"/>
                <w:szCs w:val="16"/>
                <w:lang w:val="sr-Latn-RS" w:eastAsia="en-US"/>
              </w:rPr>
            </w:pPr>
            <w:proofErr w:type="spellStart"/>
            <w:r>
              <w:rPr>
                <w:rFonts w:ascii="Arial" w:hAnsi="Arial"/>
                <w:sz w:val="16"/>
                <w:szCs w:val="16"/>
                <w:lang w:val="sr-Latn-RS" w:eastAsia="en-US"/>
              </w:rPr>
              <w:t>Implementacioni</w:t>
            </w:r>
            <w:proofErr w:type="spellEnd"/>
            <w:r>
              <w:rPr>
                <w:rFonts w:ascii="Arial" w:hAnsi="Arial"/>
                <w:sz w:val="16"/>
                <w:szCs w:val="16"/>
                <w:lang w:val="sr-Latn-RS" w:eastAsia="en-US"/>
              </w:rPr>
              <w:t xml:space="preserve"> izveštaji</w:t>
            </w:r>
          </w:p>
          <w:p w14:paraId="192C31F0" w14:textId="4D3013E9" w:rsidR="00E82B3C" w:rsidRPr="00146F9D" w:rsidRDefault="00E82B3C" w:rsidP="00E82B3C">
            <w:pPr>
              <w:pStyle w:val="Tabelle"/>
              <w:rPr>
                <w:rFonts w:ascii="Arial" w:hAnsi="Arial"/>
                <w:sz w:val="16"/>
                <w:szCs w:val="16"/>
                <w:lang w:val="sr-Latn-RS" w:eastAsia="en-US"/>
              </w:rPr>
            </w:pPr>
          </w:p>
        </w:tc>
        <w:tc>
          <w:tcPr>
            <w:tcW w:w="0" w:type="auto"/>
          </w:tcPr>
          <w:p w14:paraId="4F8491E3" w14:textId="71A1135D"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Jedna pozicija i dalje otvorena u MER</w:t>
            </w:r>
          </w:p>
        </w:tc>
      </w:tr>
      <w:tr w:rsidR="00E82B3C" w:rsidRPr="00146F9D" w14:paraId="195F1A83" w14:textId="77777777" w:rsidTr="00A25755">
        <w:tc>
          <w:tcPr>
            <w:tcW w:w="0" w:type="auto"/>
          </w:tcPr>
          <w:p w14:paraId="6F49C914" w14:textId="07000CE7"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Efikasnost</w:t>
            </w:r>
          </w:p>
        </w:tc>
        <w:tc>
          <w:tcPr>
            <w:tcW w:w="0" w:type="auto"/>
          </w:tcPr>
          <w:p w14:paraId="7CB408E3" w14:textId="638665FF" w:rsidR="00E82B3C"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S obzirom na složenost organizacione i upravljačke strukture NPZP, da li je bilo negativnih uticaja koji su nastali kao direktna posledica takve strukture?</w:t>
            </w:r>
          </w:p>
        </w:tc>
        <w:tc>
          <w:tcPr>
            <w:tcW w:w="0" w:type="auto"/>
          </w:tcPr>
          <w:p w14:paraId="21C5D9A3" w14:textId="447C534B" w:rsidR="00E82B3C" w:rsidRPr="00146F9D" w:rsidRDefault="00E82B3C" w:rsidP="00E82B3C">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3E3B0EB8" w14:textId="3B2D8839" w:rsidR="00E82B3C" w:rsidRPr="00146F9D"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Niz aktivnosti nije sproveden zbog nedostatka kvalifikovanog osoblja</w:t>
            </w:r>
          </w:p>
        </w:tc>
        <w:tc>
          <w:tcPr>
            <w:tcW w:w="0" w:type="auto"/>
          </w:tcPr>
          <w:p w14:paraId="7AB06DC6" w14:textId="07C38E67" w:rsidR="00E82B3C" w:rsidRPr="00146F9D" w:rsidRDefault="00E82B3C" w:rsidP="00E82B3C">
            <w:pPr>
              <w:pStyle w:val="Tabelle"/>
              <w:rPr>
                <w:rFonts w:ascii="Arial" w:hAnsi="Arial"/>
                <w:sz w:val="16"/>
                <w:szCs w:val="16"/>
                <w:lang w:val="sr-Latn-RS" w:eastAsia="en-US"/>
              </w:rPr>
            </w:pPr>
            <w:r w:rsidRPr="00052E8F">
              <w:rPr>
                <w:rFonts w:ascii="Arial" w:hAnsi="Arial"/>
                <w:sz w:val="16"/>
                <w:szCs w:val="16"/>
                <w:lang w:val="sr-Latn-RS" w:eastAsia="en-US"/>
              </w:rPr>
              <w:t>Narativ</w:t>
            </w:r>
          </w:p>
        </w:tc>
        <w:tc>
          <w:tcPr>
            <w:tcW w:w="0" w:type="auto"/>
          </w:tcPr>
          <w:p w14:paraId="5D704954" w14:textId="6035BFD2" w:rsidR="00E82B3C" w:rsidRPr="00146F9D" w:rsidRDefault="00E82B3C" w:rsidP="00E82B3C">
            <w:pPr>
              <w:pStyle w:val="Tabelle"/>
              <w:rPr>
                <w:rFonts w:ascii="Arial" w:hAnsi="Arial"/>
                <w:sz w:val="16"/>
                <w:szCs w:val="16"/>
                <w:lang w:val="sr-Latn-RS" w:eastAsia="en-US"/>
              </w:rPr>
            </w:pPr>
            <w:r w:rsidRPr="001B1BDC">
              <w:rPr>
                <w:rFonts w:ascii="Arial" w:hAnsi="Arial"/>
                <w:sz w:val="16"/>
                <w:szCs w:val="16"/>
                <w:lang w:val="sr-Latn-RS" w:eastAsia="en-US"/>
              </w:rPr>
              <w:t>Nije dostupno</w:t>
            </w:r>
          </w:p>
        </w:tc>
        <w:tc>
          <w:tcPr>
            <w:tcW w:w="0" w:type="auto"/>
          </w:tcPr>
          <w:p w14:paraId="12CEAA56" w14:textId="77777777"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37B9F3DB" w14:textId="1B3693F4" w:rsidR="00E82B3C" w:rsidRPr="00146F9D" w:rsidRDefault="00E82B3C" w:rsidP="00E82B3C">
            <w:pPr>
              <w:pStyle w:val="Tabelle"/>
              <w:rPr>
                <w:rFonts w:ascii="Arial" w:hAnsi="Arial"/>
                <w:sz w:val="16"/>
                <w:szCs w:val="16"/>
                <w:lang w:val="sr-Latn-RS" w:eastAsia="en-US"/>
              </w:rPr>
            </w:pPr>
          </w:p>
        </w:tc>
        <w:tc>
          <w:tcPr>
            <w:tcW w:w="0" w:type="auto"/>
          </w:tcPr>
          <w:p w14:paraId="73CCF850" w14:textId="056376E5" w:rsidR="00E82B3C" w:rsidRPr="00146F9D" w:rsidRDefault="00E82B3C" w:rsidP="00E82B3C">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6D8EE5F4" w14:textId="77777777" w:rsidTr="00A25755">
        <w:trPr>
          <w:trHeight w:val="624"/>
        </w:trPr>
        <w:tc>
          <w:tcPr>
            <w:tcW w:w="0" w:type="auto"/>
          </w:tcPr>
          <w:p w14:paraId="7088DA65" w14:textId="7EB33C4A"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lastRenderedPageBreak/>
              <w:t>Efikasnost</w:t>
            </w:r>
          </w:p>
        </w:tc>
        <w:tc>
          <w:tcPr>
            <w:tcW w:w="0" w:type="auto"/>
          </w:tcPr>
          <w:p w14:paraId="17FFA405" w14:textId="5D659F17"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Da li je bilo uskih grla u komunikaciji?</w:t>
            </w:r>
          </w:p>
          <w:p w14:paraId="4D2F477B" w14:textId="4544044C" w:rsidR="00146F9D" w:rsidRPr="00146F9D" w:rsidRDefault="00146F9D" w:rsidP="00146F9D">
            <w:pPr>
              <w:pStyle w:val="Tabelle"/>
              <w:rPr>
                <w:rFonts w:ascii="Arial" w:hAnsi="Arial"/>
                <w:sz w:val="16"/>
                <w:szCs w:val="16"/>
                <w:lang w:val="sr-Latn-RS" w:eastAsia="en-US"/>
              </w:rPr>
            </w:pPr>
          </w:p>
        </w:tc>
        <w:tc>
          <w:tcPr>
            <w:tcW w:w="0" w:type="auto"/>
          </w:tcPr>
          <w:p w14:paraId="29D61E04" w14:textId="3F4E8865"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164A3B40" w14:textId="34A4EDF3"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N</w:t>
            </w:r>
            <w:r w:rsidR="00E82B3C">
              <w:rPr>
                <w:rFonts w:ascii="Arial" w:hAnsi="Arial"/>
                <w:sz w:val="16"/>
                <w:szCs w:val="16"/>
                <w:lang w:val="sr-Latn-RS" w:eastAsia="en-US"/>
              </w:rPr>
              <w:t>e</w:t>
            </w:r>
          </w:p>
        </w:tc>
        <w:tc>
          <w:tcPr>
            <w:tcW w:w="0" w:type="auto"/>
          </w:tcPr>
          <w:p w14:paraId="38CFB7C7" w14:textId="561E5F78"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Da/Ne</w:t>
            </w:r>
          </w:p>
        </w:tc>
        <w:tc>
          <w:tcPr>
            <w:tcW w:w="0" w:type="auto"/>
          </w:tcPr>
          <w:p w14:paraId="13CA299C" w14:textId="4C812BA1" w:rsidR="00146F9D" w:rsidRPr="00146F9D" w:rsidRDefault="00146F9D" w:rsidP="00146F9D">
            <w:pPr>
              <w:pStyle w:val="Tabelle"/>
              <w:rPr>
                <w:rFonts w:ascii="Arial" w:hAnsi="Arial"/>
                <w:sz w:val="16"/>
                <w:szCs w:val="16"/>
                <w:lang w:val="sr-Latn-RS" w:eastAsia="en-US"/>
              </w:rPr>
            </w:pPr>
            <w:r w:rsidRPr="001B1BDC">
              <w:rPr>
                <w:rFonts w:ascii="Arial" w:hAnsi="Arial"/>
                <w:sz w:val="16"/>
                <w:szCs w:val="16"/>
                <w:lang w:val="sr-Latn-RS" w:eastAsia="en-US"/>
              </w:rPr>
              <w:t>Nije dostupno</w:t>
            </w:r>
          </w:p>
        </w:tc>
        <w:tc>
          <w:tcPr>
            <w:tcW w:w="0" w:type="auto"/>
          </w:tcPr>
          <w:p w14:paraId="1D695174" w14:textId="77777777"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4DAAF0C1" w14:textId="3D06C423" w:rsidR="00146F9D" w:rsidRPr="00146F9D" w:rsidRDefault="00146F9D" w:rsidP="00146F9D">
            <w:pPr>
              <w:pStyle w:val="Tabelle"/>
              <w:rPr>
                <w:rFonts w:ascii="Arial" w:hAnsi="Arial"/>
                <w:sz w:val="16"/>
                <w:szCs w:val="16"/>
                <w:lang w:val="sr-Latn-RS" w:eastAsia="en-US"/>
              </w:rPr>
            </w:pPr>
          </w:p>
        </w:tc>
        <w:tc>
          <w:tcPr>
            <w:tcW w:w="0" w:type="auto"/>
          </w:tcPr>
          <w:p w14:paraId="31E306F6" w14:textId="4B57E11A"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w:t>
            </w:r>
          </w:p>
        </w:tc>
      </w:tr>
      <w:tr w:rsidR="00E82B3C" w:rsidRPr="00146F9D" w14:paraId="7998B461" w14:textId="77777777" w:rsidTr="00A25755">
        <w:tc>
          <w:tcPr>
            <w:tcW w:w="0" w:type="auto"/>
          </w:tcPr>
          <w:p w14:paraId="1E18B2A3" w14:textId="1726E16A"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Efikasnost</w:t>
            </w:r>
          </w:p>
        </w:tc>
        <w:tc>
          <w:tcPr>
            <w:tcW w:w="0" w:type="auto"/>
          </w:tcPr>
          <w:p w14:paraId="22B1552F" w14:textId="77777777" w:rsidR="00E82B3C" w:rsidRPr="00E82B3C" w:rsidRDefault="00E82B3C" w:rsidP="00E82B3C">
            <w:pPr>
              <w:pStyle w:val="Tabelle"/>
              <w:rPr>
                <w:rFonts w:ascii="Arial" w:hAnsi="Arial"/>
                <w:sz w:val="16"/>
                <w:szCs w:val="16"/>
                <w:lang w:val="sr-Latn-RS" w:eastAsia="en-US"/>
              </w:rPr>
            </w:pPr>
            <w:r w:rsidRPr="00E82B3C">
              <w:rPr>
                <w:rFonts w:ascii="Arial" w:hAnsi="Arial"/>
                <w:sz w:val="16"/>
                <w:szCs w:val="16"/>
                <w:lang w:val="sr-Latn-RS" w:eastAsia="en-US"/>
              </w:rPr>
              <w:t>Da li postoji organizacioni problem specifičan za ekonomiju Crne Gore?</w:t>
            </w:r>
          </w:p>
          <w:p w14:paraId="3489C765" w14:textId="198BC92C" w:rsidR="00146F9D" w:rsidRPr="00146F9D" w:rsidRDefault="00146F9D" w:rsidP="00146F9D">
            <w:pPr>
              <w:pStyle w:val="Tabelle"/>
              <w:rPr>
                <w:rFonts w:ascii="Arial" w:hAnsi="Arial"/>
                <w:sz w:val="16"/>
                <w:szCs w:val="16"/>
                <w:lang w:val="sr-Latn-RS" w:eastAsia="en-US"/>
              </w:rPr>
            </w:pPr>
          </w:p>
        </w:tc>
        <w:tc>
          <w:tcPr>
            <w:tcW w:w="0" w:type="auto"/>
          </w:tcPr>
          <w:p w14:paraId="65895C96"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24B33FAA" w14:textId="61B1C174"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tcPr>
          <w:p w14:paraId="0B9E2BA9" w14:textId="496998D2"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Da</w:t>
            </w:r>
          </w:p>
        </w:tc>
        <w:tc>
          <w:tcPr>
            <w:tcW w:w="0" w:type="auto"/>
          </w:tcPr>
          <w:p w14:paraId="4DFDB023" w14:textId="13D0CB1B" w:rsidR="00146F9D" w:rsidRPr="00146F9D" w:rsidRDefault="00E82B3C" w:rsidP="00146F9D">
            <w:pPr>
              <w:pStyle w:val="Tabelle"/>
              <w:rPr>
                <w:rFonts w:ascii="Arial" w:hAnsi="Arial"/>
                <w:sz w:val="16"/>
                <w:szCs w:val="16"/>
                <w:lang w:val="sr-Latn-RS" w:eastAsia="en-US"/>
              </w:rPr>
            </w:pPr>
            <w:r>
              <w:rPr>
                <w:rFonts w:ascii="Arial" w:hAnsi="Arial"/>
                <w:sz w:val="16"/>
                <w:szCs w:val="16"/>
                <w:lang w:val="sr-Latn-RS" w:eastAsia="en-US"/>
              </w:rPr>
              <w:t>Da/Ne</w:t>
            </w:r>
          </w:p>
        </w:tc>
        <w:tc>
          <w:tcPr>
            <w:tcW w:w="0" w:type="auto"/>
          </w:tcPr>
          <w:p w14:paraId="185AFBF8" w14:textId="7597B6A9" w:rsidR="00146F9D" w:rsidRPr="00146F9D" w:rsidRDefault="00146F9D" w:rsidP="00146F9D">
            <w:pPr>
              <w:pStyle w:val="Tabelle"/>
              <w:rPr>
                <w:rFonts w:ascii="Arial" w:hAnsi="Arial"/>
                <w:sz w:val="16"/>
                <w:szCs w:val="16"/>
                <w:lang w:val="sr-Latn-RS" w:eastAsia="en-US"/>
              </w:rPr>
            </w:pPr>
            <w:r w:rsidRPr="001B1BDC">
              <w:rPr>
                <w:rFonts w:ascii="Arial" w:hAnsi="Arial"/>
                <w:sz w:val="16"/>
                <w:szCs w:val="16"/>
                <w:lang w:val="sr-Latn-RS" w:eastAsia="en-US"/>
              </w:rPr>
              <w:t>Nije dostupno</w:t>
            </w:r>
          </w:p>
        </w:tc>
        <w:tc>
          <w:tcPr>
            <w:tcW w:w="0" w:type="auto"/>
          </w:tcPr>
          <w:p w14:paraId="15C5CEA9" w14:textId="77777777" w:rsidR="00E82B3C" w:rsidRDefault="00E82B3C" w:rsidP="00E82B3C">
            <w:pPr>
              <w:pStyle w:val="Tabelle"/>
              <w:rPr>
                <w:rFonts w:ascii="Arial" w:hAnsi="Arial"/>
                <w:sz w:val="16"/>
                <w:szCs w:val="16"/>
                <w:lang w:val="sr-Latn-RS" w:eastAsia="en-US"/>
              </w:rPr>
            </w:pPr>
            <w:r>
              <w:rPr>
                <w:rFonts w:ascii="Arial" w:hAnsi="Arial"/>
                <w:sz w:val="16"/>
                <w:szCs w:val="16"/>
                <w:lang w:val="sr-Latn-RS" w:eastAsia="en-US"/>
              </w:rPr>
              <w:t>Zapisnici sa intervjua</w:t>
            </w:r>
          </w:p>
          <w:p w14:paraId="758116FB" w14:textId="4C0C7A8A" w:rsidR="00146F9D" w:rsidRPr="00146F9D" w:rsidRDefault="00146F9D" w:rsidP="00146F9D">
            <w:pPr>
              <w:pStyle w:val="Tabelle"/>
              <w:rPr>
                <w:rFonts w:ascii="Arial" w:hAnsi="Arial"/>
                <w:sz w:val="16"/>
                <w:szCs w:val="16"/>
                <w:lang w:val="sr-Latn-RS" w:eastAsia="en-US"/>
              </w:rPr>
            </w:pPr>
          </w:p>
        </w:tc>
        <w:tc>
          <w:tcPr>
            <w:tcW w:w="0" w:type="auto"/>
          </w:tcPr>
          <w:p w14:paraId="745B9CBB" w14:textId="43CBF7AA" w:rsidR="00146F9D" w:rsidRPr="00146F9D" w:rsidRDefault="00FB25CB" w:rsidP="00146F9D">
            <w:pPr>
              <w:pStyle w:val="Tabelle"/>
              <w:rPr>
                <w:rFonts w:ascii="Arial" w:hAnsi="Arial"/>
                <w:sz w:val="16"/>
                <w:szCs w:val="16"/>
                <w:lang w:val="sr-Latn-RS" w:eastAsia="en-US"/>
              </w:rPr>
            </w:pPr>
            <w:r w:rsidRPr="00FB25CB">
              <w:rPr>
                <w:rFonts w:ascii="Arial" w:hAnsi="Arial"/>
                <w:sz w:val="16"/>
                <w:szCs w:val="16"/>
                <w:lang w:val="sr-Latn-RS" w:eastAsia="en-US"/>
              </w:rPr>
              <w:t>Politička nestabilnost i promene u sastavu i nadležnostima relevantnih tela istaknute su kao uzrok organizacionih problema.</w:t>
            </w:r>
          </w:p>
        </w:tc>
      </w:tr>
      <w:tr w:rsidR="00B42667" w:rsidRPr="00146F9D" w14:paraId="567660E7" w14:textId="77777777" w:rsidTr="00A25755">
        <w:tc>
          <w:tcPr>
            <w:tcW w:w="0" w:type="auto"/>
            <w:shd w:val="clear" w:color="auto" w:fill="E2EFD9" w:themeFill="accent6" w:themeFillTint="33"/>
          </w:tcPr>
          <w:p w14:paraId="724CF694" w14:textId="5F707FE1"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Koherentnost</w:t>
            </w:r>
          </w:p>
        </w:tc>
        <w:tc>
          <w:tcPr>
            <w:tcW w:w="0" w:type="auto"/>
            <w:shd w:val="clear" w:color="auto" w:fill="E2EFD9" w:themeFill="accent6" w:themeFillTint="33"/>
          </w:tcPr>
          <w:p w14:paraId="66B70871" w14:textId="77777777" w:rsidR="00FB25CB" w:rsidRPr="00FB25CB" w:rsidRDefault="00FB25CB" w:rsidP="00FB25CB">
            <w:pPr>
              <w:pStyle w:val="Tabelle"/>
              <w:rPr>
                <w:rFonts w:ascii="Arial" w:hAnsi="Arial"/>
                <w:sz w:val="16"/>
                <w:szCs w:val="16"/>
                <w:lang w:val="sr-Latn-RS" w:eastAsia="en-US"/>
              </w:rPr>
            </w:pPr>
            <w:r w:rsidRPr="00FB25CB">
              <w:rPr>
                <w:rFonts w:ascii="Arial" w:hAnsi="Arial"/>
                <w:sz w:val="16"/>
                <w:szCs w:val="16"/>
                <w:lang w:val="sr-Latn-RS" w:eastAsia="en-US"/>
              </w:rPr>
              <w:t>U kojoj meri je NPZP bio usklađen sa prioritetima i potrebama zemlje i u podržavanju integracije pristupa zaštite potrošača koji ispunjavaju standarde EU?</w:t>
            </w:r>
          </w:p>
          <w:p w14:paraId="0D9C8A06" w14:textId="69368AB6" w:rsidR="00146F9D" w:rsidRPr="00146F9D" w:rsidRDefault="00146F9D" w:rsidP="00146F9D">
            <w:pPr>
              <w:pStyle w:val="Tabelle"/>
              <w:rPr>
                <w:rFonts w:ascii="Arial" w:hAnsi="Arial"/>
                <w:sz w:val="16"/>
                <w:szCs w:val="16"/>
                <w:lang w:val="sr-Latn-RS" w:eastAsia="en-US"/>
              </w:rPr>
            </w:pPr>
          </w:p>
        </w:tc>
        <w:tc>
          <w:tcPr>
            <w:tcW w:w="0" w:type="auto"/>
            <w:shd w:val="clear" w:color="auto" w:fill="E2EFD9" w:themeFill="accent6" w:themeFillTint="33"/>
          </w:tcPr>
          <w:p w14:paraId="21D76D54"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4967BE34" w14:textId="6089E58A"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p>
        </w:tc>
        <w:tc>
          <w:tcPr>
            <w:tcW w:w="0" w:type="auto"/>
            <w:shd w:val="clear" w:color="auto" w:fill="E2EFD9" w:themeFill="accent6" w:themeFillTint="33"/>
          </w:tcPr>
          <w:p w14:paraId="2BF8A94F" w14:textId="523021A2"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4,2</w:t>
            </w:r>
          </w:p>
        </w:tc>
        <w:tc>
          <w:tcPr>
            <w:tcW w:w="0" w:type="auto"/>
            <w:shd w:val="clear" w:color="auto" w:fill="E2EFD9" w:themeFill="accent6" w:themeFillTint="33"/>
          </w:tcPr>
          <w:p w14:paraId="7D83FC0F" w14:textId="1F35846C"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1-5</w:t>
            </w:r>
          </w:p>
        </w:tc>
        <w:tc>
          <w:tcPr>
            <w:tcW w:w="0" w:type="auto"/>
            <w:shd w:val="clear" w:color="auto" w:fill="E2EFD9" w:themeFill="accent6" w:themeFillTint="33"/>
          </w:tcPr>
          <w:p w14:paraId="4B69CCC6" w14:textId="48BB224C" w:rsidR="00146F9D" w:rsidRPr="00146F9D" w:rsidRDefault="00146F9D" w:rsidP="00146F9D">
            <w:pPr>
              <w:pStyle w:val="Tabelle"/>
              <w:rPr>
                <w:rFonts w:ascii="Arial" w:hAnsi="Arial"/>
                <w:sz w:val="16"/>
                <w:szCs w:val="16"/>
                <w:lang w:val="sr-Latn-RS" w:eastAsia="en-US"/>
              </w:rPr>
            </w:pPr>
            <w:r w:rsidRPr="001B1BDC">
              <w:rPr>
                <w:rFonts w:ascii="Arial" w:hAnsi="Arial"/>
                <w:sz w:val="16"/>
                <w:szCs w:val="16"/>
                <w:lang w:val="sr-Latn-RS" w:eastAsia="en-US"/>
              </w:rPr>
              <w:t>Nije dostupno</w:t>
            </w:r>
          </w:p>
        </w:tc>
        <w:tc>
          <w:tcPr>
            <w:tcW w:w="0" w:type="auto"/>
            <w:shd w:val="clear" w:color="auto" w:fill="E2EFD9" w:themeFill="accent6" w:themeFillTint="33"/>
          </w:tcPr>
          <w:p w14:paraId="48A04FBC" w14:textId="77777777" w:rsidR="00FB25CB" w:rsidRDefault="00FB25CB" w:rsidP="00FB25CB">
            <w:pPr>
              <w:pStyle w:val="Tabelle"/>
              <w:rPr>
                <w:rFonts w:ascii="Arial" w:hAnsi="Arial"/>
                <w:sz w:val="16"/>
                <w:szCs w:val="16"/>
                <w:lang w:val="sr-Latn-RS" w:eastAsia="en-US"/>
              </w:rPr>
            </w:pPr>
            <w:r>
              <w:rPr>
                <w:rFonts w:ascii="Arial" w:hAnsi="Arial"/>
                <w:sz w:val="16"/>
                <w:szCs w:val="16"/>
                <w:lang w:val="sr-Latn-RS" w:eastAsia="en-US"/>
              </w:rPr>
              <w:t>Zapisnici sa intervjua</w:t>
            </w:r>
          </w:p>
          <w:p w14:paraId="34E1B567" w14:textId="174FB967" w:rsidR="00146F9D" w:rsidRPr="00146F9D" w:rsidRDefault="00FB25CB" w:rsidP="00146F9D">
            <w:pPr>
              <w:pStyle w:val="Tabelle"/>
              <w:rPr>
                <w:rFonts w:ascii="Arial" w:hAnsi="Arial"/>
                <w:sz w:val="16"/>
                <w:szCs w:val="16"/>
                <w:lang w:val="sr-Latn-RS" w:eastAsia="en-US"/>
              </w:rPr>
            </w:pPr>
            <w:r>
              <w:rPr>
                <w:rFonts w:ascii="Arial" w:hAnsi="Arial"/>
                <w:sz w:val="16"/>
                <w:szCs w:val="16"/>
                <w:lang w:val="sr-Latn-RS" w:eastAsia="en-US"/>
              </w:rPr>
              <w:t>NPZP analiza stanja</w:t>
            </w:r>
          </w:p>
        </w:tc>
        <w:tc>
          <w:tcPr>
            <w:tcW w:w="0" w:type="auto"/>
            <w:shd w:val="clear" w:color="auto" w:fill="E2EFD9" w:themeFill="accent6" w:themeFillTint="33"/>
          </w:tcPr>
          <w:p w14:paraId="51F8F25B" w14:textId="05478415" w:rsidR="00146F9D" w:rsidRPr="00146F9D" w:rsidRDefault="00FB25CB" w:rsidP="00146F9D">
            <w:pPr>
              <w:pStyle w:val="Tabelle"/>
              <w:rPr>
                <w:rFonts w:ascii="Arial" w:hAnsi="Arial"/>
                <w:sz w:val="16"/>
                <w:szCs w:val="16"/>
                <w:lang w:val="sr-Latn-RS" w:eastAsia="en-US"/>
              </w:rPr>
            </w:pPr>
            <w:r w:rsidRPr="00E82B3C">
              <w:rPr>
                <w:rFonts w:ascii="Arial" w:hAnsi="Arial"/>
                <w:sz w:val="16"/>
                <w:szCs w:val="16"/>
                <w:lang w:val="sr-Latn-RS" w:eastAsia="en-US"/>
              </w:rPr>
              <w:t>Relativno mali uzorak je mogao uticati na ukupni rezultat.</w:t>
            </w:r>
          </w:p>
        </w:tc>
      </w:tr>
      <w:tr w:rsidR="00E82B3C" w:rsidRPr="00146F9D" w14:paraId="4CB93CF2" w14:textId="77777777" w:rsidTr="00A25755">
        <w:tc>
          <w:tcPr>
            <w:tcW w:w="0" w:type="auto"/>
          </w:tcPr>
          <w:p w14:paraId="16706193" w14:textId="10D3E9A8"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Koherentnost</w:t>
            </w:r>
          </w:p>
        </w:tc>
        <w:tc>
          <w:tcPr>
            <w:tcW w:w="0" w:type="auto"/>
          </w:tcPr>
          <w:p w14:paraId="705C0E34" w14:textId="11E10D49" w:rsidR="00146F9D" w:rsidRPr="00146F9D" w:rsidRDefault="00FB25CB" w:rsidP="00146F9D">
            <w:pPr>
              <w:pStyle w:val="Tabelle"/>
              <w:rPr>
                <w:rFonts w:ascii="Arial" w:hAnsi="Arial"/>
                <w:sz w:val="16"/>
                <w:szCs w:val="16"/>
                <w:lang w:val="sr-Latn-RS" w:eastAsia="en-US"/>
              </w:rPr>
            </w:pPr>
            <w:r w:rsidRPr="00FB25CB">
              <w:rPr>
                <w:rFonts w:ascii="Arial" w:hAnsi="Arial"/>
                <w:sz w:val="16"/>
                <w:szCs w:val="16"/>
                <w:lang w:val="sr-Latn-RS" w:eastAsia="en-US"/>
              </w:rPr>
              <w:t>Koliko su aktivnosti NPZP koherentne i komplementarne u odnosu na druge politike i inicijative koje preduzimaju Vlada i drugi regionalni i međunarodni partneri angažovani u promociji zaštite potrošača u Crnoj Gori?</w:t>
            </w:r>
          </w:p>
        </w:tc>
        <w:tc>
          <w:tcPr>
            <w:tcW w:w="0" w:type="auto"/>
          </w:tcPr>
          <w:p w14:paraId="111B3EF3" w14:textId="77777777" w:rsid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 xml:space="preserve">Desk </w:t>
            </w:r>
            <w:r>
              <w:rPr>
                <w:rFonts w:ascii="Arial" w:hAnsi="Arial"/>
                <w:sz w:val="16"/>
                <w:szCs w:val="16"/>
                <w:lang w:val="sr-Latn-RS" w:eastAsia="en-US"/>
              </w:rPr>
              <w:t>analiza</w:t>
            </w:r>
          </w:p>
          <w:p w14:paraId="1699DDE0" w14:textId="5D4AAB3F" w:rsidR="00146F9D" w:rsidRPr="00146F9D" w:rsidRDefault="00146F9D" w:rsidP="00146F9D">
            <w:pPr>
              <w:pStyle w:val="Tabelle"/>
              <w:rPr>
                <w:rFonts w:ascii="Arial" w:hAnsi="Arial"/>
                <w:sz w:val="16"/>
                <w:szCs w:val="16"/>
                <w:lang w:val="sr-Latn-RS" w:eastAsia="en-US"/>
              </w:rPr>
            </w:pPr>
            <w:r>
              <w:rPr>
                <w:rFonts w:ascii="Arial" w:hAnsi="Arial"/>
                <w:sz w:val="16"/>
                <w:szCs w:val="16"/>
                <w:lang w:val="sr-Latn-RS" w:eastAsia="en-US"/>
              </w:rPr>
              <w:t>/Intervjui</w:t>
            </w:r>
            <w:r w:rsidRPr="00146F9D">
              <w:rPr>
                <w:rFonts w:ascii="Arial" w:hAnsi="Arial"/>
                <w:sz w:val="16"/>
                <w:szCs w:val="16"/>
                <w:lang w:val="sr-Latn-RS" w:eastAsia="en-US"/>
              </w:rPr>
              <w:t xml:space="preserve"> </w:t>
            </w:r>
          </w:p>
        </w:tc>
        <w:tc>
          <w:tcPr>
            <w:tcW w:w="0" w:type="auto"/>
          </w:tcPr>
          <w:p w14:paraId="27E18CF4" w14:textId="576EF98F" w:rsidR="00146F9D" w:rsidRPr="00146F9D" w:rsidRDefault="00FB25CB" w:rsidP="00146F9D">
            <w:pPr>
              <w:pStyle w:val="Tabelle"/>
              <w:rPr>
                <w:rFonts w:ascii="Arial" w:hAnsi="Arial"/>
                <w:sz w:val="16"/>
                <w:szCs w:val="16"/>
                <w:lang w:val="sr-Latn-RS" w:eastAsia="en-US"/>
              </w:rPr>
            </w:pPr>
            <w:r w:rsidRPr="00FB25CB">
              <w:rPr>
                <w:rFonts w:ascii="Arial" w:hAnsi="Arial"/>
                <w:sz w:val="16"/>
                <w:szCs w:val="16"/>
                <w:lang w:val="sr-Latn-RS" w:eastAsia="en-US"/>
              </w:rPr>
              <w:t>N</w:t>
            </w:r>
            <w:r>
              <w:rPr>
                <w:rFonts w:ascii="Arial" w:hAnsi="Arial"/>
                <w:sz w:val="16"/>
                <w:szCs w:val="16"/>
                <w:lang w:val="sr-Latn-RS" w:eastAsia="en-US"/>
              </w:rPr>
              <w:t xml:space="preserve">PZP </w:t>
            </w:r>
            <w:r w:rsidRPr="00FB25CB">
              <w:rPr>
                <w:rFonts w:ascii="Arial" w:hAnsi="Arial"/>
                <w:sz w:val="16"/>
                <w:szCs w:val="16"/>
                <w:lang w:val="sr-Latn-RS" w:eastAsia="en-US"/>
              </w:rPr>
              <w:t xml:space="preserve">jasno identifikuje zakonodavni i strateški okvir za zaštitu potrošača, pružajući detaljan spisak zakona i strategija koji utiču na sistem zaštite potrošača u Crnoj Gori. FE je dalje ispitao koherentnost </w:t>
            </w:r>
            <w:r>
              <w:rPr>
                <w:rFonts w:ascii="Arial" w:hAnsi="Arial"/>
                <w:sz w:val="16"/>
                <w:szCs w:val="16"/>
                <w:lang w:val="sr-Latn-RS" w:eastAsia="en-US"/>
              </w:rPr>
              <w:t>NPZP</w:t>
            </w:r>
            <w:r w:rsidRPr="00FB25CB">
              <w:rPr>
                <w:rFonts w:ascii="Arial" w:hAnsi="Arial"/>
                <w:sz w:val="16"/>
                <w:szCs w:val="16"/>
                <w:lang w:val="sr-Latn-RS" w:eastAsia="en-US"/>
              </w:rPr>
              <w:t xml:space="preserve"> i došao do zaključka da ne postoje značajna uska grla ili problemi.</w:t>
            </w:r>
          </w:p>
        </w:tc>
        <w:tc>
          <w:tcPr>
            <w:tcW w:w="0" w:type="auto"/>
          </w:tcPr>
          <w:p w14:paraId="12E9376C" w14:textId="73DFD93A" w:rsidR="00146F9D" w:rsidRPr="00146F9D" w:rsidRDefault="00FB25CB" w:rsidP="00146F9D">
            <w:pPr>
              <w:pStyle w:val="Tabelle"/>
              <w:rPr>
                <w:rFonts w:ascii="Arial" w:hAnsi="Arial"/>
                <w:sz w:val="16"/>
                <w:szCs w:val="16"/>
                <w:lang w:val="sr-Latn-RS" w:eastAsia="en-US"/>
              </w:rPr>
            </w:pPr>
            <w:r>
              <w:rPr>
                <w:rFonts w:ascii="Arial" w:hAnsi="Arial"/>
                <w:sz w:val="16"/>
                <w:szCs w:val="16"/>
                <w:lang w:val="sr-Latn-RS" w:eastAsia="en-US"/>
              </w:rPr>
              <w:t>Narativ</w:t>
            </w:r>
          </w:p>
        </w:tc>
        <w:tc>
          <w:tcPr>
            <w:tcW w:w="0" w:type="auto"/>
          </w:tcPr>
          <w:p w14:paraId="17FFE85A" w14:textId="2B611B34" w:rsidR="00146F9D" w:rsidRPr="00146F9D" w:rsidRDefault="00146F9D" w:rsidP="00146F9D">
            <w:pPr>
              <w:pStyle w:val="Tabelle"/>
              <w:rPr>
                <w:rFonts w:ascii="Arial" w:hAnsi="Arial"/>
                <w:sz w:val="16"/>
                <w:szCs w:val="16"/>
                <w:lang w:val="sr-Latn-RS" w:eastAsia="en-US"/>
              </w:rPr>
            </w:pPr>
            <w:r w:rsidRPr="001B1BDC">
              <w:rPr>
                <w:rFonts w:ascii="Arial" w:hAnsi="Arial"/>
                <w:sz w:val="16"/>
                <w:szCs w:val="16"/>
                <w:lang w:val="sr-Latn-RS" w:eastAsia="en-US"/>
              </w:rPr>
              <w:t>Nije dostupno</w:t>
            </w:r>
          </w:p>
        </w:tc>
        <w:tc>
          <w:tcPr>
            <w:tcW w:w="0" w:type="auto"/>
          </w:tcPr>
          <w:p w14:paraId="491FC799" w14:textId="77777777" w:rsidR="00FB25CB" w:rsidRDefault="00FB25CB" w:rsidP="00FB25CB">
            <w:pPr>
              <w:pStyle w:val="Tabelle"/>
              <w:rPr>
                <w:rFonts w:ascii="Arial" w:hAnsi="Arial"/>
                <w:sz w:val="16"/>
                <w:szCs w:val="16"/>
                <w:lang w:val="sr-Latn-RS" w:eastAsia="en-US"/>
              </w:rPr>
            </w:pPr>
            <w:r>
              <w:rPr>
                <w:rFonts w:ascii="Arial" w:hAnsi="Arial"/>
                <w:sz w:val="16"/>
                <w:szCs w:val="16"/>
                <w:lang w:val="sr-Latn-RS" w:eastAsia="en-US"/>
              </w:rPr>
              <w:t>Zapisnici sa intervjua</w:t>
            </w:r>
          </w:p>
          <w:p w14:paraId="4F818E6D" w14:textId="14829AD3" w:rsidR="00146F9D" w:rsidRPr="00146F9D" w:rsidRDefault="00FB25CB" w:rsidP="00146F9D">
            <w:pPr>
              <w:pStyle w:val="Tabelle"/>
              <w:rPr>
                <w:rFonts w:ascii="Arial" w:hAnsi="Arial"/>
                <w:sz w:val="16"/>
                <w:szCs w:val="16"/>
                <w:lang w:val="sr-Latn-RS" w:eastAsia="en-US"/>
              </w:rPr>
            </w:pPr>
            <w:r>
              <w:rPr>
                <w:rFonts w:ascii="Arial" w:hAnsi="Arial"/>
                <w:sz w:val="16"/>
                <w:szCs w:val="16"/>
                <w:lang w:val="sr-Latn-RS" w:eastAsia="en-US"/>
              </w:rPr>
              <w:t>NPZP analiza stanja</w:t>
            </w:r>
          </w:p>
        </w:tc>
        <w:tc>
          <w:tcPr>
            <w:tcW w:w="0" w:type="auto"/>
          </w:tcPr>
          <w:p w14:paraId="3841BB3F" w14:textId="2D059CAA" w:rsidR="00146F9D" w:rsidRPr="00146F9D" w:rsidRDefault="00146F9D" w:rsidP="00146F9D">
            <w:pPr>
              <w:pStyle w:val="Tabelle"/>
              <w:rPr>
                <w:rFonts w:ascii="Arial" w:hAnsi="Arial"/>
                <w:sz w:val="16"/>
                <w:szCs w:val="16"/>
                <w:lang w:val="sr-Latn-RS" w:eastAsia="en-US"/>
              </w:rPr>
            </w:pPr>
            <w:r w:rsidRPr="00146F9D">
              <w:rPr>
                <w:rFonts w:ascii="Arial" w:hAnsi="Arial"/>
                <w:sz w:val="16"/>
                <w:szCs w:val="16"/>
                <w:lang w:val="sr-Latn-RS" w:eastAsia="en-US"/>
              </w:rPr>
              <w:t>/</w:t>
            </w:r>
          </w:p>
        </w:tc>
      </w:tr>
    </w:tbl>
    <w:p w14:paraId="36479F5C" w14:textId="77777777" w:rsidR="00993EDA" w:rsidRPr="00993EDA" w:rsidRDefault="00993EDA" w:rsidP="00993EDA">
      <w:pPr>
        <w:rPr>
          <w:lang w:val="en-GB" w:eastAsia="de-DE"/>
        </w:rPr>
      </w:pPr>
    </w:p>
    <w:p w14:paraId="50451E58" w14:textId="77777777" w:rsidR="00993EDA" w:rsidRDefault="00993EDA" w:rsidP="00176DC5">
      <w:pPr>
        <w:pStyle w:val="Heading2"/>
        <w:numPr>
          <w:ilvl w:val="0"/>
          <w:numId w:val="0"/>
        </w:numPr>
        <w:ind w:left="567" w:hanging="567"/>
        <w:rPr>
          <w:rFonts w:ascii="Arial" w:hAnsi="Arial" w:cs="Arial"/>
          <w:b/>
          <w:bCs/>
          <w:i/>
          <w:iCs/>
          <w:szCs w:val="18"/>
        </w:rPr>
      </w:pPr>
    </w:p>
    <w:p w14:paraId="4172BD96" w14:textId="77777777" w:rsidR="00993EDA" w:rsidRPr="00FB25CB" w:rsidRDefault="00993EDA" w:rsidP="00176DC5">
      <w:pPr>
        <w:pStyle w:val="Heading2"/>
        <w:numPr>
          <w:ilvl w:val="0"/>
          <w:numId w:val="0"/>
        </w:numPr>
        <w:ind w:left="567" w:hanging="567"/>
        <w:rPr>
          <w:rFonts w:ascii="Arial" w:hAnsi="Arial" w:cs="Arial"/>
          <w:b/>
          <w:bCs/>
          <w:i/>
          <w:iCs/>
          <w:szCs w:val="18"/>
          <w:lang w:val="sr-Latn-RS"/>
        </w:rPr>
      </w:pPr>
    </w:p>
    <w:p w14:paraId="4FC765E8" w14:textId="77777777" w:rsidR="00993EDA" w:rsidRDefault="00993EDA" w:rsidP="00176DC5">
      <w:pPr>
        <w:pStyle w:val="Heading2"/>
        <w:numPr>
          <w:ilvl w:val="0"/>
          <w:numId w:val="0"/>
        </w:numPr>
        <w:ind w:left="567" w:hanging="567"/>
        <w:rPr>
          <w:rFonts w:ascii="Arial" w:hAnsi="Arial" w:cs="Arial"/>
          <w:b/>
          <w:bCs/>
          <w:i/>
          <w:iCs/>
          <w:szCs w:val="18"/>
        </w:rPr>
      </w:pPr>
    </w:p>
    <w:p w14:paraId="406FCFC1" w14:textId="77777777" w:rsidR="00993EDA" w:rsidRDefault="00993EDA" w:rsidP="00176DC5">
      <w:pPr>
        <w:pStyle w:val="Heading2"/>
        <w:numPr>
          <w:ilvl w:val="0"/>
          <w:numId w:val="0"/>
        </w:numPr>
        <w:ind w:left="567" w:hanging="567"/>
        <w:rPr>
          <w:rFonts w:ascii="Arial" w:hAnsi="Arial" w:cs="Arial"/>
          <w:b/>
          <w:bCs/>
          <w:i/>
          <w:iCs/>
          <w:szCs w:val="18"/>
        </w:rPr>
      </w:pPr>
    </w:p>
    <w:p w14:paraId="4032E615" w14:textId="77777777" w:rsidR="00993EDA" w:rsidRDefault="00993EDA" w:rsidP="00176DC5">
      <w:pPr>
        <w:pStyle w:val="Heading2"/>
        <w:numPr>
          <w:ilvl w:val="0"/>
          <w:numId w:val="0"/>
        </w:numPr>
        <w:ind w:left="567" w:hanging="567"/>
        <w:rPr>
          <w:rFonts w:ascii="Arial" w:hAnsi="Arial" w:cs="Arial"/>
          <w:b/>
          <w:bCs/>
          <w:i/>
          <w:iCs/>
          <w:szCs w:val="18"/>
        </w:rPr>
      </w:pPr>
    </w:p>
    <w:p w14:paraId="03792583" w14:textId="77777777" w:rsidR="00993EDA" w:rsidRDefault="00993EDA" w:rsidP="00993EDA">
      <w:pPr>
        <w:rPr>
          <w:lang w:val="en-GB" w:eastAsia="de-DE"/>
        </w:rPr>
        <w:sectPr w:rsidR="00993EDA" w:rsidSect="00993EDA">
          <w:pgSz w:w="16838" w:h="11906" w:orient="landscape"/>
          <w:pgMar w:top="1417" w:right="1417" w:bottom="1417" w:left="1417" w:header="708" w:footer="708" w:gutter="0"/>
          <w:cols w:space="708"/>
          <w:docGrid w:linePitch="360"/>
        </w:sectPr>
      </w:pPr>
    </w:p>
    <w:p w14:paraId="4EEE2B66" w14:textId="7286954B" w:rsidR="00993EDA" w:rsidRPr="00993EDA" w:rsidRDefault="00993EDA" w:rsidP="00993EDA">
      <w:pPr>
        <w:pStyle w:val="Heading2"/>
        <w:numPr>
          <w:ilvl w:val="0"/>
          <w:numId w:val="0"/>
        </w:numPr>
        <w:ind w:left="567" w:hanging="567"/>
        <w:rPr>
          <w:rFonts w:ascii="Arial" w:hAnsi="Arial" w:cs="Arial"/>
          <w:b/>
          <w:bCs/>
          <w:i/>
          <w:iCs/>
          <w:szCs w:val="18"/>
        </w:rPr>
      </w:pPr>
      <w:bookmarkStart w:id="30" w:name="_Toc199479363"/>
      <w:r>
        <w:rPr>
          <w:rFonts w:ascii="Arial" w:hAnsi="Arial" w:cs="Arial"/>
          <w:b/>
          <w:bCs/>
          <w:i/>
          <w:iCs/>
          <w:szCs w:val="18"/>
        </w:rPr>
        <w:lastRenderedPageBreak/>
        <w:t xml:space="preserve">VI. </w:t>
      </w:r>
      <w:proofErr w:type="spellStart"/>
      <w:r w:rsidR="00146F9D">
        <w:rPr>
          <w:rFonts w:ascii="Arial" w:hAnsi="Arial" w:cs="Arial"/>
          <w:b/>
          <w:bCs/>
          <w:i/>
          <w:iCs/>
          <w:szCs w:val="18"/>
        </w:rPr>
        <w:t>Tabela</w:t>
      </w:r>
      <w:proofErr w:type="spellEnd"/>
      <w:r w:rsidR="00146F9D">
        <w:rPr>
          <w:rFonts w:ascii="Arial" w:hAnsi="Arial" w:cs="Arial"/>
          <w:b/>
          <w:bCs/>
          <w:i/>
          <w:iCs/>
          <w:szCs w:val="18"/>
        </w:rPr>
        <w:t xml:space="preserve"> za </w:t>
      </w:r>
      <w:proofErr w:type="spellStart"/>
      <w:r w:rsidR="00146F9D">
        <w:rPr>
          <w:rFonts w:ascii="Arial" w:hAnsi="Arial" w:cs="Arial"/>
          <w:b/>
          <w:bCs/>
          <w:i/>
          <w:iCs/>
          <w:szCs w:val="18"/>
        </w:rPr>
        <w:t>izveštavanje</w:t>
      </w:r>
      <w:bookmarkEnd w:id="30"/>
      <w:proofErr w:type="spellEnd"/>
    </w:p>
    <w:p w14:paraId="59A0B86D" w14:textId="643135EA" w:rsidR="00993EDA" w:rsidRPr="00C44B47" w:rsidRDefault="00993EDA" w:rsidP="00993EDA">
      <w:pPr>
        <w:rPr>
          <w:rFonts w:ascii="Arial" w:hAnsi="Arial" w:cs="Arial"/>
          <w:b/>
        </w:rPr>
      </w:pPr>
      <w:r w:rsidRPr="00C44B47">
        <w:rPr>
          <w:rFonts w:ascii="Arial" w:hAnsi="Arial" w:cs="Arial"/>
          <w:b/>
        </w:rPr>
        <w:t>III TABELA ZA IZVJEŠTAVANJE</w:t>
      </w:r>
    </w:p>
    <w:p w14:paraId="05D02364" w14:textId="77777777" w:rsidR="00993EDA" w:rsidRPr="00C44B47" w:rsidRDefault="00993EDA" w:rsidP="00993EDA">
      <w:pPr>
        <w:rPr>
          <w:rFonts w:ascii="Arial" w:hAnsi="Arial" w:cs="Arial"/>
          <w:b/>
        </w:rPr>
      </w:pPr>
      <w:r w:rsidRPr="00C44B47">
        <w:rPr>
          <w:rFonts w:ascii="Arial" w:hAnsi="Arial" w:cs="Arial"/>
          <w:b/>
        </w:rPr>
        <w:t>AKCIONI PLAN 2024. GODINE</w:t>
      </w:r>
    </w:p>
    <w:p w14:paraId="1CEA5520" w14:textId="77777777" w:rsidR="00993EDA" w:rsidRPr="00C44B47" w:rsidRDefault="00993EDA" w:rsidP="00993EDA">
      <w:pPr>
        <w:rPr>
          <w:rFonts w:ascii="Arial" w:hAnsi="Arial" w:cs="Arial"/>
        </w:rPr>
      </w:pPr>
    </w:p>
    <w:p w14:paraId="64D05D07" w14:textId="77777777" w:rsidR="00993EDA" w:rsidRPr="00C44B47" w:rsidRDefault="00993EDA" w:rsidP="00993EDA">
      <w:pPr>
        <w:rPr>
          <w:rFonts w:ascii="Arial" w:hAnsi="Arial" w:cs="Arial"/>
        </w:rPr>
      </w:pPr>
    </w:p>
    <w:tbl>
      <w:tblPr>
        <w:tblStyle w:val="TableGrid"/>
        <w:tblW w:w="12950" w:type="dxa"/>
        <w:tblLook w:val="04A0" w:firstRow="1" w:lastRow="0" w:firstColumn="1" w:lastColumn="0" w:noHBand="0" w:noVBand="1"/>
      </w:tblPr>
      <w:tblGrid>
        <w:gridCol w:w="1023"/>
        <w:gridCol w:w="279"/>
        <w:gridCol w:w="1002"/>
        <w:gridCol w:w="283"/>
        <w:gridCol w:w="543"/>
        <w:gridCol w:w="587"/>
        <w:gridCol w:w="578"/>
        <w:gridCol w:w="754"/>
        <w:gridCol w:w="300"/>
        <w:gridCol w:w="187"/>
        <w:gridCol w:w="522"/>
        <w:gridCol w:w="552"/>
        <w:gridCol w:w="649"/>
        <w:gridCol w:w="702"/>
        <w:gridCol w:w="6033"/>
      </w:tblGrid>
      <w:tr w:rsidR="00993EDA" w:rsidRPr="00C44B47" w14:paraId="7F8893CA" w14:textId="77777777" w:rsidTr="00DD1FEA">
        <w:trPr>
          <w:trHeight w:val="1507"/>
        </w:trPr>
        <w:tc>
          <w:tcPr>
            <w:tcW w:w="948" w:type="dxa"/>
          </w:tcPr>
          <w:p w14:paraId="288DBC6C" w14:textId="77777777" w:rsidR="00993EDA" w:rsidRPr="00C44B47" w:rsidRDefault="00993EDA" w:rsidP="00DD1FEA">
            <w:pPr>
              <w:rPr>
                <w:rFonts w:ascii="Arial" w:hAnsi="Arial" w:cs="Arial"/>
                <w:b/>
              </w:rPr>
            </w:pPr>
            <w:r w:rsidRPr="00C44B47">
              <w:rPr>
                <w:rFonts w:ascii="Arial" w:hAnsi="Arial" w:cs="Arial"/>
                <w:b/>
              </w:rPr>
              <w:t>STRATEŠKI CILJ I:</w:t>
            </w:r>
          </w:p>
        </w:tc>
        <w:tc>
          <w:tcPr>
            <w:tcW w:w="12002" w:type="dxa"/>
            <w:gridSpan w:val="14"/>
          </w:tcPr>
          <w:p w14:paraId="60823DC5" w14:textId="77777777" w:rsidR="00993EDA" w:rsidRPr="00C44B47" w:rsidRDefault="00993EDA" w:rsidP="00DD1FEA">
            <w:pPr>
              <w:rPr>
                <w:rFonts w:ascii="Arial" w:hAnsi="Arial" w:cs="Arial"/>
                <w:b/>
              </w:rPr>
            </w:pPr>
            <w:proofErr w:type="spellStart"/>
            <w:r w:rsidRPr="00C44B47">
              <w:rPr>
                <w:rFonts w:ascii="Arial" w:hAnsi="Arial" w:cs="Arial"/>
                <w:b/>
              </w:rPr>
              <w:t>Unaprjeđenje</w:t>
            </w:r>
            <w:proofErr w:type="spellEnd"/>
            <w:r w:rsidRPr="00C44B47">
              <w:rPr>
                <w:rFonts w:ascii="Arial" w:hAnsi="Arial" w:cs="Arial"/>
                <w:b/>
              </w:rPr>
              <w:t xml:space="preserve"> sistema zaštite potrošača u Crnoj Gori u skladu sa novim izazovima na </w:t>
            </w:r>
            <w:proofErr w:type="spellStart"/>
            <w:r w:rsidRPr="00C44B47">
              <w:rPr>
                <w:rFonts w:ascii="Arial" w:hAnsi="Arial" w:cs="Arial"/>
                <w:b/>
              </w:rPr>
              <w:t>svjetskom</w:t>
            </w:r>
            <w:proofErr w:type="spellEnd"/>
            <w:r w:rsidRPr="00C44B47">
              <w:rPr>
                <w:rFonts w:ascii="Arial" w:hAnsi="Arial" w:cs="Arial"/>
                <w:b/>
              </w:rPr>
              <w:t xml:space="preserve"> tržištu radi </w:t>
            </w:r>
            <w:proofErr w:type="spellStart"/>
            <w:r w:rsidRPr="00C44B47">
              <w:rPr>
                <w:rFonts w:ascii="Arial" w:hAnsi="Arial" w:cs="Arial"/>
                <w:b/>
              </w:rPr>
              <w:t>obezbjeđivanja</w:t>
            </w:r>
            <w:proofErr w:type="spellEnd"/>
            <w:r w:rsidRPr="00C44B47">
              <w:rPr>
                <w:rFonts w:ascii="Arial" w:hAnsi="Arial" w:cs="Arial"/>
                <w:b/>
              </w:rPr>
              <w:t xml:space="preserve"> potpunije zaštite potrošača u skladu sa najboljim praksama Evropske Unije</w:t>
            </w:r>
          </w:p>
        </w:tc>
      </w:tr>
      <w:tr w:rsidR="00993EDA" w:rsidRPr="00C44B47" w14:paraId="4170C474" w14:textId="77777777" w:rsidTr="00DD1FEA">
        <w:trPr>
          <w:trHeight w:val="1507"/>
        </w:trPr>
        <w:tc>
          <w:tcPr>
            <w:tcW w:w="948" w:type="dxa"/>
          </w:tcPr>
          <w:p w14:paraId="359ABBCC" w14:textId="77777777" w:rsidR="00993EDA" w:rsidRPr="00C44B47" w:rsidRDefault="00993EDA" w:rsidP="00DD1FEA">
            <w:pPr>
              <w:rPr>
                <w:rFonts w:ascii="Arial" w:hAnsi="Arial" w:cs="Arial"/>
                <w:b/>
              </w:rPr>
            </w:pPr>
            <w:r w:rsidRPr="00C44B47">
              <w:rPr>
                <w:rFonts w:ascii="Arial" w:hAnsi="Arial" w:cs="Arial"/>
                <w:b/>
              </w:rPr>
              <w:t>Operativni cilj 1:</w:t>
            </w:r>
          </w:p>
        </w:tc>
        <w:tc>
          <w:tcPr>
            <w:tcW w:w="12002" w:type="dxa"/>
            <w:gridSpan w:val="14"/>
          </w:tcPr>
          <w:p w14:paraId="0C234DEA" w14:textId="77777777" w:rsidR="00993EDA" w:rsidRPr="00C44B47" w:rsidRDefault="00993EDA" w:rsidP="00DD1FEA">
            <w:pPr>
              <w:rPr>
                <w:rFonts w:ascii="Arial" w:hAnsi="Arial" w:cs="Arial"/>
                <w:b/>
              </w:rPr>
            </w:pPr>
            <w:proofErr w:type="spellStart"/>
            <w:r w:rsidRPr="00C44B47">
              <w:rPr>
                <w:rFonts w:ascii="Arial" w:hAnsi="Arial" w:cs="Arial"/>
                <w:b/>
              </w:rPr>
              <w:t>Obezbjeđen</w:t>
            </w:r>
            <w:proofErr w:type="spellEnd"/>
            <w:r w:rsidRPr="00C44B47">
              <w:rPr>
                <w:rFonts w:ascii="Arial" w:hAnsi="Arial" w:cs="Arial"/>
                <w:b/>
              </w:rPr>
              <w:t xml:space="preserve"> veći stepen zaštite potrošačkih prava i interesa kroz dalje unapređenje zakonodavnog okvira i bolju </w:t>
            </w:r>
            <w:proofErr w:type="spellStart"/>
            <w:r w:rsidRPr="00C44B47">
              <w:rPr>
                <w:rFonts w:ascii="Arial" w:hAnsi="Arial" w:cs="Arial"/>
                <w:b/>
              </w:rPr>
              <w:t>primjenu</w:t>
            </w:r>
            <w:proofErr w:type="spellEnd"/>
            <w:r w:rsidRPr="00C44B47">
              <w:rPr>
                <w:rFonts w:ascii="Arial" w:hAnsi="Arial" w:cs="Arial"/>
                <w:b/>
              </w:rPr>
              <w:t xml:space="preserve"> važećih instituta zaštite potrošačkih prava</w:t>
            </w:r>
          </w:p>
        </w:tc>
      </w:tr>
      <w:tr w:rsidR="00993EDA" w:rsidRPr="00C44B47" w14:paraId="5150BF1A" w14:textId="77777777" w:rsidTr="00DD1FEA">
        <w:trPr>
          <w:trHeight w:val="2406"/>
        </w:trPr>
        <w:tc>
          <w:tcPr>
            <w:tcW w:w="948" w:type="dxa"/>
          </w:tcPr>
          <w:p w14:paraId="1E2D63B2" w14:textId="77777777" w:rsidR="00993EDA" w:rsidRPr="00C44B47" w:rsidRDefault="00993EDA" w:rsidP="00DD1FEA">
            <w:pPr>
              <w:rPr>
                <w:rFonts w:ascii="Arial" w:hAnsi="Arial" w:cs="Arial"/>
              </w:rPr>
            </w:pPr>
          </w:p>
        </w:tc>
        <w:tc>
          <w:tcPr>
            <w:tcW w:w="1401" w:type="dxa"/>
            <w:gridSpan w:val="3"/>
          </w:tcPr>
          <w:p w14:paraId="4E565710" w14:textId="77777777" w:rsidR="00993EDA" w:rsidRPr="00C44B47" w:rsidRDefault="00993EDA" w:rsidP="00DD1FEA">
            <w:pPr>
              <w:rPr>
                <w:rFonts w:ascii="Arial" w:hAnsi="Arial" w:cs="Arial"/>
                <w:b/>
              </w:rPr>
            </w:pPr>
            <w:r w:rsidRPr="00C44B47">
              <w:rPr>
                <w:rFonts w:ascii="Arial" w:hAnsi="Arial" w:cs="Arial"/>
                <w:b/>
              </w:rPr>
              <w:t xml:space="preserve">Polazne </w:t>
            </w:r>
            <w:proofErr w:type="spellStart"/>
            <w:r w:rsidRPr="00C44B47">
              <w:rPr>
                <w:rFonts w:ascii="Arial" w:hAnsi="Arial" w:cs="Arial"/>
                <w:b/>
              </w:rPr>
              <w:t>vrijednosti</w:t>
            </w:r>
            <w:proofErr w:type="spellEnd"/>
            <w:r w:rsidRPr="00C44B47">
              <w:rPr>
                <w:rFonts w:ascii="Arial" w:hAnsi="Arial" w:cs="Arial"/>
                <w:b/>
              </w:rPr>
              <w:t xml:space="preserve"> 2022. godine</w:t>
            </w:r>
          </w:p>
        </w:tc>
        <w:tc>
          <w:tcPr>
            <w:tcW w:w="2813" w:type="dxa"/>
            <w:gridSpan w:val="6"/>
          </w:tcPr>
          <w:p w14:paraId="6156F1E1" w14:textId="77777777" w:rsidR="00993EDA" w:rsidRPr="00C44B47" w:rsidRDefault="00993EDA" w:rsidP="00DD1FEA">
            <w:pPr>
              <w:rPr>
                <w:rFonts w:ascii="Arial" w:hAnsi="Arial" w:cs="Arial"/>
                <w:b/>
              </w:rPr>
            </w:pPr>
            <w:r w:rsidRPr="00C44B47">
              <w:rPr>
                <w:rFonts w:ascii="Arial" w:hAnsi="Arial" w:cs="Arial"/>
                <w:b/>
              </w:rPr>
              <w:t>2023</w:t>
            </w:r>
          </w:p>
        </w:tc>
        <w:tc>
          <w:tcPr>
            <w:tcW w:w="7788" w:type="dxa"/>
            <w:gridSpan w:val="5"/>
          </w:tcPr>
          <w:p w14:paraId="5F8A223F" w14:textId="77777777" w:rsidR="00993EDA" w:rsidRPr="00C44B47" w:rsidRDefault="00993EDA" w:rsidP="00DD1FEA">
            <w:pPr>
              <w:rPr>
                <w:rFonts w:ascii="Arial" w:hAnsi="Arial" w:cs="Arial"/>
                <w:b/>
              </w:rPr>
            </w:pPr>
            <w:r w:rsidRPr="00C44B47">
              <w:rPr>
                <w:rFonts w:ascii="Arial" w:hAnsi="Arial" w:cs="Arial"/>
                <w:b/>
              </w:rPr>
              <w:t>2024</w:t>
            </w:r>
          </w:p>
        </w:tc>
      </w:tr>
      <w:tr w:rsidR="00993EDA" w:rsidRPr="00C44B47" w14:paraId="333A255C" w14:textId="77777777" w:rsidTr="00DD1FEA">
        <w:trPr>
          <w:trHeight w:val="2406"/>
        </w:trPr>
        <w:tc>
          <w:tcPr>
            <w:tcW w:w="948" w:type="dxa"/>
          </w:tcPr>
          <w:p w14:paraId="21C017B9" w14:textId="77777777" w:rsidR="00993EDA" w:rsidRPr="00C44B47" w:rsidRDefault="00993EDA" w:rsidP="00DD1FEA">
            <w:pPr>
              <w:rPr>
                <w:rFonts w:ascii="Arial" w:hAnsi="Arial" w:cs="Arial"/>
              </w:rPr>
            </w:pPr>
            <w:r w:rsidRPr="00C44B47">
              <w:rPr>
                <w:rFonts w:ascii="Arial" w:hAnsi="Arial" w:cs="Arial"/>
                <w:b/>
              </w:rPr>
              <w:lastRenderedPageBreak/>
              <w:t>Indikator učinka 1.</w:t>
            </w:r>
            <w:r w:rsidRPr="00C44B47">
              <w:rPr>
                <w:rFonts w:ascii="Arial" w:hAnsi="Arial" w:cs="Arial"/>
              </w:rPr>
              <w:t xml:space="preserve"> </w:t>
            </w:r>
          </w:p>
          <w:p w14:paraId="615ACE6D" w14:textId="77777777" w:rsidR="00993EDA" w:rsidRPr="00C44B47" w:rsidRDefault="00993EDA" w:rsidP="00DD1FEA">
            <w:pPr>
              <w:rPr>
                <w:rFonts w:ascii="Arial" w:hAnsi="Arial" w:cs="Arial"/>
              </w:rPr>
            </w:pPr>
          </w:p>
          <w:p w14:paraId="73AE0A9B" w14:textId="77777777" w:rsidR="00993EDA" w:rsidRPr="00C44B47" w:rsidRDefault="00993EDA" w:rsidP="00DD1FEA">
            <w:pPr>
              <w:rPr>
                <w:rFonts w:ascii="Arial" w:hAnsi="Arial" w:cs="Arial"/>
                <w:b/>
              </w:rPr>
            </w:pPr>
            <w:r w:rsidRPr="00C44B47">
              <w:rPr>
                <w:rFonts w:ascii="Arial" w:hAnsi="Arial" w:cs="Arial"/>
              </w:rPr>
              <w:t xml:space="preserve">Povećanje broja pozitivno </w:t>
            </w:r>
            <w:proofErr w:type="spellStart"/>
            <w:r w:rsidRPr="00C44B47">
              <w:rPr>
                <w:rFonts w:ascii="Arial" w:hAnsi="Arial" w:cs="Arial"/>
              </w:rPr>
              <w:t>riješenih</w:t>
            </w:r>
            <w:proofErr w:type="spellEnd"/>
            <w:r w:rsidRPr="00C44B47">
              <w:rPr>
                <w:rFonts w:ascii="Arial" w:hAnsi="Arial" w:cs="Arial"/>
              </w:rPr>
              <w:t xml:space="preserve"> prigovora potrošača/</w:t>
            </w:r>
            <w:proofErr w:type="spellStart"/>
            <w:r w:rsidRPr="00C44B47">
              <w:rPr>
                <w:rFonts w:ascii="Arial" w:hAnsi="Arial" w:cs="Arial"/>
              </w:rPr>
              <w:t>ica</w:t>
            </w:r>
            <w:proofErr w:type="spellEnd"/>
            <w:r w:rsidRPr="00C44B47">
              <w:rPr>
                <w:rFonts w:ascii="Arial" w:hAnsi="Arial" w:cs="Arial"/>
              </w:rPr>
              <w:t xml:space="preserve"> u odnosu na broj </w:t>
            </w:r>
            <w:proofErr w:type="spellStart"/>
            <w:r w:rsidRPr="00C44B47">
              <w:rPr>
                <w:rFonts w:ascii="Arial" w:hAnsi="Arial" w:cs="Arial"/>
              </w:rPr>
              <w:t>podnijetih</w:t>
            </w:r>
            <w:proofErr w:type="spellEnd"/>
            <w:r w:rsidRPr="00C44B47">
              <w:rPr>
                <w:rFonts w:ascii="Arial" w:hAnsi="Arial" w:cs="Arial"/>
              </w:rPr>
              <w:t xml:space="preserve"> prigovora</w:t>
            </w:r>
          </w:p>
        </w:tc>
        <w:tc>
          <w:tcPr>
            <w:tcW w:w="1401" w:type="dxa"/>
            <w:gridSpan w:val="3"/>
          </w:tcPr>
          <w:p w14:paraId="76D9C26F" w14:textId="77777777" w:rsidR="00993EDA" w:rsidRPr="00C44B47" w:rsidRDefault="00993EDA" w:rsidP="00DD1FEA">
            <w:pPr>
              <w:rPr>
                <w:rFonts w:ascii="Arial" w:hAnsi="Arial" w:cs="Arial"/>
              </w:rPr>
            </w:pPr>
            <w:r w:rsidRPr="00C44B47">
              <w:rPr>
                <w:rFonts w:ascii="Arial" w:hAnsi="Arial" w:cs="Arial"/>
              </w:rPr>
              <w:t xml:space="preserve">Početna </w:t>
            </w:r>
            <w:proofErr w:type="spellStart"/>
            <w:r w:rsidRPr="00C44B47">
              <w:rPr>
                <w:rFonts w:ascii="Arial" w:hAnsi="Arial" w:cs="Arial"/>
              </w:rPr>
              <w:t>vrijednost</w:t>
            </w:r>
            <w:proofErr w:type="spellEnd"/>
            <w:r w:rsidRPr="00C44B47">
              <w:rPr>
                <w:rFonts w:ascii="Arial" w:hAnsi="Arial" w:cs="Arial"/>
              </w:rPr>
              <w:t xml:space="preserve"> biće definisana prije donošenja Programa, trenutno se prikupljaju potrebni podaci za izračunavanje</w:t>
            </w:r>
          </w:p>
        </w:tc>
        <w:tc>
          <w:tcPr>
            <w:tcW w:w="2749" w:type="dxa"/>
            <w:gridSpan w:val="5"/>
          </w:tcPr>
          <w:p w14:paraId="1B050C58" w14:textId="77777777" w:rsidR="00993EDA" w:rsidRPr="00C44B47" w:rsidRDefault="00993EDA" w:rsidP="00DD1FEA">
            <w:pPr>
              <w:rPr>
                <w:rFonts w:ascii="Arial" w:hAnsi="Arial" w:cs="Arial"/>
              </w:rPr>
            </w:pPr>
            <w:r w:rsidRPr="00C44B47">
              <w:rPr>
                <w:rFonts w:ascii="Arial" w:hAnsi="Arial" w:cs="Arial"/>
              </w:rPr>
              <w:t xml:space="preserve">Broj </w:t>
            </w:r>
            <w:proofErr w:type="spellStart"/>
            <w:r w:rsidRPr="00C44B47">
              <w:rPr>
                <w:rFonts w:ascii="Arial" w:hAnsi="Arial" w:cs="Arial"/>
              </w:rPr>
              <w:t>podnijetih</w:t>
            </w:r>
            <w:proofErr w:type="spellEnd"/>
            <w:r w:rsidRPr="00C44B47">
              <w:rPr>
                <w:rFonts w:ascii="Arial" w:hAnsi="Arial" w:cs="Arial"/>
              </w:rPr>
              <w:t xml:space="preserve"> prigovora potrošača: 2765</w:t>
            </w:r>
          </w:p>
        </w:tc>
        <w:tc>
          <w:tcPr>
            <w:tcW w:w="7852" w:type="dxa"/>
            <w:gridSpan w:val="6"/>
            <w:shd w:val="clear" w:color="auto" w:fill="auto"/>
          </w:tcPr>
          <w:p w14:paraId="2BB754BA" w14:textId="77777777" w:rsidR="00993EDA" w:rsidRPr="00C44B47" w:rsidRDefault="00993EDA" w:rsidP="00DD1FEA">
            <w:pPr>
              <w:rPr>
                <w:rFonts w:ascii="Arial" w:hAnsi="Arial" w:cs="Arial"/>
              </w:rPr>
            </w:pPr>
            <w:r w:rsidRPr="00C44B47">
              <w:rPr>
                <w:rFonts w:ascii="Arial" w:hAnsi="Arial" w:cs="Arial"/>
                <w:color w:val="FF0000"/>
              </w:rPr>
              <w:t>Povećanje za 5 % u odnosu na 2022. godinu</w:t>
            </w:r>
          </w:p>
        </w:tc>
      </w:tr>
      <w:tr w:rsidR="00993EDA" w:rsidRPr="00C44B47" w14:paraId="6D82C9B3" w14:textId="77777777" w:rsidTr="00DD1FEA">
        <w:trPr>
          <w:trHeight w:val="1868"/>
        </w:trPr>
        <w:tc>
          <w:tcPr>
            <w:tcW w:w="948" w:type="dxa"/>
          </w:tcPr>
          <w:p w14:paraId="58B80054" w14:textId="77777777" w:rsidR="00993EDA" w:rsidRPr="00C44B47" w:rsidRDefault="00993EDA" w:rsidP="00DD1FEA">
            <w:pPr>
              <w:rPr>
                <w:rFonts w:ascii="Arial" w:hAnsi="Arial" w:cs="Arial"/>
              </w:rPr>
            </w:pPr>
            <w:r w:rsidRPr="00C44B47">
              <w:rPr>
                <w:rFonts w:ascii="Arial" w:hAnsi="Arial" w:cs="Arial"/>
                <w:b/>
              </w:rPr>
              <w:t>Indikator učinka 2.</w:t>
            </w:r>
            <w:r w:rsidRPr="00C44B47">
              <w:rPr>
                <w:rFonts w:ascii="Arial" w:hAnsi="Arial" w:cs="Arial"/>
              </w:rPr>
              <w:t xml:space="preserve"> </w:t>
            </w:r>
          </w:p>
          <w:p w14:paraId="25F1826A" w14:textId="77777777" w:rsidR="00993EDA" w:rsidRPr="00C44B47" w:rsidRDefault="00993EDA" w:rsidP="00DD1FEA">
            <w:pPr>
              <w:rPr>
                <w:rFonts w:ascii="Arial" w:hAnsi="Arial" w:cs="Arial"/>
              </w:rPr>
            </w:pPr>
          </w:p>
          <w:p w14:paraId="3D24E590" w14:textId="77777777" w:rsidR="00993EDA" w:rsidRPr="00C44B47" w:rsidRDefault="00993EDA" w:rsidP="00DD1FEA">
            <w:pPr>
              <w:rPr>
                <w:rFonts w:ascii="Arial" w:hAnsi="Arial" w:cs="Arial"/>
              </w:rPr>
            </w:pPr>
            <w:r w:rsidRPr="00C44B47">
              <w:rPr>
                <w:rFonts w:ascii="Arial" w:hAnsi="Arial" w:cs="Arial"/>
              </w:rPr>
              <w:t xml:space="preserve">Povećanje broja </w:t>
            </w:r>
            <w:proofErr w:type="spellStart"/>
            <w:r w:rsidRPr="00C44B47">
              <w:rPr>
                <w:rFonts w:ascii="Arial" w:hAnsi="Arial" w:cs="Arial"/>
              </w:rPr>
              <w:t>podnijetih</w:t>
            </w:r>
            <w:proofErr w:type="spellEnd"/>
            <w:r w:rsidRPr="00C44B47">
              <w:rPr>
                <w:rFonts w:ascii="Arial" w:hAnsi="Arial" w:cs="Arial"/>
              </w:rPr>
              <w:t xml:space="preserve"> </w:t>
            </w:r>
            <w:proofErr w:type="spellStart"/>
            <w:r w:rsidRPr="00C44B47">
              <w:rPr>
                <w:rFonts w:ascii="Arial" w:hAnsi="Arial" w:cs="Arial"/>
              </w:rPr>
              <w:t>zahtjeva</w:t>
            </w:r>
            <w:proofErr w:type="spellEnd"/>
            <w:r w:rsidRPr="00C44B47">
              <w:rPr>
                <w:rFonts w:ascii="Arial" w:hAnsi="Arial" w:cs="Arial"/>
              </w:rPr>
              <w:t xml:space="preserve"> za vansud</w:t>
            </w:r>
            <w:r w:rsidRPr="00C44B47">
              <w:rPr>
                <w:rFonts w:ascii="Arial" w:hAnsi="Arial" w:cs="Arial"/>
              </w:rPr>
              <w:lastRenderedPageBreak/>
              <w:t xml:space="preserve">sko </w:t>
            </w:r>
            <w:proofErr w:type="spellStart"/>
            <w:r w:rsidRPr="00C44B47">
              <w:rPr>
                <w:rFonts w:ascii="Arial" w:hAnsi="Arial" w:cs="Arial"/>
              </w:rPr>
              <w:t>rješavanje</w:t>
            </w:r>
            <w:proofErr w:type="spellEnd"/>
            <w:r w:rsidRPr="00C44B47">
              <w:rPr>
                <w:rFonts w:ascii="Arial" w:hAnsi="Arial" w:cs="Arial"/>
              </w:rPr>
              <w:t xml:space="preserve"> sporova</w:t>
            </w:r>
          </w:p>
        </w:tc>
        <w:tc>
          <w:tcPr>
            <w:tcW w:w="1401" w:type="dxa"/>
            <w:gridSpan w:val="3"/>
          </w:tcPr>
          <w:p w14:paraId="4B87A2F9" w14:textId="77777777" w:rsidR="00993EDA" w:rsidRPr="00C44B47" w:rsidRDefault="00993EDA" w:rsidP="00DD1FEA">
            <w:pPr>
              <w:rPr>
                <w:rFonts w:ascii="Arial" w:hAnsi="Arial" w:cs="Arial"/>
              </w:rPr>
            </w:pPr>
            <w:r w:rsidRPr="00C44B47">
              <w:rPr>
                <w:rFonts w:ascii="Arial" w:hAnsi="Arial" w:cs="Arial"/>
              </w:rPr>
              <w:lastRenderedPageBreak/>
              <w:t>3</w:t>
            </w:r>
          </w:p>
        </w:tc>
        <w:tc>
          <w:tcPr>
            <w:tcW w:w="2749" w:type="dxa"/>
            <w:gridSpan w:val="5"/>
          </w:tcPr>
          <w:p w14:paraId="2D84063F" w14:textId="77777777" w:rsidR="00993EDA" w:rsidRPr="00C44B47" w:rsidRDefault="00993EDA" w:rsidP="00DD1FEA">
            <w:pPr>
              <w:rPr>
                <w:rFonts w:ascii="Arial" w:hAnsi="Arial" w:cs="Arial"/>
              </w:rPr>
            </w:pPr>
            <w:r w:rsidRPr="00C44B47">
              <w:rPr>
                <w:rFonts w:ascii="Arial" w:hAnsi="Arial" w:cs="Arial"/>
              </w:rPr>
              <w:t xml:space="preserve">Broj </w:t>
            </w:r>
            <w:proofErr w:type="spellStart"/>
            <w:r w:rsidRPr="00C44B47">
              <w:rPr>
                <w:rFonts w:ascii="Arial" w:hAnsi="Arial" w:cs="Arial"/>
              </w:rPr>
              <w:t>podnijetih</w:t>
            </w:r>
            <w:proofErr w:type="spellEnd"/>
            <w:r w:rsidRPr="00C44B47">
              <w:rPr>
                <w:rFonts w:ascii="Arial" w:hAnsi="Arial" w:cs="Arial"/>
              </w:rPr>
              <w:t xml:space="preserve"> tužbi Odboru za vansudsko </w:t>
            </w:r>
            <w:proofErr w:type="spellStart"/>
            <w:r w:rsidRPr="00C44B47">
              <w:rPr>
                <w:rFonts w:ascii="Arial" w:hAnsi="Arial" w:cs="Arial"/>
              </w:rPr>
              <w:t>rješavanje</w:t>
            </w:r>
            <w:proofErr w:type="spellEnd"/>
            <w:r w:rsidRPr="00C44B47">
              <w:rPr>
                <w:rFonts w:ascii="Arial" w:hAnsi="Arial" w:cs="Arial"/>
              </w:rPr>
              <w:t xml:space="preserve"> potrošačkih sporova: 2</w:t>
            </w:r>
          </w:p>
        </w:tc>
        <w:tc>
          <w:tcPr>
            <w:tcW w:w="7852" w:type="dxa"/>
            <w:gridSpan w:val="6"/>
          </w:tcPr>
          <w:p w14:paraId="3CF065EB" w14:textId="77777777" w:rsidR="00993EDA" w:rsidRPr="00C44B47" w:rsidRDefault="00993EDA" w:rsidP="00DD1FEA">
            <w:pPr>
              <w:rPr>
                <w:rFonts w:ascii="Arial" w:hAnsi="Arial" w:cs="Arial"/>
              </w:rPr>
            </w:pPr>
            <w:r w:rsidRPr="00C44B47">
              <w:rPr>
                <w:rFonts w:ascii="Arial" w:hAnsi="Arial" w:cs="Arial"/>
                <w:color w:val="FF0000"/>
              </w:rPr>
              <w:t>Povećanje za 5 u odnosu na 2022. godinu</w:t>
            </w:r>
          </w:p>
        </w:tc>
      </w:tr>
      <w:tr w:rsidR="00993EDA" w:rsidRPr="00C44B47" w14:paraId="7F0593F1" w14:textId="77777777" w:rsidTr="00DD1FEA">
        <w:trPr>
          <w:trHeight w:val="1330"/>
        </w:trPr>
        <w:tc>
          <w:tcPr>
            <w:tcW w:w="1218" w:type="dxa"/>
            <w:gridSpan w:val="2"/>
          </w:tcPr>
          <w:p w14:paraId="4D80D65B" w14:textId="77777777" w:rsidR="00993EDA" w:rsidRPr="00C44B47" w:rsidRDefault="00993EDA" w:rsidP="00DD1FEA">
            <w:pPr>
              <w:rPr>
                <w:rFonts w:ascii="Arial" w:hAnsi="Arial" w:cs="Arial"/>
                <w:b/>
              </w:rPr>
            </w:pPr>
            <w:r w:rsidRPr="00C44B47">
              <w:rPr>
                <w:rFonts w:ascii="Arial" w:hAnsi="Arial" w:cs="Arial"/>
                <w:b/>
              </w:rPr>
              <w:t>Aktivnost koja utiče na realizaciju Operativnog cilja 1</w:t>
            </w:r>
          </w:p>
        </w:tc>
        <w:tc>
          <w:tcPr>
            <w:tcW w:w="925" w:type="dxa"/>
          </w:tcPr>
          <w:p w14:paraId="62AC4456" w14:textId="77777777" w:rsidR="00993EDA" w:rsidRPr="00C44B47" w:rsidRDefault="00993EDA" w:rsidP="00DD1FEA">
            <w:pPr>
              <w:rPr>
                <w:rFonts w:ascii="Arial" w:hAnsi="Arial" w:cs="Arial"/>
                <w:b/>
              </w:rPr>
            </w:pPr>
            <w:r w:rsidRPr="00C44B47">
              <w:rPr>
                <w:rFonts w:ascii="Arial" w:hAnsi="Arial" w:cs="Arial"/>
                <w:b/>
              </w:rPr>
              <w:t xml:space="preserve">Indikator rezultata i postignute </w:t>
            </w:r>
            <w:proofErr w:type="spellStart"/>
            <w:r w:rsidRPr="00C44B47">
              <w:rPr>
                <w:rFonts w:ascii="Arial" w:hAnsi="Arial" w:cs="Arial"/>
                <w:b/>
              </w:rPr>
              <w:t>vrijednosti</w:t>
            </w:r>
            <w:proofErr w:type="spellEnd"/>
            <w:r w:rsidRPr="00C44B47">
              <w:rPr>
                <w:rFonts w:ascii="Arial" w:hAnsi="Arial" w:cs="Arial"/>
                <w:b/>
              </w:rPr>
              <w:t xml:space="preserve"> na kraju </w:t>
            </w:r>
            <w:proofErr w:type="spellStart"/>
            <w:r w:rsidRPr="00C44B47">
              <w:rPr>
                <w:rFonts w:ascii="Arial" w:hAnsi="Arial" w:cs="Arial"/>
                <w:b/>
              </w:rPr>
              <w:t>izvještajnog</w:t>
            </w:r>
            <w:proofErr w:type="spellEnd"/>
            <w:r w:rsidRPr="00C44B47">
              <w:rPr>
                <w:rFonts w:ascii="Arial" w:hAnsi="Arial" w:cs="Arial"/>
                <w:b/>
              </w:rPr>
              <w:t xml:space="preserve"> perioda</w:t>
            </w:r>
          </w:p>
        </w:tc>
        <w:tc>
          <w:tcPr>
            <w:tcW w:w="788" w:type="dxa"/>
            <w:gridSpan w:val="2"/>
          </w:tcPr>
          <w:p w14:paraId="05C68AEF" w14:textId="77777777" w:rsidR="00993EDA" w:rsidRPr="00C44B47" w:rsidRDefault="00993EDA" w:rsidP="00DD1FEA">
            <w:pPr>
              <w:rPr>
                <w:rFonts w:ascii="Arial" w:hAnsi="Arial" w:cs="Arial"/>
                <w:b/>
              </w:rPr>
            </w:pPr>
            <w:r w:rsidRPr="00C44B47">
              <w:rPr>
                <w:rFonts w:ascii="Arial" w:hAnsi="Arial" w:cs="Arial"/>
                <w:b/>
              </w:rPr>
              <w:t>Institucije odgovorne za sprovođenje aktivnosti</w:t>
            </w:r>
          </w:p>
        </w:tc>
        <w:tc>
          <w:tcPr>
            <w:tcW w:w="697" w:type="dxa"/>
          </w:tcPr>
          <w:p w14:paraId="2CCCB7AF" w14:textId="77777777" w:rsidR="00993EDA" w:rsidRPr="00C44B47" w:rsidRDefault="00993EDA" w:rsidP="00DD1FEA">
            <w:pPr>
              <w:rPr>
                <w:rFonts w:ascii="Arial" w:hAnsi="Arial" w:cs="Arial"/>
                <w:b/>
              </w:rPr>
            </w:pPr>
            <w:r w:rsidRPr="00C44B47">
              <w:rPr>
                <w:rFonts w:ascii="Arial" w:hAnsi="Arial" w:cs="Arial"/>
                <w:b/>
              </w:rPr>
              <w:t xml:space="preserve">Datu </w:t>
            </w:r>
            <w:proofErr w:type="spellStart"/>
            <w:r w:rsidRPr="00C44B47">
              <w:rPr>
                <w:rFonts w:ascii="Arial" w:hAnsi="Arial" w:cs="Arial"/>
                <w:b/>
              </w:rPr>
              <w:t>mpočetka</w:t>
            </w:r>
            <w:proofErr w:type="spellEnd"/>
          </w:p>
        </w:tc>
        <w:tc>
          <w:tcPr>
            <w:tcW w:w="543" w:type="dxa"/>
          </w:tcPr>
          <w:p w14:paraId="44AF8BA4" w14:textId="77777777" w:rsidR="00993EDA" w:rsidRPr="00C44B47" w:rsidRDefault="00993EDA" w:rsidP="00DD1FEA">
            <w:pPr>
              <w:rPr>
                <w:rFonts w:ascii="Arial" w:hAnsi="Arial" w:cs="Arial"/>
                <w:b/>
              </w:rPr>
            </w:pPr>
            <w:r w:rsidRPr="00C44B47">
              <w:rPr>
                <w:rFonts w:ascii="Arial" w:hAnsi="Arial" w:cs="Arial"/>
                <w:b/>
              </w:rPr>
              <w:t xml:space="preserve">Plani rani datu m </w:t>
            </w:r>
            <w:proofErr w:type="spellStart"/>
            <w:r w:rsidRPr="00C44B47">
              <w:rPr>
                <w:rFonts w:ascii="Arial" w:hAnsi="Arial" w:cs="Arial"/>
                <w:b/>
              </w:rPr>
              <w:t>završ</w:t>
            </w:r>
            <w:proofErr w:type="spellEnd"/>
            <w:r w:rsidRPr="00C44B47">
              <w:rPr>
                <w:rFonts w:ascii="Arial" w:hAnsi="Arial" w:cs="Arial"/>
                <w:b/>
              </w:rPr>
              <w:t xml:space="preserve"> </w:t>
            </w:r>
            <w:proofErr w:type="spellStart"/>
            <w:r w:rsidRPr="00C44B47">
              <w:rPr>
                <w:rFonts w:ascii="Arial" w:hAnsi="Arial" w:cs="Arial"/>
                <w:b/>
              </w:rPr>
              <w:t>etka</w:t>
            </w:r>
            <w:proofErr w:type="spellEnd"/>
          </w:p>
        </w:tc>
        <w:tc>
          <w:tcPr>
            <w:tcW w:w="702" w:type="dxa"/>
          </w:tcPr>
          <w:p w14:paraId="1D8CEEF8" w14:textId="77777777" w:rsidR="00993EDA" w:rsidRPr="00C44B47" w:rsidRDefault="00993EDA" w:rsidP="00DD1FEA">
            <w:pPr>
              <w:rPr>
                <w:rFonts w:ascii="Arial" w:hAnsi="Arial" w:cs="Arial"/>
                <w:b/>
              </w:rPr>
            </w:pPr>
            <w:r w:rsidRPr="00C44B47">
              <w:rPr>
                <w:rFonts w:ascii="Arial" w:hAnsi="Arial" w:cs="Arial"/>
                <w:b/>
              </w:rPr>
              <w:t xml:space="preserve">Status </w:t>
            </w:r>
            <w:proofErr w:type="spellStart"/>
            <w:r w:rsidRPr="00C44B47">
              <w:rPr>
                <w:rFonts w:ascii="Arial" w:hAnsi="Arial" w:cs="Arial"/>
                <w:b/>
              </w:rPr>
              <w:t>realizaci</w:t>
            </w:r>
            <w:proofErr w:type="spellEnd"/>
            <w:r w:rsidRPr="00C44B47">
              <w:rPr>
                <w:rFonts w:ascii="Arial" w:hAnsi="Arial" w:cs="Arial"/>
                <w:b/>
              </w:rPr>
              <w:t xml:space="preserve"> je</w:t>
            </w:r>
          </w:p>
        </w:tc>
        <w:tc>
          <w:tcPr>
            <w:tcW w:w="828" w:type="dxa"/>
            <w:gridSpan w:val="3"/>
          </w:tcPr>
          <w:p w14:paraId="42B85225" w14:textId="77777777" w:rsidR="00993EDA" w:rsidRPr="00C44B47" w:rsidRDefault="00993EDA" w:rsidP="00DD1FEA">
            <w:pPr>
              <w:rPr>
                <w:rFonts w:ascii="Arial" w:hAnsi="Arial" w:cs="Arial"/>
                <w:b/>
              </w:rPr>
            </w:pPr>
            <w:r w:rsidRPr="00C44B47">
              <w:rPr>
                <w:rFonts w:ascii="Arial" w:hAnsi="Arial" w:cs="Arial"/>
                <w:b/>
              </w:rPr>
              <w:t xml:space="preserve">Novi rok za </w:t>
            </w:r>
            <w:proofErr w:type="spellStart"/>
            <w:r w:rsidRPr="00C44B47">
              <w:rPr>
                <w:rFonts w:ascii="Arial" w:hAnsi="Arial" w:cs="Arial"/>
                <w:b/>
              </w:rPr>
              <w:t>realizacij</w:t>
            </w:r>
            <w:proofErr w:type="spellEnd"/>
            <w:r w:rsidRPr="00C44B47">
              <w:rPr>
                <w:rFonts w:ascii="Arial" w:hAnsi="Arial" w:cs="Arial"/>
                <w:b/>
              </w:rPr>
              <w:t xml:space="preserve"> u (uz </w:t>
            </w:r>
            <w:proofErr w:type="spellStart"/>
            <w:r w:rsidRPr="00C44B47">
              <w:rPr>
                <w:rFonts w:ascii="Arial" w:hAnsi="Arial" w:cs="Arial"/>
                <w:b/>
              </w:rPr>
              <w:t>odgovar</w:t>
            </w:r>
            <w:proofErr w:type="spellEnd"/>
            <w:r w:rsidRPr="00C44B47">
              <w:rPr>
                <w:rFonts w:ascii="Arial" w:hAnsi="Arial" w:cs="Arial"/>
                <w:b/>
              </w:rPr>
              <w:t xml:space="preserve"> </w:t>
            </w:r>
            <w:proofErr w:type="spellStart"/>
            <w:r w:rsidRPr="00C44B47">
              <w:rPr>
                <w:rFonts w:ascii="Arial" w:hAnsi="Arial" w:cs="Arial"/>
                <w:b/>
              </w:rPr>
              <w:t>ajuće</w:t>
            </w:r>
            <w:proofErr w:type="spellEnd"/>
            <w:r w:rsidRPr="00C44B47">
              <w:rPr>
                <w:rFonts w:ascii="Arial" w:hAnsi="Arial" w:cs="Arial"/>
                <w:b/>
              </w:rPr>
              <w:t xml:space="preserve"> </w:t>
            </w:r>
            <w:proofErr w:type="spellStart"/>
            <w:r w:rsidRPr="00C44B47">
              <w:rPr>
                <w:rFonts w:ascii="Arial" w:hAnsi="Arial" w:cs="Arial"/>
                <w:b/>
              </w:rPr>
              <w:t>obrazlož</w:t>
            </w:r>
            <w:proofErr w:type="spellEnd"/>
            <w:r w:rsidRPr="00C44B47">
              <w:rPr>
                <w:rFonts w:ascii="Arial" w:hAnsi="Arial" w:cs="Arial"/>
                <w:b/>
              </w:rPr>
              <w:t xml:space="preserve"> </w:t>
            </w:r>
            <w:proofErr w:type="spellStart"/>
            <w:r w:rsidRPr="00C44B47">
              <w:rPr>
                <w:rFonts w:ascii="Arial" w:hAnsi="Arial" w:cs="Arial"/>
                <w:b/>
              </w:rPr>
              <w:t>enje</w:t>
            </w:r>
            <w:proofErr w:type="spellEnd"/>
            <w:r w:rsidRPr="00C44B47">
              <w:rPr>
                <w:rFonts w:ascii="Arial" w:hAnsi="Arial" w:cs="Arial"/>
                <w:b/>
              </w:rPr>
              <w:t>)</w:t>
            </w:r>
          </w:p>
        </w:tc>
        <w:tc>
          <w:tcPr>
            <w:tcW w:w="519" w:type="dxa"/>
          </w:tcPr>
          <w:p w14:paraId="34343C2B" w14:textId="77777777" w:rsidR="00993EDA" w:rsidRPr="00C44B47" w:rsidRDefault="00993EDA" w:rsidP="00DD1FEA">
            <w:pPr>
              <w:rPr>
                <w:rFonts w:ascii="Arial" w:hAnsi="Arial" w:cs="Arial"/>
                <w:b/>
              </w:rPr>
            </w:pPr>
            <w:proofErr w:type="spellStart"/>
            <w:r w:rsidRPr="00C44B47">
              <w:rPr>
                <w:rFonts w:ascii="Arial" w:hAnsi="Arial" w:cs="Arial"/>
                <w:b/>
              </w:rPr>
              <w:t>Sreds</w:t>
            </w:r>
            <w:proofErr w:type="spellEnd"/>
            <w:r w:rsidRPr="00C44B47">
              <w:rPr>
                <w:rFonts w:ascii="Arial" w:hAnsi="Arial" w:cs="Arial"/>
                <w:b/>
              </w:rPr>
              <w:t xml:space="preserve"> </w:t>
            </w:r>
            <w:proofErr w:type="spellStart"/>
            <w:r w:rsidRPr="00C44B47">
              <w:rPr>
                <w:rFonts w:ascii="Arial" w:hAnsi="Arial" w:cs="Arial"/>
                <w:b/>
              </w:rPr>
              <w:t>tva</w:t>
            </w:r>
            <w:proofErr w:type="spellEnd"/>
            <w:r w:rsidRPr="00C44B47">
              <w:rPr>
                <w:rFonts w:ascii="Arial" w:hAnsi="Arial" w:cs="Arial"/>
                <w:b/>
              </w:rPr>
              <w:t xml:space="preserve"> </w:t>
            </w:r>
            <w:proofErr w:type="spellStart"/>
            <w:r w:rsidRPr="00C44B47">
              <w:rPr>
                <w:rFonts w:ascii="Arial" w:hAnsi="Arial" w:cs="Arial"/>
                <w:b/>
              </w:rPr>
              <w:t>planir</w:t>
            </w:r>
            <w:proofErr w:type="spellEnd"/>
            <w:r w:rsidRPr="00C44B47">
              <w:rPr>
                <w:rFonts w:ascii="Arial" w:hAnsi="Arial" w:cs="Arial"/>
                <w:b/>
              </w:rPr>
              <w:t xml:space="preserve"> </w:t>
            </w:r>
            <w:proofErr w:type="spellStart"/>
            <w:r w:rsidRPr="00C44B47">
              <w:rPr>
                <w:rFonts w:ascii="Arial" w:hAnsi="Arial" w:cs="Arial"/>
                <w:b/>
              </w:rPr>
              <w:t>ana</w:t>
            </w:r>
            <w:proofErr w:type="spellEnd"/>
          </w:p>
        </w:tc>
        <w:tc>
          <w:tcPr>
            <w:tcW w:w="607" w:type="dxa"/>
          </w:tcPr>
          <w:p w14:paraId="52F51895" w14:textId="77777777" w:rsidR="00993EDA" w:rsidRPr="00C44B47" w:rsidRDefault="00993EDA" w:rsidP="00DD1FEA">
            <w:pPr>
              <w:rPr>
                <w:rFonts w:ascii="Arial" w:hAnsi="Arial" w:cs="Arial"/>
                <w:b/>
              </w:rPr>
            </w:pPr>
            <w:proofErr w:type="spellStart"/>
            <w:r w:rsidRPr="00C44B47">
              <w:rPr>
                <w:rFonts w:ascii="Arial" w:hAnsi="Arial" w:cs="Arial"/>
                <w:b/>
              </w:rPr>
              <w:t>Sreds</w:t>
            </w:r>
            <w:proofErr w:type="spellEnd"/>
            <w:r w:rsidRPr="00C44B47">
              <w:rPr>
                <w:rFonts w:ascii="Arial" w:hAnsi="Arial" w:cs="Arial"/>
                <w:b/>
              </w:rPr>
              <w:t xml:space="preserve"> </w:t>
            </w:r>
            <w:proofErr w:type="spellStart"/>
            <w:r w:rsidRPr="00C44B47">
              <w:rPr>
                <w:rFonts w:ascii="Arial" w:hAnsi="Arial" w:cs="Arial"/>
                <w:b/>
              </w:rPr>
              <w:t>tva</w:t>
            </w:r>
            <w:proofErr w:type="spellEnd"/>
            <w:r w:rsidRPr="00C44B47">
              <w:rPr>
                <w:rFonts w:ascii="Arial" w:hAnsi="Arial" w:cs="Arial"/>
                <w:b/>
              </w:rPr>
              <w:t xml:space="preserve"> </w:t>
            </w:r>
            <w:proofErr w:type="spellStart"/>
            <w:r w:rsidRPr="00C44B47">
              <w:rPr>
                <w:rFonts w:ascii="Arial" w:hAnsi="Arial" w:cs="Arial"/>
                <w:b/>
              </w:rPr>
              <w:t>realizov</w:t>
            </w:r>
            <w:proofErr w:type="spellEnd"/>
            <w:r w:rsidRPr="00C44B47">
              <w:rPr>
                <w:rFonts w:ascii="Arial" w:hAnsi="Arial" w:cs="Arial"/>
                <w:b/>
              </w:rPr>
              <w:t xml:space="preserve"> </w:t>
            </w:r>
            <w:proofErr w:type="spellStart"/>
            <w:r w:rsidRPr="00C44B47">
              <w:rPr>
                <w:rFonts w:ascii="Arial" w:hAnsi="Arial" w:cs="Arial"/>
                <w:b/>
              </w:rPr>
              <w:t>ana</w:t>
            </w:r>
            <w:proofErr w:type="spellEnd"/>
          </w:p>
        </w:tc>
        <w:tc>
          <w:tcPr>
            <w:tcW w:w="655" w:type="dxa"/>
          </w:tcPr>
          <w:p w14:paraId="1FBCF99A" w14:textId="77777777" w:rsidR="00993EDA" w:rsidRPr="00C44B47" w:rsidRDefault="00993EDA" w:rsidP="00DD1FEA">
            <w:pPr>
              <w:rPr>
                <w:rFonts w:ascii="Arial" w:hAnsi="Arial" w:cs="Arial"/>
                <w:b/>
              </w:rPr>
            </w:pPr>
            <w:r w:rsidRPr="00C44B47">
              <w:rPr>
                <w:rFonts w:ascii="Arial" w:hAnsi="Arial" w:cs="Arial"/>
                <w:b/>
              </w:rPr>
              <w:t xml:space="preserve">Izvor </w:t>
            </w:r>
            <w:proofErr w:type="spellStart"/>
            <w:r w:rsidRPr="00C44B47">
              <w:rPr>
                <w:rFonts w:ascii="Arial" w:hAnsi="Arial" w:cs="Arial"/>
                <w:b/>
              </w:rPr>
              <w:t>finansir</w:t>
            </w:r>
            <w:proofErr w:type="spellEnd"/>
            <w:r w:rsidRPr="00C44B47">
              <w:rPr>
                <w:rFonts w:ascii="Arial" w:hAnsi="Arial" w:cs="Arial"/>
                <w:b/>
              </w:rPr>
              <w:t xml:space="preserve"> </w:t>
            </w:r>
            <w:proofErr w:type="spellStart"/>
            <w:r w:rsidRPr="00C44B47">
              <w:rPr>
                <w:rFonts w:ascii="Arial" w:hAnsi="Arial" w:cs="Arial"/>
                <w:b/>
              </w:rPr>
              <w:t>anja</w:t>
            </w:r>
            <w:proofErr w:type="spellEnd"/>
          </w:p>
        </w:tc>
        <w:tc>
          <w:tcPr>
            <w:tcW w:w="5468" w:type="dxa"/>
          </w:tcPr>
          <w:p w14:paraId="2FC04AE2" w14:textId="77777777" w:rsidR="00993EDA" w:rsidRPr="00C44B47" w:rsidRDefault="00993EDA" w:rsidP="00DD1FEA">
            <w:pPr>
              <w:rPr>
                <w:rFonts w:ascii="Arial" w:hAnsi="Arial" w:cs="Arial"/>
              </w:rPr>
            </w:pPr>
            <w:proofErr w:type="spellStart"/>
            <w:r w:rsidRPr="00C44B47">
              <w:rPr>
                <w:rFonts w:ascii="Arial" w:hAnsi="Arial" w:cs="Arial"/>
              </w:rPr>
              <w:t>Preporuk</w:t>
            </w:r>
            <w:proofErr w:type="spellEnd"/>
            <w:r w:rsidRPr="00C44B47">
              <w:rPr>
                <w:rFonts w:ascii="Arial" w:hAnsi="Arial" w:cs="Arial"/>
              </w:rPr>
              <w:t xml:space="preserve"> e za naredni period </w:t>
            </w:r>
            <w:proofErr w:type="spellStart"/>
            <w:r w:rsidRPr="00C44B47">
              <w:rPr>
                <w:rFonts w:ascii="Arial" w:hAnsi="Arial" w:cs="Arial"/>
              </w:rPr>
              <w:t>sprovođe</w:t>
            </w:r>
            <w:proofErr w:type="spellEnd"/>
            <w:r w:rsidRPr="00C44B47">
              <w:rPr>
                <w:rFonts w:ascii="Arial" w:hAnsi="Arial" w:cs="Arial"/>
              </w:rPr>
              <w:t xml:space="preserve"> </w:t>
            </w:r>
            <w:proofErr w:type="spellStart"/>
            <w:r w:rsidRPr="00C44B47">
              <w:rPr>
                <w:rFonts w:ascii="Arial" w:hAnsi="Arial" w:cs="Arial"/>
              </w:rPr>
              <w:t>nja</w:t>
            </w:r>
            <w:proofErr w:type="spellEnd"/>
          </w:p>
        </w:tc>
      </w:tr>
      <w:tr w:rsidR="00993EDA" w:rsidRPr="00C44B47" w14:paraId="3AFCA2CF" w14:textId="77777777" w:rsidTr="00DD1FEA">
        <w:trPr>
          <w:trHeight w:val="250"/>
        </w:trPr>
        <w:tc>
          <w:tcPr>
            <w:tcW w:w="1218" w:type="dxa"/>
            <w:gridSpan w:val="2"/>
          </w:tcPr>
          <w:p w14:paraId="14098E92" w14:textId="77777777" w:rsidR="00993EDA" w:rsidRPr="00C44B47" w:rsidRDefault="00993EDA" w:rsidP="00DD1FEA">
            <w:pPr>
              <w:rPr>
                <w:rFonts w:ascii="Arial" w:hAnsi="Arial" w:cs="Arial"/>
                <w:b/>
              </w:rPr>
            </w:pPr>
            <w:r w:rsidRPr="00C44B47">
              <w:rPr>
                <w:rFonts w:ascii="Arial" w:hAnsi="Arial" w:cs="Arial"/>
                <w:b/>
              </w:rPr>
              <w:t>1.1. Organizovanje obuka za inspekcijske službe u oblasti zaštite potrošača</w:t>
            </w:r>
          </w:p>
        </w:tc>
        <w:tc>
          <w:tcPr>
            <w:tcW w:w="925" w:type="dxa"/>
          </w:tcPr>
          <w:p w14:paraId="4DAF40D8" w14:textId="77777777" w:rsidR="00993EDA" w:rsidRPr="00C44B47" w:rsidRDefault="00993EDA" w:rsidP="00DD1FEA">
            <w:pPr>
              <w:rPr>
                <w:rFonts w:ascii="Arial" w:hAnsi="Arial" w:cs="Arial"/>
              </w:rPr>
            </w:pPr>
            <w:r w:rsidRPr="00C44B47">
              <w:rPr>
                <w:rFonts w:ascii="Arial" w:hAnsi="Arial" w:cs="Arial"/>
              </w:rPr>
              <w:t>Broj održanih obuka -najmanje 5 Broj učesnika/</w:t>
            </w:r>
            <w:proofErr w:type="spellStart"/>
            <w:r w:rsidRPr="00C44B47">
              <w:rPr>
                <w:rFonts w:ascii="Arial" w:hAnsi="Arial" w:cs="Arial"/>
              </w:rPr>
              <w:t>ca</w:t>
            </w:r>
            <w:proofErr w:type="spellEnd"/>
            <w:r w:rsidRPr="00C44B47">
              <w:rPr>
                <w:rFonts w:ascii="Arial" w:hAnsi="Arial" w:cs="Arial"/>
              </w:rPr>
              <w:t xml:space="preserve"> – najmanje 30, od čega najmanje 16 žena</w:t>
            </w:r>
          </w:p>
        </w:tc>
        <w:tc>
          <w:tcPr>
            <w:tcW w:w="788" w:type="dxa"/>
            <w:gridSpan w:val="2"/>
          </w:tcPr>
          <w:p w14:paraId="57577516" w14:textId="77777777" w:rsidR="00993EDA" w:rsidRPr="00C44B47" w:rsidRDefault="00993EDA" w:rsidP="00DD1FEA">
            <w:pPr>
              <w:rPr>
                <w:rFonts w:ascii="Arial" w:hAnsi="Arial" w:cs="Arial"/>
              </w:rPr>
            </w:pPr>
            <w:r w:rsidRPr="00C44B47">
              <w:rPr>
                <w:rFonts w:ascii="Arial" w:hAnsi="Arial" w:cs="Arial"/>
              </w:rPr>
              <w:t>UIP Resorna ministarstva</w:t>
            </w:r>
          </w:p>
        </w:tc>
        <w:tc>
          <w:tcPr>
            <w:tcW w:w="697" w:type="dxa"/>
          </w:tcPr>
          <w:p w14:paraId="5133A5EE" w14:textId="77777777" w:rsidR="00993EDA" w:rsidRPr="00C44B47" w:rsidRDefault="00993EDA" w:rsidP="00DD1FEA">
            <w:pPr>
              <w:rPr>
                <w:rFonts w:ascii="Arial" w:hAnsi="Arial" w:cs="Arial"/>
              </w:rPr>
            </w:pPr>
            <w:r w:rsidRPr="00C44B47">
              <w:rPr>
                <w:rFonts w:ascii="Arial" w:hAnsi="Arial" w:cs="Arial"/>
              </w:rPr>
              <w:t>IIQ 2024</w:t>
            </w:r>
          </w:p>
        </w:tc>
        <w:tc>
          <w:tcPr>
            <w:tcW w:w="543" w:type="dxa"/>
          </w:tcPr>
          <w:p w14:paraId="45718C9A" w14:textId="77777777" w:rsidR="00993EDA" w:rsidRPr="00C44B47" w:rsidRDefault="00993EDA" w:rsidP="00DD1FEA">
            <w:pPr>
              <w:rPr>
                <w:rFonts w:ascii="Arial" w:hAnsi="Arial" w:cs="Arial"/>
              </w:rPr>
            </w:pPr>
            <w:r w:rsidRPr="00C44B47">
              <w:rPr>
                <w:rFonts w:ascii="Arial" w:hAnsi="Arial" w:cs="Arial"/>
              </w:rPr>
              <w:t>IIIQ 2024</w:t>
            </w:r>
          </w:p>
        </w:tc>
        <w:tc>
          <w:tcPr>
            <w:tcW w:w="702" w:type="dxa"/>
            <w:shd w:val="clear" w:color="auto" w:fill="auto"/>
          </w:tcPr>
          <w:p w14:paraId="302BD46D" w14:textId="77777777" w:rsidR="00993EDA" w:rsidRPr="00C44B47" w:rsidRDefault="00993EDA" w:rsidP="00DD1FEA">
            <w:pPr>
              <w:rPr>
                <w:rFonts w:ascii="Arial" w:hAnsi="Arial" w:cs="Arial"/>
              </w:rPr>
            </w:pPr>
            <w:r w:rsidRPr="00C44B47">
              <w:rPr>
                <w:rFonts w:ascii="Arial" w:hAnsi="Arial" w:cs="Arial"/>
                <w:highlight w:val="red"/>
              </w:rPr>
              <w:t>Nerealizovano</w:t>
            </w:r>
          </w:p>
        </w:tc>
        <w:tc>
          <w:tcPr>
            <w:tcW w:w="828" w:type="dxa"/>
            <w:gridSpan w:val="3"/>
            <w:shd w:val="clear" w:color="auto" w:fill="auto"/>
          </w:tcPr>
          <w:p w14:paraId="1C812354" w14:textId="77777777" w:rsidR="00993EDA" w:rsidRPr="00C44B47" w:rsidRDefault="00993EDA" w:rsidP="00DD1FEA">
            <w:pPr>
              <w:rPr>
                <w:rFonts w:ascii="Arial" w:hAnsi="Arial" w:cs="Arial"/>
              </w:rPr>
            </w:pPr>
            <w:r w:rsidRPr="00C44B47">
              <w:rPr>
                <w:rFonts w:ascii="Arial" w:hAnsi="Arial" w:cs="Arial"/>
              </w:rPr>
              <w:t>IIIQ - IVQ 2025</w:t>
            </w:r>
          </w:p>
        </w:tc>
        <w:tc>
          <w:tcPr>
            <w:tcW w:w="519" w:type="dxa"/>
            <w:shd w:val="clear" w:color="auto" w:fill="auto"/>
          </w:tcPr>
          <w:p w14:paraId="21351D2B" w14:textId="77777777" w:rsidR="00993EDA" w:rsidRPr="00C44B47" w:rsidRDefault="00993EDA" w:rsidP="00DD1FEA">
            <w:pPr>
              <w:rPr>
                <w:rFonts w:ascii="Arial" w:hAnsi="Arial" w:cs="Arial"/>
              </w:rPr>
            </w:pPr>
            <w:r w:rsidRPr="00C44B47">
              <w:rPr>
                <w:rFonts w:ascii="Arial" w:hAnsi="Arial" w:cs="Arial"/>
              </w:rPr>
              <w:t xml:space="preserve">Redovna aktivnost za koju nisu potrena </w:t>
            </w:r>
            <w:r w:rsidRPr="00C44B47">
              <w:rPr>
                <w:rFonts w:ascii="Arial" w:hAnsi="Arial" w:cs="Arial"/>
              </w:rPr>
              <w:lastRenderedPageBreak/>
              <w:t>dodatna sredstva.</w:t>
            </w:r>
          </w:p>
        </w:tc>
        <w:tc>
          <w:tcPr>
            <w:tcW w:w="607" w:type="dxa"/>
            <w:shd w:val="clear" w:color="auto" w:fill="auto"/>
          </w:tcPr>
          <w:p w14:paraId="0DACB152" w14:textId="77777777" w:rsidR="00993EDA" w:rsidRPr="00C44B47" w:rsidRDefault="00993EDA" w:rsidP="00DD1FEA">
            <w:pPr>
              <w:rPr>
                <w:rFonts w:ascii="Arial" w:hAnsi="Arial" w:cs="Arial"/>
              </w:rPr>
            </w:pPr>
          </w:p>
        </w:tc>
        <w:tc>
          <w:tcPr>
            <w:tcW w:w="655" w:type="dxa"/>
            <w:shd w:val="clear" w:color="auto" w:fill="auto"/>
          </w:tcPr>
          <w:p w14:paraId="351B6132" w14:textId="77777777" w:rsidR="00993EDA" w:rsidRPr="00C44B47" w:rsidRDefault="00993EDA" w:rsidP="00DD1FEA">
            <w:pPr>
              <w:rPr>
                <w:rFonts w:ascii="Arial" w:hAnsi="Arial" w:cs="Arial"/>
              </w:rPr>
            </w:pPr>
            <w:r w:rsidRPr="00C44B47">
              <w:rPr>
                <w:rFonts w:ascii="Arial" w:hAnsi="Arial" w:cs="Arial"/>
              </w:rPr>
              <w:t>/</w:t>
            </w:r>
          </w:p>
        </w:tc>
        <w:tc>
          <w:tcPr>
            <w:tcW w:w="5468" w:type="dxa"/>
            <w:shd w:val="clear" w:color="auto" w:fill="auto"/>
          </w:tcPr>
          <w:p w14:paraId="766C7CCC" w14:textId="77777777" w:rsidR="00993EDA" w:rsidRPr="00C44B47" w:rsidRDefault="00993EDA" w:rsidP="00DD1FEA">
            <w:pPr>
              <w:rPr>
                <w:rFonts w:ascii="Arial" w:hAnsi="Arial" w:cs="Arial"/>
              </w:rPr>
            </w:pPr>
            <w:r w:rsidRPr="00C44B47">
              <w:rPr>
                <w:rFonts w:ascii="Arial" w:hAnsi="Arial" w:cs="Arial"/>
              </w:rPr>
              <w:t xml:space="preserve">Usled </w:t>
            </w:r>
            <w:proofErr w:type="spellStart"/>
            <w:r w:rsidRPr="00C44B47">
              <w:rPr>
                <w:rFonts w:ascii="Arial" w:hAnsi="Arial" w:cs="Arial"/>
              </w:rPr>
              <w:t>promjene</w:t>
            </w:r>
            <w:proofErr w:type="spellEnd"/>
            <w:r w:rsidRPr="00C44B47">
              <w:rPr>
                <w:rFonts w:ascii="Arial" w:hAnsi="Arial" w:cs="Arial"/>
              </w:rPr>
              <w:t xml:space="preserve"> organizacione strukture, nisu se održale planirane obuke u oblasti zaštite potrošača. Tržišna inspekcija predlaže da se u toku 2025. godine održe obuke na ovu temu, sa najmanje 25 učesnika, od čega najmanje 13 žena.</w:t>
            </w:r>
          </w:p>
        </w:tc>
      </w:tr>
      <w:tr w:rsidR="00993EDA" w:rsidRPr="00C44B47" w14:paraId="720F1459" w14:textId="77777777" w:rsidTr="00DD1FEA">
        <w:trPr>
          <w:trHeight w:val="265"/>
        </w:trPr>
        <w:tc>
          <w:tcPr>
            <w:tcW w:w="1218" w:type="dxa"/>
            <w:gridSpan w:val="2"/>
          </w:tcPr>
          <w:p w14:paraId="08FEAD0E" w14:textId="77777777" w:rsidR="00993EDA" w:rsidRPr="00C44B47" w:rsidRDefault="00993EDA" w:rsidP="00DD1FEA">
            <w:pPr>
              <w:rPr>
                <w:rFonts w:ascii="Arial" w:hAnsi="Arial" w:cs="Arial"/>
                <w:b/>
              </w:rPr>
            </w:pPr>
            <w:r w:rsidRPr="00C44B47">
              <w:rPr>
                <w:rFonts w:ascii="Arial" w:hAnsi="Arial" w:cs="Arial"/>
                <w:b/>
              </w:rPr>
              <w:t>1.2. Povećan broj inspekcijskih kontrola u oblasti zaštite potrošača</w:t>
            </w:r>
          </w:p>
        </w:tc>
        <w:tc>
          <w:tcPr>
            <w:tcW w:w="925" w:type="dxa"/>
          </w:tcPr>
          <w:p w14:paraId="2D419B00" w14:textId="77777777" w:rsidR="00993EDA" w:rsidRPr="00C44B47" w:rsidRDefault="00993EDA" w:rsidP="00DD1FEA">
            <w:pPr>
              <w:rPr>
                <w:rFonts w:ascii="Arial" w:hAnsi="Arial" w:cs="Arial"/>
              </w:rPr>
            </w:pPr>
            <w:r w:rsidRPr="00C44B47">
              <w:rPr>
                <w:rFonts w:ascii="Arial" w:hAnsi="Arial" w:cs="Arial"/>
              </w:rPr>
              <w:t>Broj izvršenih inspekcijskih nadzora u skladu sa Zakonom o zaštiti potrošača i drugih zakona koji se odnose na ovu oblast.</w:t>
            </w:r>
          </w:p>
        </w:tc>
        <w:tc>
          <w:tcPr>
            <w:tcW w:w="788" w:type="dxa"/>
            <w:gridSpan w:val="2"/>
          </w:tcPr>
          <w:p w14:paraId="48E40938" w14:textId="77777777" w:rsidR="00993EDA" w:rsidRPr="00C44B47" w:rsidRDefault="00993EDA" w:rsidP="00DD1FEA">
            <w:pPr>
              <w:rPr>
                <w:rFonts w:ascii="Arial" w:hAnsi="Arial" w:cs="Arial"/>
              </w:rPr>
            </w:pPr>
            <w:r w:rsidRPr="00C44B47">
              <w:rPr>
                <w:rFonts w:ascii="Arial" w:hAnsi="Arial" w:cs="Arial"/>
              </w:rPr>
              <w:t>UIP</w:t>
            </w:r>
          </w:p>
        </w:tc>
        <w:tc>
          <w:tcPr>
            <w:tcW w:w="697" w:type="dxa"/>
          </w:tcPr>
          <w:p w14:paraId="6F42885A" w14:textId="77777777" w:rsidR="00993EDA" w:rsidRPr="00C44B47" w:rsidRDefault="00993EDA" w:rsidP="00DD1FEA">
            <w:pPr>
              <w:rPr>
                <w:rFonts w:ascii="Arial" w:hAnsi="Arial" w:cs="Arial"/>
              </w:rPr>
            </w:pPr>
            <w:r w:rsidRPr="00C44B47">
              <w:rPr>
                <w:rFonts w:ascii="Arial" w:hAnsi="Arial" w:cs="Arial"/>
              </w:rPr>
              <w:t>IQ 2024</w:t>
            </w:r>
          </w:p>
        </w:tc>
        <w:tc>
          <w:tcPr>
            <w:tcW w:w="543" w:type="dxa"/>
          </w:tcPr>
          <w:p w14:paraId="6675CAD2" w14:textId="77777777" w:rsidR="00993EDA" w:rsidRPr="00C44B47" w:rsidRDefault="00993EDA" w:rsidP="00DD1FEA">
            <w:pPr>
              <w:rPr>
                <w:rFonts w:ascii="Arial" w:hAnsi="Arial" w:cs="Arial"/>
              </w:rPr>
            </w:pPr>
            <w:r w:rsidRPr="00C44B47">
              <w:rPr>
                <w:rFonts w:ascii="Arial" w:hAnsi="Arial" w:cs="Arial"/>
              </w:rPr>
              <w:t>IVQ 2024</w:t>
            </w:r>
          </w:p>
        </w:tc>
        <w:tc>
          <w:tcPr>
            <w:tcW w:w="702" w:type="dxa"/>
            <w:shd w:val="clear" w:color="auto" w:fill="auto"/>
          </w:tcPr>
          <w:p w14:paraId="4FF2CA4E" w14:textId="77777777" w:rsidR="00993EDA" w:rsidRPr="00C44B47" w:rsidRDefault="00993EDA" w:rsidP="00DD1FEA">
            <w:pPr>
              <w:rPr>
                <w:rFonts w:ascii="Arial" w:hAnsi="Arial" w:cs="Arial"/>
              </w:rPr>
            </w:pPr>
            <w:r w:rsidRPr="00C44B47">
              <w:rPr>
                <w:rFonts w:ascii="Arial" w:hAnsi="Arial" w:cs="Arial"/>
                <w:highlight w:val="red"/>
              </w:rPr>
              <w:t>Nerealizovano</w:t>
            </w:r>
          </w:p>
        </w:tc>
        <w:tc>
          <w:tcPr>
            <w:tcW w:w="828" w:type="dxa"/>
            <w:gridSpan w:val="3"/>
            <w:shd w:val="clear" w:color="auto" w:fill="auto"/>
          </w:tcPr>
          <w:p w14:paraId="30480162" w14:textId="77777777" w:rsidR="00993EDA" w:rsidRPr="00C44B47" w:rsidRDefault="00993EDA" w:rsidP="00DD1FEA">
            <w:pPr>
              <w:rPr>
                <w:rFonts w:ascii="Arial" w:hAnsi="Arial" w:cs="Arial"/>
              </w:rPr>
            </w:pPr>
            <w:r w:rsidRPr="00C44B47">
              <w:rPr>
                <w:rFonts w:ascii="Arial" w:hAnsi="Arial" w:cs="Arial"/>
              </w:rPr>
              <w:t>IVQ 2025</w:t>
            </w:r>
          </w:p>
        </w:tc>
        <w:tc>
          <w:tcPr>
            <w:tcW w:w="519" w:type="dxa"/>
            <w:shd w:val="clear" w:color="auto" w:fill="auto"/>
          </w:tcPr>
          <w:p w14:paraId="5569C76B" w14:textId="77777777" w:rsidR="00993EDA" w:rsidRPr="00C44B47" w:rsidRDefault="00993EDA" w:rsidP="00DD1FEA">
            <w:pPr>
              <w:rPr>
                <w:rFonts w:ascii="Arial" w:hAnsi="Arial" w:cs="Arial"/>
              </w:rPr>
            </w:pPr>
            <w:r w:rsidRPr="00C44B47">
              <w:rPr>
                <w:rFonts w:ascii="Arial" w:hAnsi="Arial" w:cs="Arial"/>
              </w:rPr>
              <w:t>Redovna aktivnost za koju nisu potrena dodatna sredstva.</w:t>
            </w:r>
          </w:p>
        </w:tc>
        <w:tc>
          <w:tcPr>
            <w:tcW w:w="607" w:type="dxa"/>
            <w:shd w:val="clear" w:color="auto" w:fill="auto"/>
          </w:tcPr>
          <w:p w14:paraId="56144443" w14:textId="77777777" w:rsidR="00993EDA" w:rsidRPr="00C44B47" w:rsidRDefault="00993EDA" w:rsidP="00DD1FEA">
            <w:pPr>
              <w:rPr>
                <w:rFonts w:ascii="Arial" w:hAnsi="Arial" w:cs="Arial"/>
              </w:rPr>
            </w:pPr>
          </w:p>
        </w:tc>
        <w:tc>
          <w:tcPr>
            <w:tcW w:w="655" w:type="dxa"/>
            <w:shd w:val="clear" w:color="auto" w:fill="auto"/>
          </w:tcPr>
          <w:p w14:paraId="628BA9DC" w14:textId="77777777" w:rsidR="00993EDA" w:rsidRPr="00C44B47" w:rsidRDefault="00993EDA" w:rsidP="00DD1FEA">
            <w:pPr>
              <w:rPr>
                <w:rFonts w:ascii="Arial" w:hAnsi="Arial" w:cs="Arial"/>
              </w:rPr>
            </w:pPr>
            <w:r w:rsidRPr="00C44B47">
              <w:rPr>
                <w:rFonts w:ascii="Arial" w:hAnsi="Arial" w:cs="Arial"/>
              </w:rPr>
              <w:t>/</w:t>
            </w:r>
          </w:p>
        </w:tc>
        <w:tc>
          <w:tcPr>
            <w:tcW w:w="5468" w:type="dxa"/>
            <w:shd w:val="clear" w:color="auto" w:fill="auto"/>
          </w:tcPr>
          <w:p w14:paraId="23004FDD" w14:textId="77777777" w:rsidR="00993EDA" w:rsidRPr="00C44B47" w:rsidRDefault="00993EDA" w:rsidP="00DD1FEA">
            <w:pPr>
              <w:rPr>
                <w:rFonts w:ascii="Arial" w:hAnsi="Arial" w:cs="Arial"/>
              </w:rPr>
            </w:pPr>
            <w:r w:rsidRPr="00C44B47">
              <w:rPr>
                <w:rFonts w:ascii="Arial" w:hAnsi="Arial" w:cs="Arial"/>
              </w:rPr>
              <w:t xml:space="preserve">Usled </w:t>
            </w:r>
            <w:proofErr w:type="spellStart"/>
            <w:r w:rsidRPr="00C44B47">
              <w:rPr>
                <w:rFonts w:ascii="Arial" w:hAnsi="Arial" w:cs="Arial"/>
              </w:rPr>
              <w:t>promjene</w:t>
            </w:r>
            <w:proofErr w:type="spellEnd"/>
            <w:r w:rsidRPr="00C44B47">
              <w:rPr>
                <w:rFonts w:ascii="Arial" w:hAnsi="Arial" w:cs="Arial"/>
              </w:rPr>
              <w:t xml:space="preserve"> organizacione strukture još za </w:t>
            </w:r>
            <w:proofErr w:type="spellStart"/>
            <w:r w:rsidRPr="00C44B47">
              <w:rPr>
                <w:rFonts w:ascii="Arial" w:hAnsi="Arial" w:cs="Arial"/>
              </w:rPr>
              <w:t>vrijeme</w:t>
            </w:r>
            <w:proofErr w:type="spellEnd"/>
            <w:r w:rsidRPr="00C44B47">
              <w:rPr>
                <w:rFonts w:ascii="Arial" w:hAnsi="Arial" w:cs="Arial"/>
              </w:rPr>
              <w:t xml:space="preserve"> postojanja UIP-a, počelo se sa radom jedne redovne kontrole, umjesto dotadašnjih </w:t>
            </w:r>
            <w:proofErr w:type="spellStart"/>
            <w:r w:rsidRPr="00C44B47">
              <w:rPr>
                <w:rFonts w:ascii="Arial" w:hAnsi="Arial" w:cs="Arial"/>
              </w:rPr>
              <w:t>dvije</w:t>
            </w:r>
            <w:proofErr w:type="spellEnd"/>
            <w:r w:rsidRPr="00C44B47">
              <w:rPr>
                <w:rFonts w:ascii="Arial" w:hAnsi="Arial" w:cs="Arial"/>
              </w:rPr>
              <w:t xml:space="preserve">. Osim toga, u periodu prelaska iz jedne institucije u drugu, a usled </w:t>
            </w:r>
            <w:proofErr w:type="spellStart"/>
            <w:r w:rsidRPr="00C44B47">
              <w:rPr>
                <w:rFonts w:ascii="Arial" w:hAnsi="Arial" w:cs="Arial"/>
              </w:rPr>
              <w:t>neposjedovanja</w:t>
            </w:r>
            <w:proofErr w:type="spellEnd"/>
            <w:r w:rsidRPr="00C44B47">
              <w:rPr>
                <w:rFonts w:ascii="Arial" w:hAnsi="Arial" w:cs="Arial"/>
              </w:rPr>
              <w:t xml:space="preserve"> zapisnika, prekršajnih naloga, pečata i legitimacija, u oktobru nisu rađene kontrole. Sve to je razlog činjenici da je u 2024. izvršeno ukupno 7815 kontrola u oblasti zaštite potrošača, dok je u 2023.</w:t>
            </w:r>
          </w:p>
          <w:p w14:paraId="5E049D30" w14:textId="77777777" w:rsidR="00993EDA" w:rsidRPr="00C44B47" w:rsidRDefault="00993EDA" w:rsidP="00DD1FEA">
            <w:pPr>
              <w:rPr>
                <w:rFonts w:ascii="Arial" w:hAnsi="Arial" w:cs="Arial"/>
              </w:rPr>
            </w:pPr>
            <w:r w:rsidRPr="00C44B47">
              <w:rPr>
                <w:rFonts w:ascii="Arial" w:hAnsi="Arial" w:cs="Arial"/>
              </w:rPr>
              <w:t xml:space="preserve">godini taj broj bio 12531, što znači da se broj kontrola </w:t>
            </w:r>
            <w:proofErr w:type="spellStart"/>
            <w:r w:rsidRPr="00C44B47">
              <w:rPr>
                <w:rFonts w:ascii="Arial" w:hAnsi="Arial" w:cs="Arial"/>
              </w:rPr>
              <w:t>smanjo</w:t>
            </w:r>
            <w:proofErr w:type="spellEnd"/>
            <w:r w:rsidRPr="00C44B47">
              <w:rPr>
                <w:rFonts w:ascii="Arial" w:hAnsi="Arial" w:cs="Arial"/>
              </w:rPr>
              <w:t xml:space="preserve"> skoro duplo. Treba napomenuti da su i pored toga rezultati rada gotovo identični.</w:t>
            </w:r>
          </w:p>
        </w:tc>
      </w:tr>
      <w:tr w:rsidR="00993EDA" w:rsidRPr="00C44B47" w14:paraId="309B97AA" w14:textId="77777777" w:rsidTr="00DD1FEA">
        <w:trPr>
          <w:trHeight w:val="250"/>
        </w:trPr>
        <w:tc>
          <w:tcPr>
            <w:tcW w:w="1218" w:type="dxa"/>
            <w:gridSpan w:val="2"/>
          </w:tcPr>
          <w:p w14:paraId="478C9956" w14:textId="77777777" w:rsidR="00993EDA" w:rsidRPr="00C44B47" w:rsidRDefault="00993EDA" w:rsidP="00DD1FEA">
            <w:pPr>
              <w:rPr>
                <w:rFonts w:ascii="Arial" w:hAnsi="Arial" w:cs="Arial"/>
                <w:b/>
              </w:rPr>
            </w:pPr>
            <w:bookmarkStart w:id="31" w:name="_Hlk191883457"/>
            <w:r w:rsidRPr="00C44B47">
              <w:rPr>
                <w:rFonts w:ascii="Arial" w:hAnsi="Arial" w:cs="Arial"/>
                <w:b/>
              </w:rPr>
              <w:t xml:space="preserve">1.3. Aktivnosti na predstavljanju i promovisanju novog </w:t>
            </w:r>
            <w:r w:rsidRPr="00C44B47">
              <w:rPr>
                <w:rFonts w:ascii="Arial" w:hAnsi="Arial" w:cs="Arial"/>
                <w:b/>
              </w:rPr>
              <w:lastRenderedPageBreak/>
              <w:t>Zakona o potrošačkim kreditima</w:t>
            </w:r>
          </w:p>
        </w:tc>
        <w:tc>
          <w:tcPr>
            <w:tcW w:w="925" w:type="dxa"/>
          </w:tcPr>
          <w:p w14:paraId="77E34D95" w14:textId="77777777" w:rsidR="00993EDA" w:rsidRPr="00C44B47" w:rsidRDefault="00993EDA" w:rsidP="00DD1FEA">
            <w:pPr>
              <w:rPr>
                <w:rFonts w:ascii="Arial" w:hAnsi="Arial" w:cs="Arial"/>
              </w:rPr>
            </w:pPr>
            <w:r w:rsidRPr="00C44B47">
              <w:rPr>
                <w:rFonts w:ascii="Arial" w:hAnsi="Arial" w:cs="Arial"/>
              </w:rPr>
              <w:lastRenderedPageBreak/>
              <w:t>Broj info dana – najmanje 1</w:t>
            </w:r>
          </w:p>
        </w:tc>
        <w:tc>
          <w:tcPr>
            <w:tcW w:w="788" w:type="dxa"/>
            <w:gridSpan w:val="2"/>
          </w:tcPr>
          <w:p w14:paraId="6624490F" w14:textId="77777777" w:rsidR="00993EDA" w:rsidRPr="00C44B47" w:rsidRDefault="00993EDA" w:rsidP="00DD1FEA">
            <w:pPr>
              <w:rPr>
                <w:rFonts w:ascii="Arial" w:hAnsi="Arial" w:cs="Arial"/>
              </w:rPr>
            </w:pPr>
            <w:r w:rsidRPr="00C44B47">
              <w:rPr>
                <w:rFonts w:ascii="Arial" w:hAnsi="Arial" w:cs="Arial"/>
              </w:rPr>
              <w:t>CBCG</w:t>
            </w:r>
          </w:p>
        </w:tc>
        <w:tc>
          <w:tcPr>
            <w:tcW w:w="697" w:type="dxa"/>
          </w:tcPr>
          <w:p w14:paraId="1913AEED" w14:textId="77777777" w:rsidR="00993EDA" w:rsidRPr="00C44B47" w:rsidRDefault="00993EDA" w:rsidP="00DD1FEA">
            <w:pPr>
              <w:rPr>
                <w:rFonts w:ascii="Arial" w:hAnsi="Arial" w:cs="Arial"/>
              </w:rPr>
            </w:pPr>
            <w:r w:rsidRPr="00C44B47">
              <w:rPr>
                <w:rFonts w:ascii="Arial" w:hAnsi="Arial" w:cs="Arial"/>
              </w:rPr>
              <w:t>IV Q 2024</w:t>
            </w:r>
          </w:p>
        </w:tc>
        <w:tc>
          <w:tcPr>
            <w:tcW w:w="543" w:type="dxa"/>
          </w:tcPr>
          <w:p w14:paraId="232A71D9" w14:textId="77777777" w:rsidR="00993EDA" w:rsidRPr="00C44B47" w:rsidRDefault="00993EDA" w:rsidP="00DD1FEA">
            <w:pPr>
              <w:rPr>
                <w:rFonts w:ascii="Arial" w:hAnsi="Arial" w:cs="Arial"/>
              </w:rPr>
            </w:pPr>
            <w:r w:rsidRPr="00C44B47">
              <w:rPr>
                <w:rFonts w:ascii="Arial" w:hAnsi="Arial" w:cs="Arial"/>
              </w:rPr>
              <w:t>IV Q 2024</w:t>
            </w:r>
          </w:p>
        </w:tc>
        <w:tc>
          <w:tcPr>
            <w:tcW w:w="702" w:type="dxa"/>
            <w:shd w:val="clear" w:color="auto" w:fill="auto"/>
          </w:tcPr>
          <w:p w14:paraId="2E5E4AB4" w14:textId="77777777" w:rsidR="00993EDA" w:rsidRPr="00C44B47" w:rsidRDefault="00993EDA" w:rsidP="00DD1FEA">
            <w:pPr>
              <w:rPr>
                <w:rFonts w:ascii="Arial" w:hAnsi="Arial" w:cs="Arial"/>
              </w:rPr>
            </w:pPr>
            <w:r w:rsidRPr="00C44B47">
              <w:rPr>
                <w:rFonts w:ascii="Arial" w:hAnsi="Arial" w:cs="Arial"/>
                <w:highlight w:val="red"/>
              </w:rPr>
              <w:t>Nerealizovano</w:t>
            </w:r>
          </w:p>
        </w:tc>
        <w:tc>
          <w:tcPr>
            <w:tcW w:w="828" w:type="dxa"/>
            <w:gridSpan w:val="3"/>
            <w:shd w:val="clear" w:color="auto" w:fill="auto"/>
          </w:tcPr>
          <w:p w14:paraId="7264B00F" w14:textId="77777777" w:rsidR="00993EDA" w:rsidRPr="00C44B47" w:rsidRDefault="00993EDA" w:rsidP="00DD1FEA">
            <w:pPr>
              <w:rPr>
                <w:rFonts w:ascii="Arial" w:hAnsi="Arial" w:cs="Arial"/>
              </w:rPr>
            </w:pPr>
            <w:r w:rsidRPr="00C44B47">
              <w:rPr>
                <w:rFonts w:ascii="Arial" w:hAnsi="Arial" w:cs="Arial"/>
              </w:rPr>
              <w:t>IV Q 2025</w:t>
            </w:r>
          </w:p>
        </w:tc>
        <w:tc>
          <w:tcPr>
            <w:tcW w:w="519" w:type="dxa"/>
            <w:shd w:val="clear" w:color="auto" w:fill="auto"/>
          </w:tcPr>
          <w:p w14:paraId="1BC31308" w14:textId="77777777" w:rsidR="00993EDA" w:rsidRPr="00C44B47" w:rsidRDefault="00993EDA" w:rsidP="00DD1FEA">
            <w:pPr>
              <w:rPr>
                <w:rFonts w:ascii="Arial" w:hAnsi="Arial" w:cs="Arial"/>
              </w:rPr>
            </w:pPr>
            <w:r w:rsidRPr="00C44B47">
              <w:rPr>
                <w:rFonts w:ascii="Arial" w:hAnsi="Arial" w:cs="Arial"/>
              </w:rPr>
              <w:t>Nisu potrebna sredstva.</w:t>
            </w:r>
          </w:p>
        </w:tc>
        <w:tc>
          <w:tcPr>
            <w:tcW w:w="607" w:type="dxa"/>
            <w:shd w:val="clear" w:color="auto" w:fill="auto"/>
          </w:tcPr>
          <w:p w14:paraId="25BDDCD2" w14:textId="77777777" w:rsidR="00993EDA" w:rsidRPr="00C44B47" w:rsidRDefault="00993EDA" w:rsidP="00DD1FEA">
            <w:pPr>
              <w:rPr>
                <w:rFonts w:ascii="Arial" w:hAnsi="Arial" w:cs="Arial"/>
              </w:rPr>
            </w:pPr>
            <w:r w:rsidRPr="00C44B47">
              <w:rPr>
                <w:rFonts w:ascii="Arial" w:hAnsi="Arial" w:cs="Arial"/>
              </w:rPr>
              <w:t>/</w:t>
            </w:r>
          </w:p>
        </w:tc>
        <w:tc>
          <w:tcPr>
            <w:tcW w:w="655" w:type="dxa"/>
            <w:shd w:val="clear" w:color="auto" w:fill="auto"/>
          </w:tcPr>
          <w:p w14:paraId="7FCD1FA1" w14:textId="77777777" w:rsidR="00993EDA" w:rsidRPr="00C44B47" w:rsidRDefault="00993EDA" w:rsidP="00DD1FEA">
            <w:pPr>
              <w:rPr>
                <w:rFonts w:ascii="Arial" w:hAnsi="Arial" w:cs="Arial"/>
              </w:rPr>
            </w:pPr>
            <w:r w:rsidRPr="00C44B47">
              <w:rPr>
                <w:rFonts w:ascii="Arial" w:hAnsi="Arial" w:cs="Arial"/>
              </w:rPr>
              <w:t>Budžet CBCG</w:t>
            </w:r>
          </w:p>
        </w:tc>
        <w:tc>
          <w:tcPr>
            <w:tcW w:w="5468" w:type="dxa"/>
            <w:shd w:val="clear" w:color="auto" w:fill="auto"/>
          </w:tcPr>
          <w:p w14:paraId="7B435E4B" w14:textId="77777777" w:rsidR="00993EDA" w:rsidRPr="00C44B47" w:rsidRDefault="00993EDA" w:rsidP="00DD1FEA">
            <w:pPr>
              <w:rPr>
                <w:rFonts w:ascii="Arial" w:hAnsi="Arial" w:cs="Arial"/>
                <w:b/>
              </w:rPr>
            </w:pPr>
            <w:r w:rsidRPr="00C44B47">
              <w:rPr>
                <w:rFonts w:ascii="Arial" w:hAnsi="Arial" w:cs="Arial"/>
                <w:b/>
              </w:rPr>
              <w:t>Nije realizovano, jer nije usvojen Zakon o potrošačkim kreditima.</w:t>
            </w:r>
          </w:p>
          <w:p w14:paraId="6285585B" w14:textId="77777777" w:rsidR="00993EDA" w:rsidRPr="00C44B47" w:rsidRDefault="00993EDA" w:rsidP="00DD1FEA">
            <w:pPr>
              <w:rPr>
                <w:rFonts w:ascii="Arial" w:hAnsi="Arial" w:cs="Arial"/>
              </w:rPr>
            </w:pPr>
            <w:r w:rsidRPr="00C44B47">
              <w:rPr>
                <w:rFonts w:ascii="Arial" w:hAnsi="Arial" w:cs="Arial"/>
              </w:rPr>
              <w:t>S obzirom na činjenicu da je aktivnost uslovljena donošenjem novog Zakona o potrošačkim kreditima, predmetna aktivnost će biti realizovana  u 2025. godini, nakon stupanja na snagu ovog zakona</w:t>
            </w:r>
          </w:p>
        </w:tc>
      </w:tr>
      <w:bookmarkEnd w:id="31"/>
      <w:tr w:rsidR="00993EDA" w:rsidRPr="00C44B47" w14:paraId="2ACEFFA0" w14:textId="77777777" w:rsidTr="00DD1FEA">
        <w:trPr>
          <w:trHeight w:val="250"/>
        </w:trPr>
        <w:tc>
          <w:tcPr>
            <w:tcW w:w="1218" w:type="dxa"/>
            <w:gridSpan w:val="2"/>
          </w:tcPr>
          <w:p w14:paraId="5C163138" w14:textId="77777777" w:rsidR="00993EDA" w:rsidRPr="00C44B47" w:rsidRDefault="00993EDA" w:rsidP="00DD1FEA">
            <w:pPr>
              <w:rPr>
                <w:rFonts w:ascii="Arial" w:hAnsi="Arial" w:cs="Arial"/>
                <w:b/>
              </w:rPr>
            </w:pPr>
            <w:r w:rsidRPr="00C44B47">
              <w:rPr>
                <w:rFonts w:ascii="Arial" w:hAnsi="Arial" w:cs="Arial"/>
                <w:b/>
              </w:rPr>
              <w:t xml:space="preserve">1.4. Organizovanje obuka za zaposlene kreditnih institucija i pružaoca finansijskih usluga kojima su </w:t>
            </w:r>
            <w:proofErr w:type="spellStart"/>
            <w:r w:rsidRPr="00C44B47">
              <w:rPr>
                <w:rFonts w:ascii="Arial" w:hAnsi="Arial" w:cs="Arial"/>
                <w:b/>
              </w:rPr>
              <w:t>povjereni</w:t>
            </w:r>
            <w:proofErr w:type="spellEnd"/>
            <w:r w:rsidRPr="00C44B47">
              <w:rPr>
                <w:rFonts w:ascii="Arial" w:hAnsi="Arial" w:cs="Arial"/>
                <w:b/>
              </w:rPr>
              <w:t xml:space="preserve"> poslovi zaštite prava potrošača/</w:t>
            </w:r>
            <w:proofErr w:type="spellStart"/>
            <w:r w:rsidRPr="00C44B47">
              <w:rPr>
                <w:rFonts w:ascii="Arial" w:hAnsi="Arial" w:cs="Arial"/>
                <w:b/>
              </w:rPr>
              <w:t>ica</w:t>
            </w:r>
            <w:proofErr w:type="spellEnd"/>
          </w:p>
        </w:tc>
        <w:tc>
          <w:tcPr>
            <w:tcW w:w="925" w:type="dxa"/>
          </w:tcPr>
          <w:p w14:paraId="5A6B10BA" w14:textId="77777777" w:rsidR="00993EDA" w:rsidRPr="00C44B47" w:rsidRDefault="00993EDA" w:rsidP="00DD1FEA">
            <w:pPr>
              <w:rPr>
                <w:rFonts w:ascii="Arial" w:hAnsi="Arial" w:cs="Arial"/>
              </w:rPr>
            </w:pPr>
            <w:r w:rsidRPr="00C44B47">
              <w:rPr>
                <w:rFonts w:ascii="Arial" w:hAnsi="Arial" w:cs="Arial"/>
              </w:rPr>
              <w:t>Broj održanih obuka -najmanje 1 Broj učesnika/</w:t>
            </w:r>
            <w:proofErr w:type="spellStart"/>
            <w:r w:rsidRPr="00C44B47">
              <w:rPr>
                <w:rFonts w:ascii="Arial" w:hAnsi="Arial" w:cs="Arial"/>
              </w:rPr>
              <w:t>ca</w:t>
            </w:r>
            <w:proofErr w:type="spellEnd"/>
            <w:r w:rsidRPr="00C44B47">
              <w:rPr>
                <w:rFonts w:ascii="Arial" w:hAnsi="Arial" w:cs="Arial"/>
              </w:rPr>
              <w:t xml:space="preserve"> – najmanje 19, od čega najmanje 10 žena</w:t>
            </w:r>
          </w:p>
        </w:tc>
        <w:tc>
          <w:tcPr>
            <w:tcW w:w="788" w:type="dxa"/>
            <w:gridSpan w:val="2"/>
          </w:tcPr>
          <w:p w14:paraId="586D922D" w14:textId="77777777" w:rsidR="00993EDA" w:rsidRPr="00C44B47" w:rsidRDefault="00993EDA" w:rsidP="00DD1FEA">
            <w:pPr>
              <w:rPr>
                <w:rFonts w:ascii="Arial" w:hAnsi="Arial" w:cs="Arial"/>
              </w:rPr>
            </w:pPr>
            <w:r w:rsidRPr="00C44B47">
              <w:rPr>
                <w:rFonts w:ascii="Arial" w:hAnsi="Arial" w:cs="Arial"/>
              </w:rPr>
              <w:t>CBCG</w:t>
            </w:r>
          </w:p>
        </w:tc>
        <w:tc>
          <w:tcPr>
            <w:tcW w:w="697" w:type="dxa"/>
          </w:tcPr>
          <w:p w14:paraId="7E8DA3AF" w14:textId="77777777" w:rsidR="00993EDA" w:rsidRPr="00C44B47" w:rsidRDefault="00993EDA" w:rsidP="00DD1FEA">
            <w:pPr>
              <w:rPr>
                <w:rFonts w:ascii="Arial" w:hAnsi="Arial" w:cs="Arial"/>
              </w:rPr>
            </w:pPr>
            <w:r w:rsidRPr="00C44B47">
              <w:rPr>
                <w:rFonts w:ascii="Arial" w:hAnsi="Arial" w:cs="Arial"/>
              </w:rPr>
              <w:t>IV Q 2024</w:t>
            </w:r>
          </w:p>
        </w:tc>
        <w:tc>
          <w:tcPr>
            <w:tcW w:w="543" w:type="dxa"/>
          </w:tcPr>
          <w:p w14:paraId="1ACD5A87" w14:textId="77777777" w:rsidR="00993EDA" w:rsidRPr="00C44B47" w:rsidRDefault="00993EDA" w:rsidP="00DD1FEA">
            <w:pPr>
              <w:rPr>
                <w:rFonts w:ascii="Arial" w:hAnsi="Arial" w:cs="Arial"/>
              </w:rPr>
            </w:pPr>
            <w:r w:rsidRPr="00C44B47">
              <w:rPr>
                <w:rFonts w:ascii="Arial" w:hAnsi="Arial" w:cs="Arial"/>
              </w:rPr>
              <w:t>IV Q 2024</w:t>
            </w:r>
          </w:p>
        </w:tc>
        <w:tc>
          <w:tcPr>
            <w:tcW w:w="702" w:type="dxa"/>
            <w:shd w:val="clear" w:color="auto" w:fill="auto"/>
          </w:tcPr>
          <w:p w14:paraId="53169A60" w14:textId="77777777" w:rsidR="00993EDA" w:rsidRPr="00C44B47" w:rsidRDefault="00993EDA" w:rsidP="00DD1FEA">
            <w:pPr>
              <w:rPr>
                <w:rFonts w:ascii="Arial" w:hAnsi="Arial" w:cs="Arial"/>
              </w:rPr>
            </w:pPr>
            <w:r w:rsidRPr="00C44B47">
              <w:rPr>
                <w:rFonts w:ascii="Arial" w:hAnsi="Arial" w:cs="Arial"/>
                <w:highlight w:val="red"/>
              </w:rPr>
              <w:t>Nerealizovano</w:t>
            </w:r>
          </w:p>
        </w:tc>
        <w:tc>
          <w:tcPr>
            <w:tcW w:w="828" w:type="dxa"/>
            <w:gridSpan w:val="3"/>
            <w:shd w:val="clear" w:color="auto" w:fill="auto"/>
          </w:tcPr>
          <w:p w14:paraId="252D2A98" w14:textId="77777777" w:rsidR="00993EDA" w:rsidRPr="00C44B47" w:rsidRDefault="00993EDA" w:rsidP="00DD1FEA">
            <w:pPr>
              <w:rPr>
                <w:rFonts w:ascii="Arial" w:hAnsi="Arial" w:cs="Arial"/>
              </w:rPr>
            </w:pPr>
            <w:r w:rsidRPr="00C44B47">
              <w:rPr>
                <w:rFonts w:ascii="Arial" w:hAnsi="Arial" w:cs="Arial"/>
              </w:rPr>
              <w:t>IV Q 2025</w:t>
            </w:r>
          </w:p>
        </w:tc>
        <w:tc>
          <w:tcPr>
            <w:tcW w:w="519" w:type="dxa"/>
            <w:shd w:val="clear" w:color="auto" w:fill="auto"/>
          </w:tcPr>
          <w:p w14:paraId="50C7DB44" w14:textId="77777777" w:rsidR="00993EDA" w:rsidRPr="00C44B47" w:rsidRDefault="00993EDA" w:rsidP="00DD1FEA">
            <w:pPr>
              <w:rPr>
                <w:rFonts w:ascii="Arial" w:hAnsi="Arial" w:cs="Arial"/>
              </w:rPr>
            </w:pPr>
            <w:r w:rsidRPr="00C44B47">
              <w:rPr>
                <w:rFonts w:ascii="Arial" w:hAnsi="Arial" w:cs="Arial"/>
              </w:rPr>
              <w:t>Nisu potrebna sredstva.</w:t>
            </w:r>
          </w:p>
        </w:tc>
        <w:tc>
          <w:tcPr>
            <w:tcW w:w="607" w:type="dxa"/>
            <w:shd w:val="clear" w:color="auto" w:fill="auto"/>
          </w:tcPr>
          <w:p w14:paraId="1E339593" w14:textId="77777777" w:rsidR="00993EDA" w:rsidRPr="00C44B47" w:rsidRDefault="00993EDA" w:rsidP="00DD1FEA">
            <w:pPr>
              <w:rPr>
                <w:rFonts w:ascii="Arial" w:hAnsi="Arial" w:cs="Arial"/>
              </w:rPr>
            </w:pPr>
            <w:r w:rsidRPr="00C44B47">
              <w:rPr>
                <w:rFonts w:ascii="Arial" w:hAnsi="Arial" w:cs="Arial"/>
              </w:rPr>
              <w:t>/</w:t>
            </w:r>
          </w:p>
        </w:tc>
        <w:tc>
          <w:tcPr>
            <w:tcW w:w="655" w:type="dxa"/>
            <w:shd w:val="clear" w:color="auto" w:fill="auto"/>
          </w:tcPr>
          <w:p w14:paraId="3BFDE206" w14:textId="77777777" w:rsidR="00993EDA" w:rsidRPr="00C44B47" w:rsidRDefault="00993EDA" w:rsidP="00DD1FEA">
            <w:pPr>
              <w:rPr>
                <w:rFonts w:ascii="Arial" w:hAnsi="Arial" w:cs="Arial"/>
              </w:rPr>
            </w:pPr>
            <w:r w:rsidRPr="00C44B47">
              <w:rPr>
                <w:rFonts w:ascii="Arial" w:hAnsi="Arial" w:cs="Arial"/>
              </w:rPr>
              <w:t>Budžet CBCG</w:t>
            </w:r>
          </w:p>
        </w:tc>
        <w:tc>
          <w:tcPr>
            <w:tcW w:w="5468" w:type="dxa"/>
            <w:shd w:val="clear" w:color="auto" w:fill="auto"/>
          </w:tcPr>
          <w:p w14:paraId="15D4CDCF" w14:textId="77777777" w:rsidR="00993EDA" w:rsidRPr="00C44B47" w:rsidRDefault="00993EDA" w:rsidP="00DD1FEA">
            <w:pPr>
              <w:rPr>
                <w:rFonts w:ascii="Arial" w:hAnsi="Arial" w:cs="Arial"/>
                <w:b/>
              </w:rPr>
            </w:pPr>
            <w:r w:rsidRPr="00C44B47">
              <w:rPr>
                <w:rFonts w:ascii="Arial" w:hAnsi="Arial" w:cs="Arial"/>
                <w:b/>
              </w:rPr>
              <w:t>Nije realizovano, jer nije usvojen Zakon o potrošačkim kreditima.</w:t>
            </w:r>
          </w:p>
          <w:p w14:paraId="1FE83892" w14:textId="77777777" w:rsidR="00993EDA" w:rsidRPr="00C44B47" w:rsidRDefault="00993EDA" w:rsidP="00DD1FEA">
            <w:pPr>
              <w:rPr>
                <w:rFonts w:ascii="Arial" w:hAnsi="Arial" w:cs="Arial"/>
              </w:rPr>
            </w:pPr>
            <w:r w:rsidRPr="00C44B47">
              <w:rPr>
                <w:rFonts w:ascii="Arial" w:hAnsi="Arial" w:cs="Arial"/>
              </w:rPr>
              <w:t>S obzirom na činjenicu da je aktivnost uslovljena donošenjem novog Zakona o potrošačkim kreditima, predmetna aktivnost će biti realizovana  u 2025. godini, nakon stupanja na snagu ovog zakona</w:t>
            </w:r>
          </w:p>
        </w:tc>
      </w:tr>
      <w:tr w:rsidR="00993EDA" w:rsidRPr="00C44B47" w14:paraId="30A458A2" w14:textId="77777777" w:rsidTr="00DD1FEA">
        <w:trPr>
          <w:trHeight w:val="250"/>
        </w:trPr>
        <w:tc>
          <w:tcPr>
            <w:tcW w:w="1218" w:type="dxa"/>
            <w:gridSpan w:val="2"/>
          </w:tcPr>
          <w:p w14:paraId="623154A5" w14:textId="77777777" w:rsidR="00993EDA" w:rsidRPr="00C44B47" w:rsidRDefault="00993EDA" w:rsidP="00DD1FEA">
            <w:pPr>
              <w:rPr>
                <w:rFonts w:ascii="Arial" w:hAnsi="Arial" w:cs="Arial"/>
                <w:b/>
              </w:rPr>
            </w:pPr>
            <w:r w:rsidRPr="00C44B47">
              <w:rPr>
                <w:rFonts w:ascii="Arial" w:hAnsi="Arial" w:cs="Arial"/>
                <w:b/>
              </w:rPr>
              <w:t xml:space="preserve">1.5. Organizovanje obuke za lica zadužena za vansudsko </w:t>
            </w:r>
            <w:proofErr w:type="spellStart"/>
            <w:r w:rsidRPr="00C44B47">
              <w:rPr>
                <w:rFonts w:ascii="Arial" w:hAnsi="Arial" w:cs="Arial"/>
                <w:b/>
              </w:rPr>
              <w:t>rješavanje</w:t>
            </w:r>
            <w:proofErr w:type="spellEnd"/>
            <w:r w:rsidRPr="00C44B47">
              <w:rPr>
                <w:rFonts w:ascii="Arial" w:hAnsi="Arial" w:cs="Arial"/>
                <w:b/>
              </w:rPr>
              <w:t xml:space="preserve"> sporova potrošača/</w:t>
            </w:r>
            <w:proofErr w:type="spellStart"/>
            <w:r w:rsidRPr="00C44B47">
              <w:rPr>
                <w:rFonts w:ascii="Arial" w:hAnsi="Arial" w:cs="Arial"/>
                <w:b/>
              </w:rPr>
              <w:t>ica</w:t>
            </w:r>
            <w:proofErr w:type="spellEnd"/>
          </w:p>
        </w:tc>
        <w:tc>
          <w:tcPr>
            <w:tcW w:w="925" w:type="dxa"/>
          </w:tcPr>
          <w:p w14:paraId="19892EA3" w14:textId="77777777" w:rsidR="00993EDA" w:rsidRPr="00C44B47" w:rsidRDefault="00993EDA" w:rsidP="00DD1FEA">
            <w:pPr>
              <w:rPr>
                <w:rFonts w:ascii="Arial" w:hAnsi="Arial" w:cs="Arial"/>
              </w:rPr>
            </w:pPr>
            <w:r w:rsidRPr="00C44B47">
              <w:rPr>
                <w:rFonts w:ascii="Arial" w:hAnsi="Arial" w:cs="Arial"/>
              </w:rPr>
              <w:t>Broj obuka – najmanje 1 u 2024. godini Broj učesnika/</w:t>
            </w:r>
            <w:proofErr w:type="spellStart"/>
            <w:r w:rsidRPr="00C44B47">
              <w:rPr>
                <w:rFonts w:ascii="Arial" w:hAnsi="Arial" w:cs="Arial"/>
              </w:rPr>
              <w:t>ca</w:t>
            </w:r>
            <w:proofErr w:type="spellEnd"/>
            <w:r w:rsidRPr="00C44B47">
              <w:rPr>
                <w:rFonts w:ascii="Arial" w:hAnsi="Arial" w:cs="Arial"/>
              </w:rPr>
              <w:t xml:space="preserve"> obuke – najmanje 10, od kojih </w:t>
            </w:r>
            <w:r w:rsidRPr="00C44B47">
              <w:rPr>
                <w:rFonts w:ascii="Arial" w:hAnsi="Arial" w:cs="Arial"/>
              </w:rPr>
              <w:lastRenderedPageBreak/>
              <w:t>najmanje 6 žena</w:t>
            </w:r>
          </w:p>
        </w:tc>
        <w:tc>
          <w:tcPr>
            <w:tcW w:w="788" w:type="dxa"/>
            <w:gridSpan w:val="2"/>
          </w:tcPr>
          <w:p w14:paraId="3ECEDDE2" w14:textId="77777777" w:rsidR="00993EDA" w:rsidRPr="00C44B47" w:rsidRDefault="00993EDA" w:rsidP="00DD1FEA">
            <w:pPr>
              <w:rPr>
                <w:rFonts w:ascii="Arial" w:hAnsi="Arial" w:cs="Arial"/>
              </w:rPr>
            </w:pPr>
            <w:r w:rsidRPr="00C44B47">
              <w:rPr>
                <w:rFonts w:ascii="Arial" w:hAnsi="Arial" w:cs="Arial"/>
              </w:rPr>
              <w:lastRenderedPageBreak/>
              <w:t>Ministarstvo ekonomskog razvoja</w:t>
            </w:r>
          </w:p>
        </w:tc>
        <w:tc>
          <w:tcPr>
            <w:tcW w:w="697" w:type="dxa"/>
          </w:tcPr>
          <w:p w14:paraId="2123098F" w14:textId="77777777" w:rsidR="00993EDA" w:rsidRPr="00C44B47" w:rsidRDefault="00993EDA" w:rsidP="00DD1FEA">
            <w:pPr>
              <w:rPr>
                <w:rFonts w:ascii="Arial" w:hAnsi="Arial" w:cs="Arial"/>
              </w:rPr>
            </w:pPr>
            <w:r w:rsidRPr="00C44B47">
              <w:rPr>
                <w:rFonts w:ascii="Arial" w:hAnsi="Arial" w:cs="Arial"/>
              </w:rPr>
              <w:t>II Q 2024</w:t>
            </w:r>
          </w:p>
        </w:tc>
        <w:tc>
          <w:tcPr>
            <w:tcW w:w="543" w:type="dxa"/>
          </w:tcPr>
          <w:p w14:paraId="58328059" w14:textId="77777777" w:rsidR="00993EDA" w:rsidRPr="00C44B47" w:rsidRDefault="00993EDA" w:rsidP="00DD1FEA">
            <w:pPr>
              <w:rPr>
                <w:rFonts w:ascii="Arial" w:hAnsi="Arial" w:cs="Arial"/>
              </w:rPr>
            </w:pPr>
            <w:r w:rsidRPr="00C44B47">
              <w:rPr>
                <w:rFonts w:ascii="Arial" w:hAnsi="Arial" w:cs="Arial"/>
              </w:rPr>
              <w:t>III Q 2024</w:t>
            </w:r>
          </w:p>
        </w:tc>
        <w:tc>
          <w:tcPr>
            <w:tcW w:w="702" w:type="dxa"/>
            <w:shd w:val="clear" w:color="auto" w:fill="auto"/>
          </w:tcPr>
          <w:p w14:paraId="2472C886" w14:textId="77777777" w:rsidR="00993EDA" w:rsidRPr="00C44B47" w:rsidRDefault="00993EDA" w:rsidP="00DD1FEA">
            <w:pPr>
              <w:rPr>
                <w:rFonts w:ascii="Arial" w:hAnsi="Arial" w:cs="Arial"/>
              </w:rPr>
            </w:pPr>
            <w:r w:rsidRPr="00C44B47">
              <w:rPr>
                <w:rFonts w:ascii="Arial" w:hAnsi="Arial" w:cs="Arial"/>
                <w:highlight w:val="green"/>
              </w:rPr>
              <w:t>Realizovano</w:t>
            </w:r>
          </w:p>
        </w:tc>
        <w:tc>
          <w:tcPr>
            <w:tcW w:w="828" w:type="dxa"/>
            <w:gridSpan w:val="3"/>
            <w:shd w:val="clear" w:color="auto" w:fill="auto"/>
          </w:tcPr>
          <w:p w14:paraId="62838FA0" w14:textId="77777777" w:rsidR="00993EDA" w:rsidRPr="00C44B47" w:rsidRDefault="00993EDA" w:rsidP="00DD1FEA">
            <w:pPr>
              <w:rPr>
                <w:rFonts w:ascii="Arial" w:hAnsi="Arial" w:cs="Arial"/>
              </w:rPr>
            </w:pPr>
          </w:p>
        </w:tc>
        <w:tc>
          <w:tcPr>
            <w:tcW w:w="519" w:type="dxa"/>
            <w:shd w:val="clear" w:color="auto" w:fill="auto"/>
          </w:tcPr>
          <w:p w14:paraId="6C29C9E2" w14:textId="77777777" w:rsidR="00993EDA" w:rsidRPr="00C44B47" w:rsidRDefault="00993EDA" w:rsidP="00DD1FEA">
            <w:pPr>
              <w:rPr>
                <w:rFonts w:ascii="Arial" w:hAnsi="Arial" w:cs="Arial"/>
              </w:rPr>
            </w:pPr>
            <w:r w:rsidRPr="00C44B47">
              <w:rPr>
                <w:rFonts w:ascii="Arial" w:hAnsi="Arial" w:cs="Arial"/>
              </w:rPr>
              <w:t xml:space="preserve">3.000 </w:t>
            </w:r>
            <w:proofErr w:type="spellStart"/>
            <w:r w:rsidRPr="00C44B47">
              <w:rPr>
                <w:rFonts w:ascii="Arial" w:hAnsi="Arial" w:cs="Arial"/>
              </w:rPr>
              <w:t>eur</w:t>
            </w:r>
            <w:proofErr w:type="spellEnd"/>
          </w:p>
        </w:tc>
        <w:tc>
          <w:tcPr>
            <w:tcW w:w="607" w:type="dxa"/>
            <w:shd w:val="clear" w:color="auto" w:fill="auto"/>
          </w:tcPr>
          <w:p w14:paraId="1A32DE5C" w14:textId="77777777" w:rsidR="00993EDA" w:rsidRPr="00C44B47" w:rsidRDefault="00993EDA" w:rsidP="00DD1FEA">
            <w:pPr>
              <w:rPr>
                <w:rFonts w:ascii="Arial" w:hAnsi="Arial" w:cs="Arial"/>
              </w:rPr>
            </w:pPr>
            <w:r w:rsidRPr="00C44B47">
              <w:rPr>
                <w:rFonts w:ascii="Arial" w:hAnsi="Arial" w:cs="Arial"/>
              </w:rPr>
              <w:t>3.000</w:t>
            </w:r>
          </w:p>
        </w:tc>
        <w:tc>
          <w:tcPr>
            <w:tcW w:w="655" w:type="dxa"/>
            <w:shd w:val="clear" w:color="auto" w:fill="auto"/>
          </w:tcPr>
          <w:p w14:paraId="2C89419F" w14:textId="77777777" w:rsidR="00993EDA" w:rsidRPr="00C44B47" w:rsidRDefault="00993EDA" w:rsidP="00DD1FEA">
            <w:pPr>
              <w:rPr>
                <w:rFonts w:ascii="Arial" w:hAnsi="Arial" w:cs="Arial"/>
              </w:rPr>
            </w:pPr>
            <w:r w:rsidRPr="00C44B47">
              <w:rPr>
                <w:rFonts w:ascii="Arial" w:hAnsi="Arial" w:cs="Arial"/>
              </w:rPr>
              <w:t>Budžet MER</w:t>
            </w:r>
          </w:p>
        </w:tc>
        <w:tc>
          <w:tcPr>
            <w:tcW w:w="5468" w:type="dxa"/>
            <w:shd w:val="clear" w:color="auto" w:fill="auto"/>
          </w:tcPr>
          <w:p w14:paraId="28A72E34" w14:textId="77777777" w:rsidR="00993EDA" w:rsidRPr="00C44B47" w:rsidRDefault="00993EDA" w:rsidP="00DD1FEA">
            <w:pPr>
              <w:rPr>
                <w:rFonts w:ascii="Arial" w:hAnsi="Arial" w:cs="Arial"/>
              </w:rPr>
            </w:pPr>
            <w:r w:rsidRPr="00C44B47">
              <w:rPr>
                <w:rFonts w:ascii="Arial" w:hAnsi="Arial" w:cs="Arial"/>
              </w:rPr>
              <w:t>Nastaviće se sa obukama minimum jednom godišnje</w:t>
            </w:r>
          </w:p>
        </w:tc>
      </w:tr>
      <w:tr w:rsidR="00993EDA" w:rsidRPr="00C44B47" w14:paraId="72983C64" w14:textId="77777777" w:rsidTr="00DD1FEA">
        <w:trPr>
          <w:trHeight w:val="250"/>
        </w:trPr>
        <w:tc>
          <w:tcPr>
            <w:tcW w:w="1218" w:type="dxa"/>
            <w:gridSpan w:val="2"/>
          </w:tcPr>
          <w:p w14:paraId="2BE90D3A" w14:textId="77777777" w:rsidR="00993EDA" w:rsidRPr="00C44B47" w:rsidRDefault="00993EDA" w:rsidP="00DD1FEA">
            <w:pPr>
              <w:rPr>
                <w:rFonts w:ascii="Arial" w:hAnsi="Arial" w:cs="Arial"/>
                <w:b/>
              </w:rPr>
            </w:pPr>
            <w:r w:rsidRPr="00C44B47">
              <w:rPr>
                <w:rFonts w:ascii="Arial" w:hAnsi="Arial" w:cs="Arial"/>
                <w:b/>
              </w:rPr>
              <w:t xml:space="preserve">1.6. Izrada studije podsticajnih </w:t>
            </w:r>
            <w:proofErr w:type="spellStart"/>
            <w:r w:rsidRPr="00C44B47">
              <w:rPr>
                <w:rFonts w:ascii="Arial" w:hAnsi="Arial" w:cs="Arial"/>
                <w:b/>
              </w:rPr>
              <w:t>mjera</w:t>
            </w:r>
            <w:proofErr w:type="spellEnd"/>
            <w:r w:rsidRPr="00C44B47">
              <w:rPr>
                <w:rFonts w:ascii="Arial" w:hAnsi="Arial" w:cs="Arial"/>
                <w:b/>
              </w:rPr>
              <w:t xml:space="preserve"> za vansudsko </w:t>
            </w:r>
            <w:proofErr w:type="spellStart"/>
            <w:r w:rsidRPr="00C44B47">
              <w:rPr>
                <w:rFonts w:ascii="Arial" w:hAnsi="Arial" w:cs="Arial"/>
                <w:b/>
              </w:rPr>
              <w:t>rješavanje</w:t>
            </w:r>
            <w:proofErr w:type="spellEnd"/>
            <w:r w:rsidRPr="00C44B47">
              <w:rPr>
                <w:rFonts w:ascii="Arial" w:hAnsi="Arial" w:cs="Arial"/>
                <w:b/>
              </w:rPr>
              <w:t xml:space="preserve"> potrošačkih sporova</w:t>
            </w:r>
          </w:p>
        </w:tc>
        <w:tc>
          <w:tcPr>
            <w:tcW w:w="925" w:type="dxa"/>
          </w:tcPr>
          <w:p w14:paraId="26AD43C3" w14:textId="77777777" w:rsidR="00993EDA" w:rsidRPr="00C44B47" w:rsidRDefault="00993EDA" w:rsidP="00DD1FEA">
            <w:pPr>
              <w:rPr>
                <w:rFonts w:ascii="Arial" w:hAnsi="Arial" w:cs="Arial"/>
              </w:rPr>
            </w:pPr>
            <w:r w:rsidRPr="00C44B47">
              <w:rPr>
                <w:rFonts w:ascii="Arial" w:hAnsi="Arial" w:cs="Arial"/>
              </w:rPr>
              <w:t>Izrađena studija</w:t>
            </w:r>
          </w:p>
        </w:tc>
        <w:tc>
          <w:tcPr>
            <w:tcW w:w="788" w:type="dxa"/>
            <w:gridSpan w:val="2"/>
          </w:tcPr>
          <w:p w14:paraId="600D5393" w14:textId="77777777" w:rsidR="00993EDA" w:rsidRPr="00C44B47" w:rsidRDefault="00993EDA" w:rsidP="00DD1FEA">
            <w:pPr>
              <w:rPr>
                <w:rFonts w:ascii="Arial" w:hAnsi="Arial" w:cs="Arial"/>
              </w:rPr>
            </w:pPr>
            <w:r w:rsidRPr="00C44B47">
              <w:rPr>
                <w:rFonts w:ascii="Arial" w:hAnsi="Arial" w:cs="Arial"/>
              </w:rPr>
              <w:t>Ministarstvo ekonomskog razvoja</w:t>
            </w:r>
          </w:p>
        </w:tc>
        <w:tc>
          <w:tcPr>
            <w:tcW w:w="697" w:type="dxa"/>
          </w:tcPr>
          <w:p w14:paraId="7A4C1008" w14:textId="77777777" w:rsidR="00993EDA" w:rsidRPr="00C44B47" w:rsidRDefault="00993EDA" w:rsidP="00DD1FEA">
            <w:pPr>
              <w:rPr>
                <w:rFonts w:ascii="Arial" w:hAnsi="Arial" w:cs="Arial"/>
              </w:rPr>
            </w:pPr>
            <w:r w:rsidRPr="00C44B47">
              <w:rPr>
                <w:rFonts w:ascii="Arial" w:hAnsi="Arial" w:cs="Arial"/>
              </w:rPr>
              <w:t>II Q 2024</w:t>
            </w:r>
          </w:p>
        </w:tc>
        <w:tc>
          <w:tcPr>
            <w:tcW w:w="543" w:type="dxa"/>
          </w:tcPr>
          <w:p w14:paraId="530FF6BF" w14:textId="77777777" w:rsidR="00993EDA" w:rsidRPr="00C44B47" w:rsidRDefault="00993EDA" w:rsidP="00DD1FEA">
            <w:pPr>
              <w:rPr>
                <w:rFonts w:ascii="Arial" w:hAnsi="Arial" w:cs="Arial"/>
              </w:rPr>
            </w:pPr>
            <w:r w:rsidRPr="00C44B47">
              <w:rPr>
                <w:rFonts w:ascii="Arial" w:hAnsi="Arial" w:cs="Arial"/>
              </w:rPr>
              <w:t>III Q 2024</w:t>
            </w:r>
          </w:p>
        </w:tc>
        <w:tc>
          <w:tcPr>
            <w:tcW w:w="702" w:type="dxa"/>
            <w:shd w:val="clear" w:color="auto" w:fill="auto"/>
          </w:tcPr>
          <w:p w14:paraId="2679D02F" w14:textId="77777777" w:rsidR="00993EDA" w:rsidRPr="00C44B47" w:rsidRDefault="00993EDA" w:rsidP="00DD1FEA">
            <w:pPr>
              <w:rPr>
                <w:rFonts w:ascii="Arial" w:hAnsi="Arial" w:cs="Arial"/>
              </w:rPr>
            </w:pPr>
            <w:r w:rsidRPr="00C44B47">
              <w:rPr>
                <w:rFonts w:ascii="Arial" w:hAnsi="Arial" w:cs="Arial"/>
                <w:highlight w:val="red"/>
              </w:rPr>
              <w:t>Nerealizovano</w:t>
            </w:r>
          </w:p>
        </w:tc>
        <w:tc>
          <w:tcPr>
            <w:tcW w:w="828" w:type="dxa"/>
            <w:gridSpan w:val="3"/>
            <w:shd w:val="clear" w:color="auto" w:fill="auto"/>
          </w:tcPr>
          <w:p w14:paraId="2A3469E7" w14:textId="77777777" w:rsidR="00993EDA" w:rsidRPr="00C44B47" w:rsidRDefault="00993EDA" w:rsidP="00DD1FEA">
            <w:pPr>
              <w:rPr>
                <w:rFonts w:ascii="Arial" w:hAnsi="Arial" w:cs="Arial"/>
              </w:rPr>
            </w:pPr>
            <w:r w:rsidRPr="00C44B47">
              <w:rPr>
                <w:rFonts w:ascii="Arial" w:hAnsi="Arial" w:cs="Arial"/>
              </w:rPr>
              <w:t>III Q 2025</w:t>
            </w:r>
          </w:p>
        </w:tc>
        <w:tc>
          <w:tcPr>
            <w:tcW w:w="519" w:type="dxa"/>
            <w:shd w:val="clear" w:color="auto" w:fill="auto"/>
          </w:tcPr>
          <w:p w14:paraId="37CF79B1" w14:textId="77777777" w:rsidR="00993EDA" w:rsidRPr="00C44B47" w:rsidRDefault="00993EDA" w:rsidP="00DD1FEA">
            <w:pPr>
              <w:rPr>
                <w:rFonts w:ascii="Arial" w:hAnsi="Arial" w:cs="Arial"/>
              </w:rPr>
            </w:pPr>
            <w:r w:rsidRPr="00C44B47">
              <w:rPr>
                <w:rFonts w:ascii="Arial" w:hAnsi="Arial" w:cs="Arial"/>
              </w:rPr>
              <w:t xml:space="preserve">2.500 </w:t>
            </w:r>
            <w:proofErr w:type="spellStart"/>
            <w:r w:rsidRPr="00C44B47">
              <w:rPr>
                <w:rFonts w:ascii="Arial" w:hAnsi="Arial" w:cs="Arial"/>
              </w:rPr>
              <w:t>eur</w:t>
            </w:r>
            <w:proofErr w:type="spellEnd"/>
          </w:p>
        </w:tc>
        <w:tc>
          <w:tcPr>
            <w:tcW w:w="607" w:type="dxa"/>
            <w:shd w:val="clear" w:color="auto" w:fill="auto"/>
          </w:tcPr>
          <w:p w14:paraId="2D7C4CAD" w14:textId="77777777" w:rsidR="00993EDA" w:rsidRPr="00C44B47" w:rsidRDefault="00993EDA" w:rsidP="00DD1FEA">
            <w:pPr>
              <w:rPr>
                <w:rFonts w:ascii="Arial" w:hAnsi="Arial" w:cs="Arial"/>
              </w:rPr>
            </w:pPr>
          </w:p>
        </w:tc>
        <w:tc>
          <w:tcPr>
            <w:tcW w:w="655" w:type="dxa"/>
            <w:shd w:val="clear" w:color="auto" w:fill="auto"/>
          </w:tcPr>
          <w:p w14:paraId="1496465E" w14:textId="77777777" w:rsidR="00993EDA" w:rsidRPr="00C44B47" w:rsidRDefault="00993EDA" w:rsidP="00DD1FEA">
            <w:pPr>
              <w:rPr>
                <w:rFonts w:ascii="Arial" w:hAnsi="Arial" w:cs="Arial"/>
              </w:rPr>
            </w:pPr>
            <w:r w:rsidRPr="00C44B47">
              <w:rPr>
                <w:rFonts w:ascii="Arial" w:hAnsi="Arial" w:cs="Arial"/>
              </w:rPr>
              <w:t>Budžet MER</w:t>
            </w:r>
          </w:p>
        </w:tc>
        <w:tc>
          <w:tcPr>
            <w:tcW w:w="5468" w:type="dxa"/>
            <w:shd w:val="clear" w:color="auto" w:fill="auto"/>
          </w:tcPr>
          <w:p w14:paraId="64163C7E" w14:textId="77777777" w:rsidR="00993EDA" w:rsidRPr="00C44B47" w:rsidRDefault="00993EDA" w:rsidP="00DD1FEA">
            <w:pPr>
              <w:rPr>
                <w:rFonts w:ascii="Arial" w:hAnsi="Arial" w:cs="Arial"/>
                <w:lang w:val="sr-Latn-ME"/>
              </w:rPr>
            </w:pPr>
            <w:r w:rsidRPr="00C44B47">
              <w:rPr>
                <w:rFonts w:ascii="Arial" w:hAnsi="Arial" w:cs="Arial"/>
              </w:rPr>
              <w:t>U svrhu realizacije preporuke Evropske komisije (</w:t>
            </w:r>
            <w:r w:rsidRPr="00C44B47">
              <w:rPr>
                <w:rFonts w:ascii="Arial" w:hAnsi="Arial" w:cs="Arial"/>
                <w:lang w:val="sr-Latn-ME"/>
              </w:rPr>
              <w:t>Izvještaj TAIEX ekspertske Misije o zaštiti potrošača u Crnoj Gori – ispunjavanje završnog mjerila za Poglavlje 28 od 26. do 29. septembra 2022. godine)</w:t>
            </w:r>
          </w:p>
          <w:p w14:paraId="441B9E64" w14:textId="77777777" w:rsidR="00993EDA" w:rsidRPr="00C44B47" w:rsidRDefault="00993EDA" w:rsidP="00DD1FEA">
            <w:pPr>
              <w:rPr>
                <w:rFonts w:ascii="Arial" w:hAnsi="Arial" w:cs="Arial"/>
              </w:rPr>
            </w:pPr>
            <w:r w:rsidRPr="00C44B47">
              <w:rPr>
                <w:rFonts w:ascii="Arial" w:hAnsi="Arial" w:cs="Arial"/>
              </w:rPr>
              <w:t xml:space="preserve">o </w:t>
            </w:r>
            <w:r w:rsidRPr="00C44B47">
              <w:rPr>
                <w:rFonts w:ascii="Arial" w:hAnsi="Arial" w:cs="Arial"/>
                <w:lang w:val="sr-Latn-ME"/>
              </w:rPr>
              <w:t xml:space="preserve">jačanju finansijske i logističke podrške nevladinim organizacijama </w:t>
            </w:r>
            <w:r w:rsidRPr="00C44B47">
              <w:rPr>
                <w:rFonts w:ascii="Arial" w:hAnsi="Arial" w:cs="Arial"/>
              </w:rPr>
              <w:t xml:space="preserve">za zaštitu potrošača i drugim pravnim licima iz ove oblasti Ministarstvo će u skladu sa  Uredbom o uslovima za ustupanje poslova utvrđenih Nacionalnim programom zaštite potrošača i bližim kriterijumima, načinu i postupku finansiranja organizacija potrošača (,,Službeni list Crne Gore”, br. 40/15) raspisati Javni oglas za ustupanje pojedinih poslova </w:t>
            </w:r>
            <w:proofErr w:type="spellStart"/>
            <w:r w:rsidRPr="00C44B47">
              <w:rPr>
                <w:rFonts w:ascii="Arial" w:hAnsi="Arial" w:cs="Arial"/>
              </w:rPr>
              <w:t>predviđenih</w:t>
            </w:r>
            <w:proofErr w:type="spellEnd"/>
            <w:r w:rsidRPr="00C44B47">
              <w:rPr>
                <w:rFonts w:ascii="Arial" w:hAnsi="Arial" w:cs="Arial"/>
              </w:rPr>
              <w:t xml:space="preserve"> Nacionalnim programom zaštite potrošača. </w:t>
            </w:r>
          </w:p>
        </w:tc>
      </w:tr>
      <w:tr w:rsidR="00993EDA" w:rsidRPr="00C44B47" w14:paraId="47CFE06A" w14:textId="77777777" w:rsidTr="00DD1FEA">
        <w:trPr>
          <w:trHeight w:val="250"/>
        </w:trPr>
        <w:tc>
          <w:tcPr>
            <w:tcW w:w="1218" w:type="dxa"/>
            <w:gridSpan w:val="2"/>
          </w:tcPr>
          <w:p w14:paraId="5551AEE7" w14:textId="77777777" w:rsidR="00993EDA" w:rsidRPr="00C44B47" w:rsidRDefault="00993EDA" w:rsidP="00DD1FEA">
            <w:pPr>
              <w:rPr>
                <w:rFonts w:ascii="Arial" w:hAnsi="Arial" w:cs="Arial"/>
                <w:b/>
              </w:rPr>
            </w:pPr>
            <w:r w:rsidRPr="00C44B47">
              <w:rPr>
                <w:rFonts w:ascii="Arial" w:hAnsi="Arial" w:cs="Arial"/>
                <w:b/>
              </w:rPr>
              <w:t>1.7. Predstavljanje i promovisanje novog Zakona o elektronskim komunikacijama</w:t>
            </w:r>
          </w:p>
        </w:tc>
        <w:tc>
          <w:tcPr>
            <w:tcW w:w="925" w:type="dxa"/>
          </w:tcPr>
          <w:p w14:paraId="39AFC762" w14:textId="77777777" w:rsidR="00993EDA" w:rsidRPr="00C44B47" w:rsidRDefault="00993EDA" w:rsidP="00DD1FEA">
            <w:pPr>
              <w:rPr>
                <w:rFonts w:ascii="Arial" w:hAnsi="Arial" w:cs="Arial"/>
              </w:rPr>
            </w:pPr>
            <w:r w:rsidRPr="00C44B47">
              <w:rPr>
                <w:rFonts w:ascii="Arial" w:hAnsi="Arial" w:cs="Arial"/>
              </w:rPr>
              <w:t>Broj info dana – najmanje 1 Broj distribuiranih brošura – najmanje 50</w:t>
            </w:r>
          </w:p>
        </w:tc>
        <w:tc>
          <w:tcPr>
            <w:tcW w:w="788" w:type="dxa"/>
            <w:gridSpan w:val="2"/>
          </w:tcPr>
          <w:p w14:paraId="2780D0EC" w14:textId="77777777" w:rsidR="00993EDA" w:rsidRPr="00C44B47" w:rsidRDefault="00993EDA" w:rsidP="00DD1FEA">
            <w:pPr>
              <w:rPr>
                <w:rFonts w:ascii="Arial" w:hAnsi="Arial" w:cs="Arial"/>
              </w:rPr>
            </w:pPr>
            <w:r w:rsidRPr="00C44B47">
              <w:rPr>
                <w:rFonts w:ascii="Arial" w:hAnsi="Arial" w:cs="Arial"/>
              </w:rPr>
              <w:t>EKIP</w:t>
            </w:r>
          </w:p>
        </w:tc>
        <w:tc>
          <w:tcPr>
            <w:tcW w:w="697" w:type="dxa"/>
          </w:tcPr>
          <w:p w14:paraId="13DBAACE" w14:textId="77777777" w:rsidR="00993EDA" w:rsidRPr="00C44B47" w:rsidRDefault="00993EDA" w:rsidP="00DD1FEA">
            <w:pPr>
              <w:rPr>
                <w:rFonts w:ascii="Arial" w:hAnsi="Arial" w:cs="Arial"/>
              </w:rPr>
            </w:pPr>
            <w:r w:rsidRPr="00C44B47">
              <w:rPr>
                <w:rFonts w:ascii="Arial" w:hAnsi="Arial" w:cs="Arial"/>
              </w:rPr>
              <w:t>IVQ 2024</w:t>
            </w:r>
          </w:p>
        </w:tc>
        <w:tc>
          <w:tcPr>
            <w:tcW w:w="543" w:type="dxa"/>
          </w:tcPr>
          <w:p w14:paraId="6D3455BC" w14:textId="77777777" w:rsidR="00993EDA" w:rsidRPr="00C44B47" w:rsidRDefault="00993EDA" w:rsidP="00DD1FEA">
            <w:pPr>
              <w:rPr>
                <w:rFonts w:ascii="Arial" w:hAnsi="Arial" w:cs="Arial"/>
              </w:rPr>
            </w:pPr>
            <w:r w:rsidRPr="00C44B47">
              <w:rPr>
                <w:rFonts w:ascii="Arial" w:hAnsi="Arial" w:cs="Arial"/>
              </w:rPr>
              <w:t>IVQ 2024</w:t>
            </w:r>
          </w:p>
        </w:tc>
        <w:tc>
          <w:tcPr>
            <w:tcW w:w="702" w:type="dxa"/>
            <w:shd w:val="clear" w:color="auto" w:fill="auto"/>
          </w:tcPr>
          <w:p w14:paraId="0BC9F048" w14:textId="77777777" w:rsidR="00993EDA" w:rsidRPr="00C44B47" w:rsidRDefault="00993EDA" w:rsidP="00DD1FEA">
            <w:pPr>
              <w:rPr>
                <w:rFonts w:ascii="Arial" w:hAnsi="Arial" w:cs="Arial"/>
              </w:rPr>
            </w:pPr>
            <w:r w:rsidRPr="00C44B47">
              <w:rPr>
                <w:rFonts w:ascii="Arial" w:hAnsi="Arial" w:cs="Arial"/>
                <w:highlight w:val="red"/>
              </w:rPr>
              <w:t>Nerealizovano</w:t>
            </w:r>
          </w:p>
        </w:tc>
        <w:tc>
          <w:tcPr>
            <w:tcW w:w="828" w:type="dxa"/>
            <w:gridSpan w:val="3"/>
            <w:shd w:val="clear" w:color="auto" w:fill="auto"/>
          </w:tcPr>
          <w:p w14:paraId="5D13ABAF" w14:textId="77777777" w:rsidR="00993EDA" w:rsidRPr="00C44B47" w:rsidRDefault="00993EDA" w:rsidP="00DD1FEA">
            <w:pPr>
              <w:rPr>
                <w:rFonts w:ascii="Arial" w:hAnsi="Arial" w:cs="Arial"/>
              </w:rPr>
            </w:pPr>
          </w:p>
        </w:tc>
        <w:tc>
          <w:tcPr>
            <w:tcW w:w="519" w:type="dxa"/>
            <w:shd w:val="clear" w:color="auto" w:fill="auto"/>
          </w:tcPr>
          <w:p w14:paraId="56AE34E3" w14:textId="77777777" w:rsidR="00993EDA" w:rsidRPr="00C44B47" w:rsidRDefault="00993EDA" w:rsidP="00DD1FEA">
            <w:pPr>
              <w:rPr>
                <w:rFonts w:ascii="Arial" w:hAnsi="Arial" w:cs="Arial"/>
              </w:rPr>
            </w:pPr>
            <w:r w:rsidRPr="00C44B47">
              <w:rPr>
                <w:rFonts w:ascii="Arial" w:hAnsi="Arial" w:cs="Arial"/>
              </w:rPr>
              <w:t xml:space="preserve">150 </w:t>
            </w:r>
            <w:proofErr w:type="spellStart"/>
            <w:r w:rsidRPr="00C44B47">
              <w:rPr>
                <w:rFonts w:ascii="Arial" w:hAnsi="Arial" w:cs="Arial"/>
              </w:rPr>
              <w:t>eur</w:t>
            </w:r>
            <w:proofErr w:type="spellEnd"/>
          </w:p>
        </w:tc>
        <w:tc>
          <w:tcPr>
            <w:tcW w:w="607" w:type="dxa"/>
            <w:shd w:val="clear" w:color="auto" w:fill="auto"/>
          </w:tcPr>
          <w:p w14:paraId="742FB9E9" w14:textId="77777777" w:rsidR="00993EDA" w:rsidRPr="00C44B47" w:rsidRDefault="00993EDA" w:rsidP="00DD1FEA">
            <w:pPr>
              <w:rPr>
                <w:rFonts w:ascii="Arial" w:hAnsi="Arial" w:cs="Arial"/>
              </w:rPr>
            </w:pPr>
          </w:p>
        </w:tc>
        <w:tc>
          <w:tcPr>
            <w:tcW w:w="655" w:type="dxa"/>
            <w:shd w:val="clear" w:color="auto" w:fill="auto"/>
          </w:tcPr>
          <w:p w14:paraId="65FC0A7E" w14:textId="77777777" w:rsidR="00993EDA" w:rsidRPr="00C44B47" w:rsidRDefault="00993EDA" w:rsidP="00DD1FEA">
            <w:pPr>
              <w:rPr>
                <w:rFonts w:ascii="Arial" w:hAnsi="Arial" w:cs="Arial"/>
              </w:rPr>
            </w:pPr>
            <w:r w:rsidRPr="00C44B47">
              <w:rPr>
                <w:rFonts w:ascii="Arial" w:hAnsi="Arial" w:cs="Arial"/>
              </w:rPr>
              <w:t>Budžet EKIP</w:t>
            </w:r>
          </w:p>
        </w:tc>
        <w:tc>
          <w:tcPr>
            <w:tcW w:w="5468" w:type="dxa"/>
            <w:shd w:val="clear" w:color="auto" w:fill="auto"/>
          </w:tcPr>
          <w:p w14:paraId="112B5E5D" w14:textId="77777777" w:rsidR="00993EDA" w:rsidRPr="00C44B47" w:rsidRDefault="00993EDA" w:rsidP="00DD1FEA">
            <w:pPr>
              <w:rPr>
                <w:rFonts w:ascii="Arial" w:hAnsi="Arial" w:cs="Arial"/>
              </w:rPr>
            </w:pPr>
            <w:r w:rsidRPr="00C44B47">
              <w:rPr>
                <w:rFonts w:ascii="Arial" w:hAnsi="Arial" w:cs="Arial"/>
              </w:rPr>
              <w:t xml:space="preserve">Nije realizovano jer čekamo da se </w:t>
            </w:r>
            <w:proofErr w:type="spellStart"/>
            <w:r w:rsidRPr="00C44B47">
              <w:rPr>
                <w:rFonts w:ascii="Arial" w:hAnsi="Arial" w:cs="Arial"/>
              </w:rPr>
              <w:t>izmjeni</w:t>
            </w:r>
            <w:proofErr w:type="spellEnd"/>
            <w:r w:rsidRPr="00C44B47">
              <w:rPr>
                <w:rFonts w:ascii="Arial" w:hAnsi="Arial" w:cs="Arial"/>
              </w:rPr>
              <w:t xml:space="preserve"> odredba ZEK-a koja se direktno tiče prava korisnika</w:t>
            </w:r>
          </w:p>
        </w:tc>
      </w:tr>
      <w:tr w:rsidR="00993EDA" w:rsidRPr="00C44B47" w14:paraId="46C799AA" w14:textId="77777777" w:rsidTr="00DD1FEA">
        <w:trPr>
          <w:trHeight w:val="250"/>
        </w:trPr>
        <w:tc>
          <w:tcPr>
            <w:tcW w:w="1218" w:type="dxa"/>
            <w:gridSpan w:val="2"/>
          </w:tcPr>
          <w:p w14:paraId="0CE1190E" w14:textId="77777777" w:rsidR="00993EDA" w:rsidRPr="00C44B47" w:rsidRDefault="00993EDA" w:rsidP="00DD1FEA">
            <w:pPr>
              <w:rPr>
                <w:rFonts w:ascii="Arial" w:hAnsi="Arial" w:cs="Arial"/>
                <w:b/>
              </w:rPr>
            </w:pPr>
            <w:r w:rsidRPr="00C44B47">
              <w:rPr>
                <w:rFonts w:ascii="Arial" w:hAnsi="Arial" w:cs="Arial"/>
                <w:b/>
              </w:rPr>
              <w:t xml:space="preserve">1.8. Obuka: Nadzor nad društvima i ustanovama čiji je </w:t>
            </w:r>
            <w:r w:rsidRPr="00C44B47">
              <w:rPr>
                <w:rFonts w:ascii="Arial" w:hAnsi="Arial" w:cs="Arial"/>
                <w:b/>
              </w:rPr>
              <w:lastRenderedPageBreak/>
              <w:t>osnivač opština</w:t>
            </w:r>
          </w:p>
        </w:tc>
        <w:tc>
          <w:tcPr>
            <w:tcW w:w="925" w:type="dxa"/>
          </w:tcPr>
          <w:p w14:paraId="328AD9B2" w14:textId="77777777" w:rsidR="00993EDA" w:rsidRPr="00C44B47" w:rsidRDefault="00993EDA" w:rsidP="00DD1FEA">
            <w:pPr>
              <w:rPr>
                <w:rFonts w:ascii="Arial" w:hAnsi="Arial" w:cs="Arial"/>
              </w:rPr>
            </w:pPr>
            <w:r w:rsidRPr="00C44B47">
              <w:rPr>
                <w:rFonts w:ascii="Arial" w:hAnsi="Arial" w:cs="Arial"/>
              </w:rPr>
              <w:lastRenderedPageBreak/>
              <w:t>Broj obuka – najmanje 2 Broj učesnika/</w:t>
            </w:r>
            <w:proofErr w:type="spellStart"/>
            <w:r w:rsidRPr="00C44B47">
              <w:rPr>
                <w:rFonts w:ascii="Arial" w:hAnsi="Arial" w:cs="Arial"/>
              </w:rPr>
              <w:t>ca</w:t>
            </w:r>
            <w:proofErr w:type="spellEnd"/>
            <w:r w:rsidRPr="00C44B47">
              <w:rPr>
                <w:rFonts w:ascii="Arial" w:hAnsi="Arial" w:cs="Arial"/>
              </w:rPr>
              <w:t xml:space="preserve"> – najmanje 30 od </w:t>
            </w:r>
            <w:r w:rsidRPr="00C44B47">
              <w:rPr>
                <w:rFonts w:ascii="Arial" w:hAnsi="Arial" w:cs="Arial"/>
              </w:rPr>
              <w:lastRenderedPageBreak/>
              <w:t>kojih najmanje 15 žena</w:t>
            </w:r>
          </w:p>
        </w:tc>
        <w:tc>
          <w:tcPr>
            <w:tcW w:w="788" w:type="dxa"/>
            <w:gridSpan w:val="2"/>
          </w:tcPr>
          <w:p w14:paraId="13CE5091" w14:textId="77777777" w:rsidR="00993EDA" w:rsidRPr="00C44B47" w:rsidRDefault="00993EDA" w:rsidP="00DD1FEA">
            <w:pPr>
              <w:rPr>
                <w:rFonts w:ascii="Arial" w:hAnsi="Arial" w:cs="Arial"/>
              </w:rPr>
            </w:pPr>
            <w:r w:rsidRPr="00C44B47">
              <w:rPr>
                <w:rFonts w:ascii="Arial" w:hAnsi="Arial" w:cs="Arial"/>
              </w:rPr>
              <w:lastRenderedPageBreak/>
              <w:t>ZOCG</w:t>
            </w:r>
          </w:p>
        </w:tc>
        <w:tc>
          <w:tcPr>
            <w:tcW w:w="697" w:type="dxa"/>
          </w:tcPr>
          <w:p w14:paraId="6CF5886A" w14:textId="77777777" w:rsidR="00993EDA" w:rsidRPr="00C44B47" w:rsidRDefault="00993EDA" w:rsidP="00DD1FEA">
            <w:pPr>
              <w:rPr>
                <w:rFonts w:ascii="Arial" w:hAnsi="Arial" w:cs="Arial"/>
              </w:rPr>
            </w:pPr>
            <w:r w:rsidRPr="00C44B47">
              <w:rPr>
                <w:rFonts w:ascii="Arial" w:hAnsi="Arial" w:cs="Arial"/>
              </w:rPr>
              <w:t>IIQ 2024</w:t>
            </w:r>
          </w:p>
        </w:tc>
        <w:tc>
          <w:tcPr>
            <w:tcW w:w="543" w:type="dxa"/>
          </w:tcPr>
          <w:p w14:paraId="227F3E20" w14:textId="77777777" w:rsidR="00993EDA" w:rsidRPr="00C44B47" w:rsidRDefault="00993EDA" w:rsidP="00DD1FEA">
            <w:pPr>
              <w:rPr>
                <w:rFonts w:ascii="Arial" w:hAnsi="Arial" w:cs="Arial"/>
              </w:rPr>
            </w:pPr>
            <w:r w:rsidRPr="00C44B47">
              <w:rPr>
                <w:rFonts w:ascii="Arial" w:hAnsi="Arial" w:cs="Arial"/>
              </w:rPr>
              <w:t>IVQ 2024</w:t>
            </w:r>
          </w:p>
        </w:tc>
        <w:tc>
          <w:tcPr>
            <w:tcW w:w="702" w:type="dxa"/>
            <w:shd w:val="clear" w:color="auto" w:fill="auto"/>
          </w:tcPr>
          <w:p w14:paraId="067F0F98" w14:textId="77777777" w:rsidR="00993EDA" w:rsidRPr="00C44B47" w:rsidRDefault="00993EDA" w:rsidP="00DD1FEA">
            <w:pPr>
              <w:rPr>
                <w:rFonts w:ascii="Arial" w:hAnsi="Arial" w:cs="Arial"/>
                <w:highlight w:val="green"/>
              </w:rPr>
            </w:pPr>
            <w:r w:rsidRPr="00C44B47">
              <w:rPr>
                <w:rFonts w:ascii="Arial" w:hAnsi="Arial" w:cs="Arial"/>
                <w:highlight w:val="green"/>
              </w:rPr>
              <w:t>Realizovano</w:t>
            </w:r>
          </w:p>
        </w:tc>
        <w:tc>
          <w:tcPr>
            <w:tcW w:w="828" w:type="dxa"/>
            <w:gridSpan w:val="3"/>
            <w:shd w:val="clear" w:color="auto" w:fill="auto"/>
          </w:tcPr>
          <w:p w14:paraId="5385F603" w14:textId="77777777" w:rsidR="00993EDA" w:rsidRPr="00C44B47" w:rsidRDefault="00993EDA" w:rsidP="00DD1FEA">
            <w:pPr>
              <w:rPr>
                <w:rFonts w:ascii="Arial" w:hAnsi="Arial" w:cs="Arial"/>
              </w:rPr>
            </w:pPr>
            <w:r w:rsidRPr="00C44B47">
              <w:rPr>
                <w:rFonts w:ascii="Arial" w:hAnsi="Arial" w:cs="Arial"/>
              </w:rPr>
              <w:t>/</w:t>
            </w:r>
          </w:p>
        </w:tc>
        <w:tc>
          <w:tcPr>
            <w:tcW w:w="519" w:type="dxa"/>
            <w:shd w:val="clear" w:color="auto" w:fill="auto"/>
          </w:tcPr>
          <w:p w14:paraId="553BA8FB" w14:textId="77777777" w:rsidR="00993EDA" w:rsidRPr="00C44B47" w:rsidRDefault="00993EDA" w:rsidP="00DD1FEA">
            <w:pPr>
              <w:rPr>
                <w:rFonts w:ascii="Arial" w:hAnsi="Arial" w:cs="Arial"/>
              </w:rPr>
            </w:pPr>
            <w:r w:rsidRPr="00C44B47">
              <w:rPr>
                <w:rFonts w:ascii="Arial" w:hAnsi="Arial" w:cs="Arial"/>
              </w:rPr>
              <w:t xml:space="preserve">1.000 </w:t>
            </w:r>
            <w:proofErr w:type="spellStart"/>
            <w:r w:rsidRPr="00C44B47">
              <w:rPr>
                <w:rFonts w:ascii="Arial" w:hAnsi="Arial" w:cs="Arial"/>
              </w:rPr>
              <w:t>eur</w:t>
            </w:r>
            <w:proofErr w:type="spellEnd"/>
          </w:p>
        </w:tc>
        <w:tc>
          <w:tcPr>
            <w:tcW w:w="607" w:type="dxa"/>
            <w:shd w:val="clear" w:color="auto" w:fill="auto"/>
          </w:tcPr>
          <w:p w14:paraId="6CCE817E" w14:textId="77777777" w:rsidR="00993EDA" w:rsidRPr="00C44B47" w:rsidRDefault="00993EDA" w:rsidP="00DD1FEA">
            <w:pPr>
              <w:rPr>
                <w:rFonts w:ascii="Arial" w:hAnsi="Arial" w:cs="Arial"/>
              </w:rPr>
            </w:pPr>
            <w:r w:rsidRPr="00C44B47">
              <w:rPr>
                <w:rFonts w:ascii="Arial" w:hAnsi="Arial" w:cs="Arial"/>
              </w:rPr>
              <w:t>1.633,63</w:t>
            </w:r>
          </w:p>
        </w:tc>
        <w:tc>
          <w:tcPr>
            <w:tcW w:w="655" w:type="dxa"/>
            <w:shd w:val="clear" w:color="auto" w:fill="auto"/>
          </w:tcPr>
          <w:p w14:paraId="494AB695" w14:textId="77777777" w:rsidR="00993EDA" w:rsidRPr="00C44B47" w:rsidRDefault="00993EDA" w:rsidP="00DD1FEA">
            <w:pPr>
              <w:rPr>
                <w:rFonts w:ascii="Arial" w:hAnsi="Arial" w:cs="Arial"/>
              </w:rPr>
            </w:pPr>
            <w:r w:rsidRPr="00C44B47">
              <w:rPr>
                <w:rFonts w:ascii="Arial" w:hAnsi="Arial" w:cs="Arial"/>
              </w:rPr>
              <w:t>Budžet ZOCG</w:t>
            </w:r>
          </w:p>
        </w:tc>
        <w:tc>
          <w:tcPr>
            <w:tcW w:w="5468" w:type="dxa"/>
            <w:shd w:val="clear" w:color="auto" w:fill="auto"/>
          </w:tcPr>
          <w:p w14:paraId="524B5D0D" w14:textId="77777777" w:rsidR="00993EDA" w:rsidRPr="00C44B47" w:rsidRDefault="00993EDA" w:rsidP="00DD1FEA">
            <w:pPr>
              <w:rPr>
                <w:rFonts w:ascii="Arial" w:hAnsi="Arial" w:cs="Arial"/>
              </w:rPr>
            </w:pPr>
            <w:r w:rsidRPr="00C44B47">
              <w:rPr>
                <w:rFonts w:ascii="Arial" w:hAnsi="Arial" w:cs="Arial"/>
              </w:rPr>
              <w:t>Realizovano kroz objedinjenu obuku za sva tri regiona.</w:t>
            </w:r>
          </w:p>
          <w:p w14:paraId="303D9D48" w14:textId="77777777" w:rsidR="00993EDA" w:rsidRPr="00C44B47" w:rsidRDefault="00993EDA" w:rsidP="00DD1FEA">
            <w:pPr>
              <w:rPr>
                <w:rFonts w:ascii="Arial" w:hAnsi="Arial" w:cs="Arial"/>
              </w:rPr>
            </w:pPr>
            <w:r w:rsidRPr="00C44B47">
              <w:rPr>
                <w:rFonts w:ascii="Arial" w:hAnsi="Arial" w:cs="Arial"/>
              </w:rPr>
              <w:t>Broj polaznika 23 od kojih žena 18</w:t>
            </w:r>
          </w:p>
        </w:tc>
      </w:tr>
      <w:tr w:rsidR="00993EDA" w:rsidRPr="00C44B47" w14:paraId="6E7F0057" w14:textId="77777777" w:rsidTr="00DD1FEA">
        <w:trPr>
          <w:trHeight w:val="250"/>
        </w:trPr>
        <w:tc>
          <w:tcPr>
            <w:tcW w:w="1218" w:type="dxa"/>
            <w:gridSpan w:val="2"/>
          </w:tcPr>
          <w:p w14:paraId="725EE5AC" w14:textId="77777777" w:rsidR="00993EDA" w:rsidRPr="00C44B47" w:rsidRDefault="00993EDA" w:rsidP="00DD1FEA">
            <w:pPr>
              <w:rPr>
                <w:rFonts w:ascii="Arial" w:hAnsi="Arial" w:cs="Arial"/>
                <w:b/>
              </w:rPr>
            </w:pPr>
            <w:r w:rsidRPr="00C44B47">
              <w:rPr>
                <w:rFonts w:ascii="Arial" w:hAnsi="Arial" w:cs="Arial"/>
                <w:b/>
              </w:rPr>
              <w:t>Operativni cilj 2:</w:t>
            </w:r>
          </w:p>
        </w:tc>
        <w:tc>
          <w:tcPr>
            <w:tcW w:w="11732" w:type="dxa"/>
            <w:gridSpan w:val="13"/>
            <w:shd w:val="clear" w:color="auto" w:fill="auto"/>
          </w:tcPr>
          <w:p w14:paraId="3D9DEC4C" w14:textId="77777777" w:rsidR="00993EDA" w:rsidRPr="00C44B47" w:rsidRDefault="00993EDA" w:rsidP="00DD1FEA">
            <w:pPr>
              <w:rPr>
                <w:rFonts w:ascii="Arial" w:hAnsi="Arial" w:cs="Arial"/>
                <w:b/>
              </w:rPr>
            </w:pPr>
            <w:proofErr w:type="spellStart"/>
            <w:r w:rsidRPr="00C44B47">
              <w:rPr>
                <w:rFonts w:ascii="Arial" w:hAnsi="Arial" w:cs="Arial"/>
                <w:b/>
              </w:rPr>
              <w:t>Unaprijeđeno</w:t>
            </w:r>
            <w:proofErr w:type="spellEnd"/>
            <w:r w:rsidRPr="00C44B47">
              <w:rPr>
                <w:rFonts w:ascii="Arial" w:hAnsi="Arial" w:cs="Arial"/>
                <w:b/>
              </w:rPr>
              <w:t xml:space="preserve"> znanje i informisanost potrošača i trgovaca o njihovim pravima i obavezama kroz informativno edukativne aktivnosti</w:t>
            </w:r>
          </w:p>
        </w:tc>
      </w:tr>
      <w:tr w:rsidR="00993EDA" w:rsidRPr="00C44B47" w14:paraId="2C0363DD" w14:textId="77777777" w:rsidTr="00DD1FEA">
        <w:trPr>
          <w:trHeight w:val="250"/>
        </w:trPr>
        <w:tc>
          <w:tcPr>
            <w:tcW w:w="1218" w:type="dxa"/>
            <w:gridSpan w:val="2"/>
          </w:tcPr>
          <w:p w14:paraId="193CF68E" w14:textId="77777777" w:rsidR="00993EDA" w:rsidRPr="00C44B47" w:rsidRDefault="00993EDA" w:rsidP="00DD1FEA">
            <w:pPr>
              <w:rPr>
                <w:rFonts w:ascii="Arial" w:hAnsi="Arial" w:cs="Arial"/>
                <w:b/>
              </w:rPr>
            </w:pPr>
          </w:p>
        </w:tc>
        <w:tc>
          <w:tcPr>
            <w:tcW w:w="925" w:type="dxa"/>
          </w:tcPr>
          <w:p w14:paraId="52CB5D1B" w14:textId="77777777" w:rsidR="00993EDA" w:rsidRPr="00C44B47" w:rsidRDefault="00993EDA" w:rsidP="00DD1FEA">
            <w:pPr>
              <w:rPr>
                <w:rFonts w:ascii="Arial" w:hAnsi="Arial" w:cs="Arial"/>
              </w:rPr>
            </w:pPr>
            <w:r w:rsidRPr="00C44B47">
              <w:rPr>
                <w:rFonts w:ascii="Arial" w:hAnsi="Arial" w:cs="Arial"/>
              </w:rPr>
              <w:t xml:space="preserve">Polazne </w:t>
            </w:r>
            <w:proofErr w:type="spellStart"/>
            <w:r w:rsidRPr="00C44B47">
              <w:rPr>
                <w:rFonts w:ascii="Arial" w:hAnsi="Arial" w:cs="Arial"/>
              </w:rPr>
              <w:t>vrijednosti</w:t>
            </w:r>
            <w:proofErr w:type="spellEnd"/>
            <w:r w:rsidRPr="00C44B47">
              <w:rPr>
                <w:rFonts w:ascii="Arial" w:hAnsi="Arial" w:cs="Arial"/>
              </w:rPr>
              <w:t xml:space="preserve"> - 2022</w:t>
            </w:r>
          </w:p>
        </w:tc>
        <w:tc>
          <w:tcPr>
            <w:tcW w:w="788" w:type="dxa"/>
            <w:gridSpan w:val="2"/>
          </w:tcPr>
          <w:p w14:paraId="5EBFC580" w14:textId="77777777" w:rsidR="00993EDA" w:rsidRPr="00C44B47" w:rsidRDefault="00993EDA" w:rsidP="00DD1FEA">
            <w:pPr>
              <w:rPr>
                <w:rFonts w:ascii="Arial" w:hAnsi="Arial" w:cs="Arial"/>
              </w:rPr>
            </w:pPr>
            <w:r w:rsidRPr="00C44B47">
              <w:rPr>
                <w:rFonts w:ascii="Arial" w:hAnsi="Arial" w:cs="Arial"/>
              </w:rPr>
              <w:t>2023</w:t>
            </w:r>
          </w:p>
        </w:tc>
        <w:tc>
          <w:tcPr>
            <w:tcW w:w="10019" w:type="dxa"/>
            <w:gridSpan w:val="10"/>
            <w:shd w:val="clear" w:color="auto" w:fill="auto"/>
          </w:tcPr>
          <w:p w14:paraId="7E08A087" w14:textId="77777777" w:rsidR="00993EDA" w:rsidRPr="00C44B47" w:rsidRDefault="00993EDA" w:rsidP="00DD1FEA">
            <w:pPr>
              <w:rPr>
                <w:rFonts w:ascii="Arial" w:hAnsi="Arial" w:cs="Arial"/>
              </w:rPr>
            </w:pPr>
            <w:r w:rsidRPr="00C44B47">
              <w:rPr>
                <w:rFonts w:ascii="Arial" w:hAnsi="Arial" w:cs="Arial"/>
              </w:rPr>
              <w:t>2024</w:t>
            </w:r>
          </w:p>
        </w:tc>
      </w:tr>
      <w:tr w:rsidR="00993EDA" w:rsidRPr="00C44B47" w14:paraId="1857732A" w14:textId="77777777" w:rsidTr="00DD1FEA">
        <w:trPr>
          <w:trHeight w:val="250"/>
        </w:trPr>
        <w:tc>
          <w:tcPr>
            <w:tcW w:w="1218" w:type="dxa"/>
            <w:gridSpan w:val="2"/>
          </w:tcPr>
          <w:p w14:paraId="191AE2B0" w14:textId="77777777" w:rsidR="00993EDA" w:rsidRPr="00C44B47" w:rsidRDefault="00993EDA" w:rsidP="00DD1FEA">
            <w:pPr>
              <w:rPr>
                <w:rFonts w:ascii="Arial" w:hAnsi="Arial" w:cs="Arial"/>
                <w:b/>
              </w:rPr>
            </w:pPr>
            <w:r w:rsidRPr="00C44B47">
              <w:rPr>
                <w:rFonts w:ascii="Arial" w:hAnsi="Arial" w:cs="Arial"/>
                <w:b/>
              </w:rPr>
              <w:t xml:space="preserve">Indikator učinka 1. </w:t>
            </w:r>
          </w:p>
          <w:p w14:paraId="377745C4" w14:textId="77777777" w:rsidR="00993EDA" w:rsidRPr="00C44B47" w:rsidRDefault="00993EDA" w:rsidP="00DD1FEA">
            <w:pPr>
              <w:rPr>
                <w:rFonts w:ascii="Arial" w:hAnsi="Arial" w:cs="Arial"/>
                <w:b/>
              </w:rPr>
            </w:pPr>
            <w:r w:rsidRPr="00C44B47">
              <w:rPr>
                <w:rFonts w:ascii="Arial" w:hAnsi="Arial" w:cs="Arial"/>
                <w:b/>
              </w:rPr>
              <w:t>Stepen povećanja informisanosti građana/</w:t>
            </w:r>
            <w:proofErr w:type="spellStart"/>
            <w:r w:rsidRPr="00C44B47">
              <w:rPr>
                <w:rFonts w:ascii="Arial" w:hAnsi="Arial" w:cs="Arial"/>
                <w:b/>
              </w:rPr>
              <w:t>ki</w:t>
            </w:r>
            <w:proofErr w:type="spellEnd"/>
            <w:r w:rsidRPr="00C44B47">
              <w:rPr>
                <w:rFonts w:ascii="Arial" w:hAnsi="Arial" w:cs="Arial"/>
                <w:b/>
              </w:rPr>
              <w:t xml:space="preserve"> o njihovim potrošački m pravima u tradicionalnoj kupovini</w:t>
            </w:r>
          </w:p>
        </w:tc>
        <w:tc>
          <w:tcPr>
            <w:tcW w:w="925" w:type="dxa"/>
          </w:tcPr>
          <w:p w14:paraId="75BC4325" w14:textId="77777777" w:rsidR="00993EDA" w:rsidRPr="00C44B47" w:rsidRDefault="00993EDA" w:rsidP="00DD1FEA">
            <w:pPr>
              <w:rPr>
                <w:rFonts w:ascii="Arial" w:hAnsi="Arial" w:cs="Arial"/>
              </w:rPr>
            </w:pPr>
            <w:r w:rsidRPr="00C44B47">
              <w:rPr>
                <w:rFonts w:ascii="Arial" w:hAnsi="Arial" w:cs="Arial"/>
              </w:rPr>
              <w:t>11,7% ispitanika/</w:t>
            </w:r>
            <w:proofErr w:type="spellStart"/>
            <w:r w:rsidRPr="00C44B47">
              <w:rPr>
                <w:rFonts w:ascii="Arial" w:hAnsi="Arial" w:cs="Arial"/>
              </w:rPr>
              <w:t>ca</w:t>
            </w:r>
            <w:proofErr w:type="spellEnd"/>
            <w:r w:rsidRPr="00C44B47">
              <w:rPr>
                <w:rFonts w:ascii="Arial" w:hAnsi="Arial" w:cs="Arial"/>
              </w:rPr>
              <w:t xml:space="preserve"> je upoznato da potrošač/</w:t>
            </w:r>
            <w:proofErr w:type="spellStart"/>
            <w:r w:rsidRPr="00C44B47">
              <w:rPr>
                <w:rFonts w:ascii="Arial" w:hAnsi="Arial" w:cs="Arial"/>
              </w:rPr>
              <w:t>ica</w:t>
            </w:r>
            <w:proofErr w:type="spellEnd"/>
            <w:r w:rsidRPr="00C44B47">
              <w:rPr>
                <w:rFonts w:ascii="Arial" w:hAnsi="Arial" w:cs="Arial"/>
              </w:rPr>
              <w:t xml:space="preserve"> nije dužan/na da uz prigovor podnese i račun</w:t>
            </w:r>
          </w:p>
        </w:tc>
        <w:tc>
          <w:tcPr>
            <w:tcW w:w="788" w:type="dxa"/>
            <w:gridSpan w:val="2"/>
          </w:tcPr>
          <w:p w14:paraId="5268E591" w14:textId="77777777" w:rsidR="00993EDA" w:rsidRPr="00C44B47" w:rsidRDefault="00993EDA" w:rsidP="00DD1FEA">
            <w:pPr>
              <w:rPr>
                <w:rFonts w:ascii="Arial" w:hAnsi="Arial" w:cs="Arial"/>
              </w:rPr>
            </w:pPr>
            <w:r w:rsidRPr="00C44B47">
              <w:rPr>
                <w:rFonts w:ascii="Arial" w:hAnsi="Arial" w:cs="Arial"/>
              </w:rPr>
              <w:t>n/a Nijesu rađena istraživanja javnog mnjenja</w:t>
            </w:r>
          </w:p>
        </w:tc>
        <w:tc>
          <w:tcPr>
            <w:tcW w:w="10019" w:type="dxa"/>
            <w:gridSpan w:val="10"/>
            <w:shd w:val="clear" w:color="auto" w:fill="auto"/>
          </w:tcPr>
          <w:p w14:paraId="1D3BC092" w14:textId="77777777" w:rsidR="00993EDA" w:rsidRPr="00C44B47" w:rsidRDefault="00993EDA" w:rsidP="00DD1FEA">
            <w:pPr>
              <w:rPr>
                <w:rFonts w:ascii="Arial" w:hAnsi="Arial" w:cs="Arial"/>
              </w:rPr>
            </w:pPr>
            <w:r w:rsidRPr="00C44B47">
              <w:rPr>
                <w:rFonts w:ascii="Arial" w:hAnsi="Arial" w:cs="Arial"/>
                <w:color w:val="FF0000"/>
              </w:rPr>
              <w:t>18% ispitanika/</w:t>
            </w:r>
            <w:proofErr w:type="spellStart"/>
            <w:r w:rsidRPr="00C44B47">
              <w:rPr>
                <w:rFonts w:ascii="Arial" w:hAnsi="Arial" w:cs="Arial"/>
                <w:color w:val="FF0000"/>
              </w:rPr>
              <w:t>ca</w:t>
            </w:r>
            <w:proofErr w:type="spellEnd"/>
            <w:r w:rsidRPr="00C44B47">
              <w:rPr>
                <w:rFonts w:ascii="Arial" w:hAnsi="Arial" w:cs="Arial"/>
                <w:color w:val="FF0000"/>
              </w:rPr>
              <w:t xml:space="preserve"> je upoznato da potrošač/</w:t>
            </w:r>
            <w:proofErr w:type="spellStart"/>
            <w:r w:rsidRPr="00C44B47">
              <w:rPr>
                <w:rFonts w:ascii="Arial" w:hAnsi="Arial" w:cs="Arial"/>
                <w:color w:val="FF0000"/>
              </w:rPr>
              <w:t>ica</w:t>
            </w:r>
            <w:proofErr w:type="spellEnd"/>
            <w:r w:rsidRPr="00C44B47">
              <w:rPr>
                <w:rFonts w:ascii="Arial" w:hAnsi="Arial" w:cs="Arial"/>
                <w:color w:val="FF0000"/>
              </w:rPr>
              <w:t xml:space="preserve"> nije dužan/na da uz prigovor podnese i račun</w:t>
            </w:r>
          </w:p>
        </w:tc>
      </w:tr>
      <w:tr w:rsidR="00993EDA" w:rsidRPr="00C44B47" w14:paraId="1E3CFDA8" w14:textId="77777777" w:rsidTr="00DD1FEA">
        <w:trPr>
          <w:trHeight w:val="250"/>
        </w:trPr>
        <w:tc>
          <w:tcPr>
            <w:tcW w:w="1218" w:type="dxa"/>
            <w:gridSpan w:val="2"/>
          </w:tcPr>
          <w:p w14:paraId="6DE9C8BA" w14:textId="77777777" w:rsidR="00993EDA" w:rsidRPr="00C44B47" w:rsidRDefault="00993EDA" w:rsidP="00DD1FEA">
            <w:pPr>
              <w:rPr>
                <w:rFonts w:ascii="Arial" w:hAnsi="Arial" w:cs="Arial"/>
                <w:b/>
              </w:rPr>
            </w:pPr>
            <w:r w:rsidRPr="00C44B47">
              <w:rPr>
                <w:rFonts w:ascii="Arial" w:hAnsi="Arial" w:cs="Arial"/>
                <w:b/>
              </w:rPr>
              <w:t xml:space="preserve">Indikator učinka 2. </w:t>
            </w:r>
          </w:p>
          <w:p w14:paraId="3CC689CC" w14:textId="77777777" w:rsidR="00993EDA" w:rsidRPr="00C44B47" w:rsidRDefault="00993EDA" w:rsidP="00DD1FEA">
            <w:pPr>
              <w:rPr>
                <w:rFonts w:ascii="Arial" w:hAnsi="Arial" w:cs="Arial"/>
                <w:b/>
              </w:rPr>
            </w:pPr>
          </w:p>
          <w:p w14:paraId="27A1251D" w14:textId="77777777" w:rsidR="00993EDA" w:rsidRPr="00C44B47" w:rsidRDefault="00993EDA" w:rsidP="00DD1FEA">
            <w:pPr>
              <w:rPr>
                <w:rFonts w:ascii="Arial" w:hAnsi="Arial" w:cs="Arial"/>
                <w:b/>
              </w:rPr>
            </w:pPr>
            <w:r w:rsidRPr="00C44B47">
              <w:rPr>
                <w:rFonts w:ascii="Arial" w:hAnsi="Arial" w:cs="Arial"/>
                <w:b/>
              </w:rPr>
              <w:t>Stepen povećanja informisanosti građana/</w:t>
            </w:r>
            <w:proofErr w:type="spellStart"/>
            <w:r w:rsidRPr="00C44B47">
              <w:rPr>
                <w:rFonts w:ascii="Arial" w:hAnsi="Arial" w:cs="Arial"/>
                <w:b/>
              </w:rPr>
              <w:t>ki</w:t>
            </w:r>
            <w:proofErr w:type="spellEnd"/>
            <w:r w:rsidRPr="00C44B47">
              <w:rPr>
                <w:rFonts w:ascii="Arial" w:hAnsi="Arial" w:cs="Arial"/>
                <w:b/>
              </w:rPr>
              <w:t xml:space="preserve"> o </w:t>
            </w:r>
            <w:r w:rsidRPr="00C44B47">
              <w:rPr>
                <w:rFonts w:ascii="Arial" w:hAnsi="Arial" w:cs="Arial"/>
                <w:b/>
              </w:rPr>
              <w:lastRenderedPageBreak/>
              <w:t>potrošačkim pravima u elektronskoj kupovini</w:t>
            </w:r>
          </w:p>
        </w:tc>
        <w:tc>
          <w:tcPr>
            <w:tcW w:w="925" w:type="dxa"/>
          </w:tcPr>
          <w:p w14:paraId="6C198061" w14:textId="77777777" w:rsidR="00993EDA" w:rsidRPr="00C44B47" w:rsidRDefault="00993EDA" w:rsidP="00DD1FEA">
            <w:pPr>
              <w:rPr>
                <w:rFonts w:ascii="Arial" w:hAnsi="Arial" w:cs="Arial"/>
              </w:rPr>
            </w:pPr>
            <w:r w:rsidRPr="00C44B47">
              <w:rPr>
                <w:rFonts w:ascii="Arial" w:hAnsi="Arial" w:cs="Arial"/>
              </w:rPr>
              <w:lastRenderedPageBreak/>
              <w:t>9,9% ispitanika/</w:t>
            </w:r>
            <w:proofErr w:type="spellStart"/>
            <w:r w:rsidRPr="00C44B47">
              <w:rPr>
                <w:rFonts w:ascii="Arial" w:hAnsi="Arial" w:cs="Arial"/>
              </w:rPr>
              <w:t>ca</w:t>
            </w:r>
            <w:proofErr w:type="spellEnd"/>
            <w:r w:rsidRPr="00C44B47">
              <w:rPr>
                <w:rFonts w:ascii="Arial" w:hAnsi="Arial" w:cs="Arial"/>
              </w:rPr>
              <w:t xml:space="preserve"> upoznato sa tačnim rokom u kom potroša</w:t>
            </w:r>
            <w:r w:rsidRPr="00C44B47">
              <w:rPr>
                <w:rFonts w:ascii="Arial" w:hAnsi="Arial" w:cs="Arial"/>
              </w:rPr>
              <w:lastRenderedPageBreak/>
              <w:t>č/</w:t>
            </w:r>
            <w:proofErr w:type="spellStart"/>
            <w:r w:rsidRPr="00C44B47">
              <w:rPr>
                <w:rFonts w:ascii="Arial" w:hAnsi="Arial" w:cs="Arial"/>
              </w:rPr>
              <w:t>ica</w:t>
            </w:r>
            <w:proofErr w:type="spellEnd"/>
            <w:r w:rsidRPr="00C44B47">
              <w:rPr>
                <w:rFonts w:ascii="Arial" w:hAnsi="Arial" w:cs="Arial"/>
              </w:rPr>
              <w:t xml:space="preserve"> može da raskine ugovor sklopljen na daljinu (</w:t>
            </w:r>
            <w:proofErr w:type="spellStart"/>
            <w:r w:rsidRPr="00C44B47">
              <w:rPr>
                <w:rFonts w:ascii="Arial" w:hAnsi="Arial" w:cs="Arial"/>
              </w:rPr>
              <w:t>online</w:t>
            </w:r>
            <w:proofErr w:type="spellEnd"/>
            <w:r w:rsidRPr="00C44B47">
              <w:rPr>
                <w:rFonts w:ascii="Arial" w:hAnsi="Arial" w:cs="Arial"/>
              </w:rPr>
              <w:t>) ili van prostorija trgovca</w:t>
            </w:r>
          </w:p>
        </w:tc>
        <w:tc>
          <w:tcPr>
            <w:tcW w:w="788" w:type="dxa"/>
            <w:gridSpan w:val="2"/>
          </w:tcPr>
          <w:p w14:paraId="295F07F2" w14:textId="77777777" w:rsidR="00993EDA" w:rsidRPr="00C44B47" w:rsidRDefault="00993EDA" w:rsidP="00DD1FEA">
            <w:pPr>
              <w:rPr>
                <w:rFonts w:ascii="Arial" w:hAnsi="Arial" w:cs="Arial"/>
              </w:rPr>
            </w:pPr>
            <w:r w:rsidRPr="00C44B47">
              <w:rPr>
                <w:rFonts w:ascii="Arial" w:hAnsi="Arial" w:cs="Arial"/>
              </w:rPr>
              <w:lastRenderedPageBreak/>
              <w:t xml:space="preserve">n/a Nijesu rađena istraživanja javnog </w:t>
            </w:r>
            <w:r w:rsidRPr="00C44B47">
              <w:rPr>
                <w:rFonts w:ascii="Arial" w:hAnsi="Arial" w:cs="Arial"/>
              </w:rPr>
              <w:lastRenderedPageBreak/>
              <w:t>mnjenja</w:t>
            </w:r>
          </w:p>
        </w:tc>
        <w:tc>
          <w:tcPr>
            <w:tcW w:w="10019" w:type="dxa"/>
            <w:gridSpan w:val="10"/>
          </w:tcPr>
          <w:p w14:paraId="3DC08862" w14:textId="77777777" w:rsidR="00993EDA" w:rsidRPr="00C44B47" w:rsidRDefault="00993EDA" w:rsidP="00DD1FEA">
            <w:pPr>
              <w:rPr>
                <w:rFonts w:ascii="Arial" w:hAnsi="Arial" w:cs="Arial"/>
                <w:color w:val="FF0000"/>
              </w:rPr>
            </w:pPr>
            <w:r w:rsidRPr="00C44B47">
              <w:rPr>
                <w:rFonts w:ascii="Arial" w:hAnsi="Arial" w:cs="Arial"/>
                <w:color w:val="FF0000"/>
              </w:rPr>
              <w:lastRenderedPageBreak/>
              <w:t>18% ispitanik/</w:t>
            </w:r>
            <w:proofErr w:type="spellStart"/>
            <w:r w:rsidRPr="00C44B47">
              <w:rPr>
                <w:rFonts w:ascii="Arial" w:hAnsi="Arial" w:cs="Arial"/>
                <w:color w:val="FF0000"/>
              </w:rPr>
              <w:t>ca</w:t>
            </w:r>
            <w:proofErr w:type="spellEnd"/>
            <w:r w:rsidRPr="00C44B47">
              <w:rPr>
                <w:rFonts w:ascii="Arial" w:hAnsi="Arial" w:cs="Arial"/>
                <w:color w:val="FF0000"/>
              </w:rPr>
              <w:t xml:space="preserve"> upoznato sa tačnim rokom u kom potrošač/</w:t>
            </w:r>
            <w:proofErr w:type="spellStart"/>
            <w:r w:rsidRPr="00C44B47">
              <w:rPr>
                <w:rFonts w:ascii="Arial" w:hAnsi="Arial" w:cs="Arial"/>
                <w:color w:val="FF0000"/>
              </w:rPr>
              <w:t>ica</w:t>
            </w:r>
            <w:proofErr w:type="spellEnd"/>
            <w:r w:rsidRPr="00C44B47">
              <w:rPr>
                <w:rFonts w:ascii="Arial" w:hAnsi="Arial" w:cs="Arial"/>
                <w:color w:val="FF0000"/>
              </w:rPr>
              <w:t xml:space="preserve"> može da raskine ugovor sklopljen na daljinu (</w:t>
            </w:r>
            <w:proofErr w:type="spellStart"/>
            <w:r w:rsidRPr="00C44B47">
              <w:rPr>
                <w:rFonts w:ascii="Arial" w:hAnsi="Arial" w:cs="Arial"/>
                <w:color w:val="FF0000"/>
              </w:rPr>
              <w:t>online</w:t>
            </w:r>
            <w:proofErr w:type="spellEnd"/>
            <w:r w:rsidRPr="00C44B47">
              <w:rPr>
                <w:rFonts w:ascii="Arial" w:hAnsi="Arial" w:cs="Arial"/>
                <w:color w:val="FF0000"/>
              </w:rPr>
              <w:t>) ili van prostorija trgovca</w:t>
            </w:r>
          </w:p>
        </w:tc>
      </w:tr>
      <w:tr w:rsidR="00993EDA" w:rsidRPr="00C44B47" w14:paraId="0A6FA5B3" w14:textId="77777777" w:rsidTr="00DD1FEA">
        <w:trPr>
          <w:trHeight w:val="250"/>
        </w:trPr>
        <w:tc>
          <w:tcPr>
            <w:tcW w:w="1218" w:type="dxa"/>
            <w:gridSpan w:val="2"/>
          </w:tcPr>
          <w:p w14:paraId="24DBD8A5" w14:textId="77777777" w:rsidR="00993EDA" w:rsidRPr="00C44B47" w:rsidRDefault="00993EDA" w:rsidP="00DD1FEA">
            <w:pPr>
              <w:rPr>
                <w:rFonts w:ascii="Arial" w:hAnsi="Arial" w:cs="Arial"/>
                <w:b/>
              </w:rPr>
            </w:pPr>
            <w:r w:rsidRPr="00C44B47">
              <w:rPr>
                <w:rFonts w:ascii="Arial" w:hAnsi="Arial" w:cs="Arial"/>
                <w:b/>
              </w:rPr>
              <w:t>Aktivnost koja utiče na realizaciju Operativnog cilja 2.</w:t>
            </w:r>
          </w:p>
        </w:tc>
        <w:tc>
          <w:tcPr>
            <w:tcW w:w="925" w:type="dxa"/>
          </w:tcPr>
          <w:p w14:paraId="2112F7C7" w14:textId="77777777" w:rsidR="00993EDA" w:rsidRPr="00C44B47" w:rsidRDefault="00993EDA" w:rsidP="00DD1FEA">
            <w:pPr>
              <w:rPr>
                <w:rFonts w:ascii="Arial" w:hAnsi="Arial" w:cs="Arial"/>
                <w:b/>
              </w:rPr>
            </w:pPr>
            <w:r w:rsidRPr="00C44B47">
              <w:rPr>
                <w:rFonts w:ascii="Arial" w:hAnsi="Arial" w:cs="Arial"/>
                <w:b/>
              </w:rPr>
              <w:t xml:space="preserve">Indikator rezultata i postignute </w:t>
            </w:r>
            <w:proofErr w:type="spellStart"/>
            <w:r w:rsidRPr="00C44B47">
              <w:rPr>
                <w:rFonts w:ascii="Arial" w:hAnsi="Arial" w:cs="Arial"/>
                <w:b/>
              </w:rPr>
              <w:t>vrijednosti</w:t>
            </w:r>
            <w:proofErr w:type="spellEnd"/>
            <w:r w:rsidRPr="00C44B47">
              <w:rPr>
                <w:rFonts w:ascii="Arial" w:hAnsi="Arial" w:cs="Arial"/>
                <w:b/>
              </w:rPr>
              <w:t xml:space="preserve"> na kraju </w:t>
            </w:r>
            <w:proofErr w:type="spellStart"/>
            <w:r w:rsidRPr="00C44B47">
              <w:rPr>
                <w:rFonts w:ascii="Arial" w:hAnsi="Arial" w:cs="Arial"/>
                <w:b/>
              </w:rPr>
              <w:t>izvještajnog</w:t>
            </w:r>
            <w:proofErr w:type="spellEnd"/>
            <w:r w:rsidRPr="00C44B47">
              <w:rPr>
                <w:rFonts w:ascii="Arial" w:hAnsi="Arial" w:cs="Arial"/>
                <w:b/>
              </w:rPr>
              <w:t xml:space="preserve"> perioda</w:t>
            </w:r>
          </w:p>
        </w:tc>
        <w:tc>
          <w:tcPr>
            <w:tcW w:w="788" w:type="dxa"/>
            <w:gridSpan w:val="2"/>
          </w:tcPr>
          <w:p w14:paraId="6FB84BDB" w14:textId="77777777" w:rsidR="00993EDA" w:rsidRPr="00C44B47" w:rsidRDefault="00993EDA" w:rsidP="00DD1FEA">
            <w:pPr>
              <w:rPr>
                <w:rFonts w:ascii="Arial" w:hAnsi="Arial" w:cs="Arial"/>
                <w:b/>
              </w:rPr>
            </w:pPr>
            <w:r w:rsidRPr="00C44B47">
              <w:rPr>
                <w:rFonts w:ascii="Arial" w:hAnsi="Arial" w:cs="Arial"/>
                <w:b/>
              </w:rPr>
              <w:t>Institucije odgovorne za sprovođenje aktivnosti</w:t>
            </w:r>
          </w:p>
        </w:tc>
        <w:tc>
          <w:tcPr>
            <w:tcW w:w="697" w:type="dxa"/>
          </w:tcPr>
          <w:p w14:paraId="0C43041A" w14:textId="77777777" w:rsidR="00993EDA" w:rsidRPr="00C44B47" w:rsidRDefault="00993EDA" w:rsidP="00DD1FEA">
            <w:pPr>
              <w:rPr>
                <w:rFonts w:ascii="Arial" w:hAnsi="Arial" w:cs="Arial"/>
                <w:b/>
              </w:rPr>
            </w:pPr>
            <w:r w:rsidRPr="00C44B47">
              <w:rPr>
                <w:rFonts w:ascii="Arial" w:hAnsi="Arial" w:cs="Arial"/>
                <w:b/>
              </w:rPr>
              <w:t>Datum početka</w:t>
            </w:r>
          </w:p>
        </w:tc>
        <w:tc>
          <w:tcPr>
            <w:tcW w:w="543" w:type="dxa"/>
          </w:tcPr>
          <w:p w14:paraId="0201105F" w14:textId="77777777" w:rsidR="00993EDA" w:rsidRPr="00C44B47" w:rsidRDefault="00993EDA" w:rsidP="00DD1FEA">
            <w:pPr>
              <w:rPr>
                <w:rFonts w:ascii="Arial" w:hAnsi="Arial" w:cs="Arial"/>
                <w:b/>
              </w:rPr>
            </w:pPr>
            <w:r w:rsidRPr="00C44B47">
              <w:rPr>
                <w:rFonts w:ascii="Arial" w:hAnsi="Arial" w:cs="Arial"/>
                <w:b/>
              </w:rPr>
              <w:t>Planirani datum završetka</w:t>
            </w:r>
          </w:p>
        </w:tc>
        <w:tc>
          <w:tcPr>
            <w:tcW w:w="702" w:type="dxa"/>
          </w:tcPr>
          <w:p w14:paraId="7DDDC574" w14:textId="77777777" w:rsidR="00993EDA" w:rsidRPr="00C44B47" w:rsidRDefault="00993EDA" w:rsidP="00DD1FEA">
            <w:pPr>
              <w:rPr>
                <w:rFonts w:ascii="Arial" w:hAnsi="Arial" w:cs="Arial"/>
                <w:b/>
              </w:rPr>
            </w:pPr>
            <w:r w:rsidRPr="00C44B47">
              <w:rPr>
                <w:rFonts w:ascii="Arial" w:hAnsi="Arial" w:cs="Arial"/>
                <w:b/>
              </w:rPr>
              <w:t>Status realizacije</w:t>
            </w:r>
          </w:p>
        </w:tc>
        <w:tc>
          <w:tcPr>
            <w:tcW w:w="828" w:type="dxa"/>
            <w:gridSpan w:val="3"/>
          </w:tcPr>
          <w:p w14:paraId="3FECF525" w14:textId="77777777" w:rsidR="00993EDA" w:rsidRPr="00C44B47" w:rsidRDefault="00993EDA" w:rsidP="00DD1FEA">
            <w:pPr>
              <w:rPr>
                <w:rFonts w:ascii="Arial" w:hAnsi="Arial" w:cs="Arial"/>
                <w:b/>
              </w:rPr>
            </w:pPr>
            <w:r w:rsidRPr="00C44B47">
              <w:rPr>
                <w:rFonts w:ascii="Arial" w:hAnsi="Arial" w:cs="Arial"/>
                <w:b/>
              </w:rPr>
              <w:t>Novi rok za realizaciju (uz odgovarajuće obrazloženje)</w:t>
            </w:r>
          </w:p>
        </w:tc>
        <w:tc>
          <w:tcPr>
            <w:tcW w:w="519" w:type="dxa"/>
          </w:tcPr>
          <w:p w14:paraId="00855C8B" w14:textId="77777777" w:rsidR="00993EDA" w:rsidRPr="00C44B47" w:rsidRDefault="00993EDA" w:rsidP="00DD1FEA">
            <w:pPr>
              <w:rPr>
                <w:rFonts w:ascii="Arial" w:hAnsi="Arial" w:cs="Arial"/>
                <w:b/>
              </w:rPr>
            </w:pPr>
            <w:r w:rsidRPr="00C44B47">
              <w:rPr>
                <w:rFonts w:ascii="Arial" w:hAnsi="Arial" w:cs="Arial"/>
                <w:b/>
              </w:rPr>
              <w:t xml:space="preserve">Sredstva </w:t>
            </w:r>
            <w:proofErr w:type="spellStart"/>
            <w:r w:rsidRPr="00C44B47">
              <w:rPr>
                <w:rFonts w:ascii="Arial" w:hAnsi="Arial" w:cs="Arial"/>
                <w:b/>
              </w:rPr>
              <w:t>planir</w:t>
            </w:r>
            <w:proofErr w:type="spellEnd"/>
            <w:r w:rsidRPr="00C44B47">
              <w:rPr>
                <w:rFonts w:ascii="Arial" w:hAnsi="Arial" w:cs="Arial"/>
                <w:b/>
              </w:rPr>
              <w:t xml:space="preserve"> </w:t>
            </w:r>
            <w:proofErr w:type="spellStart"/>
            <w:r w:rsidRPr="00C44B47">
              <w:rPr>
                <w:rFonts w:ascii="Arial" w:hAnsi="Arial" w:cs="Arial"/>
                <w:b/>
              </w:rPr>
              <w:t>ana</w:t>
            </w:r>
            <w:proofErr w:type="spellEnd"/>
          </w:p>
        </w:tc>
        <w:tc>
          <w:tcPr>
            <w:tcW w:w="607" w:type="dxa"/>
          </w:tcPr>
          <w:p w14:paraId="173BFAA5" w14:textId="77777777" w:rsidR="00993EDA" w:rsidRPr="00C44B47" w:rsidRDefault="00993EDA" w:rsidP="00DD1FEA">
            <w:pPr>
              <w:rPr>
                <w:rFonts w:ascii="Arial" w:hAnsi="Arial" w:cs="Arial"/>
                <w:b/>
              </w:rPr>
            </w:pPr>
            <w:r w:rsidRPr="00C44B47">
              <w:rPr>
                <w:rFonts w:ascii="Arial" w:hAnsi="Arial" w:cs="Arial"/>
                <w:b/>
              </w:rPr>
              <w:t>Sredstva realizovana</w:t>
            </w:r>
          </w:p>
        </w:tc>
        <w:tc>
          <w:tcPr>
            <w:tcW w:w="655" w:type="dxa"/>
          </w:tcPr>
          <w:p w14:paraId="730B3D9E" w14:textId="77777777" w:rsidR="00993EDA" w:rsidRPr="00C44B47" w:rsidRDefault="00993EDA" w:rsidP="00DD1FEA">
            <w:pPr>
              <w:rPr>
                <w:rFonts w:ascii="Arial" w:hAnsi="Arial" w:cs="Arial"/>
                <w:b/>
              </w:rPr>
            </w:pPr>
            <w:r w:rsidRPr="00C44B47">
              <w:rPr>
                <w:rFonts w:ascii="Arial" w:hAnsi="Arial" w:cs="Arial"/>
                <w:b/>
              </w:rPr>
              <w:t>Izvor finansiranja</w:t>
            </w:r>
          </w:p>
        </w:tc>
        <w:tc>
          <w:tcPr>
            <w:tcW w:w="5468" w:type="dxa"/>
          </w:tcPr>
          <w:p w14:paraId="1147CC27" w14:textId="77777777" w:rsidR="00993EDA" w:rsidRPr="00C44B47" w:rsidRDefault="00993EDA" w:rsidP="00DD1FEA">
            <w:pPr>
              <w:rPr>
                <w:rFonts w:ascii="Arial" w:hAnsi="Arial" w:cs="Arial"/>
              </w:rPr>
            </w:pPr>
            <w:proofErr w:type="spellStart"/>
            <w:r w:rsidRPr="00C44B47">
              <w:rPr>
                <w:rFonts w:ascii="Arial" w:hAnsi="Arial" w:cs="Arial"/>
              </w:rPr>
              <w:t>Preporuk</w:t>
            </w:r>
            <w:proofErr w:type="spellEnd"/>
            <w:r w:rsidRPr="00C44B47">
              <w:rPr>
                <w:rFonts w:ascii="Arial" w:hAnsi="Arial" w:cs="Arial"/>
              </w:rPr>
              <w:t xml:space="preserve"> e za naredni period </w:t>
            </w:r>
            <w:proofErr w:type="spellStart"/>
            <w:r w:rsidRPr="00C44B47">
              <w:rPr>
                <w:rFonts w:ascii="Arial" w:hAnsi="Arial" w:cs="Arial"/>
              </w:rPr>
              <w:t>sprovođe</w:t>
            </w:r>
            <w:proofErr w:type="spellEnd"/>
            <w:r w:rsidRPr="00C44B47">
              <w:rPr>
                <w:rFonts w:ascii="Arial" w:hAnsi="Arial" w:cs="Arial"/>
              </w:rPr>
              <w:t xml:space="preserve"> </w:t>
            </w:r>
            <w:proofErr w:type="spellStart"/>
            <w:r w:rsidRPr="00C44B47">
              <w:rPr>
                <w:rFonts w:ascii="Arial" w:hAnsi="Arial" w:cs="Arial"/>
              </w:rPr>
              <w:t>nja</w:t>
            </w:r>
            <w:proofErr w:type="spellEnd"/>
          </w:p>
        </w:tc>
      </w:tr>
      <w:tr w:rsidR="00993EDA" w:rsidRPr="00C44B47" w14:paraId="42545CB4" w14:textId="77777777" w:rsidTr="00DD1FEA">
        <w:trPr>
          <w:trHeight w:val="250"/>
        </w:trPr>
        <w:tc>
          <w:tcPr>
            <w:tcW w:w="1218" w:type="dxa"/>
            <w:gridSpan w:val="2"/>
          </w:tcPr>
          <w:p w14:paraId="783479F9" w14:textId="77777777" w:rsidR="00993EDA" w:rsidRPr="00C44B47" w:rsidRDefault="00993EDA" w:rsidP="00DD1FEA">
            <w:pPr>
              <w:rPr>
                <w:rFonts w:ascii="Arial" w:hAnsi="Arial" w:cs="Arial"/>
                <w:b/>
              </w:rPr>
            </w:pPr>
            <w:r w:rsidRPr="00C44B47">
              <w:rPr>
                <w:rFonts w:ascii="Arial" w:hAnsi="Arial" w:cs="Arial"/>
                <w:b/>
              </w:rPr>
              <w:t>2.1 Sprovođenje istraživanja za utvrđivanje nivoa znanja i informisa</w:t>
            </w:r>
            <w:r w:rsidRPr="00C44B47">
              <w:rPr>
                <w:rFonts w:ascii="Arial" w:hAnsi="Arial" w:cs="Arial"/>
                <w:b/>
              </w:rPr>
              <w:lastRenderedPageBreak/>
              <w:t>nosti građana/</w:t>
            </w:r>
            <w:proofErr w:type="spellStart"/>
            <w:r w:rsidRPr="00C44B47">
              <w:rPr>
                <w:rFonts w:ascii="Arial" w:hAnsi="Arial" w:cs="Arial"/>
                <w:b/>
              </w:rPr>
              <w:t>ki</w:t>
            </w:r>
            <w:proofErr w:type="spellEnd"/>
            <w:r w:rsidRPr="00C44B47">
              <w:rPr>
                <w:rFonts w:ascii="Arial" w:hAnsi="Arial" w:cs="Arial"/>
                <w:b/>
              </w:rPr>
              <w:t xml:space="preserve"> o potrošačkim pravima obuhvatajući i elektronsku trgovinu</w:t>
            </w:r>
          </w:p>
        </w:tc>
        <w:tc>
          <w:tcPr>
            <w:tcW w:w="925" w:type="dxa"/>
          </w:tcPr>
          <w:p w14:paraId="10383D45" w14:textId="77777777" w:rsidR="00993EDA" w:rsidRPr="00C44B47" w:rsidRDefault="00993EDA" w:rsidP="00DD1FEA">
            <w:pPr>
              <w:rPr>
                <w:rFonts w:ascii="Arial" w:hAnsi="Arial" w:cs="Arial"/>
                <w:b/>
              </w:rPr>
            </w:pPr>
            <w:r w:rsidRPr="00C44B47">
              <w:rPr>
                <w:rFonts w:ascii="Arial" w:hAnsi="Arial" w:cs="Arial"/>
              </w:rPr>
              <w:lastRenderedPageBreak/>
              <w:t xml:space="preserve">Sprovedeno istraživanje i na bazi rezultata, pripremljene </w:t>
            </w:r>
            <w:r w:rsidRPr="00C44B47">
              <w:rPr>
                <w:rFonts w:ascii="Arial" w:hAnsi="Arial" w:cs="Arial"/>
              </w:rPr>
              <w:lastRenderedPageBreak/>
              <w:t xml:space="preserve">preporuke za </w:t>
            </w:r>
            <w:proofErr w:type="spellStart"/>
            <w:r w:rsidRPr="00C44B47">
              <w:rPr>
                <w:rFonts w:ascii="Arial" w:hAnsi="Arial" w:cs="Arial"/>
              </w:rPr>
              <w:t>unaprijeđivanje</w:t>
            </w:r>
            <w:proofErr w:type="spellEnd"/>
            <w:r w:rsidRPr="00C44B47">
              <w:rPr>
                <w:rFonts w:ascii="Arial" w:hAnsi="Arial" w:cs="Arial"/>
              </w:rPr>
              <w:t xml:space="preserve"> znanja i informisanosti uz približno is ti broj ispitanika/</w:t>
            </w:r>
            <w:proofErr w:type="spellStart"/>
            <w:r w:rsidRPr="00C44B47">
              <w:rPr>
                <w:rFonts w:ascii="Arial" w:hAnsi="Arial" w:cs="Arial"/>
              </w:rPr>
              <w:t>ca</w:t>
            </w:r>
            <w:proofErr w:type="spellEnd"/>
            <w:r w:rsidRPr="00C44B47">
              <w:rPr>
                <w:rFonts w:ascii="Arial" w:hAnsi="Arial" w:cs="Arial"/>
              </w:rPr>
              <w:t xml:space="preserve"> oba pola</w:t>
            </w:r>
          </w:p>
        </w:tc>
        <w:tc>
          <w:tcPr>
            <w:tcW w:w="788" w:type="dxa"/>
            <w:gridSpan w:val="2"/>
          </w:tcPr>
          <w:p w14:paraId="589344A0" w14:textId="77777777" w:rsidR="00993EDA" w:rsidRPr="00C44B47" w:rsidRDefault="00993EDA" w:rsidP="00DD1FEA">
            <w:pPr>
              <w:rPr>
                <w:rFonts w:ascii="Arial" w:hAnsi="Arial" w:cs="Arial"/>
                <w:b/>
              </w:rPr>
            </w:pPr>
            <w:r w:rsidRPr="00C44B47">
              <w:rPr>
                <w:rFonts w:ascii="Arial" w:hAnsi="Arial" w:cs="Arial"/>
              </w:rPr>
              <w:lastRenderedPageBreak/>
              <w:t>Ministarstvo ekonomskog razvoja</w:t>
            </w:r>
          </w:p>
        </w:tc>
        <w:tc>
          <w:tcPr>
            <w:tcW w:w="697" w:type="dxa"/>
          </w:tcPr>
          <w:p w14:paraId="24BC8FAF" w14:textId="77777777" w:rsidR="00993EDA" w:rsidRPr="00C44B47" w:rsidRDefault="00993EDA" w:rsidP="00DD1FEA">
            <w:pPr>
              <w:rPr>
                <w:rFonts w:ascii="Arial" w:hAnsi="Arial" w:cs="Arial"/>
                <w:b/>
              </w:rPr>
            </w:pPr>
            <w:r w:rsidRPr="00C44B47">
              <w:rPr>
                <w:rFonts w:ascii="Arial" w:hAnsi="Arial" w:cs="Arial"/>
              </w:rPr>
              <w:t>II Q 2024</w:t>
            </w:r>
          </w:p>
        </w:tc>
        <w:tc>
          <w:tcPr>
            <w:tcW w:w="543" w:type="dxa"/>
          </w:tcPr>
          <w:p w14:paraId="70E0F314" w14:textId="77777777" w:rsidR="00993EDA" w:rsidRPr="00C44B47" w:rsidRDefault="00993EDA" w:rsidP="00DD1FEA">
            <w:pPr>
              <w:rPr>
                <w:rFonts w:ascii="Arial" w:hAnsi="Arial" w:cs="Arial"/>
                <w:b/>
              </w:rPr>
            </w:pPr>
            <w:r w:rsidRPr="00C44B47">
              <w:rPr>
                <w:rFonts w:ascii="Arial" w:hAnsi="Arial" w:cs="Arial"/>
              </w:rPr>
              <w:t>III Q 2024</w:t>
            </w:r>
          </w:p>
        </w:tc>
        <w:tc>
          <w:tcPr>
            <w:tcW w:w="702" w:type="dxa"/>
            <w:shd w:val="clear" w:color="auto" w:fill="auto"/>
          </w:tcPr>
          <w:p w14:paraId="00DA438D" w14:textId="77777777" w:rsidR="00993EDA" w:rsidRPr="00C44B47" w:rsidRDefault="00993EDA" w:rsidP="00DD1FEA">
            <w:pPr>
              <w:rPr>
                <w:rFonts w:ascii="Arial" w:hAnsi="Arial" w:cs="Arial"/>
                <w:b/>
              </w:rPr>
            </w:pPr>
            <w:r w:rsidRPr="00C44B47">
              <w:rPr>
                <w:rFonts w:ascii="Arial" w:hAnsi="Arial" w:cs="Arial"/>
                <w:b/>
                <w:highlight w:val="red"/>
              </w:rPr>
              <w:t>Nerealizovano</w:t>
            </w:r>
          </w:p>
        </w:tc>
        <w:tc>
          <w:tcPr>
            <w:tcW w:w="828" w:type="dxa"/>
            <w:gridSpan w:val="3"/>
            <w:shd w:val="clear" w:color="auto" w:fill="auto"/>
          </w:tcPr>
          <w:p w14:paraId="505E204F" w14:textId="77777777" w:rsidR="00993EDA" w:rsidRPr="00C44B47" w:rsidRDefault="00993EDA" w:rsidP="00DD1FEA">
            <w:pPr>
              <w:rPr>
                <w:rFonts w:ascii="Arial" w:hAnsi="Arial" w:cs="Arial"/>
                <w:b/>
              </w:rPr>
            </w:pPr>
            <w:r w:rsidRPr="00C44B47">
              <w:rPr>
                <w:rFonts w:ascii="Arial" w:hAnsi="Arial" w:cs="Arial"/>
                <w:b/>
              </w:rPr>
              <w:t>IV Q 2025</w:t>
            </w:r>
          </w:p>
        </w:tc>
        <w:tc>
          <w:tcPr>
            <w:tcW w:w="519" w:type="dxa"/>
            <w:shd w:val="clear" w:color="auto" w:fill="auto"/>
          </w:tcPr>
          <w:p w14:paraId="460A575C" w14:textId="77777777" w:rsidR="00993EDA" w:rsidRPr="00C44B47" w:rsidRDefault="00993EDA" w:rsidP="00DD1FEA">
            <w:pPr>
              <w:rPr>
                <w:rFonts w:ascii="Arial" w:hAnsi="Arial" w:cs="Arial"/>
                <w:b/>
              </w:rPr>
            </w:pPr>
            <w:r w:rsidRPr="00C44B47">
              <w:rPr>
                <w:rFonts w:ascii="Arial" w:hAnsi="Arial" w:cs="Arial"/>
              </w:rPr>
              <w:t xml:space="preserve">5.000 </w:t>
            </w:r>
            <w:proofErr w:type="spellStart"/>
            <w:r w:rsidRPr="00C44B47">
              <w:rPr>
                <w:rFonts w:ascii="Arial" w:hAnsi="Arial" w:cs="Arial"/>
              </w:rPr>
              <w:t>eur</w:t>
            </w:r>
            <w:proofErr w:type="spellEnd"/>
          </w:p>
        </w:tc>
        <w:tc>
          <w:tcPr>
            <w:tcW w:w="607" w:type="dxa"/>
            <w:shd w:val="clear" w:color="auto" w:fill="auto"/>
          </w:tcPr>
          <w:p w14:paraId="15C62F81" w14:textId="77777777" w:rsidR="00993EDA" w:rsidRPr="00C44B47" w:rsidRDefault="00993EDA" w:rsidP="00DD1FEA">
            <w:pPr>
              <w:rPr>
                <w:rFonts w:ascii="Arial" w:hAnsi="Arial" w:cs="Arial"/>
                <w:b/>
              </w:rPr>
            </w:pPr>
          </w:p>
        </w:tc>
        <w:tc>
          <w:tcPr>
            <w:tcW w:w="655" w:type="dxa"/>
          </w:tcPr>
          <w:p w14:paraId="6F191B7D"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tcPr>
          <w:p w14:paraId="31406A05" w14:textId="77777777" w:rsidR="00993EDA" w:rsidRPr="00C44B47" w:rsidRDefault="00993EDA" w:rsidP="00DD1FEA">
            <w:pPr>
              <w:rPr>
                <w:rFonts w:ascii="Arial" w:hAnsi="Arial" w:cs="Arial"/>
                <w:lang w:val="sr-Latn-ME"/>
              </w:rPr>
            </w:pPr>
            <w:r w:rsidRPr="00C44B47">
              <w:rPr>
                <w:rFonts w:ascii="Arial" w:hAnsi="Arial" w:cs="Arial"/>
              </w:rPr>
              <w:t>U svrhu realizacije preporuke Evropske komisije (</w:t>
            </w:r>
            <w:r w:rsidRPr="00C44B47">
              <w:rPr>
                <w:rFonts w:ascii="Arial" w:hAnsi="Arial" w:cs="Arial"/>
                <w:lang w:val="sr-Latn-ME"/>
              </w:rPr>
              <w:t xml:space="preserve">Izvještaj TAIEX ekspertske Misije o zaštiti potrošača u Crnoj Gori – ispunjavanje završnog mjerila za Poglavlje 28 od 26. do 29. septembra 2022. godine) </w:t>
            </w:r>
            <w:r w:rsidRPr="00C44B47">
              <w:rPr>
                <w:rFonts w:ascii="Arial" w:hAnsi="Arial" w:cs="Arial"/>
              </w:rPr>
              <w:t xml:space="preserve">o </w:t>
            </w:r>
            <w:r w:rsidRPr="00C44B47">
              <w:rPr>
                <w:rFonts w:ascii="Arial" w:hAnsi="Arial" w:cs="Arial"/>
                <w:lang w:val="sr-Latn-ME"/>
              </w:rPr>
              <w:t xml:space="preserve">jačanju finansijske i logističke podrške nevladinim organizacijama </w:t>
            </w:r>
            <w:r w:rsidRPr="00C44B47">
              <w:rPr>
                <w:rFonts w:ascii="Arial" w:hAnsi="Arial" w:cs="Arial"/>
              </w:rPr>
              <w:t xml:space="preserve">za zaštitu potrošača i drugim pravnim licima iz ove oblasti Ministarstvo će u skladu sa  Uredbom o uslovima za ustupanje poslova utvrđenih Nacionalnim programom zaštite potrošača i bližim kriterijumima , načinu i postupku finansiranja </w:t>
            </w:r>
            <w:r w:rsidRPr="00C44B47">
              <w:rPr>
                <w:rFonts w:ascii="Arial" w:hAnsi="Arial" w:cs="Arial"/>
              </w:rPr>
              <w:lastRenderedPageBreak/>
              <w:t xml:space="preserve">organizacija potrošača (,,Službeni list Crne Gore”, br. 40/15) raspisati Javni oglas za ustupanje pojedinih poslova </w:t>
            </w:r>
            <w:proofErr w:type="spellStart"/>
            <w:r w:rsidRPr="00C44B47">
              <w:rPr>
                <w:rFonts w:ascii="Arial" w:hAnsi="Arial" w:cs="Arial"/>
              </w:rPr>
              <w:t>predviđenih</w:t>
            </w:r>
            <w:proofErr w:type="spellEnd"/>
            <w:r w:rsidRPr="00C44B47">
              <w:rPr>
                <w:rFonts w:ascii="Arial" w:hAnsi="Arial" w:cs="Arial"/>
              </w:rPr>
              <w:t xml:space="preserve"> Nacionalnim programom zaštite potrošača.</w:t>
            </w:r>
          </w:p>
          <w:p w14:paraId="0F3012F8" w14:textId="77777777" w:rsidR="00993EDA" w:rsidRPr="00C44B47" w:rsidRDefault="00993EDA" w:rsidP="00DD1FEA">
            <w:pPr>
              <w:rPr>
                <w:rFonts w:ascii="Arial" w:hAnsi="Arial" w:cs="Arial"/>
              </w:rPr>
            </w:pPr>
          </w:p>
        </w:tc>
      </w:tr>
      <w:tr w:rsidR="00993EDA" w:rsidRPr="00C44B47" w14:paraId="15414DDB" w14:textId="77777777" w:rsidTr="00DD1FEA">
        <w:trPr>
          <w:trHeight w:val="250"/>
        </w:trPr>
        <w:tc>
          <w:tcPr>
            <w:tcW w:w="1218" w:type="dxa"/>
            <w:gridSpan w:val="2"/>
          </w:tcPr>
          <w:p w14:paraId="39755077" w14:textId="77777777" w:rsidR="00993EDA" w:rsidRPr="00C44B47" w:rsidRDefault="00993EDA" w:rsidP="00DD1FEA">
            <w:pPr>
              <w:rPr>
                <w:rFonts w:ascii="Arial" w:hAnsi="Arial" w:cs="Arial"/>
                <w:b/>
              </w:rPr>
            </w:pPr>
            <w:r w:rsidRPr="00C44B47">
              <w:rPr>
                <w:rFonts w:ascii="Arial" w:hAnsi="Arial" w:cs="Arial"/>
                <w:b/>
              </w:rPr>
              <w:lastRenderedPageBreak/>
              <w:t>2.2 Izrada informativno - edukativnog materijala za potrošače/</w:t>
            </w:r>
            <w:proofErr w:type="spellStart"/>
            <w:r w:rsidRPr="00C44B47">
              <w:rPr>
                <w:rFonts w:ascii="Arial" w:hAnsi="Arial" w:cs="Arial"/>
                <w:b/>
              </w:rPr>
              <w:t>ice</w:t>
            </w:r>
            <w:proofErr w:type="spellEnd"/>
            <w:r w:rsidRPr="00C44B47">
              <w:rPr>
                <w:rFonts w:ascii="Arial" w:hAnsi="Arial" w:cs="Arial"/>
                <w:b/>
              </w:rPr>
              <w:t xml:space="preserve"> o njihovim pravima, postupku ostvarivanja istih, sa posebnim akcentom na elektrons</w:t>
            </w:r>
            <w:r w:rsidRPr="00C44B47">
              <w:rPr>
                <w:rFonts w:ascii="Arial" w:hAnsi="Arial" w:cs="Arial"/>
                <w:b/>
              </w:rPr>
              <w:lastRenderedPageBreak/>
              <w:t>ku trgovinu</w:t>
            </w:r>
          </w:p>
        </w:tc>
        <w:tc>
          <w:tcPr>
            <w:tcW w:w="925" w:type="dxa"/>
          </w:tcPr>
          <w:p w14:paraId="649CAE5C" w14:textId="77777777" w:rsidR="00993EDA" w:rsidRPr="00C44B47" w:rsidRDefault="00993EDA" w:rsidP="00DD1FEA">
            <w:pPr>
              <w:rPr>
                <w:rFonts w:ascii="Arial" w:hAnsi="Arial" w:cs="Arial"/>
                <w:b/>
              </w:rPr>
            </w:pPr>
            <w:r w:rsidRPr="00C44B47">
              <w:rPr>
                <w:rFonts w:ascii="Arial" w:hAnsi="Arial" w:cs="Arial"/>
              </w:rPr>
              <w:lastRenderedPageBreak/>
              <w:t xml:space="preserve">Izrađen informativno -edukativni materijal Broj </w:t>
            </w:r>
            <w:proofErr w:type="spellStart"/>
            <w:r w:rsidRPr="00C44B47">
              <w:rPr>
                <w:rFonts w:ascii="Arial" w:hAnsi="Arial" w:cs="Arial"/>
              </w:rPr>
              <w:t>podijeljenih</w:t>
            </w:r>
            <w:proofErr w:type="spellEnd"/>
            <w:r w:rsidRPr="00C44B47">
              <w:rPr>
                <w:rFonts w:ascii="Arial" w:hAnsi="Arial" w:cs="Arial"/>
              </w:rPr>
              <w:t xml:space="preserve"> komada materijala -najmanje 10/broj preuzetih informativno - edukati</w:t>
            </w:r>
            <w:r w:rsidRPr="00C44B47">
              <w:rPr>
                <w:rFonts w:ascii="Arial" w:hAnsi="Arial" w:cs="Arial"/>
              </w:rPr>
              <w:lastRenderedPageBreak/>
              <w:t>vnih materijala sa sajta Ministarstva ekonomskog razvoja -najmanje 30</w:t>
            </w:r>
          </w:p>
        </w:tc>
        <w:tc>
          <w:tcPr>
            <w:tcW w:w="788" w:type="dxa"/>
            <w:gridSpan w:val="2"/>
          </w:tcPr>
          <w:p w14:paraId="69D9E40C" w14:textId="77777777" w:rsidR="00993EDA" w:rsidRPr="00C44B47" w:rsidRDefault="00993EDA" w:rsidP="00DD1FEA">
            <w:pPr>
              <w:rPr>
                <w:rFonts w:ascii="Arial" w:hAnsi="Arial" w:cs="Arial"/>
                <w:b/>
              </w:rPr>
            </w:pPr>
            <w:r w:rsidRPr="00C44B47">
              <w:rPr>
                <w:rFonts w:ascii="Arial" w:hAnsi="Arial" w:cs="Arial"/>
              </w:rPr>
              <w:lastRenderedPageBreak/>
              <w:t>Ministarstvo ekonomskog razvoja</w:t>
            </w:r>
          </w:p>
        </w:tc>
        <w:tc>
          <w:tcPr>
            <w:tcW w:w="697" w:type="dxa"/>
          </w:tcPr>
          <w:p w14:paraId="670E9E63" w14:textId="77777777" w:rsidR="00993EDA" w:rsidRPr="00C44B47" w:rsidRDefault="00993EDA" w:rsidP="00DD1FEA">
            <w:pPr>
              <w:rPr>
                <w:rFonts w:ascii="Arial" w:hAnsi="Arial" w:cs="Arial"/>
                <w:b/>
              </w:rPr>
            </w:pPr>
            <w:r w:rsidRPr="00C44B47">
              <w:rPr>
                <w:rFonts w:ascii="Arial" w:hAnsi="Arial" w:cs="Arial"/>
              </w:rPr>
              <w:t>II Q 2024</w:t>
            </w:r>
          </w:p>
        </w:tc>
        <w:tc>
          <w:tcPr>
            <w:tcW w:w="543" w:type="dxa"/>
          </w:tcPr>
          <w:p w14:paraId="36DF29BC" w14:textId="77777777" w:rsidR="00993EDA" w:rsidRPr="00C44B47" w:rsidRDefault="00993EDA" w:rsidP="00DD1FEA">
            <w:pPr>
              <w:rPr>
                <w:rFonts w:ascii="Arial" w:hAnsi="Arial" w:cs="Arial"/>
                <w:b/>
              </w:rPr>
            </w:pPr>
            <w:r w:rsidRPr="00C44B47">
              <w:rPr>
                <w:rFonts w:ascii="Arial" w:hAnsi="Arial" w:cs="Arial"/>
              </w:rPr>
              <w:t>III Q 2024</w:t>
            </w:r>
          </w:p>
        </w:tc>
        <w:tc>
          <w:tcPr>
            <w:tcW w:w="702" w:type="dxa"/>
            <w:shd w:val="clear" w:color="auto" w:fill="auto"/>
          </w:tcPr>
          <w:p w14:paraId="2A50EF1C" w14:textId="77777777" w:rsidR="00993EDA" w:rsidRPr="00C44B47" w:rsidRDefault="00993EDA" w:rsidP="00DD1FEA">
            <w:pPr>
              <w:rPr>
                <w:rFonts w:ascii="Arial" w:hAnsi="Arial" w:cs="Arial"/>
                <w:b/>
              </w:rPr>
            </w:pPr>
            <w:r w:rsidRPr="00C44B47">
              <w:rPr>
                <w:rFonts w:ascii="Arial" w:hAnsi="Arial" w:cs="Arial"/>
                <w:b/>
                <w:highlight w:val="red"/>
              </w:rPr>
              <w:t>Nerealizovano</w:t>
            </w:r>
          </w:p>
        </w:tc>
        <w:tc>
          <w:tcPr>
            <w:tcW w:w="828" w:type="dxa"/>
            <w:gridSpan w:val="3"/>
            <w:shd w:val="clear" w:color="auto" w:fill="auto"/>
          </w:tcPr>
          <w:p w14:paraId="7DF1C887" w14:textId="77777777" w:rsidR="00993EDA" w:rsidRPr="00C44B47" w:rsidRDefault="00993EDA" w:rsidP="00DD1FEA">
            <w:pPr>
              <w:rPr>
                <w:rFonts w:ascii="Arial" w:hAnsi="Arial" w:cs="Arial"/>
                <w:b/>
              </w:rPr>
            </w:pPr>
            <w:r w:rsidRPr="00C44B47">
              <w:rPr>
                <w:rFonts w:ascii="Arial" w:hAnsi="Arial" w:cs="Arial"/>
                <w:b/>
              </w:rPr>
              <w:t>III Q 2025</w:t>
            </w:r>
          </w:p>
        </w:tc>
        <w:tc>
          <w:tcPr>
            <w:tcW w:w="519" w:type="dxa"/>
            <w:shd w:val="clear" w:color="auto" w:fill="auto"/>
          </w:tcPr>
          <w:p w14:paraId="3FA6EE8F" w14:textId="77777777" w:rsidR="00993EDA" w:rsidRPr="00C44B47" w:rsidRDefault="00993EDA" w:rsidP="00DD1FEA">
            <w:pPr>
              <w:rPr>
                <w:rFonts w:ascii="Arial" w:hAnsi="Arial" w:cs="Arial"/>
                <w:b/>
              </w:rPr>
            </w:pPr>
            <w:r w:rsidRPr="00C44B47">
              <w:rPr>
                <w:rFonts w:ascii="Arial" w:hAnsi="Arial" w:cs="Arial"/>
              </w:rPr>
              <w:t xml:space="preserve">3.000 </w:t>
            </w:r>
            <w:proofErr w:type="spellStart"/>
            <w:r w:rsidRPr="00C44B47">
              <w:rPr>
                <w:rFonts w:ascii="Arial" w:hAnsi="Arial" w:cs="Arial"/>
              </w:rPr>
              <w:t>eur</w:t>
            </w:r>
            <w:proofErr w:type="spellEnd"/>
          </w:p>
        </w:tc>
        <w:tc>
          <w:tcPr>
            <w:tcW w:w="607" w:type="dxa"/>
            <w:shd w:val="clear" w:color="auto" w:fill="auto"/>
          </w:tcPr>
          <w:p w14:paraId="021AC609" w14:textId="77777777" w:rsidR="00993EDA" w:rsidRPr="00C44B47" w:rsidRDefault="00993EDA" w:rsidP="00DD1FEA">
            <w:pPr>
              <w:rPr>
                <w:rFonts w:ascii="Arial" w:hAnsi="Arial" w:cs="Arial"/>
                <w:b/>
              </w:rPr>
            </w:pPr>
          </w:p>
        </w:tc>
        <w:tc>
          <w:tcPr>
            <w:tcW w:w="655" w:type="dxa"/>
          </w:tcPr>
          <w:p w14:paraId="582BF1D4"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tcPr>
          <w:p w14:paraId="28E93274" w14:textId="77777777" w:rsidR="00993EDA" w:rsidRPr="00C44B47" w:rsidRDefault="00993EDA" w:rsidP="00DD1FEA">
            <w:pPr>
              <w:rPr>
                <w:rFonts w:ascii="Arial" w:hAnsi="Arial" w:cs="Arial"/>
                <w:lang w:val="sr-Latn-ME"/>
              </w:rPr>
            </w:pPr>
            <w:r w:rsidRPr="00C44B47">
              <w:rPr>
                <w:rFonts w:ascii="Arial" w:hAnsi="Arial" w:cs="Arial"/>
              </w:rPr>
              <w:t>U svrhu realizacije preporuke Evropske komisije (</w:t>
            </w:r>
            <w:r w:rsidRPr="00C44B47">
              <w:rPr>
                <w:rFonts w:ascii="Arial" w:hAnsi="Arial" w:cs="Arial"/>
                <w:lang w:val="sr-Latn-ME"/>
              </w:rPr>
              <w:t xml:space="preserve">Izvještaj TAIEX ekspertske Misije o zaštiti potrošača u Crnoj Gori – ispunjavanje završnog mjerila za Poglavlje 28 od 26. do 29. septembra 2022. godine) </w:t>
            </w:r>
            <w:r w:rsidRPr="00C44B47">
              <w:rPr>
                <w:rFonts w:ascii="Arial" w:hAnsi="Arial" w:cs="Arial"/>
              </w:rPr>
              <w:t xml:space="preserve">o </w:t>
            </w:r>
            <w:r w:rsidRPr="00C44B47">
              <w:rPr>
                <w:rFonts w:ascii="Arial" w:hAnsi="Arial" w:cs="Arial"/>
                <w:lang w:val="sr-Latn-ME"/>
              </w:rPr>
              <w:t xml:space="preserve">jačanju finansijske i logističke podrške nevladinim organizacijama </w:t>
            </w:r>
            <w:r w:rsidRPr="00C44B47">
              <w:rPr>
                <w:rFonts w:ascii="Arial" w:hAnsi="Arial" w:cs="Arial"/>
              </w:rPr>
              <w:t xml:space="preserve">za zaštitu potrošača i drugim pravnim licima iz ove oblasti Ministarstvo će u skladu sa  Uredbom o uslovima za ustupanje poslova utvrđenih Nacionalnim programom zaštite potrošača i bližim kriterijumima , načinu i postupku finansiranja organizacija potrošača (,,Službeni list Crne Gore”, br. 40/15) raspisati Javni oglas za ustupanje pojedinih poslova </w:t>
            </w:r>
            <w:proofErr w:type="spellStart"/>
            <w:r w:rsidRPr="00C44B47">
              <w:rPr>
                <w:rFonts w:ascii="Arial" w:hAnsi="Arial" w:cs="Arial"/>
              </w:rPr>
              <w:t>predviđenih</w:t>
            </w:r>
            <w:proofErr w:type="spellEnd"/>
            <w:r w:rsidRPr="00C44B47">
              <w:rPr>
                <w:rFonts w:ascii="Arial" w:hAnsi="Arial" w:cs="Arial"/>
              </w:rPr>
              <w:t xml:space="preserve"> Nacionalnim programom zaštite potrošača.</w:t>
            </w:r>
          </w:p>
        </w:tc>
      </w:tr>
      <w:tr w:rsidR="00993EDA" w:rsidRPr="00C44B47" w14:paraId="7AD8FF31" w14:textId="77777777" w:rsidTr="00DD1FEA">
        <w:trPr>
          <w:trHeight w:val="250"/>
        </w:trPr>
        <w:tc>
          <w:tcPr>
            <w:tcW w:w="1218" w:type="dxa"/>
            <w:gridSpan w:val="2"/>
          </w:tcPr>
          <w:p w14:paraId="05548981" w14:textId="77777777" w:rsidR="00993EDA" w:rsidRPr="00C44B47" w:rsidRDefault="00993EDA" w:rsidP="00DD1FEA">
            <w:pPr>
              <w:rPr>
                <w:rFonts w:ascii="Arial" w:hAnsi="Arial" w:cs="Arial"/>
                <w:b/>
              </w:rPr>
            </w:pPr>
            <w:r w:rsidRPr="00C44B47">
              <w:rPr>
                <w:rFonts w:ascii="Arial" w:hAnsi="Arial" w:cs="Arial"/>
                <w:b/>
              </w:rPr>
              <w:t>2.3 Izrada novog sajta zaštite potrošača sa potrebnim registrima</w:t>
            </w:r>
          </w:p>
        </w:tc>
        <w:tc>
          <w:tcPr>
            <w:tcW w:w="925" w:type="dxa"/>
          </w:tcPr>
          <w:p w14:paraId="172BBD28" w14:textId="77777777" w:rsidR="00993EDA" w:rsidRPr="00C44B47" w:rsidRDefault="00993EDA" w:rsidP="00DD1FEA">
            <w:pPr>
              <w:rPr>
                <w:rFonts w:ascii="Arial" w:hAnsi="Arial" w:cs="Arial"/>
                <w:b/>
              </w:rPr>
            </w:pPr>
            <w:r w:rsidRPr="00C44B47">
              <w:rPr>
                <w:rFonts w:ascii="Arial" w:hAnsi="Arial" w:cs="Arial"/>
              </w:rPr>
              <w:t>Izrađen sajt</w:t>
            </w:r>
          </w:p>
        </w:tc>
        <w:tc>
          <w:tcPr>
            <w:tcW w:w="788" w:type="dxa"/>
            <w:gridSpan w:val="2"/>
          </w:tcPr>
          <w:p w14:paraId="04047037" w14:textId="77777777" w:rsidR="00993EDA" w:rsidRPr="00C44B47" w:rsidRDefault="00993EDA" w:rsidP="00DD1FEA">
            <w:pPr>
              <w:rPr>
                <w:rFonts w:ascii="Arial" w:hAnsi="Arial" w:cs="Arial"/>
                <w:b/>
              </w:rPr>
            </w:pPr>
            <w:r w:rsidRPr="00C44B47">
              <w:rPr>
                <w:rFonts w:ascii="Arial" w:hAnsi="Arial" w:cs="Arial"/>
              </w:rPr>
              <w:t>Ministarstvo ekonomskog razvoja</w:t>
            </w:r>
          </w:p>
        </w:tc>
        <w:tc>
          <w:tcPr>
            <w:tcW w:w="697" w:type="dxa"/>
          </w:tcPr>
          <w:p w14:paraId="3951A8CD" w14:textId="77777777" w:rsidR="00993EDA" w:rsidRPr="00C44B47" w:rsidRDefault="00993EDA" w:rsidP="00DD1FEA">
            <w:pPr>
              <w:rPr>
                <w:rFonts w:ascii="Arial" w:hAnsi="Arial" w:cs="Arial"/>
                <w:b/>
              </w:rPr>
            </w:pPr>
            <w:r w:rsidRPr="00C44B47">
              <w:rPr>
                <w:rFonts w:ascii="Arial" w:hAnsi="Arial" w:cs="Arial"/>
              </w:rPr>
              <w:t>II Q 2024</w:t>
            </w:r>
          </w:p>
        </w:tc>
        <w:tc>
          <w:tcPr>
            <w:tcW w:w="543" w:type="dxa"/>
          </w:tcPr>
          <w:p w14:paraId="0CC58A81" w14:textId="77777777" w:rsidR="00993EDA" w:rsidRPr="00C44B47" w:rsidRDefault="00993EDA" w:rsidP="00DD1FEA">
            <w:pPr>
              <w:rPr>
                <w:rFonts w:ascii="Arial" w:hAnsi="Arial" w:cs="Arial"/>
                <w:b/>
              </w:rPr>
            </w:pPr>
            <w:r w:rsidRPr="00C44B47">
              <w:rPr>
                <w:rFonts w:ascii="Arial" w:hAnsi="Arial" w:cs="Arial"/>
              </w:rPr>
              <w:t>III Q 2024</w:t>
            </w:r>
          </w:p>
        </w:tc>
        <w:tc>
          <w:tcPr>
            <w:tcW w:w="702" w:type="dxa"/>
            <w:shd w:val="clear" w:color="auto" w:fill="auto"/>
          </w:tcPr>
          <w:p w14:paraId="115F3C06" w14:textId="77777777" w:rsidR="00993EDA" w:rsidRPr="00C44B47" w:rsidRDefault="00993EDA" w:rsidP="00DD1FEA">
            <w:pPr>
              <w:rPr>
                <w:rFonts w:ascii="Arial" w:hAnsi="Arial" w:cs="Arial"/>
                <w:b/>
              </w:rPr>
            </w:pPr>
            <w:r w:rsidRPr="00C44B47">
              <w:rPr>
                <w:rFonts w:ascii="Arial" w:hAnsi="Arial" w:cs="Arial"/>
                <w:b/>
                <w:highlight w:val="green"/>
              </w:rPr>
              <w:t>Realizovano</w:t>
            </w:r>
          </w:p>
        </w:tc>
        <w:tc>
          <w:tcPr>
            <w:tcW w:w="828" w:type="dxa"/>
            <w:gridSpan w:val="3"/>
            <w:shd w:val="clear" w:color="auto" w:fill="auto"/>
          </w:tcPr>
          <w:p w14:paraId="0D8E7EC3" w14:textId="77777777" w:rsidR="00993EDA" w:rsidRPr="00C44B47" w:rsidRDefault="00993EDA" w:rsidP="00DD1FEA">
            <w:pPr>
              <w:rPr>
                <w:rFonts w:ascii="Arial" w:hAnsi="Arial" w:cs="Arial"/>
                <w:b/>
              </w:rPr>
            </w:pPr>
          </w:p>
        </w:tc>
        <w:tc>
          <w:tcPr>
            <w:tcW w:w="519" w:type="dxa"/>
            <w:shd w:val="clear" w:color="auto" w:fill="auto"/>
          </w:tcPr>
          <w:p w14:paraId="2EA1A461" w14:textId="77777777" w:rsidR="00993EDA" w:rsidRPr="00C44B47" w:rsidRDefault="00993EDA" w:rsidP="00DD1FEA">
            <w:pPr>
              <w:rPr>
                <w:rFonts w:ascii="Arial" w:hAnsi="Arial" w:cs="Arial"/>
                <w:b/>
              </w:rPr>
            </w:pPr>
            <w:r w:rsidRPr="00C44B47">
              <w:rPr>
                <w:rFonts w:ascii="Arial" w:hAnsi="Arial" w:cs="Arial"/>
              </w:rPr>
              <w:t xml:space="preserve">3.000 </w:t>
            </w:r>
            <w:proofErr w:type="spellStart"/>
            <w:r w:rsidRPr="00C44B47">
              <w:rPr>
                <w:rFonts w:ascii="Arial" w:hAnsi="Arial" w:cs="Arial"/>
              </w:rPr>
              <w:t>eur</w:t>
            </w:r>
            <w:proofErr w:type="spellEnd"/>
          </w:p>
        </w:tc>
        <w:tc>
          <w:tcPr>
            <w:tcW w:w="607" w:type="dxa"/>
            <w:shd w:val="clear" w:color="auto" w:fill="auto"/>
          </w:tcPr>
          <w:p w14:paraId="0A2BF728" w14:textId="77777777" w:rsidR="00993EDA" w:rsidRPr="00C44B47" w:rsidRDefault="00993EDA" w:rsidP="00DD1FEA">
            <w:pPr>
              <w:rPr>
                <w:rFonts w:ascii="Arial" w:hAnsi="Arial" w:cs="Arial"/>
                <w:b/>
              </w:rPr>
            </w:pPr>
            <w:r w:rsidRPr="00C44B47">
              <w:rPr>
                <w:rFonts w:ascii="Arial" w:hAnsi="Arial" w:cs="Arial"/>
                <w:b/>
              </w:rPr>
              <w:t>4.000</w:t>
            </w:r>
          </w:p>
        </w:tc>
        <w:tc>
          <w:tcPr>
            <w:tcW w:w="655" w:type="dxa"/>
          </w:tcPr>
          <w:p w14:paraId="53B56BCF"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tcPr>
          <w:p w14:paraId="71F5B977" w14:textId="77777777" w:rsidR="00993EDA" w:rsidRPr="00C44B47" w:rsidRDefault="00993EDA" w:rsidP="00DD1FEA">
            <w:pPr>
              <w:rPr>
                <w:rFonts w:ascii="Arial" w:hAnsi="Arial" w:cs="Arial"/>
              </w:rPr>
            </w:pPr>
            <w:r w:rsidRPr="00C44B47">
              <w:rPr>
                <w:rFonts w:ascii="Arial" w:hAnsi="Arial" w:cs="Arial"/>
              </w:rPr>
              <w:t>Kontinuirano unapređenje sajta.</w:t>
            </w:r>
          </w:p>
        </w:tc>
      </w:tr>
      <w:tr w:rsidR="00993EDA" w:rsidRPr="00C44B47" w14:paraId="0ED46EBD" w14:textId="77777777" w:rsidTr="00DD1FEA">
        <w:trPr>
          <w:trHeight w:val="250"/>
        </w:trPr>
        <w:tc>
          <w:tcPr>
            <w:tcW w:w="1218" w:type="dxa"/>
            <w:gridSpan w:val="2"/>
          </w:tcPr>
          <w:p w14:paraId="71C2E978" w14:textId="77777777" w:rsidR="00993EDA" w:rsidRPr="00C44B47" w:rsidRDefault="00993EDA" w:rsidP="00DD1FEA">
            <w:pPr>
              <w:rPr>
                <w:rFonts w:ascii="Arial" w:hAnsi="Arial" w:cs="Arial"/>
                <w:b/>
              </w:rPr>
            </w:pPr>
            <w:r w:rsidRPr="00C44B47">
              <w:rPr>
                <w:rFonts w:ascii="Arial" w:hAnsi="Arial" w:cs="Arial"/>
                <w:b/>
              </w:rPr>
              <w:t xml:space="preserve">2. 4 Kampanja za podizanje </w:t>
            </w:r>
            <w:proofErr w:type="spellStart"/>
            <w:r w:rsidRPr="00C44B47">
              <w:rPr>
                <w:rFonts w:ascii="Arial" w:hAnsi="Arial" w:cs="Arial"/>
                <w:b/>
              </w:rPr>
              <w:t>svijesti</w:t>
            </w:r>
            <w:proofErr w:type="spellEnd"/>
            <w:r w:rsidRPr="00C44B47">
              <w:rPr>
                <w:rFonts w:ascii="Arial" w:hAnsi="Arial" w:cs="Arial"/>
                <w:b/>
              </w:rPr>
              <w:t xml:space="preserve"> o kolektivnoj zaštiti prava potrošača/</w:t>
            </w:r>
            <w:proofErr w:type="spellStart"/>
            <w:r w:rsidRPr="00C44B47">
              <w:rPr>
                <w:rFonts w:ascii="Arial" w:hAnsi="Arial" w:cs="Arial"/>
                <w:b/>
              </w:rPr>
              <w:t>ica</w:t>
            </w:r>
            <w:proofErr w:type="spellEnd"/>
          </w:p>
        </w:tc>
        <w:tc>
          <w:tcPr>
            <w:tcW w:w="925" w:type="dxa"/>
          </w:tcPr>
          <w:p w14:paraId="5D83855F" w14:textId="77777777" w:rsidR="00993EDA" w:rsidRPr="00C44B47" w:rsidRDefault="00993EDA" w:rsidP="00DD1FEA">
            <w:pPr>
              <w:rPr>
                <w:rFonts w:ascii="Arial" w:hAnsi="Arial" w:cs="Arial"/>
                <w:b/>
              </w:rPr>
            </w:pPr>
            <w:r w:rsidRPr="00C44B47">
              <w:rPr>
                <w:rFonts w:ascii="Arial" w:hAnsi="Arial" w:cs="Arial"/>
              </w:rPr>
              <w:t>Organizovana najmanje dva događaja, za potrošače/</w:t>
            </w:r>
            <w:proofErr w:type="spellStart"/>
            <w:r w:rsidRPr="00C44B47">
              <w:rPr>
                <w:rFonts w:ascii="Arial" w:hAnsi="Arial" w:cs="Arial"/>
              </w:rPr>
              <w:t>ice</w:t>
            </w:r>
            <w:proofErr w:type="spellEnd"/>
            <w:r w:rsidRPr="00C44B47">
              <w:rPr>
                <w:rFonts w:ascii="Arial" w:hAnsi="Arial" w:cs="Arial"/>
              </w:rPr>
              <w:t xml:space="preserve"> i trgovce; Broj učesnika/</w:t>
            </w:r>
            <w:proofErr w:type="spellStart"/>
            <w:r w:rsidRPr="00C44B47">
              <w:rPr>
                <w:rFonts w:ascii="Arial" w:hAnsi="Arial" w:cs="Arial"/>
              </w:rPr>
              <w:t>ca</w:t>
            </w:r>
            <w:proofErr w:type="spellEnd"/>
            <w:r w:rsidRPr="00C44B47">
              <w:rPr>
                <w:rFonts w:ascii="Arial" w:hAnsi="Arial" w:cs="Arial"/>
              </w:rPr>
              <w:t xml:space="preserve"> po događaju – najmanj</w:t>
            </w:r>
            <w:r w:rsidRPr="00C44B47">
              <w:rPr>
                <w:rFonts w:ascii="Arial" w:hAnsi="Arial" w:cs="Arial"/>
              </w:rPr>
              <w:lastRenderedPageBreak/>
              <w:t>e 15, od čega najmanje 8 žena ; Izrađen informativno -edukativni materijal na relevantne teme; Broj distribuiranih i preuzetih materijala – najmanje 50.</w:t>
            </w:r>
          </w:p>
        </w:tc>
        <w:tc>
          <w:tcPr>
            <w:tcW w:w="788" w:type="dxa"/>
            <w:gridSpan w:val="2"/>
          </w:tcPr>
          <w:p w14:paraId="19A07331" w14:textId="77777777" w:rsidR="00993EDA" w:rsidRPr="00C44B47" w:rsidRDefault="00993EDA" w:rsidP="00DD1FEA">
            <w:pPr>
              <w:rPr>
                <w:rFonts w:ascii="Arial" w:hAnsi="Arial" w:cs="Arial"/>
                <w:b/>
              </w:rPr>
            </w:pPr>
            <w:r w:rsidRPr="00C44B47">
              <w:rPr>
                <w:rFonts w:ascii="Arial" w:hAnsi="Arial" w:cs="Arial"/>
              </w:rPr>
              <w:lastRenderedPageBreak/>
              <w:t>Ministarstvo ekonomskog razvoja</w:t>
            </w:r>
          </w:p>
        </w:tc>
        <w:tc>
          <w:tcPr>
            <w:tcW w:w="697" w:type="dxa"/>
          </w:tcPr>
          <w:p w14:paraId="3B6FE4EF" w14:textId="77777777" w:rsidR="00993EDA" w:rsidRPr="00C44B47" w:rsidRDefault="00993EDA" w:rsidP="00DD1FEA">
            <w:pPr>
              <w:rPr>
                <w:rFonts w:ascii="Arial" w:hAnsi="Arial" w:cs="Arial"/>
                <w:b/>
              </w:rPr>
            </w:pPr>
            <w:r w:rsidRPr="00C44B47">
              <w:rPr>
                <w:rFonts w:ascii="Arial" w:hAnsi="Arial" w:cs="Arial"/>
              </w:rPr>
              <w:t>III Q 2024</w:t>
            </w:r>
          </w:p>
        </w:tc>
        <w:tc>
          <w:tcPr>
            <w:tcW w:w="543" w:type="dxa"/>
          </w:tcPr>
          <w:p w14:paraId="4EAE7F43"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17551066" w14:textId="77777777" w:rsidR="00993EDA" w:rsidRPr="00C44B47" w:rsidRDefault="00993EDA" w:rsidP="00DD1FEA">
            <w:pPr>
              <w:rPr>
                <w:rFonts w:ascii="Arial" w:hAnsi="Arial" w:cs="Arial"/>
                <w:b/>
              </w:rPr>
            </w:pPr>
            <w:r w:rsidRPr="00C44B47">
              <w:rPr>
                <w:rFonts w:ascii="Arial" w:hAnsi="Arial" w:cs="Arial"/>
                <w:b/>
                <w:highlight w:val="red"/>
              </w:rPr>
              <w:t>Nerealizovano</w:t>
            </w:r>
          </w:p>
        </w:tc>
        <w:tc>
          <w:tcPr>
            <w:tcW w:w="828" w:type="dxa"/>
            <w:gridSpan w:val="3"/>
            <w:shd w:val="clear" w:color="auto" w:fill="auto"/>
          </w:tcPr>
          <w:p w14:paraId="3562D17A" w14:textId="77777777" w:rsidR="00993EDA" w:rsidRPr="00C44B47" w:rsidRDefault="00993EDA" w:rsidP="00DD1FEA">
            <w:pPr>
              <w:rPr>
                <w:rFonts w:ascii="Arial" w:hAnsi="Arial" w:cs="Arial"/>
                <w:b/>
              </w:rPr>
            </w:pPr>
            <w:r w:rsidRPr="00C44B47">
              <w:rPr>
                <w:rFonts w:ascii="Arial" w:hAnsi="Arial" w:cs="Arial"/>
                <w:b/>
              </w:rPr>
              <w:t>IV Q 2025</w:t>
            </w:r>
          </w:p>
        </w:tc>
        <w:tc>
          <w:tcPr>
            <w:tcW w:w="519" w:type="dxa"/>
            <w:shd w:val="clear" w:color="auto" w:fill="auto"/>
          </w:tcPr>
          <w:p w14:paraId="2B0B068B" w14:textId="77777777" w:rsidR="00993EDA" w:rsidRPr="00C44B47" w:rsidRDefault="00993EDA" w:rsidP="00DD1FEA">
            <w:pPr>
              <w:rPr>
                <w:rFonts w:ascii="Arial" w:hAnsi="Arial" w:cs="Arial"/>
                <w:b/>
              </w:rPr>
            </w:pPr>
            <w:r w:rsidRPr="00C44B47">
              <w:rPr>
                <w:rFonts w:ascii="Arial" w:hAnsi="Arial" w:cs="Arial"/>
              </w:rPr>
              <w:t xml:space="preserve">5. 000 </w:t>
            </w:r>
            <w:proofErr w:type="spellStart"/>
            <w:r w:rsidRPr="00C44B47">
              <w:rPr>
                <w:rFonts w:ascii="Arial" w:hAnsi="Arial" w:cs="Arial"/>
              </w:rPr>
              <w:t>eur</w:t>
            </w:r>
            <w:proofErr w:type="spellEnd"/>
          </w:p>
        </w:tc>
        <w:tc>
          <w:tcPr>
            <w:tcW w:w="607" w:type="dxa"/>
            <w:shd w:val="clear" w:color="auto" w:fill="auto"/>
          </w:tcPr>
          <w:p w14:paraId="6106D870" w14:textId="77777777" w:rsidR="00993EDA" w:rsidRPr="00C44B47" w:rsidRDefault="00993EDA" w:rsidP="00DD1FEA">
            <w:pPr>
              <w:rPr>
                <w:rFonts w:ascii="Arial" w:hAnsi="Arial" w:cs="Arial"/>
                <w:b/>
              </w:rPr>
            </w:pPr>
          </w:p>
        </w:tc>
        <w:tc>
          <w:tcPr>
            <w:tcW w:w="655" w:type="dxa"/>
          </w:tcPr>
          <w:p w14:paraId="5EAA27A3"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tcPr>
          <w:p w14:paraId="40BF8815" w14:textId="77777777" w:rsidR="00993EDA" w:rsidRPr="00C44B47" w:rsidRDefault="00993EDA" w:rsidP="00DD1FEA">
            <w:pPr>
              <w:rPr>
                <w:rFonts w:ascii="Arial" w:hAnsi="Arial" w:cs="Arial"/>
              </w:rPr>
            </w:pPr>
            <w:r w:rsidRPr="00C44B47">
              <w:rPr>
                <w:rFonts w:ascii="Arial" w:hAnsi="Arial" w:cs="Arial"/>
              </w:rPr>
              <w:t>Obzirom na to da je aktivnost uslovljena donošenjem novog Zakona o kolektivnim tužbama  biće realizovana nakon donošenja istog.</w:t>
            </w:r>
          </w:p>
        </w:tc>
      </w:tr>
      <w:tr w:rsidR="00993EDA" w:rsidRPr="00C44B47" w14:paraId="65A8BBD5" w14:textId="77777777" w:rsidTr="00DD1FEA">
        <w:trPr>
          <w:trHeight w:val="250"/>
        </w:trPr>
        <w:tc>
          <w:tcPr>
            <w:tcW w:w="1218" w:type="dxa"/>
            <w:gridSpan w:val="2"/>
          </w:tcPr>
          <w:p w14:paraId="06A90BBA" w14:textId="77777777" w:rsidR="00993EDA" w:rsidRPr="00C44B47" w:rsidRDefault="00993EDA" w:rsidP="00DD1FEA">
            <w:pPr>
              <w:rPr>
                <w:rFonts w:ascii="Arial" w:hAnsi="Arial" w:cs="Arial"/>
                <w:b/>
              </w:rPr>
            </w:pPr>
            <w:r w:rsidRPr="00C44B47">
              <w:rPr>
                <w:rFonts w:ascii="Arial" w:hAnsi="Arial" w:cs="Arial"/>
                <w:b/>
              </w:rPr>
              <w:t xml:space="preserve">2. 5 . Izrada Vodiča o novim pravilima saobraznosti i garancije sa fokusom na robu </w:t>
            </w:r>
            <w:r w:rsidRPr="00C44B47">
              <w:rPr>
                <w:rFonts w:ascii="Arial" w:hAnsi="Arial" w:cs="Arial"/>
                <w:b/>
              </w:rPr>
              <w:lastRenderedPageBreak/>
              <w:t xml:space="preserve">sa digitalnim elementom, digitalni sadržaj i usluge </w:t>
            </w:r>
          </w:p>
        </w:tc>
        <w:tc>
          <w:tcPr>
            <w:tcW w:w="925" w:type="dxa"/>
          </w:tcPr>
          <w:p w14:paraId="1E33817D" w14:textId="77777777" w:rsidR="00993EDA" w:rsidRPr="00C44B47" w:rsidRDefault="00993EDA" w:rsidP="00DD1FEA">
            <w:pPr>
              <w:rPr>
                <w:rFonts w:ascii="Arial" w:hAnsi="Arial" w:cs="Arial"/>
                <w:b/>
              </w:rPr>
            </w:pPr>
            <w:r w:rsidRPr="00C44B47">
              <w:rPr>
                <w:rFonts w:ascii="Arial" w:hAnsi="Arial" w:cs="Arial"/>
              </w:rPr>
              <w:lastRenderedPageBreak/>
              <w:t xml:space="preserve">Izrađen Vodič Broj </w:t>
            </w:r>
            <w:proofErr w:type="spellStart"/>
            <w:r w:rsidRPr="00C44B47">
              <w:rPr>
                <w:rFonts w:ascii="Arial" w:hAnsi="Arial" w:cs="Arial"/>
              </w:rPr>
              <w:t>podijeljenih</w:t>
            </w:r>
            <w:proofErr w:type="spellEnd"/>
            <w:r w:rsidRPr="00C44B47">
              <w:rPr>
                <w:rFonts w:ascii="Arial" w:hAnsi="Arial" w:cs="Arial"/>
              </w:rPr>
              <w:t xml:space="preserve"> i preuzetih </w:t>
            </w:r>
            <w:proofErr w:type="spellStart"/>
            <w:r w:rsidRPr="00C44B47">
              <w:rPr>
                <w:rFonts w:ascii="Arial" w:hAnsi="Arial" w:cs="Arial"/>
              </w:rPr>
              <w:t>primjeraka</w:t>
            </w:r>
            <w:proofErr w:type="spellEnd"/>
            <w:r w:rsidRPr="00C44B47">
              <w:rPr>
                <w:rFonts w:ascii="Arial" w:hAnsi="Arial" w:cs="Arial"/>
              </w:rPr>
              <w:t xml:space="preserve"> Vodiča – </w:t>
            </w:r>
            <w:r w:rsidRPr="00C44B47">
              <w:rPr>
                <w:rFonts w:ascii="Arial" w:hAnsi="Arial" w:cs="Arial"/>
              </w:rPr>
              <w:lastRenderedPageBreak/>
              <w:t>najmanje 50</w:t>
            </w:r>
          </w:p>
        </w:tc>
        <w:tc>
          <w:tcPr>
            <w:tcW w:w="788" w:type="dxa"/>
            <w:gridSpan w:val="2"/>
          </w:tcPr>
          <w:p w14:paraId="38FB649D" w14:textId="77777777" w:rsidR="00993EDA" w:rsidRPr="00C44B47" w:rsidRDefault="00993EDA" w:rsidP="00DD1FEA">
            <w:pPr>
              <w:rPr>
                <w:rFonts w:ascii="Arial" w:hAnsi="Arial" w:cs="Arial"/>
                <w:b/>
              </w:rPr>
            </w:pPr>
            <w:r w:rsidRPr="00C44B47">
              <w:rPr>
                <w:rFonts w:ascii="Arial" w:hAnsi="Arial" w:cs="Arial"/>
              </w:rPr>
              <w:lastRenderedPageBreak/>
              <w:t>Ministarstvo ekonomskog razvoja</w:t>
            </w:r>
          </w:p>
        </w:tc>
        <w:tc>
          <w:tcPr>
            <w:tcW w:w="697" w:type="dxa"/>
          </w:tcPr>
          <w:p w14:paraId="1F4FAA76" w14:textId="77777777" w:rsidR="00993EDA" w:rsidRPr="00C44B47" w:rsidRDefault="00993EDA" w:rsidP="00DD1FEA">
            <w:pPr>
              <w:rPr>
                <w:rFonts w:ascii="Arial" w:hAnsi="Arial" w:cs="Arial"/>
                <w:b/>
              </w:rPr>
            </w:pPr>
            <w:r w:rsidRPr="00C44B47">
              <w:rPr>
                <w:rFonts w:ascii="Arial" w:hAnsi="Arial" w:cs="Arial"/>
              </w:rPr>
              <w:t>III Q 2024</w:t>
            </w:r>
          </w:p>
        </w:tc>
        <w:tc>
          <w:tcPr>
            <w:tcW w:w="543" w:type="dxa"/>
          </w:tcPr>
          <w:p w14:paraId="4E4B3906"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36D771F3" w14:textId="77777777" w:rsidR="00993EDA" w:rsidRPr="00C44B47" w:rsidRDefault="00993EDA" w:rsidP="00DD1FEA">
            <w:pPr>
              <w:rPr>
                <w:rFonts w:ascii="Arial" w:hAnsi="Arial" w:cs="Arial"/>
                <w:b/>
              </w:rPr>
            </w:pPr>
            <w:r w:rsidRPr="00C44B47">
              <w:rPr>
                <w:rFonts w:ascii="Arial" w:hAnsi="Arial" w:cs="Arial"/>
                <w:b/>
                <w:highlight w:val="red"/>
              </w:rPr>
              <w:t>Nerealizovano</w:t>
            </w:r>
          </w:p>
        </w:tc>
        <w:tc>
          <w:tcPr>
            <w:tcW w:w="828" w:type="dxa"/>
            <w:gridSpan w:val="3"/>
            <w:shd w:val="clear" w:color="auto" w:fill="auto"/>
          </w:tcPr>
          <w:p w14:paraId="023B37CB" w14:textId="77777777" w:rsidR="00993EDA" w:rsidRPr="00C44B47" w:rsidRDefault="00993EDA" w:rsidP="00DD1FEA">
            <w:pPr>
              <w:rPr>
                <w:rFonts w:ascii="Arial" w:hAnsi="Arial" w:cs="Arial"/>
                <w:b/>
              </w:rPr>
            </w:pPr>
            <w:r w:rsidRPr="00C44B47">
              <w:rPr>
                <w:rFonts w:ascii="Arial" w:hAnsi="Arial" w:cs="Arial"/>
                <w:b/>
              </w:rPr>
              <w:t>IV Q 2025</w:t>
            </w:r>
          </w:p>
        </w:tc>
        <w:tc>
          <w:tcPr>
            <w:tcW w:w="519" w:type="dxa"/>
            <w:shd w:val="clear" w:color="auto" w:fill="auto"/>
          </w:tcPr>
          <w:p w14:paraId="34D82949" w14:textId="77777777" w:rsidR="00993EDA" w:rsidRPr="00C44B47" w:rsidRDefault="00993EDA" w:rsidP="00DD1FEA">
            <w:pPr>
              <w:rPr>
                <w:rFonts w:ascii="Arial" w:hAnsi="Arial" w:cs="Arial"/>
                <w:b/>
              </w:rPr>
            </w:pPr>
            <w:r w:rsidRPr="00C44B47">
              <w:rPr>
                <w:rFonts w:ascii="Arial" w:hAnsi="Arial" w:cs="Arial"/>
              </w:rPr>
              <w:t xml:space="preserve">1. 500 </w:t>
            </w:r>
            <w:proofErr w:type="spellStart"/>
            <w:r w:rsidRPr="00C44B47">
              <w:rPr>
                <w:rFonts w:ascii="Arial" w:hAnsi="Arial" w:cs="Arial"/>
              </w:rPr>
              <w:t>eur</w:t>
            </w:r>
            <w:proofErr w:type="spellEnd"/>
          </w:p>
        </w:tc>
        <w:tc>
          <w:tcPr>
            <w:tcW w:w="607" w:type="dxa"/>
            <w:shd w:val="clear" w:color="auto" w:fill="auto"/>
          </w:tcPr>
          <w:p w14:paraId="63B49463" w14:textId="77777777" w:rsidR="00993EDA" w:rsidRPr="00C44B47" w:rsidRDefault="00993EDA" w:rsidP="00DD1FEA">
            <w:pPr>
              <w:rPr>
                <w:rFonts w:ascii="Arial" w:hAnsi="Arial" w:cs="Arial"/>
                <w:b/>
              </w:rPr>
            </w:pPr>
          </w:p>
        </w:tc>
        <w:tc>
          <w:tcPr>
            <w:tcW w:w="655" w:type="dxa"/>
            <w:shd w:val="clear" w:color="auto" w:fill="auto"/>
          </w:tcPr>
          <w:p w14:paraId="21AD73A8"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tcPr>
          <w:p w14:paraId="163AB7C5" w14:textId="77777777" w:rsidR="00993EDA" w:rsidRPr="00C44B47" w:rsidRDefault="00993EDA" w:rsidP="00DD1FEA">
            <w:pPr>
              <w:rPr>
                <w:rFonts w:ascii="Arial" w:hAnsi="Arial" w:cs="Arial"/>
              </w:rPr>
            </w:pPr>
            <w:r w:rsidRPr="00C44B47">
              <w:rPr>
                <w:rFonts w:ascii="Arial" w:hAnsi="Arial" w:cs="Arial"/>
              </w:rPr>
              <w:t>Obzirom na to da je aktivnost uslovljena donošenjem novog Zakona o zaštiti potrošača biće realizovana nakon donošenja istog.</w:t>
            </w:r>
          </w:p>
        </w:tc>
      </w:tr>
      <w:tr w:rsidR="00993EDA" w:rsidRPr="00C44B47" w14:paraId="0F5E9AD1" w14:textId="77777777" w:rsidTr="00DD1FEA">
        <w:trPr>
          <w:trHeight w:val="250"/>
        </w:trPr>
        <w:tc>
          <w:tcPr>
            <w:tcW w:w="1218" w:type="dxa"/>
            <w:gridSpan w:val="2"/>
          </w:tcPr>
          <w:p w14:paraId="153ACE39" w14:textId="77777777" w:rsidR="00993EDA" w:rsidRPr="00C44B47" w:rsidRDefault="00993EDA" w:rsidP="00DD1FEA">
            <w:pPr>
              <w:rPr>
                <w:rFonts w:ascii="Arial" w:hAnsi="Arial" w:cs="Arial"/>
                <w:b/>
              </w:rPr>
            </w:pPr>
            <w:r w:rsidRPr="00C44B47">
              <w:rPr>
                <w:rFonts w:ascii="Arial" w:hAnsi="Arial" w:cs="Arial"/>
                <w:b/>
              </w:rPr>
              <w:t xml:space="preserve">2.6. </w:t>
            </w:r>
            <w:proofErr w:type="spellStart"/>
            <w:r w:rsidRPr="00C44B47">
              <w:rPr>
                <w:rFonts w:ascii="Arial" w:hAnsi="Arial" w:cs="Arial"/>
                <w:b/>
              </w:rPr>
              <w:t>Obilježavanje</w:t>
            </w:r>
            <w:proofErr w:type="spellEnd"/>
            <w:r w:rsidRPr="00C44B47">
              <w:rPr>
                <w:rFonts w:ascii="Arial" w:hAnsi="Arial" w:cs="Arial"/>
                <w:b/>
              </w:rPr>
              <w:t xml:space="preserve"> međunarodnog dana zaštite potrošača/</w:t>
            </w:r>
            <w:proofErr w:type="spellStart"/>
            <w:r w:rsidRPr="00C44B47">
              <w:rPr>
                <w:rFonts w:ascii="Arial" w:hAnsi="Arial" w:cs="Arial"/>
                <w:b/>
              </w:rPr>
              <w:t>ica</w:t>
            </w:r>
            <w:proofErr w:type="spellEnd"/>
          </w:p>
        </w:tc>
        <w:tc>
          <w:tcPr>
            <w:tcW w:w="925" w:type="dxa"/>
          </w:tcPr>
          <w:p w14:paraId="0C060D25" w14:textId="77777777" w:rsidR="00993EDA" w:rsidRPr="00C44B47" w:rsidRDefault="00993EDA" w:rsidP="00DD1FEA">
            <w:pPr>
              <w:rPr>
                <w:rFonts w:ascii="Arial" w:hAnsi="Arial" w:cs="Arial"/>
                <w:b/>
              </w:rPr>
            </w:pPr>
            <w:r w:rsidRPr="00C44B47">
              <w:rPr>
                <w:rFonts w:ascii="Arial" w:hAnsi="Arial" w:cs="Arial"/>
              </w:rPr>
              <w:t>Organizovan info dan na temu zaštite potrošača/</w:t>
            </w:r>
            <w:proofErr w:type="spellStart"/>
            <w:r w:rsidRPr="00C44B47">
              <w:rPr>
                <w:rFonts w:ascii="Arial" w:hAnsi="Arial" w:cs="Arial"/>
              </w:rPr>
              <w:t>ica</w:t>
            </w:r>
            <w:proofErr w:type="spellEnd"/>
            <w:r w:rsidRPr="00C44B47">
              <w:rPr>
                <w:rFonts w:ascii="Arial" w:hAnsi="Arial" w:cs="Arial"/>
              </w:rPr>
              <w:t xml:space="preserve"> za zainteresovanu opštu javnost uz učešće najmanje 5 predstavnika/</w:t>
            </w:r>
            <w:proofErr w:type="spellStart"/>
            <w:r w:rsidRPr="00C44B47">
              <w:rPr>
                <w:rFonts w:ascii="Arial" w:hAnsi="Arial" w:cs="Arial"/>
              </w:rPr>
              <w:t>ca</w:t>
            </w:r>
            <w:proofErr w:type="spellEnd"/>
            <w:r w:rsidRPr="00C44B47">
              <w:rPr>
                <w:rFonts w:ascii="Arial" w:hAnsi="Arial" w:cs="Arial"/>
              </w:rPr>
              <w:t xml:space="preserve"> MER, UIP i drugih resornih institucija</w:t>
            </w:r>
          </w:p>
        </w:tc>
        <w:tc>
          <w:tcPr>
            <w:tcW w:w="788" w:type="dxa"/>
            <w:gridSpan w:val="2"/>
          </w:tcPr>
          <w:p w14:paraId="5F32ECE7" w14:textId="77777777" w:rsidR="00993EDA" w:rsidRPr="00C44B47" w:rsidRDefault="00993EDA" w:rsidP="00DD1FEA">
            <w:pPr>
              <w:rPr>
                <w:rFonts w:ascii="Arial" w:hAnsi="Arial" w:cs="Arial"/>
                <w:b/>
              </w:rPr>
            </w:pPr>
            <w:r w:rsidRPr="00C44B47">
              <w:rPr>
                <w:rFonts w:ascii="Arial" w:hAnsi="Arial" w:cs="Arial"/>
              </w:rPr>
              <w:t>Ministarstvo ekonomskog razvoja; UIP; Resorne institucije</w:t>
            </w:r>
          </w:p>
        </w:tc>
        <w:tc>
          <w:tcPr>
            <w:tcW w:w="697" w:type="dxa"/>
          </w:tcPr>
          <w:p w14:paraId="3FB7370E" w14:textId="77777777" w:rsidR="00993EDA" w:rsidRPr="00C44B47" w:rsidRDefault="00993EDA" w:rsidP="00DD1FEA">
            <w:pPr>
              <w:rPr>
                <w:rFonts w:ascii="Arial" w:hAnsi="Arial" w:cs="Arial"/>
                <w:b/>
              </w:rPr>
            </w:pPr>
            <w:r w:rsidRPr="00C44B47">
              <w:rPr>
                <w:rFonts w:ascii="Arial" w:hAnsi="Arial" w:cs="Arial"/>
              </w:rPr>
              <w:t>IQ 2024</w:t>
            </w:r>
          </w:p>
        </w:tc>
        <w:tc>
          <w:tcPr>
            <w:tcW w:w="543" w:type="dxa"/>
          </w:tcPr>
          <w:p w14:paraId="72C7E575" w14:textId="77777777" w:rsidR="00993EDA" w:rsidRPr="00C44B47" w:rsidRDefault="00993EDA" w:rsidP="00DD1FEA">
            <w:pPr>
              <w:rPr>
                <w:rFonts w:ascii="Arial" w:hAnsi="Arial" w:cs="Arial"/>
                <w:b/>
              </w:rPr>
            </w:pPr>
            <w:r w:rsidRPr="00C44B47">
              <w:rPr>
                <w:rFonts w:ascii="Arial" w:hAnsi="Arial" w:cs="Arial"/>
              </w:rPr>
              <w:t>IQ 2024</w:t>
            </w:r>
          </w:p>
        </w:tc>
        <w:tc>
          <w:tcPr>
            <w:tcW w:w="702" w:type="dxa"/>
            <w:shd w:val="clear" w:color="auto" w:fill="auto"/>
          </w:tcPr>
          <w:p w14:paraId="79BA9D61" w14:textId="77777777" w:rsidR="00993EDA" w:rsidRPr="00C44B47" w:rsidRDefault="00993EDA" w:rsidP="00DD1FEA">
            <w:pPr>
              <w:rPr>
                <w:rFonts w:ascii="Arial" w:hAnsi="Arial" w:cs="Arial"/>
                <w:b/>
                <w:highlight w:val="green"/>
              </w:rPr>
            </w:pPr>
            <w:r w:rsidRPr="00C44B47">
              <w:rPr>
                <w:rFonts w:ascii="Arial" w:hAnsi="Arial" w:cs="Arial"/>
                <w:b/>
                <w:highlight w:val="green"/>
              </w:rPr>
              <w:t>Realizovano</w:t>
            </w:r>
          </w:p>
        </w:tc>
        <w:tc>
          <w:tcPr>
            <w:tcW w:w="828" w:type="dxa"/>
            <w:gridSpan w:val="3"/>
            <w:shd w:val="clear" w:color="auto" w:fill="auto"/>
          </w:tcPr>
          <w:p w14:paraId="07349764" w14:textId="77777777" w:rsidR="00993EDA" w:rsidRPr="00C44B47" w:rsidRDefault="00993EDA" w:rsidP="00DD1FEA">
            <w:pPr>
              <w:rPr>
                <w:rFonts w:ascii="Arial" w:hAnsi="Arial" w:cs="Arial"/>
                <w:b/>
                <w:highlight w:val="green"/>
              </w:rPr>
            </w:pPr>
          </w:p>
        </w:tc>
        <w:tc>
          <w:tcPr>
            <w:tcW w:w="519" w:type="dxa"/>
            <w:shd w:val="clear" w:color="auto" w:fill="auto"/>
          </w:tcPr>
          <w:p w14:paraId="07A08244" w14:textId="77777777" w:rsidR="00993EDA" w:rsidRPr="00C44B47" w:rsidRDefault="00993EDA" w:rsidP="00DD1FEA">
            <w:pPr>
              <w:rPr>
                <w:rFonts w:ascii="Arial" w:hAnsi="Arial" w:cs="Arial"/>
                <w:b/>
              </w:rPr>
            </w:pPr>
            <w:r w:rsidRPr="00C44B47">
              <w:rPr>
                <w:rFonts w:ascii="Arial" w:hAnsi="Arial" w:cs="Arial"/>
              </w:rPr>
              <w:t xml:space="preserve">1.000 </w:t>
            </w:r>
            <w:proofErr w:type="spellStart"/>
            <w:r w:rsidRPr="00C44B47">
              <w:rPr>
                <w:rFonts w:ascii="Arial" w:hAnsi="Arial" w:cs="Arial"/>
              </w:rPr>
              <w:t>eur</w:t>
            </w:r>
            <w:proofErr w:type="spellEnd"/>
          </w:p>
        </w:tc>
        <w:tc>
          <w:tcPr>
            <w:tcW w:w="607" w:type="dxa"/>
            <w:shd w:val="clear" w:color="auto" w:fill="auto"/>
          </w:tcPr>
          <w:p w14:paraId="33B22141" w14:textId="77777777" w:rsidR="00993EDA" w:rsidRPr="00C44B47" w:rsidRDefault="00993EDA" w:rsidP="00DD1FEA">
            <w:pPr>
              <w:rPr>
                <w:rFonts w:ascii="Arial" w:hAnsi="Arial" w:cs="Arial"/>
                <w:b/>
              </w:rPr>
            </w:pPr>
            <w:r w:rsidRPr="00C44B47">
              <w:rPr>
                <w:rFonts w:ascii="Arial" w:hAnsi="Arial" w:cs="Arial"/>
                <w:b/>
              </w:rPr>
              <w:t>1.000</w:t>
            </w:r>
          </w:p>
        </w:tc>
        <w:tc>
          <w:tcPr>
            <w:tcW w:w="655" w:type="dxa"/>
          </w:tcPr>
          <w:p w14:paraId="53B27714"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tcPr>
          <w:p w14:paraId="008F2A83" w14:textId="77777777" w:rsidR="00993EDA" w:rsidRPr="00C44B47" w:rsidRDefault="00993EDA" w:rsidP="00DD1FEA">
            <w:pPr>
              <w:rPr>
                <w:rFonts w:ascii="Arial" w:hAnsi="Arial" w:cs="Arial"/>
              </w:rPr>
            </w:pPr>
            <w:r w:rsidRPr="00C44B47">
              <w:rPr>
                <w:rFonts w:ascii="Arial" w:hAnsi="Arial" w:cs="Arial"/>
              </w:rPr>
              <w:t xml:space="preserve">Ministarstvo će kao i do sada upriličiti </w:t>
            </w:r>
            <w:proofErr w:type="spellStart"/>
            <w:r w:rsidRPr="00C44B47">
              <w:rPr>
                <w:rFonts w:ascii="Arial" w:hAnsi="Arial" w:cs="Arial"/>
              </w:rPr>
              <w:t>obilježavanje</w:t>
            </w:r>
            <w:proofErr w:type="spellEnd"/>
            <w:r w:rsidRPr="00C44B47">
              <w:rPr>
                <w:rFonts w:ascii="Arial" w:hAnsi="Arial" w:cs="Arial"/>
              </w:rPr>
              <w:t xml:space="preserve"> ovog događaja u vidu panel diskusija, tribina i sl.</w:t>
            </w:r>
          </w:p>
        </w:tc>
      </w:tr>
      <w:tr w:rsidR="00993EDA" w:rsidRPr="00C44B47" w14:paraId="27063396" w14:textId="77777777" w:rsidTr="00DD1FEA">
        <w:trPr>
          <w:trHeight w:val="250"/>
        </w:trPr>
        <w:tc>
          <w:tcPr>
            <w:tcW w:w="1218" w:type="dxa"/>
            <w:gridSpan w:val="2"/>
          </w:tcPr>
          <w:p w14:paraId="3B65F262" w14:textId="77777777" w:rsidR="00993EDA" w:rsidRPr="00C44B47" w:rsidRDefault="00993EDA" w:rsidP="00DD1FEA">
            <w:pPr>
              <w:rPr>
                <w:rFonts w:ascii="Arial" w:hAnsi="Arial" w:cs="Arial"/>
                <w:b/>
              </w:rPr>
            </w:pPr>
            <w:r w:rsidRPr="00C44B47">
              <w:rPr>
                <w:rFonts w:ascii="Arial" w:hAnsi="Arial" w:cs="Arial"/>
                <w:b/>
              </w:rPr>
              <w:lastRenderedPageBreak/>
              <w:t>2.7.Organizovanje „Otvorenih vrata“ na temu zaštita prava potrošača/</w:t>
            </w:r>
            <w:proofErr w:type="spellStart"/>
            <w:r w:rsidRPr="00C44B47">
              <w:rPr>
                <w:rFonts w:ascii="Arial" w:hAnsi="Arial" w:cs="Arial"/>
                <w:b/>
              </w:rPr>
              <w:t>ica</w:t>
            </w:r>
            <w:proofErr w:type="spellEnd"/>
          </w:p>
        </w:tc>
        <w:tc>
          <w:tcPr>
            <w:tcW w:w="925" w:type="dxa"/>
          </w:tcPr>
          <w:p w14:paraId="51107041" w14:textId="77777777" w:rsidR="00993EDA" w:rsidRPr="00C44B47" w:rsidRDefault="00993EDA" w:rsidP="00DD1FEA">
            <w:pPr>
              <w:rPr>
                <w:rFonts w:ascii="Arial" w:hAnsi="Arial" w:cs="Arial"/>
                <w:b/>
              </w:rPr>
            </w:pPr>
            <w:r w:rsidRPr="00C44B47">
              <w:rPr>
                <w:rFonts w:ascii="Arial" w:hAnsi="Arial" w:cs="Arial"/>
              </w:rPr>
              <w:t xml:space="preserve">Organizovan događaj u trajanju od dva dana u prostorijama </w:t>
            </w:r>
            <w:proofErr w:type="spellStart"/>
            <w:r w:rsidRPr="00C44B47">
              <w:rPr>
                <w:rFonts w:ascii="Arial" w:hAnsi="Arial" w:cs="Arial"/>
              </w:rPr>
              <w:t>UIPa</w:t>
            </w:r>
            <w:proofErr w:type="spellEnd"/>
            <w:r w:rsidRPr="00C44B47">
              <w:rPr>
                <w:rFonts w:ascii="Arial" w:hAnsi="Arial" w:cs="Arial"/>
              </w:rPr>
              <w:t xml:space="preserve">. Broj </w:t>
            </w:r>
            <w:proofErr w:type="spellStart"/>
            <w:r w:rsidRPr="00C44B47">
              <w:rPr>
                <w:rFonts w:ascii="Arial" w:hAnsi="Arial" w:cs="Arial"/>
              </w:rPr>
              <w:t>posjetilaca</w:t>
            </w:r>
            <w:proofErr w:type="spellEnd"/>
            <w:r w:rsidRPr="00C44B47">
              <w:rPr>
                <w:rFonts w:ascii="Arial" w:hAnsi="Arial" w:cs="Arial"/>
              </w:rPr>
              <w:t>/</w:t>
            </w:r>
            <w:proofErr w:type="spellStart"/>
            <w:r w:rsidRPr="00C44B47">
              <w:rPr>
                <w:rFonts w:ascii="Arial" w:hAnsi="Arial" w:cs="Arial"/>
              </w:rPr>
              <w:t>posjetiteljki</w:t>
            </w:r>
            <w:proofErr w:type="spellEnd"/>
            <w:r w:rsidRPr="00C44B47">
              <w:rPr>
                <w:rFonts w:ascii="Arial" w:hAnsi="Arial" w:cs="Arial"/>
              </w:rPr>
              <w:t xml:space="preserve"> najmanje 30</w:t>
            </w:r>
          </w:p>
        </w:tc>
        <w:tc>
          <w:tcPr>
            <w:tcW w:w="788" w:type="dxa"/>
            <w:gridSpan w:val="2"/>
          </w:tcPr>
          <w:p w14:paraId="7EAF5D41" w14:textId="77777777" w:rsidR="00993EDA" w:rsidRPr="00C44B47" w:rsidRDefault="00993EDA" w:rsidP="00DD1FEA">
            <w:pPr>
              <w:rPr>
                <w:rFonts w:ascii="Arial" w:hAnsi="Arial" w:cs="Arial"/>
                <w:b/>
              </w:rPr>
            </w:pPr>
            <w:r w:rsidRPr="00C44B47">
              <w:rPr>
                <w:rFonts w:ascii="Arial" w:hAnsi="Arial" w:cs="Arial"/>
              </w:rPr>
              <w:t>UIP</w:t>
            </w:r>
          </w:p>
        </w:tc>
        <w:tc>
          <w:tcPr>
            <w:tcW w:w="697" w:type="dxa"/>
          </w:tcPr>
          <w:p w14:paraId="2899792E" w14:textId="77777777" w:rsidR="00993EDA" w:rsidRPr="00C44B47" w:rsidRDefault="00993EDA" w:rsidP="00DD1FEA">
            <w:pPr>
              <w:rPr>
                <w:rFonts w:ascii="Arial" w:hAnsi="Arial" w:cs="Arial"/>
                <w:b/>
              </w:rPr>
            </w:pPr>
            <w:r w:rsidRPr="00C44B47">
              <w:rPr>
                <w:rFonts w:ascii="Arial" w:hAnsi="Arial" w:cs="Arial"/>
              </w:rPr>
              <w:t>IIQ 2024</w:t>
            </w:r>
          </w:p>
        </w:tc>
        <w:tc>
          <w:tcPr>
            <w:tcW w:w="543" w:type="dxa"/>
          </w:tcPr>
          <w:p w14:paraId="22CAA936" w14:textId="77777777" w:rsidR="00993EDA" w:rsidRPr="00C44B47" w:rsidRDefault="00993EDA" w:rsidP="00DD1FEA">
            <w:pPr>
              <w:rPr>
                <w:rFonts w:ascii="Arial" w:hAnsi="Arial" w:cs="Arial"/>
                <w:b/>
              </w:rPr>
            </w:pPr>
            <w:r w:rsidRPr="00C44B47">
              <w:rPr>
                <w:rFonts w:ascii="Arial" w:hAnsi="Arial" w:cs="Arial"/>
              </w:rPr>
              <w:t>IIQ 2024</w:t>
            </w:r>
          </w:p>
        </w:tc>
        <w:tc>
          <w:tcPr>
            <w:tcW w:w="702" w:type="dxa"/>
            <w:shd w:val="clear" w:color="auto" w:fill="auto"/>
          </w:tcPr>
          <w:p w14:paraId="53CA4BBE" w14:textId="77777777" w:rsidR="00993EDA" w:rsidRPr="00C44B47" w:rsidRDefault="00993EDA" w:rsidP="00DD1FEA">
            <w:pPr>
              <w:rPr>
                <w:rFonts w:ascii="Arial" w:hAnsi="Arial" w:cs="Arial"/>
                <w:b/>
              </w:rPr>
            </w:pPr>
            <w:r w:rsidRPr="0071026B">
              <w:rPr>
                <w:rFonts w:ascii="Arial" w:hAnsi="Arial" w:cs="Arial"/>
                <w:highlight w:val="red"/>
              </w:rPr>
              <w:t>Nerealizovano</w:t>
            </w:r>
          </w:p>
        </w:tc>
        <w:tc>
          <w:tcPr>
            <w:tcW w:w="828" w:type="dxa"/>
            <w:gridSpan w:val="3"/>
            <w:shd w:val="clear" w:color="auto" w:fill="auto"/>
          </w:tcPr>
          <w:p w14:paraId="12C88AAC" w14:textId="77777777" w:rsidR="00993EDA" w:rsidRPr="00C44B47" w:rsidRDefault="00993EDA" w:rsidP="00DD1FEA">
            <w:pPr>
              <w:rPr>
                <w:rFonts w:ascii="Arial" w:hAnsi="Arial" w:cs="Arial"/>
                <w:b/>
              </w:rPr>
            </w:pPr>
            <w:r w:rsidRPr="00C44B47">
              <w:rPr>
                <w:rFonts w:ascii="Arial" w:hAnsi="Arial" w:cs="Arial"/>
              </w:rPr>
              <w:t>IVQ 2025</w:t>
            </w:r>
          </w:p>
        </w:tc>
        <w:tc>
          <w:tcPr>
            <w:tcW w:w="519" w:type="dxa"/>
            <w:shd w:val="clear" w:color="auto" w:fill="auto"/>
          </w:tcPr>
          <w:p w14:paraId="327CA960" w14:textId="77777777" w:rsidR="00993EDA" w:rsidRPr="00C44B47" w:rsidRDefault="00993EDA" w:rsidP="00DD1FEA">
            <w:pPr>
              <w:rPr>
                <w:rFonts w:ascii="Arial" w:hAnsi="Arial" w:cs="Arial"/>
                <w:b/>
              </w:rPr>
            </w:pPr>
            <w:r w:rsidRPr="00C44B47">
              <w:rPr>
                <w:rFonts w:ascii="Arial" w:hAnsi="Arial" w:cs="Arial"/>
              </w:rPr>
              <w:t>Nijesu potrebna sredstva.</w:t>
            </w:r>
          </w:p>
        </w:tc>
        <w:tc>
          <w:tcPr>
            <w:tcW w:w="607" w:type="dxa"/>
            <w:shd w:val="clear" w:color="auto" w:fill="auto"/>
          </w:tcPr>
          <w:p w14:paraId="737A86E3" w14:textId="77777777" w:rsidR="00993EDA" w:rsidRPr="00C44B47" w:rsidRDefault="00993EDA" w:rsidP="00DD1FEA">
            <w:pPr>
              <w:rPr>
                <w:rFonts w:ascii="Arial" w:hAnsi="Arial" w:cs="Arial"/>
                <w:b/>
              </w:rPr>
            </w:pPr>
            <w:r w:rsidRPr="00C44B47">
              <w:rPr>
                <w:rFonts w:ascii="Arial" w:hAnsi="Arial" w:cs="Arial"/>
                <w:b/>
              </w:rPr>
              <w:t>/</w:t>
            </w:r>
          </w:p>
        </w:tc>
        <w:tc>
          <w:tcPr>
            <w:tcW w:w="655" w:type="dxa"/>
            <w:shd w:val="clear" w:color="auto" w:fill="auto"/>
          </w:tcPr>
          <w:p w14:paraId="3E95A974" w14:textId="77777777" w:rsidR="00993EDA" w:rsidRPr="00C44B47" w:rsidRDefault="00993EDA" w:rsidP="00DD1FEA">
            <w:pPr>
              <w:rPr>
                <w:rFonts w:ascii="Arial" w:hAnsi="Arial" w:cs="Arial"/>
                <w:b/>
              </w:rPr>
            </w:pPr>
            <w:r w:rsidRPr="00C44B47">
              <w:rPr>
                <w:rFonts w:ascii="Arial" w:hAnsi="Arial" w:cs="Arial"/>
                <w:b/>
              </w:rPr>
              <w:t>/</w:t>
            </w:r>
          </w:p>
        </w:tc>
        <w:tc>
          <w:tcPr>
            <w:tcW w:w="5468" w:type="dxa"/>
            <w:shd w:val="clear" w:color="auto" w:fill="auto"/>
          </w:tcPr>
          <w:p w14:paraId="0E928BB4" w14:textId="77777777" w:rsidR="00993EDA" w:rsidRPr="00C44B47" w:rsidRDefault="00993EDA" w:rsidP="00DD1FEA">
            <w:pPr>
              <w:rPr>
                <w:rFonts w:ascii="Arial" w:hAnsi="Arial" w:cs="Arial"/>
              </w:rPr>
            </w:pPr>
            <w:r w:rsidRPr="00C44B47">
              <w:rPr>
                <w:rFonts w:ascii="Arial" w:hAnsi="Arial" w:cs="Arial"/>
              </w:rPr>
              <w:t xml:space="preserve">Usled </w:t>
            </w:r>
            <w:proofErr w:type="spellStart"/>
            <w:r w:rsidRPr="00C44B47">
              <w:rPr>
                <w:rFonts w:ascii="Arial" w:hAnsi="Arial" w:cs="Arial"/>
              </w:rPr>
              <w:t>promjene</w:t>
            </w:r>
            <w:proofErr w:type="spellEnd"/>
            <w:r w:rsidRPr="00C44B47">
              <w:rPr>
                <w:rFonts w:ascii="Arial" w:hAnsi="Arial" w:cs="Arial"/>
              </w:rPr>
              <w:t xml:space="preserve"> organizacione strukture, navedeni događaj nije realizovan. Tržišna inspekcija može upriličiti </w:t>
            </w:r>
            <w:proofErr w:type="spellStart"/>
            <w:r w:rsidRPr="00C44B47">
              <w:rPr>
                <w:rFonts w:ascii="Arial" w:hAnsi="Arial" w:cs="Arial"/>
              </w:rPr>
              <w:t>obilježavanje</w:t>
            </w:r>
            <w:proofErr w:type="spellEnd"/>
            <w:r w:rsidRPr="00C44B47">
              <w:rPr>
                <w:rFonts w:ascii="Arial" w:hAnsi="Arial" w:cs="Arial"/>
              </w:rPr>
              <w:t xml:space="preserve"> ovog događaja u svojim prostorijama u toku 2025.</w:t>
            </w:r>
          </w:p>
        </w:tc>
      </w:tr>
      <w:tr w:rsidR="00993EDA" w:rsidRPr="00C44B47" w14:paraId="3689C587" w14:textId="77777777" w:rsidTr="00DD1FEA">
        <w:trPr>
          <w:trHeight w:val="250"/>
        </w:trPr>
        <w:tc>
          <w:tcPr>
            <w:tcW w:w="1218" w:type="dxa"/>
            <w:gridSpan w:val="2"/>
          </w:tcPr>
          <w:p w14:paraId="33F5C800" w14:textId="77777777" w:rsidR="00993EDA" w:rsidRPr="00C44B47" w:rsidRDefault="00993EDA" w:rsidP="00DD1FEA">
            <w:pPr>
              <w:rPr>
                <w:rFonts w:ascii="Arial" w:hAnsi="Arial" w:cs="Arial"/>
                <w:b/>
              </w:rPr>
            </w:pPr>
            <w:r w:rsidRPr="00C44B47">
              <w:rPr>
                <w:rFonts w:ascii="Arial" w:hAnsi="Arial" w:cs="Arial"/>
                <w:b/>
              </w:rPr>
              <w:t>2.8. Ažuriranje informacija na sajtu UIP-a i potrosac.me za potrebe informisanja potrošača/</w:t>
            </w:r>
            <w:proofErr w:type="spellStart"/>
            <w:r w:rsidRPr="00C44B47">
              <w:rPr>
                <w:rFonts w:ascii="Arial" w:hAnsi="Arial" w:cs="Arial"/>
                <w:b/>
              </w:rPr>
              <w:t>ica</w:t>
            </w:r>
            <w:proofErr w:type="spellEnd"/>
          </w:p>
        </w:tc>
        <w:tc>
          <w:tcPr>
            <w:tcW w:w="925" w:type="dxa"/>
          </w:tcPr>
          <w:p w14:paraId="77067EEA" w14:textId="77777777" w:rsidR="00993EDA" w:rsidRPr="00C44B47" w:rsidRDefault="00993EDA" w:rsidP="00DD1FEA">
            <w:pPr>
              <w:rPr>
                <w:rFonts w:ascii="Arial" w:hAnsi="Arial" w:cs="Arial"/>
                <w:b/>
              </w:rPr>
            </w:pPr>
            <w:r w:rsidRPr="00C44B47">
              <w:rPr>
                <w:rFonts w:ascii="Arial" w:hAnsi="Arial" w:cs="Arial"/>
              </w:rPr>
              <w:t>Broj članaka objavljenih na sajtu UIP-a i potrosac.me.</w:t>
            </w:r>
          </w:p>
        </w:tc>
        <w:tc>
          <w:tcPr>
            <w:tcW w:w="788" w:type="dxa"/>
            <w:gridSpan w:val="2"/>
          </w:tcPr>
          <w:p w14:paraId="4F3FCBD2" w14:textId="77777777" w:rsidR="00993EDA" w:rsidRPr="00C44B47" w:rsidRDefault="00993EDA" w:rsidP="00DD1FEA">
            <w:pPr>
              <w:rPr>
                <w:rFonts w:ascii="Arial" w:hAnsi="Arial" w:cs="Arial"/>
                <w:b/>
              </w:rPr>
            </w:pPr>
            <w:r w:rsidRPr="00C44B47">
              <w:rPr>
                <w:rFonts w:ascii="Arial" w:hAnsi="Arial" w:cs="Arial"/>
              </w:rPr>
              <w:t>UIP</w:t>
            </w:r>
          </w:p>
        </w:tc>
        <w:tc>
          <w:tcPr>
            <w:tcW w:w="697" w:type="dxa"/>
          </w:tcPr>
          <w:p w14:paraId="5D7B1805" w14:textId="77777777" w:rsidR="00993EDA" w:rsidRPr="00C44B47" w:rsidRDefault="00993EDA" w:rsidP="00DD1FEA">
            <w:pPr>
              <w:rPr>
                <w:rFonts w:ascii="Arial" w:hAnsi="Arial" w:cs="Arial"/>
                <w:b/>
              </w:rPr>
            </w:pPr>
            <w:r w:rsidRPr="00C44B47">
              <w:rPr>
                <w:rFonts w:ascii="Arial" w:hAnsi="Arial" w:cs="Arial"/>
              </w:rPr>
              <w:t>IQ 2024</w:t>
            </w:r>
          </w:p>
        </w:tc>
        <w:tc>
          <w:tcPr>
            <w:tcW w:w="543" w:type="dxa"/>
          </w:tcPr>
          <w:p w14:paraId="565564C3" w14:textId="77777777" w:rsidR="00993EDA" w:rsidRPr="00C44B47" w:rsidRDefault="00993EDA" w:rsidP="00DD1FEA">
            <w:pPr>
              <w:rPr>
                <w:rFonts w:ascii="Arial" w:hAnsi="Arial" w:cs="Arial"/>
                <w:b/>
              </w:rPr>
            </w:pPr>
            <w:r w:rsidRPr="00C44B47">
              <w:rPr>
                <w:rFonts w:ascii="Arial" w:hAnsi="Arial" w:cs="Arial"/>
              </w:rPr>
              <w:t>IVQ 2024</w:t>
            </w:r>
          </w:p>
        </w:tc>
        <w:tc>
          <w:tcPr>
            <w:tcW w:w="702" w:type="dxa"/>
            <w:shd w:val="clear" w:color="auto" w:fill="auto"/>
          </w:tcPr>
          <w:p w14:paraId="25076ABA" w14:textId="77777777" w:rsidR="00993EDA" w:rsidRPr="00C44B47" w:rsidRDefault="00993EDA" w:rsidP="00DD1FEA">
            <w:pPr>
              <w:rPr>
                <w:rFonts w:ascii="Arial" w:hAnsi="Arial" w:cs="Arial"/>
                <w:b/>
              </w:rPr>
            </w:pPr>
            <w:r w:rsidRPr="00C44B47">
              <w:rPr>
                <w:rFonts w:ascii="Arial" w:hAnsi="Arial" w:cs="Arial"/>
                <w:highlight w:val="red"/>
              </w:rPr>
              <w:t>Nerealizovano</w:t>
            </w:r>
          </w:p>
        </w:tc>
        <w:tc>
          <w:tcPr>
            <w:tcW w:w="828" w:type="dxa"/>
            <w:gridSpan w:val="3"/>
            <w:shd w:val="clear" w:color="auto" w:fill="auto"/>
          </w:tcPr>
          <w:p w14:paraId="28962BE7" w14:textId="77777777" w:rsidR="00993EDA" w:rsidRPr="00C44B47" w:rsidRDefault="00993EDA" w:rsidP="00DD1FEA">
            <w:pPr>
              <w:rPr>
                <w:rFonts w:ascii="Arial" w:hAnsi="Arial" w:cs="Arial"/>
              </w:rPr>
            </w:pPr>
            <w:r w:rsidRPr="00C44B47">
              <w:rPr>
                <w:rFonts w:ascii="Arial" w:hAnsi="Arial" w:cs="Arial"/>
              </w:rPr>
              <w:t>II - III Q 2025</w:t>
            </w:r>
          </w:p>
        </w:tc>
        <w:tc>
          <w:tcPr>
            <w:tcW w:w="519" w:type="dxa"/>
            <w:shd w:val="clear" w:color="auto" w:fill="auto"/>
          </w:tcPr>
          <w:p w14:paraId="241EF797" w14:textId="77777777" w:rsidR="00993EDA" w:rsidRPr="00C44B47" w:rsidRDefault="00993EDA" w:rsidP="00DD1FEA">
            <w:pPr>
              <w:rPr>
                <w:rFonts w:ascii="Arial" w:hAnsi="Arial" w:cs="Arial"/>
                <w:b/>
              </w:rPr>
            </w:pPr>
            <w:r w:rsidRPr="00C44B47">
              <w:rPr>
                <w:rFonts w:ascii="Arial" w:hAnsi="Arial" w:cs="Arial"/>
              </w:rPr>
              <w:t>Nijesu potrebna sredstva.</w:t>
            </w:r>
          </w:p>
        </w:tc>
        <w:tc>
          <w:tcPr>
            <w:tcW w:w="607" w:type="dxa"/>
            <w:shd w:val="clear" w:color="auto" w:fill="auto"/>
          </w:tcPr>
          <w:p w14:paraId="530D17F2" w14:textId="77777777" w:rsidR="00993EDA" w:rsidRPr="00C44B47" w:rsidRDefault="00993EDA" w:rsidP="00DD1FEA">
            <w:pPr>
              <w:rPr>
                <w:rFonts w:ascii="Arial" w:hAnsi="Arial" w:cs="Arial"/>
                <w:b/>
              </w:rPr>
            </w:pPr>
            <w:r w:rsidRPr="00C44B47">
              <w:rPr>
                <w:rFonts w:ascii="Arial" w:hAnsi="Arial" w:cs="Arial"/>
                <w:b/>
              </w:rPr>
              <w:t>/</w:t>
            </w:r>
          </w:p>
        </w:tc>
        <w:tc>
          <w:tcPr>
            <w:tcW w:w="655" w:type="dxa"/>
            <w:shd w:val="clear" w:color="auto" w:fill="auto"/>
          </w:tcPr>
          <w:p w14:paraId="385C92AE" w14:textId="77777777" w:rsidR="00993EDA" w:rsidRPr="00C44B47" w:rsidRDefault="00993EDA" w:rsidP="00DD1FEA">
            <w:pPr>
              <w:rPr>
                <w:rFonts w:ascii="Arial" w:hAnsi="Arial" w:cs="Arial"/>
                <w:b/>
              </w:rPr>
            </w:pPr>
            <w:r w:rsidRPr="00C44B47">
              <w:rPr>
                <w:rFonts w:ascii="Arial" w:hAnsi="Arial" w:cs="Arial"/>
                <w:b/>
              </w:rPr>
              <w:t>/</w:t>
            </w:r>
          </w:p>
        </w:tc>
        <w:tc>
          <w:tcPr>
            <w:tcW w:w="5468" w:type="dxa"/>
            <w:shd w:val="clear" w:color="auto" w:fill="auto"/>
          </w:tcPr>
          <w:p w14:paraId="5273E90A" w14:textId="77777777" w:rsidR="00993EDA" w:rsidRPr="00C44B47" w:rsidRDefault="00993EDA" w:rsidP="00DD1FEA">
            <w:pPr>
              <w:rPr>
                <w:rFonts w:ascii="Arial" w:hAnsi="Arial" w:cs="Arial"/>
              </w:rPr>
            </w:pPr>
            <w:r w:rsidRPr="00C44B47">
              <w:rPr>
                <w:rFonts w:ascii="Arial" w:hAnsi="Arial" w:cs="Arial"/>
              </w:rPr>
              <w:t xml:space="preserve">Usled </w:t>
            </w:r>
            <w:proofErr w:type="spellStart"/>
            <w:r w:rsidRPr="00C44B47">
              <w:rPr>
                <w:rFonts w:ascii="Arial" w:hAnsi="Arial" w:cs="Arial"/>
              </w:rPr>
              <w:t>promjene</w:t>
            </w:r>
            <w:proofErr w:type="spellEnd"/>
            <w:r w:rsidRPr="00C44B47">
              <w:rPr>
                <w:rFonts w:ascii="Arial" w:hAnsi="Arial" w:cs="Arial"/>
              </w:rPr>
              <w:t xml:space="preserve"> organizacione strukture, sajt potrosac.me nije bio u funkciji, pa samim tim nije ažuriran sajt UIP-a usled </w:t>
            </w:r>
            <w:proofErr w:type="spellStart"/>
            <w:r w:rsidRPr="00C44B47">
              <w:rPr>
                <w:rFonts w:ascii="Arial" w:hAnsi="Arial" w:cs="Arial"/>
              </w:rPr>
              <w:t>rasforminja</w:t>
            </w:r>
            <w:proofErr w:type="spellEnd"/>
            <w:r w:rsidRPr="00C44B47">
              <w:rPr>
                <w:rFonts w:ascii="Arial" w:hAnsi="Arial" w:cs="Arial"/>
              </w:rPr>
              <w:t xml:space="preserve"> institucije neće više biti ažuriran. Tržišna inspekcija redovno dostavlja informacije i Novosti u oblasti svog nadzora PR službi resornog ministarstva, koje te informacije dalje objavljuje na sajtu. </w:t>
            </w:r>
          </w:p>
          <w:p w14:paraId="43BFF794" w14:textId="77777777" w:rsidR="00993EDA" w:rsidRPr="00C44B47" w:rsidRDefault="00993EDA" w:rsidP="00DD1FEA">
            <w:pPr>
              <w:rPr>
                <w:rFonts w:ascii="Arial" w:hAnsi="Arial" w:cs="Arial"/>
              </w:rPr>
            </w:pPr>
            <w:r w:rsidRPr="00C44B47">
              <w:rPr>
                <w:rFonts w:ascii="Arial" w:hAnsi="Arial" w:cs="Arial"/>
              </w:rPr>
              <w:t>U budućnosti je planirano ažuriranje informacija i za potrebe sajta potrosac.me.</w:t>
            </w:r>
          </w:p>
        </w:tc>
      </w:tr>
      <w:tr w:rsidR="00993EDA" w:rsidRPr="00C44B47" w14:paraId="59FFFC13" w14:textId="77777777" w:rsidTr="00DD1FEA">
        <w:trPr>
          <w:trHeight w:val="250"/>
        </w:trPr>
        <w:tc>
          <w:tcPr>
            <w:tcW w:w="1218" w:type="dxa"/>
            <w:gridSpan w:val="2"/>
          </w:tcPr>
          <w:p w14:paraId="5E6BA0EF" w14:textId="77777777" w:rsidR="00993EDA" w:rsidRPr="00C44B47" w:rsidRDefault="00993EDA" w:rsidP="00DD1FEA">
            <w:pPr>
              <w:rPr>
                <w:rFonts w:ascii="Arial" w:hAnsi="Arial" w:cs="Arial"/>
                <w:b/>
              </w:rPr>
            </w:pPr>
            <w:r w:rsidRPr="00C44B47">
              <w:rPr>
                <w:rFonts w:ascii="Arial" w:hAnsi="Arial" w:cs="Arial"/>
                <w:b/>
              </w:rPr>
              <w:t>2.9. Promovisanje sistema potrošač.me putem medija</w:t>
            </w:r>
          </w:p>
        </w:tc>
        <w:tc>
          <w:tcPr>
            <w:tcW w:w="925" w:type="dxa"/>
          </w:tcPr>
          <w:p w14:paraId="6209E94F" w14:textId="77777777" w:rsidR="00993EDA" w:rsidRPr="00C44B47" w:rsidRDefault="00993EDA" w:rsidP="00DD1FEA">
            <w:pPr>
              <w:rPr>
                <w:rFonts w:ascii="Arial" w:hAnsi="Arial" w:cs="Arial"/>
                <w:b/>
              </w:rPr>
            </w:pPr>
            <w:r w:rsidRPr="00C44B47">
              <w:rPr>
                <w:rFonts w:ascii="Arial" w:hAnsi="Arial" w:cs="Arial"/>
              </w:rPr>
              <w:t>Broj TV emisija/izjava/priloga na temu promovi</w:t>
            </w:r>
            <w:r w:rsidRPr="00C44B47">
              <w:rPr>
                <w:rFonts w:ascii="Arial" w:hAnsi="Arial" w:cs="Arial"/>
              </w:rPr>
              <w:lastRenderedPageBreak/>
              <w:t>sanja sajta Najmanje 2 televizijske kuće koje će plasirati prilog o sajtu.</w:t>
            </w:r>
          </w:p>
        </w:tc>
        <w:tc>
          <w:tcPr>
            <w:tcW w:w="788" w:type="dxa"/>
            <w:gridSpan w:val="2"/>
          </w:tcPr>
          <w:p w14:paraId="31485889" w14:textId="77777777" w:rsidR="00993EDA" w:rsidRPr="00C44B47" w:rsidRDefault="00993EDA" w:rsidP="00DD1FEA">
            <w:pPr>
              <w:rPr>
                <w:rFonts w:ascii="Arial" w:hAnsi="Arial" w:cs="Arial"/>
                <w:b/>
              </w:rPr>
            </w:pPr>
            <w:r w:rsidRPr="00C44B47">
              <w:rPr>
                <w:rFonts w:ascii="Arial" w:hAnsi="Arial" w:cs="Arial"/>
              </w:rPr>
              <w:lastRenderedPageBreak/>
              <w:t>UIP</w:t>
            </w:r>
          </w:p>
        </w:tc>
        <w:tc>
          <w:tcPr>
            <w:tcW w:w="697" w:type="dxa"/>
          </w:tcPr>
          <w:p w14:paraId="3F795BA2" w14:textId="77777777" w:rsidR="00993EDA" w:rsidRPr="00C44B47" w:rsidRDefault="00993EDA" w:rsidP="00DD1FEA">
            <w:pPr>
              <w:rPr>
                <w:rFonts w:ascii="Arial" w:hAnsi="Arial" w:cs="Arial"/>
                <w:b/>
              </w:rPr>
            </w:pPr>
            <w:r w:rsidRPr="00C44B47">
              <w:rPr>
                <w:rFonts w:ascii="Arial" w:hAnsi="Arial" w:cs="Arial"/>
              </w:rPr>
              <w:t>IQ 2024</w:t>
            </w:r>
          </w:p>
        </w:tc>
        <w:tc>
          <w:tcPr>
            <w:tcW w:w="543" w:type="dxa"/>
          </w:tcPr>
          <w:p w14:paraId="2DBD23DA" w14:textId="77777777" w:rsidR="00993EDA" w:rsidRPr="00C44B47" w:rsidRDefault="00993EDA" w:rsidP="00DD1FEA">
            <w:pPr>
              <w:rPr>
                <w:rFonts w:ascii="Arial" w:hAnsi="Arial" w:cs="Arial"/>
                <w:b/>
              </w:rPr>
            </w:pPr>
            <w:r w:rsidRPr="00C44B47">
              <w:rPr>
                <w:rFonts w:ascii="Arial" w:hAnsi="Arial" w:cs="Arial"/>
              </w:rPr>
              <w:t>IVQ 2024</w:t>
            </w:r>
          </w:p>
        </w:tc>
        <w:tc>
          <w:tcPr>
            <w:tcW w:w="702" w:type="dxa"/>
            <w:shd w:val="clear" w:color="auto" w:fill="auto"/>
          </w:tcPr>
          <w:p w14:paraId="4C153F68" w14:textId="77777777" w:rsidR="00993EDA" w:rsidRPr="00C44B47" w:rsidRDefault="00993EDA" w:rsidP="00DD1FEA">
            <w:pPr>
              <w:rPr>
                <w:rFonts w:ascii="Arial" w:hAnsi="Arial" w:cs="Arial"/>
                <w:b/>
              </w:rPr>
            </w:pPr>
            <w:r w:rsidRPr="00C44B47">
              <w:rPr>
                <w:rFonts w:ascii="Arial" w:hAnsi="Arial" w:cs="Arial"/>
                <w:highlight w:val="red"/>
              </w:rPr>
              <w:t>Nerealizovano</w:t>
            </w:r>
          </w:p>
        </w:tc>
        <w:tc>
          <w:tcPr>
            <w:tcW w:w="828" w:type="dxa"/>
            <w:gridSpan w:val="3"/>
            <w:shd w:val="clear" w:color="auto" w:fill="auto"/>
          </w:tcPr>
          <w:p w14:paraId="662E511F" w14:textId="77777777" w:rsidR="00993EDA" w:rsidRPr="00C44B47" w:rsidRDefault="00993EDA" w:rsidP="00DD1FEA">
            <w:pPr>
              <w:rPr>
                <w:rFonts w:ascii="Arial" w:hAnsi="Arial" w:cs="Arial"/>
              </w:rPr>
            </w:pPr>
            <w:r w:rsidRPr="00C44B47">
              <w:rPr>
                <w:rFonts w:ascii="Arial" w:hAnsi="Arial" w:cs="Arial"/>
              </w:rPr>
              <w:t>II - III Q 2025</w:t>
            </w:r>
          </w:p>
        </w:tc>
        <w:tc>
          <w:tcPr>
            <w:tcW w:w="519" w:type="dxa"/>
            <w:shd w:val="clear" w:color="auto" w:fill="auto"/>
          </w:tcPr>
          <w:p w14:paraId="19EAF206" w14:textId="77777777" w:rsidR="00993EDA" w:rsidRPr="00C44B47" w:rsidRDefault="00993EDA" w:rsidP="00DD1FEA">
            <w:pPr>
              <w:rPr>
                <w:rFonts w:ascii="Arial" w:hAnsi="Arial" w:cs="Arial"/>
                <w:b/>
              </w:rPr>
            </w:pPr>
            <w:r w:rsidRPr="00C44B47">
              <w:rPr>
                <w:rFonts w:ascii="Arial" w:hAnsi="Arial" w:cs="Arial"/>
              </w:rPr>
              <w:t>Nijesu potrebna sre</w:t>
            </w:r>
            <w:r w:rsidRPr="00C44B47">
              <w:rPr>
                <w:rFonts w:ascii="Arial" w:hAnsi="Arial" w:cs="Arial"/>
              </w:rPr>
              <w:lastRenderedPageBreak/>
              <w:t>dstva.</w:t>
            </w:r>
          </w:p>
        </w:tc>
        <w:tc>
          <w:tcPr>
            <w:tcW w:w="607" w:type="dxa"/>
            <w:shd w:val="clear" w:color="auto" w:fill="auto"/>
          </w:tcPr>
          <w:p w14:paraId="655388E6" w14:textId="77777777" w:rsidR="00993EDA" w:rsidRPr="00C44B47" w:rsidRDefault="00993EDA" w:rsidP="00DD1FEA">
            <w:pPr>
              <w:rPr>
                <w:rFonts w:ascii="Arial" w:hAnsi="Arial" w:cs="Arial"/>
                <w:b/>
              </w:rPr>
            </w:pPr>
          </w:p>
        </w:tc>
        <w:tc>
          <w:tcPr>
            <w:tcW w:w="655" w:type="dxa"/>
            <w:shd w:val="clear" w:color="auto" w:fill="auto"/>
          </w:tcPr>
          <w:p w14:paraId="50B7CCA6" w14:textId="77777777" w:rsidR="00993EDA" w:rsidRPr="00C44B47" w:rsidRDefault="00993EDA" w:rsidP="00DD1FEA">
            <w:pPr>
              <w:rPr>
                <w:rFonts w:ascii="Arial" w:hAnsi="Arial" w:cs="Arial"/>
                <w:b/>
              </w:rPr>
            </w:pPr>
            <w:r w:rsidRPr="00C44B47">
              <w:rPr>
                <w:rFonts w:ascii="Arial" w:hAnsi="Arial" w:cs="Arial"/>
                <w:b/>
              </w:rPr>
              <w:t>/</w:t>
            </w:r>
          </w:p>
        </w:tc>
        <w:tc>
          <w:tcPr>
            <w:tcW w:w="5468" w:type="dxa"/>
            <w:shd w:val="clear" w:color="auto" w:fill="auto"/>
          </w:tcPr>
          <w:p w14:paraId="3632E821" w14:textId="77777777" w:rsidR="00993EDA" w:rsidRPr="00C44B47" w:rsidRDefault="00993EDA" w:rsidP="00DD1FEA">
            <w:pPr>
              <w:rPr>
                <w:rFonts w:ascii="Arial" w:hAnsi="Arial" w:cs="Arial"/>
              </w:rPr>
            </w:pPr>
            <w:r w:rsidRPr="00C44B47">
              <w:rPr>
                <w:rFonts w:ascii="Arial" w:hAnsi="Arial" w:cs="Arial"/>
              </w:rPr>
              <w:t xml:space="preserve">Usled </w:t>
            </w:r>
            <w:proofErr w:type="spellStart"/>
            <w:r w:rsidRPr="00C44B47">
              <w:rPr>
                <w:rFonts w:ascii="Arial" w:hAnsi="Arial" w:cs="Arial"/>
              </w:rPr>
              <w:t>promjene</w:t>
            </w:r>
            <w:proofErr w:type="spellEnd"/>
            <w:r w:rsidRPr="00C44B47">
              <w:rPr>
                <w:rFonts w:ascii="Arial" w:hAnsi="Arial" w:cs="Arial"/>
              </w:rPr>
              <w:t xml:space="preserve"> organizacione strukture, sajt nije bio u funkciji, pa samim tim nije mogao biti promovisan. U budućnosti je planirano da se navedenom posveti više medijske pažnje, odnosno kad sajt profunkcioniše.</w:t>
            </w:r>
          </w:p>
        </w:tc>
      </w:tr>
      <w:tr w:rsidR="00993EDA" w:rsidRPr="00C44B47" w14:paraId="4F8D0CA2" w14:textId="77777777" w:rsidTr="00DD1FEA">
        <w:trPr>
          <w:trHeight w:val="250"/>
        </w:trPr>
        <w:tc>
          <w:tcPr>
            <w:tcW w:w="1218" w:type="dxa"/>
            <w:gridSpan w:val="2"/>
          </w:tcPr>
          <w:p w14:paraId="4C7646AF" w14:textId="77777777" w:rsidR="00993EDA" w:rsidRPr="00C44B47" w:rsidRDefault="00993EDA" w:rsidP="00DD1FEA">
            <w:pPr>
              <w:rPr>
                <w:rFonts w:ascii="Arial" w:hAnsi="Arial" w:cs="Arial"/>
                <w:b/>
              </w:rPr>
            </w:pPr>
            <w:r w:rsidRPr="00C44B47">
              <w:rPr>
                <w:rFonts w:ascii="Arial" w:hAnsi="Arial" w:cs="Arial"/>
                <w:b/>
              </w:rPr>
              <w:t>2.10. Unapređenje internet stranice CBCG</w:t>
            </w:r>
          </w:p>
        </w:tc>
        <w:tc>
          <w:tcPr>
            <w:tcW w:w="925" w:type="dxa"/>
          </w:tcPr>
          <w:p w14:paraId="708282FC" w14:textId="77777777" w:rsidR="00993EDA" w:rsidRPr="00C44B47" w:rsidRDefault="00993EDA" w:rsidP="00DD1FEA">
            <w:pPr>
              <w:rPr>
                <w:rFonts w:ascii="Arial" w:hAnsi="Arial" w:cs="Arial"/>
                <w:b/>
              </w:rPr>
            </w:pPr>
            <w:r w:rsidRPr="00C44B47">
              <w:rPr>
                <w:rFonts w:ascii="Arial" w:hAnsi="Arial" w:cs="Arial"/>
              </w:rPr>
              <w:t>Unapređenje internet stranice CBCG, kreiranjem novog segmenta koji bi, potrošaču/</w:t>
            </w:r>
            <w:proofErr w:type="spellStart"/>
            <w:r w:rsidRPr="00C44B47">
              <w:rPr>
                <w:rFonts w:ascii="Arial" w:hAnsi="Arial" w:cs="Arial"/>
              </w:rPr>
              <w:t>ici</w:t>
            </w:r>
            <w:proofErr w:type="spellEnd"/>
            <w:r w:rsidRPr="00C44B47">
              <w:rPr>
                <w:rFonts w:ascii="Arial" w:hAnsi="Arial" w:cs="Arial"/>
              </w:rPr>
              <w:t xml:space="preserve"> omogućavao da na osnovu podataka o uslovima kreditiranja, dobije </w:t>
            </w:r>
            <w:r w:rsidRPr="00C44B47">
              <w:rPr>
                <w:rFonts w:ascii="Arial" w:hAnsi="Arial" w:cs="Arial"/>
              </w:rPr>
              <w:lastRenderedPageBreak/>
              <w:t>informaciju o najpovoljnijoj ponudi koja je prilagođena njegovom/njenom finansijskom stanju</w:t>
            </w:r>
          </w:p>
        </w:tc>
        <w:tc>
          <w:tcPr>
            <w:tcW w:w="788" w:type="dxa"/>
            <w:gridSpan w:val="2"/>
          </w:tcPr>
          <w:p w14:paraId="59E7EE76" w14:textId="77777777" w:rsidR="00993EDA" w:rsidRPr="00C44B47" w:rsidRDefault="00993EDA" w:rsidP="00DD1FEA">
            <w:pPr>
              <w:rPr>
                <w:rFonts w:ascii="Arial" w:hAnsi="Arial" w:cs="Arial"/>
                <w:b/>
              </w:rPr>
            </w:pPr>
            <w:r w:rsidRPr="00C44B47">
              <w:rPr>
                <w:rFonts w:ascii="Arial" w:hAnsi="Arial" w:cs="Arial"/>
              </w:rPr>
              <w:lastRenderedPageBreak/>
              <w:t>CBCG</w:t>
            </w:r>
          </w:p>
        </w:tc>
        <w:tc>
          <w:tcPr>
            <w:tcW w:w="697" w:type="dxa"/>
          </w:tcPr>
          <w:p w14:paraId="31B41AE1" w14:textId="77777777" w:rsidR="00993EDA" w:rsidRPr="00C44B47" w:rsidRDefault="00993EDA" w:rsidP="00DD1FEA">
            <w:pPr>
              <w:rPr>
                <w:rFonts w:ascii="Arial" w:hAnsi="Arial" w:cs="Arial"/>
                <w:b/>
              </w:rPr>
            </w:pPr>
            <w:r w:rsidRPr="00C44B47">
              <w:rPr>
                <w:rFonts w:ascii="Arial" w:hAnsi="Arial" w:cs="Arial"/>
              </w:rPr>
              <w:t>IV Q 2024</w:t>
            </w:r>
          </w:p>
        </w:tc>
        <w:tc>
          <w:tcPr>
            <w:tcW w:w="543" w:type="dxa"/>
          </w:tcPr>
          <w:p w14:paraId="657806CC"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48A9B0E0" w14:textId="77777777" w:rsidR="00993EDA" w:rsidRPr="00C44B47" w:rsidRDefault="00993EDA" w:rsidP="00DD1FEA">
            <w:pPr>
              <w:rPr>
                <w:rFonts w:ascii="Arial" w:hAnsi="Arial" w:cs="Arial"/>
                <w:b/>
              </w:rPr>
            </w:pPr>
            <w:r w:rsidRPr="00C44B47">
              <w:rPr>
                <w:rFonts w:ascii="Arial" w:hAnsi="Arial" w:cs="Arial"/>
                <w:b/>
                <w:highlight w:val="green"/>
              </w:rPr>
              <w:t>Realizovano</w:t>
            </w:r>
          </w:p>
        </w:tc>
        <w:tc>
          <w:tcPr>
            <w:tcW w:w="828" w:type="dxa"/>
            <w:gridSpan w:val="3"/>
            <w:shd w:val="clear" w:color="auto" w:fill="auto"/>
          </w:tcPr>
          <w:p w14:paraId="30F36960" w14:textId="77777777" w:rsidR="00993EDA" w:rsidRPr="00C44B47" w:rsidRDefault="00993EDA" w:rsidP="00DD1FEA">
            <w:pPr>
              <w:rPr>
                <w:rFonts w:ascii="Arial" w:hAnsi="Arial" w:cs="Arial"/>
                <w:b/>
              </w:rPr>
            </w:pPr>
            <w:r w:rsidRPr="00C44B47">
              <w:rPr>
                <w:rFonts w:ascii="Arial" w:hAnsi="Arial" w:cs="Arial"/>
                <w:b/>
              </w:rPr>
              <w:t>/</w:t>
            </w:r>
          </w:p>
        </w:tc>
        <w:tc>
          <w:tcPr>
            <w:tcW w:w="519" w:type="dxa"/>
            <w:shd w:val="clear" w:color="auto" w:fill="auto"/>
          </w:tcPr>
          <w:p w14:paraId="051E6637" w14:textId="77777777" w:rsidR="00993EDA" w:rsidRPr="00C44B47" w:rsidRDefault="00993EDA" w:rsidP="00DD1FEA">
            <w:pPr>
              <w:rPr>
                <w:rFonts w:ascii="Arial" w:hAnsi="Arial" w:cs="Arial"/>
                <w:b/>
              </w:rPr>
            </w:pPr>
            <w:r w:rsidRPr="00C44B47">
              <w:rPr>
                <w:rFonts w:ascii="Arial" w:hAnsi="Arial" w:cs="Arial"/>
              </w:rPr>
              <w:t>Nijesu potrebna sredstva.</w:t>
            </w:r>
          </w:p>
        </w:tc>
        <w:tc>
          <w:tcPr>
            <w:tcW w:w="607" w:type="dxa"/>
            <w:shd w:val="clear" w:color="auto" w:fill="auto"/>
          </w:tcPr>
          <w:p w14:paraId="7A43F364" w14:textId="77777777" w:rsidR="00993EDA" w:rsidRPr="00C44B47" w:rsidRDefault="00993EDA" w:rsidP="00DD1FEA">
            <w:pPr>
              <w:rPr>
                <w:rFonts w:ascii="Arial" w:hAnsi="Arial" w:cs="Arial"/>
                <w:b/>
              </w:rPr>
            </w:pPr>
            <w:r w:rsidRPr="00C44B47">
              <w:rPr>
                <w:rFonts w:ascii="Arial" w:hAnsi="Arial" w:cs="Arial"/>
                <w:b/>
              </w:rPr>
              <w:t>/</w:t>
            </w:r>
          </w:p>
        </w:tc>
        <w:tc>
          <w:tcPr>
            <w:tcW w:w="655" w:type="dxa"/>
            <w:shd w:val="clear" w:color="auto" w:fill="auto"/>
          </w:tcPr>
          <w:p w14:paraId="1BDD3200" w14:textId="77777777" w:rsidR="00993EDA" w:rsidRPr="00C44B47" w:rsidRDefault="00993EDA" w:rsidP="00DD1FEA">
            <w:pPr>
              <w:rPr>
                <w:rFonts w:ascii="Arial" w:hAnsi="Arial" w:cs="Arial"/>
                <w:b/>
              </w:rPr>
            </w:pPr>
            <w:r w:rsidRPr="00C44B47">
              <w:rPr>
                <w:rFonts w:ascii="Arial" w:hAnsi="Arial" w:cs="Arial"/>
              </w:rPr>
              <w:t>Budžet CBCG</w:t>
            </w:r>
          </w:p>
        </w:tc>
        <w:tc>
          <w:tcPr>
            <w:tcW w:w="5468" w:type="dxa"/>
            <w:shd w:val="clear" w:color="auto" w:fill="auto"/>
          </w:tcPr>
          <w:p w14:paraId="0FD3E86B" w14:textId="77777777" w:rsidR="00993EDA" w:rsidRPr="00C44B47" w:rsidRDefault="00993EDA" w:rsidP="00DD1FEA">
            <w:pPr>
              <w:rPr>
                <w:rFonts w:ascii="Arial" w:hAnsi="Arial" w:cs="Arial"/>
              </w:rPr>
            </w:pPr>
            <w:r w:rsidRPr="00C44B47">
              <w:rPr>
                <w:rFonts w:ascii="Arial" w:hAnsi="Arial" w:cs="Arial"/>
              </w:rPr>
              <w:t>Unapređenje internet stranice CBCG, kreiranjem novog segmenta koji bi, potrošaču omogućavao da na osnovu podataka o uslovima kreditiranja, dobije informaciju o najpovoljnijoj ponudi koja je prilagođena njegovom finansijskom stanju</w:t>
            </w:r>
          </w:p>
          <w:p w14:paraId="4F88101C" w14:textId="77777777" w:rsidR="00993EDA" w:rsidRPr="00C44B47" w:rsidRDefault="00993EDA" w:rsidP="00DD1FEA">
            <w:pPr>
              <w:rPr>
                <w:rFonts w:ascii="Arial" w:hAnsi="Arial" w:cs="Arial"/>
              </w:rPr>
            </w:pPr>
          </w:p>
          <w:p w14:paraId="31DEE7B3" w14:textId="77777777" w:rsidR="00993EDA" w:rsidRPr="00C44B47" w:rsidRDefault="00993EDA" w:rsidP="00DD1FEA">
            <w:pPr>
              <w:rPr>
                <w:rFonts w:ascii="Arial" w:hAnsi="Arial" w:cs="Arial"/>
              </w:rPr>
            </w:pPr>
          </w:p>
          <w:p w14:paraId="4F6B9C96" w14:textId="77777777" w:rsidR="00993EDA" w:rsidRPr="00C44B47" w:rsidRDefault="00993EDA" w:rsidP="00DD1FEA">
            <w:pPr>
              <w:rPr>
                <w:rFonts w:ascii="Arial" w:hAnsi="Arial" w:cs="Arial"/>
              </w:rPr>
            </w:pPr>
            <w:r w:rsidRPr="00C44B47">
              <w:rPr>
                <w:rFonts w:ascii="Arial" w:hAnsi="Arial" w:cs="Arial"/>
              </w:rPr>
              <w:t xml:space="preserve">Centralna banka Crne Gore objavljuje Informativnu listu ponude potrošačkih kredita, koja sadrži osnovne informacije koje su potrošačima potrebne prilikom donošenja odluke o izboru kredita, poput podataka o visini kamatne stope, periodu otplate kredita, vrsti kamatne stope (fiksna, </w:t>
            </w:r>
            <w:proofErr w:type="spellStart"/>
            <w:r w:rsidRPr="00C44B47">
              <w:rPr>
                <w:rFonts w:ascii="Arial" w:hAnsi="Arial" w:cs="Arial"/>
              </w:rPr>
              <w:t>promjenjiva</w:t>
            </w:r>
            <w:proofErr w:type="spellEnd"/>
            <w:r w:rsidRPr="00C44B47">
              <w:rPr>
                <w:rFonts w:ascii="Arial" w:hAnsi="Arial" w:cs="Arial"/>
              </w:rPr>
              <w:t xml:space="preserve"> ili kombinovana) i dr. </w:t>
            </w:r>
          </w:p>
          <w:p w14:paraId="6E63092C" w14:textId="77777777" w:rsidR="00993EDA" w:rsidRPr="00C44B47" w:rsidRDefault="00993EDA" w:rsidP="00DD1FEA">
            <w:pPr>
              <w:rPr>
                <w:rFonts w:ascii="Arial" w:hAnsi="Arial" w:cs="Arial"/>
              </w:rPr>
            </w:pPr>
            <w:r w:rsidRPr="00C44B47">
              <w:rPr>
                <w:rFonts w:ascii="Arial" w:hAnsi="Arial" w:cs="Arial"/>
              </w:rPr>
              <w:t>Informativna lista pruža informacije o ponudi svih kreditnih institucija za osam najčešćih vrsta potrošačkih kredita</w:t>
            </w:r>
          </w:p>
          <w:p w14:paraId="6863BF4A" w14:textId="77777777" w:rsidR="00993EDA" w:rsidRPr="00C44B47" w:rsidRDefault="00993EDA" w:rsidP="00DD1FEA">
            <w:pPr>
              <w:rPr>
                <w:rFonts w:ascii="Arial" w:hAnsi="Arial" w:cs="Arial"/>
              </w:rPr>
            </w:pPr>
          </w:p>
          <w:p w14:paraId="55AE5FB6" w14:textId="77777777" w:rsidR="00993EDA" w:rsidRPr="00C44B47" w:rsidRDefault="00993EDA" w:rsidP="00DD1FEA">
            <w:pPr>
              <w:rPr>
                <w:rFonts w:ascii="Arial" w:hAnsi="Arial" w:cs="Arial"/>
              </w:rPr>
            </w:pPr>
            <w:r w:rsidRPr="00C44B47">
              <w:rPr>
                <w:rFonts w:ascii="Arial" w:hAnsi="Arial" w:cs="Arial"/>
              </w:rPr>
              <w:t>https://www.cbcg.me/me/kljucne-funkcije/nadzor-usaglasenosti-poslovanja-i-zastita-prava/zastita-prava-klijenata-kreditnih-institucija-i-korisnika-finansijskih-usluga</w:t>
            </w:r>
          </w:p>
          <w:p w14:paraId="1D9A9D30" w14:textId="77777777" w:rsidR="00993EDA" w:rsidRPr="00C44B47" w:rsidRDefault="00993EDA" w:rsidP="00DD1FEA">
            <w:pPr>
              <w:rPr>
                <w:rFonts w:ascii="Arial" w:hAnsi="Arial" w:cs="Arial"/>
              </w:rPr>
            </w:pPr>
            <w:r w:rsidRPr="00C44B47">
              <w:rPr>
                <w:rFonts w:ascii="Arial" w:hAnsi="Arial" w:cs="Arial"/>
              </w:rPr>
              <w:t>U cilju unapređenja transparentnosti i zaštite prava potrošača, u kontinuitetu će biti unapređivana internet stranica CBCG</w:t>
            </w:r>
          </w:p>
        </w:tc>
      </w:tr>
      <w:tr w:rsidR="00993EDA" w:rsidRPr="00C44B47" w14:paraId="0D1B4C95" w14:textId="77777777" w:rsidTr="00DD1FEA">
        <w:trPr>
          <w:trHeight w:val="250"/>
        </w:trPr>
        <w:tc>
          <w:tcPr>
            <w:tcW w:w="1218" w:type="dxa"/>
            <w:gridSpan w:val="2"/>
          </w:tcPr>
          <w:p w14:paraId="712A86A7" w14:textId="77777777" w:rsidR="00993EDA" w:rsidRPr="00C44B47" w:rsidRDefault="00993EDA" w:rsidP="00DD1FEA">
            <w:pPr>
              <w:rPr>
                <w:rFonts w:ascii="Arial" w:hAnsi="Arial" w:cs="Arial"/>
                <w:b/>
              </w:rPr>
            </w:pPr>
            <w:r w:rsidRPr="00C44B47">
              <w:rPr>
                <w:rFonts w:ascii="Arial" w:hAnsi="Arial" w:cs="Arial"/>
                <w:b/>
              </w:rPr>
              <w:t xml:space="preserve">2.11. Izrada </w:t>
            </w:r>
            <w:proofErr w:type="spellStart"/>
            <w:r w:rsidRPr="00C44B47">
              <w:rPr>
                <w:rFonts w:ascii="Arial" w:hAnsi="Arial" w:cs="Arial"/>
                <w:b/>
              </w:rPr>
              <w:t>informativnoedukativnog</w:t>
            </w:r>
            <w:proofErr w:type="spellEnd"/>
            <w:r w:rsidRPr="00C44B47">
              <w:rPr>
                <w:rFonts w:ascii="Arial" w:hAnsi="Arial" w:cs="Arial"/>
                <w:b/>
              </w:rPr>
              <w:t xml:space="preserve"> materijala za potrošače/</w:t>
            </w:r>
            <w:proofErr w:type="spellStart"/>
            <w:r w:rsidRPr="00C44B47">
              <w:rPr>
                <w:rFonts w:ascii="Arial" w:hAnsi="Arial" w:cs="Arial"/>
                <w:b/>
              </w:rPr>
              <w:t>ice</w:t>
            </w:r>
            <w:proofErr w:type="spellEnd"/>
            <w:r w:rsidRPr="00C44B47">
              <w:rPr>
                <w:rFonts w:ascii="Arial" w:hAnsi="Arial" w:cs="Arial"/>
                <w:b/>
              </w:rPr>
              <w:t xml:space="preserve"> o njihovim pravima i postupku zaštite prava</w:t>
            </w:r>
          </w:p>
        </w:tc>
        <w:tc>
          <w:tcPr>
            <w:tcW w:w="925" w:type="dxa"/>
          </w:tcPr>
          <w:p w14:paraId="077CB2C7" w14:textId="77777777" w:rsidR="00993EDA" w:rsidRPr="00C44B47" w:rsidRDefault="00993EDA" w:rsidP="00DD1FEA">
            <w:pPr>
              <w:rPr>
                <w:rFonts w:ascii="Arial" w:hAnsi="Arial" w:cs="Arial"/>
                <w:b/>
              </w:rPr>
            </w:pPr>
            <w:r w:rsidRPr="00C44B47">
              <w:rPr>
                <w:rFonts w:ascii="Arial" w:hAnsi="Arial" w:cs="Arial"/>
              </w:rPr>
              <w:t xml:space="preserve">Izrađen informativno-edukativni materijal Broj distribuiranih </w:t>
            </w:r>
            <w:proofErr w:type="spellStart"/>
            <w:r w:rsidRPr="00C44B47">
              <w:rPr>
                <w:rFonts w:ascii="Arial" w:hAnsi="Arial" w:cs="Arial"/>
              </w:rPr>
              <w:t>primjeraka</w:t>
            </w:r>
            <w:proofErr w:type="spellEnd"/>
            <w:r w:rsidRPr="00C44B47">
              <w:rPr>
                <w:rFonts w:ascii="Arial" w:hAnsi="Arial" w:cs="Arial"/>
              </w:rPr>
              <w:t xml:space="preserve"> – najmanje 2000 </w:t>
            </w:r>
            <w:proofErr w:type="spellStart"/>
            <w:r w:rsidRPr="00C44B47">
              <w:rPr>
                <w:rFonts w:ascii="Arial" w:hAnsi="Arial" w:cs="Arial"/>
              </w:rPr>
              <w:t>primjeraka</w:t>
            </w:r>
            <w:proofErr w:type="spellEnd"/>
          </w:p>
        </w:tc>
        <w:tc>
          <w:tcPr>
            <w:tcW w:w="788" w:type="dxa"/>
            <w:gridSpan w:val="2"/>
          </w:tcPr>
          <w:p w14:paraId="55E32461" w14:textId="77777777" w:rsidR="00993EDA" w:rsidRPr="00C44B47" w:rsidRDefault="00993EDA" w:rsidP="00DD1FEA">
            <w:pPr>
              <w:rPr>
                <w:rFonts w:ascii="Arial" w:hAnsi="Arial" w:cs="Arial"/>
                <w:b/>
              </w:rPr>
            </w:pPr>
            <w:r w:rsidRPr="00C44B47">
              <w:rPr>
                <w:rFonts w:ascii="Arial" w:hAnsi="Arial" w:cs="Arial"/>
              </w:rPr>
              <w:t>CBCG</w:t>
            </w:r>
          </w:p>
        </w:tc>
        <w:tc>
          <w:tcPr>
            <w:tcW w:w="697" w:type="dxa"/>
          </w:tcPr>
          <w:p w14:paraId="05F77DE6" w14:textId="77777777" w:rsidR="00993EDA" w:rsidRPr="00C44B47" w:rsidRDefault="00993EDA" w:rsidP="00DD1FEA">
            <w:pPr>
              <w:rPr>
                <w:rFonts w:ascii="Arial" w:hAnsi="Arial" w:cs="Arial"/>
                <w:b/>
              </w:rPr>
            </w:pPr>
            <w:r w:rsidRPr="00C44B47">
              <w:rPr>
                <w:rFonts w:ascii="Arial" w:hAnsi="Arial" w:cs="Arial"/>
              </w:rPr>
              <w:t>IV Q 2024</w:t>
            </w:r>
          </w:p>
        </w:tc>
        <w:tc>
          <w:tcPr>
            <w:tcW w:w="543" w:type="dxa"/>
          </w:tcPr>
          <w:p w14:paraId="02A5A02C"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26FE73A1" w14:textId="77777777" w:rsidR="00993EDA" w:rsidRPr="00C44B47" w:rsidRDefault="00993EDA" w:rsidP="00DD1FEA">
            <w:pPr>
              <w:rPr>
                <w:rFonts w:ascii="Arial" w:hAnsi="Arial" w:cs="Arial"/>
                <w:b/>
              </w:rPr>
            </w:pPr>
            <w:r w:rsidRPr="00C44B47">
              <w:rPr>
                <w:rFonts w:ascii="Arial" w:hAnsi="Arial" w:cs="Arial"/>
                <w:b/>
                <w:highlight w:val="green"/>
              </w:rPr>
              <w:t>Realizovano</w:t>
            </w:r>
          </w:p>
        </w:tc>
        <w:tc>
          <w:tcPr>
            <w:tcW w:w="828" w:type="dxa"/>
            <w:gridSpan w:val="3"/>
            <w:shd w:val="clear" w:color="auto" w:fill="auto"/>
          </w:tcPr>
          <w:p w14:paraId="0AA6B173" w14:textId="77777777" w:rsidR="00993EDA" w:rsidRPr="00C44B47" w:rsidRDefault="00993EDA" w:rsidP="00DD1FEA">
            <w:pPr>
              <w:rPr>
                <w:rFonts w:ascii="Arial" w:hAnsi="Arial" w:cs="Arial"/>
                <w:b/>
              </w:rPr>
            </w:pPr>
          </w:p>
        </w:tc>
        <w:tc>
          <w:tcPr>
            <w:tcW w:w="519" w:type="dxa"/>
            <w:shd w:val="clear" w:color="auto" w:fill="auto"/>
          </w:tcPr>
          <w:p w14:paraId="37F2379C" w14:textId="77777777" w:rsidR="00993EDA" w:rsidRPr="00C44B47" w:rsidRDefault="00993EDA" w:rsidP="00DD1FEA">
            <w:pPr>
              <w:rPr>
                <w:rFonts w:ascii="Arial" w:hAnsi="Arial" w:cs="Arial"/>
                <w:b/>
              </w:rPr>
            </w:pPr>
            <w:r w:rsidRPr="00C44B47">
              <w:rPr>
                <w:rFonts w:ascii="Arial" w:hAnsi="Arial" w:cs="Arial"/>
              </w:rPr>
              <w:t xml:space="preserve">3000 </w:t>
            </w:r>
            <w:proofErr w:type="spellStart"/>
            <w:r w:rsidRPr="00C44B47">
              <w:rPr>
                <w:rFonts w:ascii="Arial" w:hAnsi="Arial" w:cs="Arial"/>
              </w:rPr>
              <w:t>eur</w:t>
            </w:r>
            <w:proofErr w:type="spellEnd"/>
          </w:p>
        </w:tc>
        <w:tc>
          <w:tcPr>
            <w:tcW w:w="607" w:type="dxa"/>
            <w:shd w:val="clear" w:color="auto" w:fill="auto"/>
          </w:tcPr>
          <w:p w14:paraId="624C234D" w14:textId="77777777" w:rsidR="00993EDA" w:rsidRPr="00C44B47" w:rsidRDefault="00993EDA" w:rsidP="00DD1FEA">
            <w:pPr>
              <w:rPr>
                <w:rFonts w:ascii="Arial" w:hAnsi="Arial" w:cs="Arial"/>
                <w:b/>
              </w:rPr>
            </w:pPr>
          </w:p>
        </w:tc>
        <w:tc>
          <w:tcPr>
            <w:tcW w:w="655" w:type="dxa"/>
            <w:shd w:val="clear" w:color="auto" w:fill="auto"/>
          </w:tcPr>
          <w:p w14:paraId="1DF333B1" w14:textId="77777777" w:rsidR="00993EDA" w:rsidRPr="00C44B47" w:rsidRDefault="00993EDA" w:rsidP="00DD1FEA">
            <w:pPr>
              <w:rPr>
                <w:rFonts w:ascii="Arial" w:hAnsi="Arial" w:cs="Arial"/>
                <w:b/>
              </w:rPr>
            </w:pPr>
            <w:r w:rsidRPr="00C44B47">
              <w:rPr>
                <w:rFonts w:ascii="Arial" w:hAnsi="Arial" w:cs="Arial"/>
              </w:rPr>
              <w:t>Budžet CBCG</w:t>
            </w:r>
          </w:p>
        </w:tc>
        <w:tc>
          <w:tcPr>
            <w:tcW w:w="5468" w:type="dxa"/>
            <w:shd w:val="clear" w:color="auto" w:fill="auto"/>
          </w:tcPr>
          <w:p w14:paraId="1612C44D" w14:textId="77777777" w:rsidR="00993EDA" w:rsidRPr="00C44B47" w:rsidRDefault="00000000" w:rsidP="00DD1FEA">
            <w:pPr>
              <w:widowControl w:val="0"/>
              <w:autoSpaceDE w:val="0"/>
              <w:autoSpaceDN w:val="0"/>
              <w:rPr>
                <w:rFonts w:ascii="Arial" w:eastAsia="Times New Roman" w:hAnsi="Arial" w:cs="Arial"/>
                <w:lang w:val="hr-HR"/>
              </w:rPr>
            </w:pPr>
            <w:hyperlink r:id="rId12" w:history="1">
              <w:r w:rsidR="00993EDA" w:rsidRPr="00C44B47">
                <w:rPr>
                  <w:rStyle w:val="Hyperlink"/>
                  <w:rFonts w:ascii="Arial" w:eastAsia="Times New Roman" w:hAnsi="Arial" w:cs="Arial"/>
                  <w:lang w:val="hr-HR"/>
                </w:rPr>
                <w:t>https://www.cbcg.me/slike_i_fajlovi/fajlovi/fajlovi_usagl_posl_zastita_prava/zastita_prava_klijenata/brosure_flajeri/zastita_klijenata_i_korisnika_finansijskih_usluga.pdf</w:t>
              </w:r>
            </w:hyperlink>
          </w:p>
          <w:p w14:paraId="69017DE2" w14:textId="77777777" w:rsidR="00993EDA" w:rsidRPr="00C44B47" w:rsidRDefault="00993EDA" w:rsidP="00DD1FEA">
            <w:pPr>
              <w:widowControl w:val="0"/>
              <w:autoSpaceDE w:val="0"/>
              <w:autoSpaceDN w:val="0"/>
              <w:rPr>
                <w:rFonts w:ascii="Arial" w:eastAsia="Times New Roman" w:hAnsi="Arial" w:cs="Arial"/>
                <w:lang w:val="hr-HR"/>
              </w:rPr>
            </w:pPr>
          </w:p>
          <w:p w14:paraId="794744FA" w14:textId="77777777" w:rsidR="00993EDA" w:rsidRPr="00C44B47" w:rsidRDefault="00000000" w:rsidP="00DD1FEA">
            <w:pPr>
              <w:widowControl w:val="0"/>
              <w:autoSpaceDE w:val="0"/>
              <w:autoSpaceDN w:val="0"/>
              <w:rPr>
                <w:rFonts w:ascii="Arial" w:eastAsia="Times New Roman" w:hAnsi="Arial" w:cs="Arial"/>
                <w:lang w:val="hr-HR"/>
              </w:rPr>
            </w:pPr>
            <w:hyperlink r:id="rId13" w:history="1">
              <w:r w:rsidR="00993EDA" w:rsidRPr="00C44B47">
                <w:rPr>
                  <w:rStyle w:val="Hyperlink"/>
                  <w:rFonts w:ascii="Arial" w:eastAsia="Times New Roman" w:hAnsi="Arial" w:cs="Arial"/>
                  <w:lang w:val="hr-HR"/>
                </w:rPr>
                <w:t>https://www.cbcg.me/slike_i_fajlovi/fajlovi/fajlovi_usagl_posl_zastita_prava/zastita_prava_klijenata/brosure_flajeri/potrosacki_krediti.pdf</w:t>
              </w:r>
            </w:hyperlink>
          </w:p>
          <w:p w14:paraId="3E2E3104" w14:textId="77777777" w:rsidR="00993EDA" w:rsidRPr="00C44B47" w:rsidRDefault="00993EDA" w:rsidP="00DD1FEA">
            <w:pPr>
              <w:rPr>
                <w:rFonts w:ascii="Arial" w:hAnsi="Arial" w:cs="Arial"/>
              </w:rPr>
            </w:pPr>
            <w:r w:rsidRPr="00C44B47">
              <w:rPr>
                <w:rFonts w:ascii="Arial" w:hAnsi="Arial" w:cs="Arial"/>
              </w:rPr>
              <w:t>U cilju dodatne edukacije potrošača, CBCG će kontinuirano raditi na štampanju edukativnog materijala koji će sadržavati ključne informacije o pravima potrošača, kao i postupku zaštite tih prava</w:t>
            </w:r>
          </w:p>
        </w:tc>
      </w:tr>
      <w:tr w:rsidR="00993EDA" w:rsidRPr="00C44B47" w14:paraId="21CAE3D8" w14:textId="77777777" w:rsidTr="00DD1FEA">
        <w:trPr>
          <w:trHeight w:val="250"/>
        </w:trPr>
        <w:tc>
          <w:tcPr>
            <w:tcW w:w="1218" w:type="dxa"/>
            <w:gridSpan w:val="2"/>
          </w:tcPr>
          <w:p w14:paraId="6B55B9B5" w14:textId="77777777" w:rsidR="00993EDA" w:rsidRPr="00C44B47" w:rsidRDefault="00993EDA" w:rsidP="00DD1FEA">
            <w:pPr>
              <w:rPr>
                <w:rFonts w:ascii="Arial" w:hAnsi="Arial" w:cs="Arial"/>
                <w:b/>
              </w:rPr>
            </w:pPr>
            <w:r w:rsidRPr="00C44B47">
              <w:rPr>
                <w:rFonts w:ascii="Arial" w:hAnsi="Arial" w:cs="Arial"/>
                <w:b/>
              </w:rPr>
              <w:t xml:space="preserve">2.12. Izrada informativnog video materijala o pravima </w:t>
            </w:r>
            <w:r w:rsidRPr="00C44B47">
              <w:rPr>
                <w:rFonts w:ascii="Arial" w:hAnsi="Arial" w:cs="Arial"/>
                <w:b/>
              </w:rPr>
              <w:lastRenderedPageBreak/>
              <w:t>potrošača/</w:t>
            </w:r>
            <w:proofErr w:type="spellStart"/>
            <w:r w:rsidRPr="00C44B47">
              <w:rPr>
                <w:rFonts w:ascii="Arial" w:hAnsi="Arial" w:cs="Arial"/>
                <w:b/>
              </w:rPr>
              <w:t>ica</w:t>
            </w:r>
            <w:proofErr w:type="spellEnd"/>
          </w:p>
        </w:tc>
        <w:tc>
          <w:tcPr>
            <w:tcW w:w="925" w:type="dxa"/>
          </w:tcPr>
          <w:p w14:paraId="52C23CD4" w14:textId="77777777" w:rsidR="00993EDA" w:rsidRPr="00C44B47" w:rsidRDefault="00993EDA" w:rsidP="00DD1FEA">
            <w:pPr>
              <w:rPr>
                <w:rFonts w:ascii="Arial" w:hAnsi="Arial" w:cs="Arial"/>
                <w:b/>
              </w:rPr>
            </w:pPr>
            <w:r w:rsidRPr="00C44B47">
              <w:rPr>
                <w:rFonts w:ascii="Arial" w:hAnsi="Arial" w:cs="Arial"/>
              </w:rPr>
              <w:lastRenderedPageBreak/>
              <w:t xml:space="preserve">Izrađen informativni-video materijal </w:t>
            </w:r>
            <w:r w:rsidRPr="00C44B47">
              <w:rPr>
                <w:rFonts w:ascii="Arial" w:hAnsi="Arial" w:cs="Arial"/>
              </w:rPr>
              <w:lastRenderedPageBreak/>
              <w:t>Emitovanje video materijala preko društvenih mreža (najmanje jedne društvene mreže)</w:t>
            </w:r>
          </w:p>
        </w:tc>
        <w:tc>
          <w:tcPr>
            <w:tcW w:w="788" w:type="dxa"/>
            <w:gridSpan w:val="2"/>
          </w:tcPr>
          <w:p w14:paraId="00A47666" w14:textId="77777777" w:rsidR="00993EDA" w:rsidRPr="00C44B47" w:rsidRDefault="00993EDA" w:rsidP="00DD1FEA">
            <w:pPr>
              <w:rPr>
                <w:rFonts w:ascii="Arial" w:hAnsi="Arial" w:cs="Arial"/>
                <w:b/>
              </w:rPr>
            </w:pPr>
            <w:r w:rsidRPr="00C44B47">
              <w:rPr>
                <w:rFonts w:ascii="Arial" w:hAnsi="Arial" w:cs="Arial"/>
              </w:rPr>
              <w:lastRenderedPageBreak/>
              <w:t>CBCG</w:t>
            </w:r>
          </w:p>
        </w:tc>
        <w:tc>
          <w:tcPr>
            <w:tcW w:w="697" w:type="dxa"/>
          </w:tcPr>
          <w:p w14:paraId="405ED151" w14:textId="77777777" w:rsidR="00993EDA" w:rsidRPr="00C44B47" w:rsidRDefault="00993EDA" w:rsidP="00DD1FEA">
            <w:pPr>
              <w:rPr>
                <w:rFonts w:ascii="Arial" w:hAnsi="Arial" w:cs="Arial"/>
                <w:b/>
              </w:rPr>
            </w:pPr>
            <w:r w:rsidRPr="00C44B47">
              <w:rPr>
                <w:rFonts w:ascii="Arial" w:hAnsi="Arial" w:cs="Arial"/>
              </w:rPr>
              <w:t>IV Q 2024</w:t>
            </w:r>
          </w:p>
        </w:tc>
        <w:tc>
          <w:tcPr>
            <w:tcW w:w="543" w:type="dxa"/>
          </w:tcPr>
          <w:p w14:paraId="1090D4FD"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1F47B492" w14:textId="77777777" w:rsidR="00993EDA" w:rsidRPr="00C44B47" w:rsidRDefault="00993EDA" w:rsidP="00DD1FEA">
            <w:pPr>
              <w:rPr>
                <w:rFonts w:ascii="Arial" w:hAnsi="Arial" w:cs="Arial"/>
                <w:b/>
                <w:highlight w:val="green"/>
              </w:rPr>
            </w:pPr>
            <w:r w:rsidRPr="00C44B47">
              <w:rPr>
                <w:rFonts w:ascii="Arial" w:hAnsi="Arial" w:cs="Arial"/>
                <w:b/>
                <w:highlight w:val="green"/>
              </w:rPr>
              <w:t>Realizovano</w:t>
            </w:r>
          </w:p>
        </w:tc>
        <w:tc>
          <w:tcPr>
            <w:tcW w:w="828" w:type="dxa"/>
            <w:gridSpan w:val="3"/>
            <w:shd w:val="clear" w:color="auto" w:fill="auto"/>
          </w:tcPr>
          <w:p w14:paraId="1CE70388" w14:textId="77777777" w:rsidR="00993EDA" w:rsidRPr="00C44B47" w:rsidRDefault="00993EDA" w:rsidP="00DD1FEA">
            <w:pPr>
              <w:rPr>
                <w:rFonts w:ascii="Arial" w:hAnsi="Arial" w:cs="Arial"/>
                <w:b/>
              </w:rPr>
            </w:pPr>
          </w:p>
        </w:tc>
        <w:tc>
          <w:tcPr>
            <w:tcW w:w="519" w:type="dxa"/>
            <w:shd w:val="clear" w:color="auto" w:fill="auto"/>
          </w:tcPr>
          <w:p w14:paraId="657F3E9D" w14:textId="77777777" w:rsidR="00993EDA" w:rsidRPr="00C44B47" w:rsidRDefault="00993EDA" w:rsidP="00DD1FEA">
            <w:pPr>
              <w:rPr>
                <w:rFonts w:ascii="Arial" w:hAnsi="Arial" w:cs="Arial"/>
                <w:b/>
              </w:rPr>
            </w:pPr>
            <w:r w:rsidRPr="00C44B47">
              <w:rPr>
                <w:rFonts w:ascii="Arial" w:hAnsi="Arial" w:cs="Arial"/>
              </w:rPr>
              <w:t xml:space="preserve">Nijesu potrebna </w:t>
            </w:r>
            <w:r w:rsidRPr="00C44B47">
              <w:rPr>
                <w:rFonts w:ascii="Arial" w:hAnsi="Arial" w:cs="Arial"/>
              </w:rPr>
              <w:lastRenderedPageBreak/>
              <w:t>sredstva</w:t>
            </w:r>
          </w:p>
        </w:tc>
        <w:tc>
          <w:tcPr>
            <w:tcW w:w="607" w:type="dxa"/>
            <w:shd w:val="clear" w:color="auto" w:fill="auto"/>
          </w:tcPr>
          <w:p w14:paraId="5D91EE71" w14:textId="77777777" w:rsidR="00993EDA" w:rsidRPr="00C44B47" w:rsidRDefault="00993EDA" w:rsidP="00DD1FEA">
            <w:pPr>
              <w:rPr>
                <w:rFonts w:ascii="Arial" w:hAnsi="Arial" w:cs="Arial"/>
                <w:b/>
              </w:rPr>
            </w:pPr>
          </w:p>
        </w:tc>
        <w:tc>
          <w:tcPr>
            <w:tcW w:w="655" w:type="dxa"/>
            <w:shd w:val="clear" w:color="auto" w:fill="auto"/>
          </w:tcPr>
          <w:p w14:paraId="427543FC" w14:textId="77777777" w:rsidR="00993EDA" w:rsidRPr="00C44B47" w:rsidRDefault="00993EDA" w:rsidP="00DD1FEA">
            <w:pPr>
              <w:rPr>
                <w:rFonts w:ascii="Arial" w:hAnsi="Arial" w:cs="Arial"/>
                <w:b/>
              </w:rPr>
            </w:pPr>
            <w:r w:rsidRPr="00C44B47">
              <w:rPr>
                <w:rFonts w:ascii="Arial" w:hAnsi="Arial" w:cs="Arial"/>
              </w:rPr>
              <w:t>Budžet CBCG</w:t>
            </w:r>
          </w:p>
        </w:tc>
        <w:tc>
          <w:tcPr>
            <w:tcW w:w="5468" w:type="dxa"/>
            <w:shd w:val="clear" w:color="auto" w:fill="auto"/>
          </w:tcPr>
          <w:p w14:paraId="27BDF9B5" w14:textId="77777777" w:rsidR="00993EDA" w:rsidRPr="00C44B47" w:rsidRDefault="00000000" w:rsidP="00DD1FEA">
            <w:pPr>
              <w:rPr>
                <w:rFonts w:ascii="Arial" w:hAnsi="Arial" w:cs="Arial"/>
                <w:b/>
                <w:lang w:val="hr-HR"/>
              </w:rPr>
            </w:pPr>
            <w:hyperlink r:id="rId14" w:history="1">
              <w:r w:rsidR="00993EDA" w:rsidRPr="00C44B47">
                <w:rPr>
                  <w:rStyle w:val="Hyperlink"/>
                  <w:rFonts w:ascii="Arial" w:hAnsi="Arial" w:cs="Arial"/>
                  <w:b/>
                </w:rPr>
                <w:t>https://www.facebook.com/share/r/18L3M9CGCq/</w:t>
              </w:r>
            </w:hyperlink>
          </w:p>
          <w:p w14:paraId="3E216274" w14:textId="77777777" w:rsidR="00993EDA" w:rsidRPr="00C44B47" w:rsidRDefault="00993EDA" w:rsidP="00DD1FEA">
            <w:pPr>
              <w:rPr>
                <w:rFonts w:ascii="Arial" w:hAnsi="Arial" w:cs="Arial"/>
              </w:rPr>
            </w:pPr>
            <w:r w:rsidRPr="00C44B47">
              <w:rPr>
                <w:rFonts w:ascii="Arial" w:hAnsi="Arial" w:cs="Arial"/>
              </w:rPr>
              <w:t>U cilju dodatne edukacije potrošača, CBCG će raditi na edukativnom materijalu koji će sadržavati ključne informacije o pravima potrošača, kao i postupku zaštite tih prava</w:t>
            </w:r>
          </w:p>
        </w:tc>
      </w:tr>
      <w:tr w:rsidR="00993EDA" w:rsidRPr="00C44B47" w14:paraId="0F9A1BB3" w14:textId="77777777" w:rsidTr="00DD1FEA">
        <w:trPr>
          <w:trHeight w:val="250"/>
        </w:trPr>
        <w:tc>
          <w:tcPr>
            <w:tcW w:w="1218" w:type="dxa"/>
            <w:gridSpan w:val="2"/>
          </w:tcPr>
          <w:p w14:paraId="7F9397ED" w14:textId="77777777" w:rsidR="00993EDA" w:rsidRPr="00C44B47" w:rsidRDefault="00993EDA" w:rsidP="00DD1FEA">
            <w:pPr>
              <w:rPr>
                <w:rFonts w:ascii="Arial" w:hAnsi="Arial" w:cs="Arial"/>
                <w:b/>
              </w:rPr>
            </w:pPr>
            <w:r w:rsidRPr="00C44B47">
              <w:rPr>
                <w:rFonts w:ascii="Arial" w:hAnsi="Arial" w:cs="Arial"/>
                <w:b/>
              </w:rPr>
              <w:t>2.13. Sprovođenje linearnog tematskog ispitivanje praksi kreditora prilikom pružanja usluga potrošačkog kreditiranja</w:t>
            </w:r>
          </w:p>
        </w:tc>
        <w:tc>
          <w:tcPr>
            <w:tcW w:w="925" w:type="dxa"/>
          </w:tcPr>
          <w:p w14:paraId="5C3863B8" w14:textId="77777777" w:rsidR="00993EDA" w:rsidRPr="00C44B47" w:rsidRDefault="00993EDA" w:rsidP="00DD1FEA">
            <w:pPr>
              <w:rPr>
                <w:rFonts w:ascii="Arial" w:hAnsi="Arial" w:cs="Arial"/>
                <w:b/>
              </w:rPr>
            </w:pPr>
            <w:r w:rsidRPr="00C44B47">
              <w:rPr>
                <w:rFonts w:ascii="Arial" w:hAnsi="Arial" w:cs="Arial"/>
              </w:rPr>
              <w:t xml:space="preserve">Sprovođenje tematskog ispitivanja </w:t>
            </w:r>
            <w:proofErr w:type="spellStart"/>
            <w:r w:rsidRPr="00C44B47">
              <w:rPr>
                <w:rFonts w:ascii="Arial" w:hAnsi="Arial" w:cs="Arial"/>
              </w:rPr>
              <w:t>kreditrora</w:t>
            </w:r>
            <w:proofErr w:type="spellEnd"/>
            <w:r w:rsidRPr="00C44B47">
              <w:rPr>
                <w:rFonts w:ascii="Arial" w:hAnsi="Arial" w:cs="Arial"/>
              </w:rPr>
              <w:t xml:space="preserve"> Najmanje jedno tematsko ispitivanje - 19 kreditora</w:t>
            </w:r>
          </w:p>
        </w:tc>
        <w:tc>
          <w:tcPr>
            <w:tcW w:w="788" w:type="dxa"/>
            <w:gridSpan w:val="2"/>
          </w:tcPr>
          <w:p w14:paraId="7A567703" w14:textId="77777777" w:rsidR="00993EDA" w:rsidRPr="00C44B47" w:rsidRDefault="00993EDA" w:rsidP="00DD1FEA">
            <w:pPr>
              <w:rPr>
                <w:rFonts w:ascii="Arial" w:hAnsi="Arial" w:cs="Arial"/>
                <w:b/>
              </w:rPr>
            </w:pPr>
            <w:r w:rsidRPr="00C44B47">
              <w:rPr>
                <w:rFonts w:ascii="Arial" w:hAnsi="Arial" w:cs="Arial"/>
              </w:rPr>
              <w:t>CBCG</w:t>
            </w:r>
          </w:p>
        </w:tc>
        <w:tc>
          <w:tcPr>
            <w:tcW w:w="697" w:type="dxa"/>
          </w:tcPr>
          <w:p w14:paraId="6220A0E1" w14:textId="77777777" w:rsidR="00993EDA" w:rsidRPr="00C44B47" w:rsidRDefault="00993EDA" w:rsidP="00DD1FEA">
            <w:pPr>
              <w:rPr>
                <w:rFonts w:ascii="Arial" w:hAnsi="Arial" w:cs="Arial"/>
                <w:b/>
              </w:rPr>
            </w:pPr>
            <w:r w:rsidRPr="00C44B47">
              <w:rPr>
                <w:rFonts w:ascii="Arial" w:hAnsi="Arial" w:cs="Arial"/>
              </w:rPr>
              <w:t>IV Q 2024</w:t>
            </w:r>
          </w:p>
        </w:tc>
        <w:tc>
          <w:tcPr>
            <w:tcW w:w="543" w:type="dxa"/>
          </w:tcPr>
          <w:p w14:paraId="18C8BC12"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67E3BA54" w14:textId="77777777" w:rsidR="00993EDA" w:rsidRPr="00C44B47" w:rsidRDefault="00993EDA" w:rsidP="00DD1FEA">
            <w:pPr>
              <w:rPr>
                <w:rFonts w:ascii="Arial" w:hAnsi="Arial" w:cs="Arial"/>
                <w:b/>
              </w:rPr>
            </w:pPr>
            <w:r w:rsidRPr="00C44B47">
              <w:rPr>
                <w:rFonts w:ascii="Arial" w:hAnsi="Arial" w:cs="Arial"/>
                <w:b/>
                <w:highlight w:val="green"/>
              </w:rPr>
              <w:t>Realizovano</w:t>
            </w:r>
          </w:p>
        </w:tc>
        <w:tc>
          <w:tcPr>
            <w:tcW w:w="828" w:type="dxa"/>
            <w:gridSpan w:val="3"/>
            <w:shd w:val="clear" w:color="auto" w:fill="auto"/>
          </w:tcPr>
          <w:p w14:paraId="267026C6" w14:textId="77777777" w:rsidR="00993EDA" w:rsidRPr="00C44B47" w:rsidRDefault="00993EDA" w:rsidP="00DD1FEA">
            <w:pPr>
              <w:rPr>
                <w:rFonts w:ascii="Arial" w:hAnsi="Arial" w:cs="Arial"/>
                <w:b/>
              </w:rPr>
            </w:pPr>
          </w:p>
        </w:tc>
        <w:tc>
          <w:tcPr>
            <w:tcW w:w="519" w:type="dxa"/>
            <w:shd w:val="clear" w:color="auto" w:fill="auto"/>
          </w:tcPr>
          <w:p w14:paraId="378C2FE1" w14:textId="77777777" w:rsidR="00993EDA" w:rsidRPr="00C44B47" w:rsidRDefault="00993EDA" w:rsidP="00DD1FEA">
            <w:pPr>
              <w:rPr>
                <w:rFonts w:ascii="Arial" w:hAnsi="Arial" w:cs="Arial"/>
                <w:b/>
              </w:rPr>
            </w:pPr>
            <w:r w:rsidRPr="00C44B47">
              <w:rPr>
                <w:rFonts w:ascii="Arial" w:hAnsi="Arial" w:cs="Arial"/>
              </w:rPr>
              <w:t>Nijesu potrebna sredstva</w:t>
            </w:r>
          </w:p>
        </w:tc>
        <w:tc>
          <w:tcPr>
            <w:tcW w:w="607" w:type="dxa"/>
            <w:shd w:val="clear" w:color="auto" w:fill="auto"/>
          </w:tcPr>
          <w:p w14:paraId="18159C30" w14:textId="77777777" w:rsidR="00993EDA" w:rsidRPr="00C44B47" w:rsidRDefault="00993EDA" w:rsidP="00DD1FEA">
            <w:pPr>
              <w:rPr>
                <w:rFonts w:ascii="Arial" w:hAnsi="Arial" w:cs="Arial"/>
                <w:b/>
              </w:rPr>
            </w:pPr>
          </w:p>
        </w:tc>
        <w:tc>
          <w:tcPr>
            <w:tcW w:w="655" w:type="dxa"/>
            <w:shd w:val="clear" w:color="auto" w:fill="auto"/>
          </w:tcPr>
          <w:p w14:paraId="1015A1ED" w14:textId="77777777" w:rsidR="00993EDA" w:rsidRPr="00C44B47" w:rsidRDefault="00993EDA" w:rsidP="00DD1FEA">
            <w:pPr>
              <w:rPr>
                <w:rFonts w:ascii="Arial" w:hAnsi="Arial" w:cs="Arial"/>
                <w:b/>
              </w:rPr>
            </w:pPr>
            <w:r w:rsidRPr="00C44B47">
              <w:rPr>
                <w:rFonts w:ascii="Arial" w:hAnsi="Arial" w:cs="Arial"/>
              </w:rPr>
              <w:t>Budžet CBCG</w:t>
            </w:r>
          </w:p>
        </w:tc>
        <w:tc>
          <w:tcPr>
            <w:tcW w:w="5468" w:type="dxa"/>
            <w:shd w:val="clear" w:color="auto" w:fill="auto"/>
          </w:tcPr>
          <w:p w14:paraId="28F1B553" w14:textId="77777777" w:rsidR="00993EDA" w:rsidRPr="00C44B47" w:rsidRDefault="00993EDA" w:rsidP="00DD1FEA">
            <w:pPr>
              <w:spacing w:before="100" w:beforeAutospacing="1"/>
              <w:jc w:val="both"/>
              <w:rPr>
                <w:rFonts w:ascii="Arial" w:eastAsia="Times New Roman" w:hAnsi="Arial" w:cs="Arial"/>
              </w:rPr>
            </w:pPr>
            <w:r w:rsidRPr="00C44B47">
              <w:rPr>
                <w:rFonts w:ascii="Arial" w:hAnsi="Arial" w:cs="Arial"/>
                <w:bCs/>
              </w:rPr>
              <w:t>Ostvarujući jednu od svojih ključnih funkcija, CBCG je, u cilju zaštite prava potrošača, sprovela istraživanje sa fokusom na najranjiviju kategoriju potrošača koji se suočavaju sa problemima u otplati, u cilju utvrđivanja sljedećeg:</w:t>
            </w:r>
          </w:p>
          <w:p w14:paraId="5BC5FBC8" w14:textId="77777777" w:rsidR="00993EDA" w:rsidRPr="00C44B47" w:rsidRDefault="00993EDA" w:rsidP="006D6681">
            <w:pPr>
              <w:numPr>
                <w:ilvl w:val="0"/>
                <w:numId w:val="43"/>
              </w:numPr>
              <w:jc w:val="both"/>
              <w:rPr>
                <w:rFonts w:ascii="Arial" w:eastAsia="Calibri" w:hAnsi="Arial" w:cs="Arial"/>
                <w:noProof/>
                <w:lang w:val="sr-Latn-ME"/>
              </w:rPr>
            </w:pPr>
            <w:r w:rsidRPr="00C44B47">
              <w:rPr>
                <w:rFonts w:ascii="Arial" w:eastAsia="Calibri" w:hAnsi="Arial" w:cs="Arial"/>
                <w:noProof/>
                <w:lang w:val="sr-Latn-ME"/>
              </w:rPr>
              <w:t>Da li je su kreditori uspostavili procedure kojima su definisali postupak ranog prepoznavanja potrošača sa mogućim poteškoćama u plaćanju i aktivnosti odgovornih lica, prije pokretanja postupka prinudne naplate;</w:t>
            </w:r>
          </w:p>
          <w:p w14:paraId="5558FE33" w14:textId="77777777" w:rsidR="00993EDA" w:rsidRPr="00C44B47" w:rsidRDefault="00993EDA" w:rsidP="006D6681">
            <w:pPr>
              <w:numPr>
                <w:ilvl w:val="0"/>
                <w:numId w:val="43"/>
              </w:numPr>
              <w:jc w:val="both"/>
              <w:rPr>
                <w:rFonts w:ascii="Arial" w:eastAsia="Calibri" w:hAnsi="Arial" w:cs="Arial"/>
                <w:noProof/>
                <w:lang w:val="sr-Latn-ME"/>
              </w:rPr>
            </w:pPr>
            <w:r w:rsidRPr="00C44B47">
              <w:rPr>
                <w:rFonts w:ascii="Arial" w:eastAsia="Calibri" w:hAnsi="Arial" w:cs="Arial"/>
                <w:noProof/>
                <w:lang w:val="sr-Latn-ME"/>
              </w:rPr>
              <w:t>Da li su poslovi  prepoznavanja potrošača sa mogućim poteškoćama u plaćanju povjereni zaposlenima ili  timu koji  se isključivo bave tim poslovima.</w:t>
            </w:r>
          </w:p>
          <w:p w14:paraId="521CBC80" w14:textId="77777777" w:rsidR="00993EDA" w:rsidRPr="00C44B47" w:rsidRDefault="00993EDA" w:rsidP="00DD1FEA">
            <w:pPr>
              <w:spacing w:before="100" w:beforeAutospacing="1"/>
              <w:rPr>
                <w:rFonts w:ascii="Arial" w:hAnsi="Arial" w:cs="Arial"/>
              </w:rPr>
            </w:pPr>
            <w:r w:rsidRPr="00C44B47">
              <w:rPr>
                <w:rFonts w:ascii="Arial" w:hAnsi="Arial" w:cs="Arial"/>
                <w:bCs/>
              </w:rPr>
              <w:t xml:space="preserve">         Podaci koji su korišćeni u istraživanju obuhvataju sljedeće:</w:t>
            </w:r>
          </w:p>
          <w:p w14:paraId="33784967" w14:textId="77777777" w:rsidR="00993EDA" w:rsidRPr="00C44B47" w:rsidRDefault="00993EDA" w:rsidP="006D6681">
            <w:pPr>
              <w:numPr>
                <w:ilvl w:val="0"/>
                <w:numId w:val="44"/>
              </w:numPr>
              <w:jc w:val="both"/>
              <w:rPr>
                <w:rFonts w:ascii="Arial" w:eastAsia="Calibri" w:hAnsi="Arial" w:cs="Arial"/>
                <w:noProof/>
                <w:lang w:val="sr-Latn-ME"/>
              </w:rPr>
            </w:pPr>
            <w:r w:rsidRPr="00C44B47">
              <w:rPr>
                <w:rFonts w:ascii="Arial" w:eastAsia="Calibri" w:hAnsi="Arial" w:cs="Arial"/>
                <w:noProof/>
                <w:lang w:val="sr-Latn-ME"/>
              </w:rPr>
              <w:t xml:space="preserve">podatke o potrošačkim kreditima kod kojih su primijenjene procedure za rano prepoznavanje potrošača sa poteškoćama u plaćanju, podatke o potrošačkim kreditima kod kojih je izvršeno ukupno ili </w:t>
            </w:r>
            <w:r w:rsidRPr="00C44B47">
              <w:rPr>
                <w:rFonts w:ascii="Arial" w:eastAsia="Calibri" w:hAnsi="Arial" w:cs="Arial"/>
                <w:noProof/>
                <w:lang w:val="sr-Latn-ME"/>
              </w:rPr>
              <w:lastRenderedPageBreak/>
              <w:t>djelimično refinansiranje obaveza po ugovoro o kreditu;</w:t>
            </w:r>
          </w:p>
          <w:p w14:paraId="28A4B229" w14:textId="77777777" w:rsidR="00993EDA" w:rsidRPr="00C44B47" w:rsidRDefault="00993EDA" w:rsidP="006D6681">
            <w:pPr>
              <w:numPr>
                <w:ilvl w:val="0"/>
                <w:numId w:val="44"/>
              </w:numPr>
              <w:jc w:val="both"/>
              <w:rPr>
                <w:rFonts w:ascii="Arial" w:eastAsia="Calibri" w:hAnsi="Arial" w:cs="Arial"/>
                <w:noProof/>
                <w:lang w:val="sr-Latn-ME"/>
              </w:rPr>
            </w:pPr>
            <w:r w:rsidRPr="00C44B47">
              <w:rPr>
                <w:rFonts w:ascii="Arial" w:eastAsia="Calibri" w:hAnsi="Arial" w:cs="Arial"/>
                <w:noProof/>
                <w:lang w:val="sr-Latn-ME"/>
              </w:rPr>
              <w:t>podatke o potrošačkim kreditima kod kojih je izvršena izmjena ugovorenih uslova ugovora o kreditu.</w:t>
            </w:r>
          </w:p>
          <w:p w14:paraId="51539C25" w14:textId="77777777" w:rsidR="00993EDA" w:rsidRPr="00C44B47" w:rsidRDefault="00993EDA" w:rsidP="00DD1FEA">
            <w:pPr>
              <w:rPr>
                <w:rFonts w:ascii="Arial" w:hAnsi="Arial" w:cs="Arial"/>
              </w:rPr>
            </w:pPr>
            <w:r w:rsidRPr="00C44B47">
              <w:rPr>
                <w:rFonts w:ascii="Arial" w:hAnsi="Arial" w:cs="Arial"/>
              </w:rPr>
              <w:t xml:space="preserve">CBCG će u narednom periodu sprovoditi linearna istraživanja s ciljem prikupljanja relevantnih podataka koji će </w:t>
            </w:r>
            <w:r w:rsidRPr="00C44B47">
              <w:rPr>
                <w:rFonts w:ascii="Arial" w:hAnsi="Arial" w:cs="Arial"/>
                <w:noProof/>
                <w:lang w:val="sr-Latn-CS"/>
              </w:rPr>
              <w:t xml:space="preserve">doprinijeti </w:t>
            </w:r>
            <w:r w:rsidRPr="00C44B47">
              <w:rPr>
                <w:rFonts w:ascii="Arial" w:hAnsi="Arial" w:cs="Arial"/>
              </w:rPr>
              <w:t>unapređenju regulative i politike, boljoj zaštiti potrošača kao i postizanju većeg nivoa transparentnosti i poverenju između potrošača i kreditora.</w:t>
            </w:r>
          </w:p>
        </w:tc>
      </w:tr>
      <w:tr w:rsidR="00993EDA" w:rsidRPr="00C44B47" w14:paraId="3BA86D69" w14:textId="77777777" w:rsidTr="00DD1FEA">
        <w:trPr>
          <w:trHeight w:val="250"/>
        </w:trPr>
        <w:tc>
          <w:tcPr>
            <w:tcW w:w="1218" w:type="dxa"/>
            <w:gridSpan w:val="2"/>
          </w:tcPr>
          <w:p w14:paraId="262556DB" w14:textId="77777777" w:rsidR="00993EDA" w:rsidRPr="00C44B47" w:rsidRDefault="00993EDA" w:rsidP="00DD1FEA">
            <w:pPr>
              <w:rPr>
                <w:rFonts w:ascii="Arial" w:hAnsi="Arial" w:cs="Arial"/>
                <w:b/>
              </w:rPr>
            </w:pPr>
            <w:r w:rsidRPr="00C44B47">
              <w:rPr>
                <w:rFonts w:ascii="Arial" w:hAnsi="Arial" w:cs="Arial"/>
                <w:b/>
              </w:rPr>
              <w:lastRenderedPageBreak/>
              <w:t xml:space="preserve">2.14. Vodič o </w:t>
            </w:r>
            <w:proofErr w:type="spellStart"/>
            <w:r w:rsidRPr="00C44B47">
              <w:rPr>
                <w:rFonts w:ascii="Arial" w:hAnsi="Arial" w:cs="Arial"/>
                <w:b/>
              </w:rPr>
              <w:t>neupakovanoj</w:t>
            </w:r>
            <w:proofErr w:type="spellEnd"/>
            <w:r w:rsidRPr="00C44B47">
              <w:rPr>
                <w:rFonts w:ascii="Arial" w:hAnsi="Arial" w:cs="Arial"/>
                <w:b/>
              </w:rPr>
              <w:t xml:space="preserve"> hrani</w:t>
            </w:r>
          </w:p>
        </w:tc>
        <w:tc>
          <w:tcPr>
            <w:tcW w:w="925" w:type="dxa"/>
          </w:tcPr>
          <w:p w14:paraId="0181C536" w14:textId="77777777" w:rsidR="00993EDA" w:rsidRPr="00C44B47" w:rsidRDefault="00993EDA" w:rsidP="00DD1FEA">
            <w:pPr>
              <w:rPr>
                <w:rFonts w:ascii="Arial" w:hAnsi="Arial" w:cs="Arial"/>
                <w:b/>
              </w:rPr>
            </w:pPr>
            <w:r w:rsidRPr="00C44B47">
              <w:rPr>
                <w:rFonts w:ascii="Arial" w:hAnsi="Arial" w:cs="Arial"/>
              </w:rPr>
              <w:t xml:space="preserve">Izrađen Vodič ; Broj preuzetih vodiča sa internet stranica Uprave za </w:t>
            </w:r>
            <w:proofErr w:type="spellStart"/>
            <w:r w:rsidRPr="00C44B47">
              <w:rPr>
                <w:rFonts w:ascii="Arial" w:hAnsi="Arial" w:cs="Arial"/>
              </w:rPr>
              <w:t>bezbjednost</w:t>
            </w:r>
            <w:proofErr w:type="spellEnd"/>
            <w:r w:rsidRPr="00C44B47">
              <w:rPr>
                <w:rFonts w:ascii="Arial" w:hAnsi="Arial" w:cs="Arial"/>
              </w:rPr>
              <w:t xml:space="preserve"> hrane, veterinu i </w:t>
            </w:r>
            <w:proofErr w:type="spellStart"/>
            <w:r w:rsidRPr="00C44B47">
              <w:rPr>
                <w:rFonts w:ascii="Arial" w:hAnsi="Arial" w:cs="Arial"/>
              </w:rPr>
              <w:t>fitosanitarne</w:t>
            </w:r>
            <w:proofErr w:type="spellEnd"/>
            <w:r w:rsidRPr="00C44B47">
              <w:rPr>
                <w:rFonts w:ascii="Arial" w:hAnsi="Arial" w:cs="Arial"/>
              </w:rPr>
              <w:t xml:space="preserve"> poslove -najmanje 40</w:t>
            </w:r>
          </w:p>
        </w:tc>
        <w:tc>
          <w:tcPr>
            <w:tcW w:w="788" w:type="dxa"/>
            <w:gridSpan w:val="2"/>
          </w:tcPr>
          <w:p w14:paraId="6A775E30" w14:textId="77777777" w:rsidR="00993EDA" w:rsidRPr="00C44B47" w:rsidRDefault="00993EDA" w:rsidP="00DD1FEA">
            <w:pPr>
              <w:rPr>
                <w:rFonts w:ascii="Arial" w:hAnsi="Arial" w:cs="Arial"/>
                <w:b/>
              </w:rPr>
            </w:pPr>
            <w:r w:rsidRPr="00C44B47">
              <w:rPr>
                <w:rFonts w:ascii="Arial" w:hAnsi="Arial" w:cs="Arial"/>
              </w:rPr>
              <w:t xml:space="preserve">Uprava za </w:t>
            </w:r>
            <w:proofErr w:type="spellStart"/>
            <w:r w:rsidRPr="00C44B47">
              <w:rPr>
                <w:rFonts w:ascii="Arial" w:hAnsi="Arial" w:cs="Arial"/>
              </w:rPr>
              <w:t>bezbjednost</w:t>
            </w:r>
            <w:proofErr w:type="spellEnd"/>
            <w:r w:rsidRPr="00C44B47">
              <w:rPr>
                <w:rFonts w:ascii="Arial" w:hAnsi="Arial" w:cs="Arial"/>
              </w:rPr>
              <w:t xml:space="preserve"> hrane, veterinu i </w:t>
            </w:r>
            <w:proofErr w:type="spellStart"/>
            <w:r w:rsidRPr="00C44B47">
              <w:rPr>
                <w:rFonts w:ascii="Arial" w:hAnsi="Arial" w:cs="Arial"/>
              </w:rPr>
              <w:t>fitosanitarne</w:t>
            </w:r>
            <w:proofErr w:type="spellEnd"/>
            <w:r w:rsidRPr="00C44B47">
              <w:rPr>
                <w:rFonts w:ascii="Arial" w:hAnsi="Arial" w:cs="Arial"/>
              </w:rPr>
              <w:t xml:space="preserve"> poslove</w:t>
            </w:r>
          </w:p>
        </w:tc>
        <w:tc>
          <w:tcPr>
            <w:tcW w:w="697" w:type="dxa"/>
          </w:tcPr>
          <w:p w14:paraId="006552C6" w14:textId="77777777" w:rsidR="00993EDA" w:rsidRPr="00C44B47" w:rsidRDefault="00993EDA" w:rsidP="00DD1FEA">
            <w:pPr>
              <w:rPr>
                <w:rFonts w:ascii="Arial" w:hAnsi="Arial" w:cs="Arial"/>
                <w:b/>
              </w:rPr>
            </w:pPr>
            <w:r w:rsidRPr="00C44B47">
              <w:rPr>
                <w:rFonts w:ascii="Arial" w:hAnsi="Arial" w:cs="Arial"/>
              </w:rPr>
              <w:t>II Q 2024</w:t>
            </w:r>
          </w:p>
        </w:tc>
        <w:tc>
          <w:tcPr>
            <w:tcW w:w="543" w:type="dxa"/>
          </w:tcPr>
          <w:p w14:paraId="4A25341F"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104D59F7" w14:textId="77777777" w:rsidR="00993EDA" w:rsidRPr="00C44B47" w:rsidRDefault="00993EDA" w:rsidP="00DD1FEA">
            <w:pPr>
              <w:rPr>
                <w:rFonts w:ascii="Arial" w:hAnsi="Arial" w:cs="Arial"/>
                <w:b/>
              </w:rPr>
            </w:pPr>
            <w:r w:rsidRPr="00C44B47">
              <w:rPr>
                <w:rFonts w:ascii="Arial" w:hAnsi="Arial" w:cs="Arial"/>
                <w:b/>
                <w:highlight w:val="red"/>
              </w:rPr>
              <w:t>Nerealizovano</w:t>
            </w:r>
          </w:p>
        </w:tc>
        <w:tc>
          <w:tcPr>
            <w:tcW w:w="828" w:type="dxa"/>
            <w:gridSpan w:val="3"/>
            <w:shd w:val="clear" w:color="auto" w:fill="auto"/>
          </w:tcPr>
          <w:p w14:paraId="02810C49" w14:textId="77777777" w:rsidR="00993EDA" w:rsidRPr="00C44B47" w:rsidRDefault="00993EDA" w:rsidP="00DD1FEA">
            <w:pPr>
              <w:rPr>
                <w:rFonts w:ascii="Arial" w:hAnsi="Arial" w:cs="Arial"/>
                <w:b/>
              </w:rPr>
            </w:pPr>
            <w:r w:rsidRPr="00C44B47">
              <w:rPr>
                <w:rFonts w:ascii="Arial" w:hAnsi="Arial" w:cs="Arial"/>
                <w:b/>
              </w:rPr>
              <w:t>IV Q 2025</w:t>
            </w:r>
          </w:p>
        </w:tc>
        <w:tc>
          <w:tcPr>
            <w:tcW w:w="519" w:type="dxa"/>
            <w:shd w:val="clear" w:color="auto" w:fill="auto"/>
          </w:tcPr>
          <w:p w14:paraId="2BC0FECC" w14:textId="77777777" w:rsidR="00993EDA" w:rsidRPr="00C44B47" w:rsidRDefault="00993EDA" w:rsidP="00DD1FEA">
            <w:pPr>
              <w:rPr>
                <w:rFonts w:ascii="Arial" w:hAnsi="Arial" w:cs="Arial"/>
                <w:b/>
              </w:rPr>
            </w:pPr>
            <w:r w:rsidRPr="00C44B47">
              <w:rPr>
                <w:rFonts w:ascii="Arial" w:hAnsi="Arial" w:cs="Arial"/>
              </w:rPr>
              <w:t xml:space="preserve">2.000 </w:t>
            </w:r>
            <w:proofErr w:type="spellStart"/>
            <w:r w:rsidRPr="00C44B47">
              <w:rPr>
                <w:rFonts w:ascii="Arial" w:hAnsi="Arial" w:cs="Arial"/>
              </w:rPr>
              <w:t>eur</w:t>
            </w:r>
            <w:proofErr w:type="spellEnd"/>
          </w:p>
        </w:tc>
        <w:tc>
          <w:tcPr>
            <w:tcW w:w="607" w:type="dxa"/>
            <w:shd w:val="clear" w:color="auto" w:fill="auto"/>
          </w:tcPr>
          <w:p w14:paraId="25FBAD62" w14:textId="77777777" w:rsidR="00993EDA" w:rsidRPr="00C44B47" w:rsidRDefault="00993EDA" w:rsidP="00DD1FEA">
            <w:pPr>
              <w:rPr>
                <w:rFonts w:ascii="Arial" w:hAnsi="Arial" w:cs="Arial"/>
                <w:b/>
              </w:rPr>
            </w:pPr>
          </w:p>
        </w:tc>
        <w:tc>
          <w:tcPr>
            <w:tcW w:w="655" w:type="dxa"/>
            <w:shd w:val="clear" w:color="auto" w:fill="auto"/>
          </w:tcPr>
          <w:p w14:paraId="433747D7" w14:textId="77777777" w:rsidR="00993EDA" w:rsidRPr="00C44B47" w:rsidRDefault="00993EDA" w:rsidP="00DD1FEA">
            <w:pPr>
              <w:rPr>
                <w:rFonts w:ascii="Arial" w:hAnsi="Arial" w:cs="Arial"/>
                <w:b/>
              </w:rPr>
            </w:pPr>
            <w:r w:rsidRPr="00C44B47">
              <w:rPr>
                <w:rFonts w:ascii="Arial" w:hAnsi="Arial" w:cs="Arial"/>
              </w:rPr>
              <w:t xml:space="preserve">Budžet Uprave za </w:t>
            </w:r>
            <w:proofErr w:type="spellStart"/>
            <w:r w:rsidRPr="00C44B47">
              <w:rPr>
                <w:rFonts w:ascii="Arial" w:hAnsi="Arial" w:cs="Arial"/>
              </w:rPr>
              <w:t>bezbjednost</w:t>
            </w:r>
            <w:proofErr w:type="spellEnd"/>
            <w:r w:rsidRPr="00C44B47">
              <w:rPr>
                <w:rFonts w:ascii="Arial" w:hAnsi="Arial" w:cs="Arial"/>
              </w:rPr>
              <w:t xml:space="preserve"> hrane, veterinu i </w:t>
            </w:r>
            <w:proofErr w:type="spellStart"/>
            <w:r w:rsidRPr="00C44B47">
              <w:rPr>
                <w:rFonts w:ascii="Arial" w:hAnsi="Arial" w:cs="Arial"/>
              </w:rPr>
              <w:t>fitosanitarne</w:t>
            </w:r>
            <w:proofErr w:type="spellEnd"/>
            <w:r w:rsidRPr="00C44B47">
              <w:rPr>
                <w:rFonts w:ascii="Arial" w:hAnsi="Arial" w:cs="Arial"/>
              </w:rPr>
              <w:t xml:space="preserve"> poslove</w:t>
            </w:r>
          </w:p>
        </w:tc>
        <w:tc>
          <w:tcPr>
            <w:tcW w:w="5468" w:type="dxa"/>
            <w:shd w:val="clear" w:color="auto" w:fill="auto"/>
          </w:tcPr>
          <w:p w14:paraId="3ACBE8A2" w14:textId="77777777" w:rsidR="00993EDA" w:rsidRPr="00C44B47" w:rsidRDefault="00993EDA" w:rsidP="00DD1FEA">
            <w:pPr>
              <w:rPr>
                <w:rFonts w:ascii="Arial" w:hAnsi="Arial" w:cs="Arial"/>
              </w:rPr>
            </w:pPr>
            <w:r w:rsidRPr="00C44B47">
              <w:rPr>
                <w:rFonts w:ascii="Arial" w:hAnsi="Arial" w:cs="Arial"/>
              </w:rPr>
              <w:t xml:space="preserve">Zbog povećanog broja obaveza u UBHVFP (izrada 3 zakona u oblasti veterine I </w:t>
            </w:r>
            <w:proofErr w:type="spellStart"/>
            <w:r w:rsidRPr="00C44B47">
              <w:rPr>
                <w:rFonts w:ascii="Arial" w:hAnsi="Arial" w:cs="Arial"/>
              </w:rPr>
              <w:t>bezbjednosti</w:t>
            </w:r>
            <w:proofErr w:type="spellEnd"/>
            <w:r w:rsidRPr="00C44B47">
              <w:rPr>
                <w:rFonts w:ascii="Arial" w:hAnsi="Arial" w:cs="Arial"/>
              </w:rPr>
              <w:t xml:space="preserve"> hrane, usklađivanja sekundarnog zakonodavstva, priprema </w:t>
            </w:r>
            <w:proofErr w:type="spellStart"/>
            <w:r w:rsidRPr="00C44B47">
              <w:rPr>
                <w:rFonts w:ascii="Arial" w:hAnsi="Arial" w:cs="Arial"/>
              </w:rPr>
              <w:t>odgovorana</w:t>
            </w:r>
            <w:proofErr w:type="spellEnd"/>
            <w:r w:rsidRPr="00C44B47">
              <w:rPr>
                <w:rFonts w:ascii="Arial" w:hAnsi="Arial" w:cs="Arial"/>
              </w:rPr>
              <w:t xml:space="preserve"> EU upitnike za </w:t>
            </w:r>
            <w:proofErr w:type="spellStart"/>
            <w:r w:rsidRPr="00C44B47">
              <w:rPr>
                <w:rFonts w:ascii="Arial" w:hAnsi="Arial" w:cs="Arial"/>
              </w:rPr>
              <w:t>audite</w:t>
            </w:r>
            <w:proofErr w:type="spellEnd"/>
            <w:r w:rsidRPr="00C44B47">
              <w:rPr>
                <w:rFonts w:ascii="Arial" w:hAnsi="Arial" w:cs="Arial"/>
              </w:rPr>
              <w:t xml:space="preserve"> zakazane u periodu od 3 marta do 11 jula 2025 godine i dr.)</w:t>
            </w:r>
          </w:p>
        </w:tc>
      </w:tr>
      <w:tr w:rsidR="00993EDA" w:rsidRPr="00C44B47" w14:paraId="24098D36" w14:textId="77777777" w:rsidTr="00DD1FEA">
        <w:trPr>
          <w:trHeight w:val="250"/>
        </w:trPr>
        <w:tc>
          <w:tcPr>
            <w:tcW w:w="1218" w:type="dxa"/>
            <w:gridSpan w:val="2"/>
          </w:tcPr>
          <w:p w14:paraId="477A37D3" w14:textId="77777777" w:rsidR="00993EDA" w:rsidRPr="00C44B47" w:rsidRDefault="00993EDA" w:rsidP="00DD1FEA">
            <w:pPr>
              <w:rPr>
                <w:rFonts w:ascii="Arial" w:hAnsi="Arial" w:cs="Arial"/>
                <w:b/>
              </w:rPr>
            </w:pPr>
            <w:r w:rsidRPr="00C44B47">
              <w:rPr>
                <w:rFonts w:ascii="Arial" w:hAnsi="Arial" w:cs="Arial"/>
                <w:b/>
              </w:rPr>
              <w:t xml:space="preserve">2.15. Izrada brošure o </w:t>
            </w:r>
            <w:r w:rsidRPr="00C44B47">
              <w:rPr>
                <w:rFonts w:ascii="Arial" w:hAnsi="Arial" w:cs="Arial"/>
                <w:b/>
              </w:rPr>
              <w:lastRenderedPageBreak/>
              <w:t>pravima potrošača/</w:t>
            </w:r>
            <w:proofErr w:type="spellStart"/>
            <w:r w:rsidRPr="00C44B47">
              <w:rPr>
                <w:rFonts w:ascii="Arial" w:hAnsi="Arial" w:cs="Arial"/>
                <w:b/>
              </w:rPr>
              <w:t>ica</w:t>
            </w:r>
            <w:proofErr w:type="spellEnd"/>
            <w:r w:rsidRPr="00C44B47">
              <w:rPr>
                <w:rFonts w:ascii="Arial" w:hAnsi="Arial" w:cs="Arial"/>
                <w:b/>
              </w:rPr>
              <w:t xml:space="preserve"> u oblasti elektronskih komunikacija I poštanske </w:t>
            </w:r>
            <w:proofErr w:type="spellStart"/>
            <w:r w:rsidRPr="00C44B47">
              <w:rPr>
                <w:rFonts w:ascii="Arial" w:hAnsi="Arial" w:cs="Arial"/>
                <w:b/>
              </w:rPr>
              <w:t>djelatnosti</w:t>
            </w:r>
            <w:proofErr w:type="spellEnd"/>
          </w:p>
        </w:tc>
        <w:tc>
          <w:tcPr>
            <w:tcW w:w="925" w:type="dxa"/>
          </w:tcPr>
          <w:p w14:paraId="36BC7BF6" w14:textId="77777777" w:rsidR="00993EDA" w:rsidRPr="00C44B47" w:rsidRDefault="00993EDA" w:rsidP="00DD1FEA">
            <w:pPr>
              <w:rPr>
                <w:rFonts w:ascii="Arial" w:hAnsi="Arial" w:cs="Arial"/>
                <w:b/>
              </w:rPr>
            </w:pPr>
            <w:r w:rsidRPr="00C44B47">
              <w:rPr>
                <w:rFonts w:ascii="Arial" w:hAnsi="Arial" w:cs="Arial"/>
              </w:rPr>
              <w:lastRenderedPageBreak/>
              <w:t xml:space="preserve">Broj </w:t>
            </w:r>
            <w:proofErr w:type="spellStart"/>
            <w:r w:rsidRPr="00C44B47">
              <w:rPr>
                <w:rFonts w:ascii="Arial" w:hAnsi="Arial" w:cs="Arial"/>
              </w:rPr>
              <w:t>podijeljenih</w:t>
            </w:r>
            <w:proofErr w:type="spellEnd"/>
            <w:r w:rsidRPr="00C44B47">
              <w:rPr>
                <w:rFonts w:ascii="Arial" w:hAnsi="Arial" w:cs="Arial"/>
              </w:rPr>
              <w:t xml:space="preserve"> </w:t>
            </w:r>
            <w:r w:rsidRPr="00C44B47">
              <w:rPr>
                <w:rFonts w:ascii="Arial" w:hAnsi="Arial" w:cs="Arial"/>
              </w:rPr>
              <w:lastRenderedPageBreak/>
              <w:t>brošura - najmanje 100</w:t>
            </w:r>
          </w:p>
        </w:tc>
        <w:tc>
          <w:tcPr>
            <w:tcW w:w="788" w:type="dxa"/>
            <w:gridSpan w:val="2"/>
          </w:tcPr>
          <w:p w14:paraId="77EC4BD4" w14:textId="77777777" w:rsidR="00993EDA" w:rsidRPr="00C44B47" w:rsidRDefault="00993EDA" w:rsidP="00DD1FEA">
            <w:pPr>
              <w:rPr>
                <w:rFonts w:ascii="Arial" w:hAnsi="Arial" w:cs="Arial"/>
                <w:b/>
              </w:rPr>
            </w:pPr>
            <w:r w:rsidRPr="00C44B47">
              <w:rPr>
                <w:rFonts w:ascii="Arial" w:hAnsi="Arial" w:cs="Arial"/>
              </w:rPr>
              <w:lastRenderedPageBreak/>
              <w:t>EKIP</w:t>
            </w:r>
          </w:p>
        </w:tc>
        <w:tc>
          <w:tcPr>
            <w:tcW w:w="697" w:type="dxa"/>
          </w:tcPr>
          <w:p w14:paraId="3F25FE73" w14:textId="77777777" w:rsidR="00993EDA" w:rsidRPr="00C44B47" w:rsidRDefault="00993EDA" w:rsidP="00DD1FEA">
            <w:pPr>
              <w:rPr>
                <w:rFonts w:ascii="Arial" w:hAnsi="Arial" w:cs="Arial"/>
                <w:b/>
              </w:rPr>
            </w:pPr>
            <w:r w:rsidRPr="00C44B47">
              <w:rPr>
                <w:rFonts w:ascii="Arial" w:hAnsi="Arial" w:cs="Arial"/>
              </w:rPr>
              <w:t xml:space="preserve">IV Q </w:t>
            </w:r>
            <w:r w:rsidRPr="00C44B47">
              <w:rPr>
                <w:rFonts w:ascii="Arial" w:hAnsi="Arial" w:cs="Arial"/>
              </w:rPr>
              <w:lastRenderedPageBreak/>
              <w:t>2024</w:t>
            </w:r>
          </w:p>
        </w:tc>
        <w:tc>
          <w:tcPr>
            <w:tcW w:w="543" w:type="dxa"/>
          </w:tcPr>
          <w:p w14:paraId="2F9F53FA" w14:textId="77777777" w:rsidR="00993EDA" w:rsidRPr="00C44B47" w:rsidRDefault="00993EDA" w:rsidP="00DD1FEA">
            <w:pPr>
              <w:rPr>
                <w:rFonts w:ascii="Arial" w:hAnsi="Arial" w:cs="Arial"/>
                <w:b/>
              </w:rPr>
            </w:pPr>
            <w:r w:rsidRPr="00C44B47">
              <w:rPr>
                <w:rFonts w:ascii="Arial" w:hAnsi="Arial" w:cs="Arial"/>
              </w:rPr>
              <w:lastRenderedPageBreak/>
              <w:t xml:space="preserve">IV Q </w:t>
            </w:r>
            <w:r w:rsidRPr="00C44B47">
              <w:rPr>
                <w:rFonts w:ascii="Arial" w:hAnsi="Arial" w:cs="Arial"/>
              </w:rPr>
              <w:lastRenderedPageBreak/>
              <w:t>2024</w:t>
            </w:r>
          </w:p>
        </w:tc>
        <w:tc>
          <w:tcPr>
            <w:tcW w:w="702" w:type="dxa"/>
            <w:shd w:val="clear" w:color="auto" w:fill="auto"/>
          </w:tcPr>
          <w:p w14:paraId="0E655B44" w14:textId="77777777" w:rsidR="00993EDA" w:rsidRPr="00C44B47" w:rsidRDefault="00993EDA" w:rsidP="00DD1FEA">
            <w:pPr>
              <w:rPr>
                <w:rFonts w:ascii="Arial" w:hAnsi="Arial" w:cs="Arial"/>
                <w:b/>
              </w:rPr>
            </w:pPr>
            <w:r w:rsidRPr="00C44B47">
              <w:rPr>
                <w:rFonts w:ascii="Arial" w:hAnsi="Arial" w:cs="Arial"/>
                <w:b/>
                <w:highlight w:val="green"/>
              </w:rPr>
              <w:lastRenderedPageBreak/>
              <w:t>Realizovano</w:t>
            </w:r>
          </w:p>
        </w:tc>
        <w:tc>
          <w:tcPr>
            <w:tcW w:w="828" w:type="dxa"/>
            <w:gridSpan w:val="3"/>
            <w:shd w:val="clear" w:color="auto" w:fill="auto"/>
          </w:tcPr>
          <w:p w14:paraId="616AF114" w14:textId="77777777" w:rsidR="00993EDA" w:rsidRPr="00C44B47" w:rsidRDefault="00993EDA" w:rsidP="00DD1FEA">
            <w:pPr>
              <w:rPr>
                <w:rFonts w:ascii="Arial" w:hAnsi="Arial" w:cs="Arial"/>
                <w:b/>
              </w:rPr>
            </w:pPr>
          </w:p>
        </w:tc>
        <w:tc>
          <w:tcPr>
            <w:tcW w:w="519" w:type="dxa"/>
            <w:shd w:val="clear" w:color="auto" w:fill="auto"/>
          </w:tcPr>
          <w:p w14:paraId="5EAF8101" w14:textId="77777777" w:rsidR="00993EDA" w:rsidRPr="00C44B47" w:rsidRDefault="00993EDA" w:rsidP="00DD1FEA">
            <w:pPr>
              <w:rPr>
                <w:rFonts w:ascii="Arial" w:hAnsi="Arial" w:cs="Arial"/>
                <w:b/>
              </w:rPr>
            </w:pPr>
            <w:r w:rsidRPr="00C44B47">
              <w:rPr>
                <w:rFonts w:ascii="Arial" w:hAnsi="Arial" w:cs="Arial"/>
              </w:rPr>
              <w:t xml:space="preserve">2.500 </w:t>
            </w:r>
            <w:proofErr w:type="spellStart"/>
            <w:r w:rsidRPr="00C44B47">
              <w:rPr>
                <w:rFonts w:ascii="Arial" w:hAnsi="Arial" w:cs="Arial"/>
              </w:rPr>
              <w:t>eur</w:t>
            </w:r>
            <w:proofErr w:type="spellEnd"/>
          </w:p>
        </w:tc>
        <w:tc>
          <w:tcPr>
            <w:tcW w:w="607" w:type="dxa"/>
            <w:shd w:val="clear" w:color="auto" w:fill="auto"/>
          </w:tcPr>
          <w:p w14:paraId="0DF4DD0E" w14:textId="77777777" w:rsidR="00993EDA" w:rsidRPr="00C44B47" w:rsidRDefault="00993EDA" w:rsidP="00DD1FEA">
            <w:pPr>
              <w:rPr>
                <w:rFonts w:ascii="Arial" w:hAnsi="Arial" w:cs="Arial"/>
                <w:b/>
              </w:rPr>
            </w:pPr>
          </w:p>
        </w:tc>
        <w:tc>
          <w:tcPr>
            <w:tcW w:w="655" w:type="dxa"/>
            <w:shd w:val="clear" w:color="auto" w:fill="auto"/>
          </w:tcPr>
          <w:p w14:paraId="05D125D3" w14:textId="77777777" w:rsidR="00993EDA" w:rsidRPr="00C44B47" w:rsidRDefault="00993EDA" w:rsidP="00DD1FEA">
            <w:pPr>
              <w:rPr>
                <w:rFonts w:ascii="Arial" w:hAnsi="Arial" w:cs="Arial"/>
                <w:b/>
              </w:rPr>
            </w:pPr>
            <w:r w:rsidRPr="00C44B47">
              <w:rPr>
                <w:rFonts w:ascii="Arial" w:hAnsi="Arial" w:cs="Arial"/>
              </w:rPr>
              <w:t xml:space="preserve">Budžet </w:t>
            </w:r>
            <w:r w:rsidRPr="00C44B47">
              <w:rPr>
                <w:rFonts w:ascii="Arial" w:hAnsi="Arial" w:cs="Arial"/>
              </w:rPr>
              <w:lastRenderedPageBreak/>
              <w:t>EKIP</w:t>
            </w:r>
          </w:p>
        </w:tc>
        <w:tc>
          <w:tcPr>
            <w:tcW w:w="5468" w:type="dxa"/>
            <w:shd w:val="clear" w:color="auto" w:fill="auto"/>
          </w:tcPr>
          <w:p w14:paraId="43A4CAEC" w14:textId="77777777" w:rsidR="00993EDA" w:rsidRPr="00C44B47" w:rsidRDefault="00993EDA" w:rsidP="00DD1FEA">
            <w:pPr>
              <w:rPr>
                <w:rFonts w:ascii="Arial" w:hAnsi="Arial" w:cs="Arial"/>
              </w:rPr>
            </w:pPr>
            <w:r w:rsidRPr="00C44B47">
              <w:rPr>
                <w:rFonts w:ascii="Arial" w:hAnsi="Arial" w:cs="Arial"/>
              </w:rPr>
              <w:lastRenderedPageBreak/>
              <w:t xml:space="preserve">EKIP je izradila brošure na 9 različitih tema  </w:t>
            </w:r>
          </w:p>
        </w:tc>
      </w:tr>
      <w:tr w:rsidR="00993EDA" w:rsidRPr="00C44B47" w14:paraId="3DC5F970" w14:textId="77777777" w:rsidTr="00DD1FEA">
        <w:trPr>
          <w:trHeight w:val="250"/>
        </w:trPr>
        <w:tc>
          <w:tcPr>
            <w:tcW w:w="1218" w:type="dxa"/>
            <w:gridSpan w:val="2"/>
          </w:tcPr>
          <w:p w14:paraId="1D7B236A" w14:textId="77777777" w:rsidR="00993EDA" w:rsidRPr="00C44B47" w:rsidRDefault="00993EDA" w:rsidP="00DD1FEA">
            <w:pPr>
              <w:rPr>
                <w:rFonts w:ascii="Arial" w:hAnsi="Arial" w:cs="Arial"/>
                <w:b/>
              </w:rPr>
            </w:pPr>
            <w:r w:rsidRPr="00C44B47">
              <w:rPr>
                <w:rFonts w:ascii="Arial" w:hAnsi="Arial" w:cs="Arial"/>
                <w:b/>
              </w:rPr>
              <w:t>2.16.Organizacija Potrošačkog karavana na teritoriji Podgorice i okoline</w:t>
            </w:r>
          </w:p>
        </w:tc>
        <w:tc>
          <w:tcPr>
            <w:tcW w:w="925" w:type="dxa"/>
          </w:tcPr>
          <w:p w14:paraId="180A6856" w14:textId="77777777" w:rsidR="00993EDA" w:rsidRPr="00C44B47" w:rsidRDefault="00993EDA" w:rsidP="00DD1FEA">
            <w:pPr>
              <w:rPr>
                <w:rFonts w:ascii="Arial" w:hAnsi="Arial" w:cs="Arial"/>
                <w:b/>
              </w:rPr>
            </w:pPr>
            <w:r w:rsidRPr="00C44B47">
              <w:rPr>
                <w:rFonts w:ascii="Arial" w:hAnsi="Arial" w:cs="Arial"/>
              </w:rPr>
              <w:t>Broj organizovanih info sesija – najmanje 3</w:t>
            </w:r>
          </w:p>
        </w:tc>
        <w:tc>
          <w:tcPr>
            <w:tcW w:w="788" w:type="dxa"/>
            <w:gridSpan w:val="2"/>
          </w:tcPr>
          <w:p w14:paraId="62516203" w14:textId="77777777" w:rsidR="00993EDA" w:rsidRPr="00C44B47" w:rsidRDefault="00993EDA" w:rsidP="00DD1FEA">
            <w:pPr>
              <w:rPr>
                <w:rFonts w:ascii="Arial" w:hAnsi="Arial" w:cs="Arial"/>
                <w:b/>
              </w:rPr>
            </w:pPr>
            <w:r w:rsidRPr="00C44B47">
              <w:rPr>
                <w:rFonts w:ascii="Arial" w:hAnsi="Arial" w:cs="Arial"/>
              </w:rPr>
              <w:t>CEZAP</w:t>
            </w:r>
          </w:p>
        </w:tc>
        <w:tc>
          <w:tcPr>
            <w:tcW w:w="697" w:type="dxa"/>
          </w:tcPr>
          <w:p w14:paraId="672A04D3" w14:textId="77777777" w:rsidR="00993EDA" w:rsidRPr="00C44B47" w:rsidRDefault="00993EDA" w:rsidP="00DD1FEA">
            <w:pPr>
              <w:rPr>
                <w:rFonts w:ascii="Arial" w:hAnsi="Arial" w:cs="Arial"/>
                <w:b/>
              </w:rPr>
            </w:pPr>
            <w:r w:rsidRPr="00C44B47">
              <w:rPr>
                <w:rFonts w:ascii="Arial" w:hAnsi="Arial" w:cs="Arial"/>
              </w:rPr>
              <w:t>I Q 2024</w:t>
            </w:r>
          </w:p>
        </w:tc>
        <w:tc>
          <w:tcPr>
            <w:tcW w:w="543" w:type="dxa"/>
          </w:tcPr>
          <w:p w14:paraId="5207F688" w14:textId="77777777" w:rsidR="00993EDA" w:rsidRPr="00C44B47" w:rsidRDefault="00993EDA" w:rsidP="00DD1FEA">
            <w:pPr>
              <w:rPr>
                <w:rFonts w:ascii="Arial" w:hAnsi="Arial" w:cs="Arial"/>
                <w:b/>
              </w:rPr>
            </w:pPr>
            <w:r w:rsidRPr="00C44B47">
              <w:rPr>
                <w:rFonts w:ascii="Arial" w:hAnsi="Arial" w:cs="Arial"/>
              </w:rPr>
              <w:t>II Q 2024</w:t>
            </w:r>
          </w:p>
        </w:tc>
        <w:tc>
          <w:tcPr>
            <w:tcW w:w="702" w:type="dxa"/>
            <w:shd w:val="clear" w:color="auto" w:fill="auto"/>
          </w:tcPr>
          <w:p w14:paraId="16899E1E" w14:textId="77777777" w:rsidR="00993EDA" w:rsidRPr="00C44B47" w:rsidRDefault="00993EDA" w:rsidP="00DD1FEA">
            <w:pPr>
              <w:rPr>
                <w:rFonts w:ascii="Arial" w:hAnsi="Arial" w:cs="Arial"/>
                <w:b/>
              </w:rPr>
            </w:pPr>
            <w:r w:rsidRPr="00A13A66">
              <w:rPr>
                <w:rFonts w:ascii="Arial" w:hAnsi="Arial" w:cs="Arial"/>
                <w:b/>
                <w:highlight w:val="green"/>
              </w:rPr>
              <w:t>Realizovano</w:t>
            </w:r>
          </w:p>
        </w:tc>
        <w:tc>
          <w:tcPr>
            <w:tcW w:w="828" w:type="dxa"/>
            <w:gridSpan w:val="3"/>
            <w:shd w:val="clear" w:color="auto" w:fill="auto"/>
          </w:tcPr>
          <w:p w14:paraId="3883AF27" w14:textId="77777777" w:rsidR="00993EDA" w:rsidRPr="00C44B47" w:rsidRDefault="00993EDA" w:rsidP="00DD1FEA">
            <w:pPr>
              <w:rPr>
                <w:rFonts w:ascii="Arial" w:hAnsi="Arial" w:cs="Arial"/>
                <w:b/>
              </w:rPr>
            </w:pPr>
          </w:p>
        </w:tc>
        <w:tc>
          <w:tcPr>
            <w:tcW w:w="519" w:type="dxa"/>
            <w:shd w:val="clear" w:color="auto" w:fill="auto"/>
          </w:tcPr>
          <w:p w14:paraId="2EE3453C" w14:textId="77777777" w:rsidR="00993EDA" w:rsidRPr="00C44B47" w:rsidRDefault="00993EDA" w:rsidP="00DD1FEA">
            <w:pPr>
              <w:rPr>
                <w:rFonts w:ascii="Arial" w:hAnsi="Arial" w:cs="Arial"/>
                <w:b/>
              </w:rPr>
            </w:pPr>
            <w:r w:rsidRPr="00C44B47">
              <w:rPr>
                <w:rFonts w:ascii="Arial" w:hAnsi="Arial" w:cs="Arial"/>
              </w:rPr>
              <w:t xml:space="preserve">2.400 </w:t>
            </w:r>
            <w:proofErr w:type="spellStart"/>
            <w:r w:rsidRPr="00C44B47">
              <w:rPr>
                <w:rFonts w:ascii="Arial" w:hAnsi="Arial" w:cs="Arial"/>
              </w:rPr>
              <w:t>eur</w:t>
            </w:r>
            <w:proofErr w:type="spellEnd"/>
          </w:p>
        </w:tc>
        <w:tc>
          <w:tcPr>
            <w:tcW w:w="607" w:type="dxa"/>
            <w:shd w:val="clear" w:color="auto" w:fill="auto"/>
          </w:tcPr>
          <w:p w14:paraId="5FE3CF02" w14:textId="77777777" w:rsidR="00993EDA" w:rsidRPr="00A13A66" w:rsidRDefault="00993EDA" w:rsidP="00DD1FEA">
            <w:pPr>
              <w:rPr>
                <w:rFonts w:ascii="Arial" w:hAnsi="Arial" w:cs="Arial"/>
              </w:rPr>
            </w:pPr>
            <w:r w:rsidRPr="00A13A66">
              <w:rPr>
                <w:rFonts w:ascii="Arial" w:hAnsi="Arial" w:cs="Arial"/>
              </w:rPr>
              <w:t xml:space="preserve">2.361,94 </w:t>
            </w:r>
            <w:proofErr w:type="spellStart"/>
            <w:r w:rsidRPr="00A13A66">
              <w:rPr>
                <w:rFonts w:ascii="Arial" w:hAnsi="Arial" w:cs="Arial"/>
              </w:rPr>
              <w:t>eur</w:t>
            </w:r>
            <w:proofErr w:type="spellEnd"/>
          </w:p>
        </w:tc>
        <w:tc>
          <w:tcPr>
            <w:tcW w:w="655" w:type="dxa"/>
            <w:shd w:val="clear" w:color="auto" w:fill="auto"/>
          </w:tcPr>
          <w:p w14:paraId="4189731E" w14:textId="77777777" w:rsidR="00993EDA" w:rsidRPr="00C44B47" w:rsidRDefault="00993EDA" w:rsidP="00DD1FEA">
            <w:pPr>
              <w:rPr>
                <w:rFonts w:ascii="Arial" w:hAnsi="Arial" w:cs="Arial"/>
                <w:b/>
              </w:rPr>
            </w:pPr>
            <w:r w:rsidRPr="00C44B47">
              <w:rPr>
                <w:rFonts w:ascii="Arial" w:hAnsi="Arial" w:cs="Arial"/>
              </w:rPr>
              <w:t>Projekat “Aktivan potrošač je zaštićen potrošač”</w:t>
            </w:r>
          </w:p>
        </w:tc>
        <w:tc>
          <w:tcPr>
            <w:tcW w:w="5468" w:type="dxa"/>
            <w:shd w:val="clear" w:color="auto" w:fill="auto"/>
          </w:tcPr>
          <w:p w14:paraId="5112153F" w14:textId="77777777" w:rsidR="00993EDA" w:rsidRPr="00C44B47" w:rsidRDefault="00993EDA" w:rsidP="00DD1FEA">
            <w:pPr>
              <w:rPr>
                <w:rFonts w:ascii="Arial" w:hAnsi="Arial" w:cs="Arial"/>
              </w:rPr>
            </w:pPr>
          </w:p>
        </w:tc>
      </w:tr>
      <w:tr w:rsidR="00993EDA" w:rsidRPr="00C44B47" w14:paraId="419BC14E" w14:textId="77777777" w:rsidTr="00DD1FEA">
        <w:trPr>
          <w:trHeight w:val="250"/>
        </w:trPr>
        <w:tc>
          <w:tcPr>
            <w:tcW w:w="1218" w:type="dxa"/>
            <w:gridSpan w:val="2"/>
          </w:tcPr>
          <w:p w14:paraId="6EFF1893" w14:textId="77777777" w:rsidR="00993EDA" w:rsidRPr="00C44B47" w:rsidRDefault="00993EDA" w:rsidP="00DD1FEA">
            <w:pPr>
              <w:rPr>
                <w:rFonts w:ascii="Arial" w:hAnsi="Arial" w:cs="Arial"/>
                <w:b/>
              </w:rPr>
            </w:pPr>
            <w:r w:rsidRPr="00C44B47">
              <w:rPr>
                <w:rFonts w:ascii="Arial" w:hAnsi="Arial" w:cs="Arial"/>
                <w:b/>
              </w:rPr>
              <w:t>2.17. Izrada kratkih edukativnih video klipova o p</w:t>
            </w:r>
          </w:p>
        </w:tc>
        <w:tc>
          <w:tcPr>
            <w:tcW w:w="925" w:type="dxa"/>
          </w:tcPr>
          <w:p w14:paraId="4B5EA5E7" w14:textId="77777777" w:rsidR="00993EDA" w:rsidRPr="00C44B47" w:rsidRDefault="00993EDA" w:rsidP="00DD1FEA">
            <w:pPr>
              <w:rPr>
                <w:rFonts w:ascii="Arial" w:hAnsi="Arial" w:cs="Arial"/>
                <w:b/>
              </w:rPr>
            </w:pPr>
            <w:r w:rsidRPr="00C44B47">
              <w:rPr>
                <w:rFonts w:ascii="Arial" w:hAnsi="Arial" w:cs="Arial"/>
              </w:rPr>
              <w:t>Pripremljeno i emitovano najmanje 4 video klipa</w:t>
            </w:r>
          </w:p>
        </w:tc>
        <w:tc>
          <w:tcPr>
            <w:tcW w:w="788" w:type="dxa"/>
            <w:gridSpan w:val="2"/>
          </w:tcPr>
          <w:p w14:paraId="090F7B58" w14:textId="77777777" w:rsidR="00993EDA" w:rsidRPr="00C44B47" w:rsidRDefault="00993EDA" w:rsidP="00DD1FEA">
            <w:pPr>
              <w:rPr>
                <w:rFonts w:ascii="Arial" w:hAnsi="Arial" w:cs="Arial"/>
                <w:b/>
              </w:rPr>
            </w:pPr>
            <w:r w:rsidRPr="00C44B47">
              <w:rPr>
                <w:rFonts w:ascii="Arial" w:hAnsi="Arial" w:cs="Arial"/>
              </w:rPr>
              <w:t>CEZAP</w:t>
            </w:r>
          </w:p>
        </w:tc>
        <w:tc>
          <w:tcPr>
            <w:tcW w:w="697" w:type="dxa"/>
          </w:tcPr>
          <w:p w14:paraId="31FB8C14" w14:textId="77777777" w:rsidR="00993EDA" w:rsidRPr="00C44B47" w:rsidRDefault="00993EDA" w:rsidP="00DD1FEA">
            <w:pPr>
              <w:rPr>
                <w:rFonts w:ascii="Arial" w:hAnsi="Arial" w:cs="Arial"/>
                <w:b/>
              </w:rPr>
            </w:pPr>
            <w:r w:rsidRPr="00C44B47">
              <w:rPr>
                <w:rFonts w:ascii="Arial" w:hAnsi="Arial" w:cs="Arial"/>
              </w:rPr>
              <w:t>I Q 2024</w:t>
            </w:r>
          </w:p>
        </w:tc>
        <w:tc>
          <w:tcPr>
            <w:tcW w:w="543" w:type="dxa"/>
          </w:tcPr>
          <w:p w14:paraId="1A399C15" w14:textId="77777777" w:rsidR="00993EDA" w:rsidRPr="00C44B47" w:rsidRDefault="00993EDA" w:rsidP="00DD1FEA">
            <w:pPr>
              <w:rPr>
                <w:rFonts w:ascii="Arial" w:hAnsi="Arial" w:cs="Arial"/>
                <w:b/>
              </w:rPr>
            </w:pPr>
            <w:r w:rsidRPr="00C44B47">
              <w:rPr>
                <w:rFonts w:ascii="Arial" w:hAnsi="Arial" w:cs="Arial"/>
              </w:rPr>
              <w:t>II Q 2024</w:t>
            </w:r>
          </w:p>
        </w:tc>
        <w:tc>
          <w:tcPr>
            <w:tcW w:w="702" w:type="dxa"/>
            <w:shd w:val="clear" w:color="auto" w:fill="auto"/>
          </w:tcPr>
          <w:p w14:paraId="2F2589AD" w14:textId="77777777" w:rsidR="00993EDA" w:rsidRPr="00A13A66" w:rsidRDefault="00993EDA" w:rsidP="00DD1FEA">
            <w:pPr>
              <w:rPr>
                <w:rFonts w:ascii="Arial" w:hAnsi="Arial" w:cs="Arial"/>
              </w:rPr>
            </w:pPr>
            <w:proofErr w:type="spellStart"/>
            <w:r w:rsidRPr="00A13A66">
              <w:rPr>
                <w:rFonts w:ascii="Arial" w:hAnsi="Arial" w:cs="Arial"/>
                <w:highlight w:val="yellow"/>
              </w:rPr>
              <w:t>Djelimično</w:t>
            </w:r>
            <w:proofErr w:type="spellEnd"/>
            <w:r w:rsidRPr="00A13A66">
              <w:rPr>
                <w:rFonts w:ascii="Arial" w:hAnsi="Arial" w:cs="Arial"/>
                <w:highlight w:val="yellow"/>
              </w:rPr>
              <w:t xml:space="preserve"> realizovano</w:t>
            </w:r>
          </w:p>
        </w:tc>
        <w:tc>
          <w:tcPr>
            <w:tcW w:w="828" w:type="dxa"/>
            <w:gridSpan w:val="3"/>
            <w:shd w:val="clear" w:color="auto" w:fill="auto"/>
          </w:tcPr>
          <w:p w14:paraId="4E1F8697" w14:textId="77777777" w:rsidR="00993EDA" w:rsidRPr="00A13A66" w:rsidRDefault="00993EDA" w:rsidP="00DD1FEA">
            <w:pPr>
              <w:rPr>
                <w:rFonts w:ascii="Arial" w:hAnsi="Arial" w:cs="Arial"/>
              </w:rPr>
            </w:pPr>
            <w:r w:rsidRPr="00A13A66">
              <w:rPr>
                <w:rFonts w:ascii="Arial" w:hAnsi="Arial" w:cs="Arial"/>
              </w:rPr>
              <w:t>IV Q 2025</w:t>
            </w:r>
          </w:p>
        </w:tc>
        <w:tc>
          <w:tcPr>
            <w:tcW w:w="519" w:type="dxa"/>
            <w:shd w:val="clear" w:color="auto" w:fill="auto"/>
          </w:tcPr>
          <w:p w14:paraId="2A7B3968" w14:textId="77777777" w:rsidR="00993EDA" w:rsidRPr="00C44B47" w:rsidRDefault="00993EDA" w:rsidP="00DD1FEA">
            <w:pPr>
              <w:rPr>
                <w:rFonts w:ascii="Arial" w:hAnsi="Arial" w:cs="Arial"/>
                <w:b/>
              </w:rPr>
            </w:pPr>
            <w:r w:rsidRPr="00C44B47">
              <w:rPr>
                <w:rFonts w:ascii="Arial" w:hAnsi="Arial" w:cs="Arial"/>
              </w:rPr>
              <w:t xml:space="preserve">1.500 </w:t>
            </w:r>
            <w:proofErr w:type="spellStart"/>
            <w:r w:rsidRPr="00C44B47">
              <w:rPr>
                <w:rFonts w:ascii="Arial" w:hAnsi="Arial" w:cs="Arial"/>
              </w:rPr>
              <w:t>eur</w:t>
            </w:r>
            <w:proofErr w:type="spellEnd"/>
          </w:p>
        </w:tc>
        <w:tc>
          <w:tcPr>
            <w:tcW w:w="607" w:type="dxa"/>
            <w:shd w:val="clear" w:color="auto" w:fill="auto"/>
          </w:tcPr>
          <w:p w14:paraId="5456097F" w14:textId="77777777" w:rsidR="00993EDA" w:rsidRPr="00C44B47" w:rsidRDefault="00993EDA" w:rsidP="00DD1FEA">
            <w:pPr>
              <w:rPr>
                <w:rFonts w:ascii="Arial" w:hAnsi="Arial" w:cs="Arial"/>
                <w:b/>
              </w:rPr>
            </w:pPr>
          </w:p>
        </w:tc>
        <w:tc>
          <w:tcPr>
            <w:tcW w:w="655" w:type="dxa"/>
            <w:shd w:val="clear" w:color="auto" w:fill="auto"/>
          </w:tcPr>
          <w:p w14:paraId="03B72841" w14:textId="77777777" w:rsidR="00993EDA" w:rsidRPr="00C44B47" w:rsidRDefault="00993EDA" w:rsidP="00DD1FEA">
            <w:pPr>
              <w:rPr>
                <w:rFonts w:ascii="Arial" w:hAnsi="Arial" w:cs="Arial"/>
                <w:b/>
              </w:rPr>
            </w:pPr>
            <w:r w:rsidRPr="00C44B47">
              <w:rPr>
                <w:rFonts w:ascii="Arial" w:hAnsi="Arial" w:cs="Arial"/>
              </w:rPr>
              <w:t>Projekat “Jak potrošač – jaka ekonomija”</w:t>
            </w:r>
          </w:p>
        </w:tc>
        <w:tc>
          <w:tcPr>
            <w:tcW w:w="5468" w:type="dxa"/>
            <w:shd w:val="clear" w:color="auto" w:fill="auto"/>
          </w:tcPr>
          <w:p w14:paraId="248FF44C" w14:textId="77777777" w:rsidR="00993EDA" w:rsidRPr="00C44B47" w:rsidRDefault="00993EDA" w:rsidP="00DD1FEA">
            <w:pPr>
              <w:rPr>
                <w:rFonts w:ascii="Arial" w:hAnsi="Arial" w:cs="Arial"/>
              </w:rPr>
            </w:pPr>
            <w:r>
              <w:rPr>
                <w:rFonts w:ascii="Arial" w:hAnsi="Arial" w:cs="Arial"/>
              </w:rPr>
              <w:t>Aktivnost planirati za naredni AP</w:t>
            </w:r>
          </w:p>
        </w:tc>
      </w:tr>
      <w:tr w:rsidR="00993EDA" w:rsidRPr="00C44B47" w14:paraId="735087CC" w14:textId="77777777" w:rsidTr="00DD1FEA">
        <w:trPr>
          <w:trHeight w:val="250"/>
        </w:trPr>
        <w:tc>
          <w:tcPr>
            <w:tcW w:w="1218" w:type="dxa"/>
            <w:gridSpan w:val="2"/>
          </w:tcPr>
          <w:p w14:paraId="0F53A1EF" w14:textId="77777777" w:rsidR="00993EDA" w:rsidRPr="00C44B47" w:rsidRDefault="00993EDA" w:rsidP="00DD1FEA">
            <w:pPr>
              <w:rPr>
                <w:rFonts w:ascii="Arial" w:hAnsi="Arial" w:cs="Arial"/>
                <w:b/>
              </w:rPr>
            </w:pPr>
            <w:r w:rsidRPr="00C44B47">
              <w:rPr>
                <w:rFonts w:ascii="Arial" w:hAnsi="Arial" w:cs="Arial"/>
                <w:b/>
              </w:rPr>
              <w:lastRenderedPageBreak/>
              <w:t>2.18. Izrada Praktičnog priručnika za potrošače/</w:t>
            </w:r>
            <w:proofErr w:type="spellStart"/>
            <w:r w:rsidRPr="00C44B47">
              <w:rPr>
                <w:rFonts w:ascii="Arial" w:hAnsi="Arial" w:cs="Arial"/>
                <w:b/>
              </w:rPr>
              <w:t>ice</w:t>
            </w:r>
            <w:proofErr w:type="spellEnd"/>
          </w:p>
        </w:tc>
        <w:tc>
          <w:tcPr>
            <w:tcW w:w="925" w:type="dxa"/>
          </w:tcPr>
          <w:p w14:paraId="16780413" w14:textId="77777777" w:rsidR="00993EDA" w:rsidRPr="00C44B47" w:rsidRDefault="00993EDA" w:rsidP="00DD1FEA">
            <w:pPr>
              <w:rPr>
                <w:rFonts w:ascii="Arial" w:hAnsi="Arial" w:cs="Arial"/>
                <w:b/>
              </w:rPr>
            </w:pPr>
            <w:r w:rsidRPr="00C44B47">
              <w:rPr>
                <w:rFonts w:ascii="Arial" w:hAnsi="Arial" w:cs="Arial"/>
              </w:rPr>
              <w:t>a Praktičnog priručnika za potrošače/</w:t>
            </w:r>
            <w:proofErr w:type="spellStart"/>
            <w:r w:rsidRPr="00C44B47">
              <w:rPr>
                <w:rFonts w:ascii="Arial" w:hAnsi="Arial" w:cs="Arial"/>
              </w:rPr>
              <w:t>ice</w:t>
            </w:r>
            <w:proofErr w:type="spellEnd"/>
            <w:r w:rsidRPr="00C44B47">
              <w:rPr>
                <w:rFonts w:ascii="Arial" w:hAnsi="Arial" w:cs="Arial"/>
              </w:rPr>
              <w:t xml:space="preserve"> Izrađen Priručnik Broj distribuiranih </w:t>
            </w:r>
            <w:proofErr w:type="spellStart"/>
            <w:r w:rsidRPr="00C44B47">
              <w:rPr>
                <w:rFonts w:ascii="Arial" w:hAnsi="Arial" w:cs="Arial"/>
              </w:rPr>
              <w:t>primjeraka</w:t>
            </w:r>
            <w:proofErr w:type="spellEnd"/>
            <w:r w:rsidRPr="00C44B47">
              <w:rPr>
                <w:rFonts w:ascii="Arial" w:hAnsi="Arial" w:cs="Arial"/>
              </w:rPr>
              <w:t>: najmanje 50</w:t>
            </w:r>
          </w:p>
        </w:tc>
        <w:tc>
          <w:tcPr>
            <w:tcW w:w="788" w:type="dxa"/>
            <w:gridSpan w:val="2"/>
          </w:tcPr>
          <w:p w14:paraId="154113DD" w14:textId="77777777" w:rsidR="00993EDA" w:rsidRPr="00C44B47" w:rsidRDefault="00993EDA" w:rsidP="00DD1FEA">
            <w:pPr>
              <w:rPr>
                <w:rFonts w:ascii="Arial" w:hAnsi="Arial" w:cs="Arial"/>
                <w:b/>
              </w:rPr>
            </w:pPr>
            <w:r w:rsidRPr="00C44B47">
              <w:rPr>
                <w:rFonts w:ascii="Arial" w:hAnsi="Arial" w:cs="Arial"/>
              </w:rPr>
              <w:t>CEZAP</w:t>
            </w:r>
          </w:p>
        </w:tc>
        <w:tc>
          <w:tcPr>
            <w:tcW w:w="697" w:type="dxa"/>
          </w:tcPr>
          <w:p w14:paraId="7CA3B948" w14:textId="77777777" w:rsidR="00993EDA" w:rsidRPr="00C44B47" w:rsidRDefault="00993EDA" w:rsidP="00DD1FEA">
            <w:pPr>
              <w:rPr>
                <w:rFonts w:ascii="Arial" w:hAnsi="Arial" w:cs="Arial"/>
                <w:b/>
              </w:rPr>
            </w:pPr>
            <w:r w:rsidRPr="00C44B47">
              <w:rPr>
                <w:rFonts w:ascii="Arial" w:hAnsi="Arial" w:cs="Arial"/>
              </w:rPr>
              <w:t>I Q 2024</w:t>
            </w:r>
          </w:p>
        </w:tc>
        <w:tc>
          <w:tcPr>
            <w:tcW w:w="543" w:type="dxa"/>
          </w:tcPr>
          <w:p w14:paraId="3008019C" w14:textId="77777777" w:rsidR="00993EDA" w:rsidRPr="00C44B47" w:rsidRDefault="00993EDA" w:rsidP="00DD1FEA">
            <w:pPr>
              <w:rPr>
                <w:rFonts w:ascii="Arial" w:hAnsi="Arial" w:cs="Arial"/>
                <w:b/>
              </w:rPr>
            </w:pPr>
            <w:r w:rsidRPr="00C44B47">
              <w:rPr>
                <w:rFonts w:ascii="Arial" w:hAnsi="Arial" w:cs="Arial"/>
              </w:rPr>
              <w:t>II Q 2024</w:t>
            </w:r>
          </w:p>
        </w:tc>
        <w:tc>
          <w:tcPr>
            <w:tcW w:w="702" w:type="dxa"/>
            <w:shd w:val="clear" w:color="auto" w:fill="auto"/>
          </w:tcPr>
          <w:p w14:paraId="3E327A4A" w14:textId="77777777" w:rsidR="00993EDA" w:rsidRPr="00C44B47" w:rsidRDefault="00993EDA" w:rsidP="00DD1FEA">
            <w:pPr>
              <w:rPr>
                <w:rFonts w:ascii="Arial" w:hAnsi="Arial" w:cs="Arial"/>
                <w:b/>
              </w:rPr>
            </w:pPr>
            <w:r w:rsidRPr="00A13A66">
              <w:rPr>
                <w:rFonts w:ascii="Arial" w:hAnsi="Arial" w:cs="Arial"/>
                <w:b/>
                <w:highlight w:val="green"/>
              </w:rPr>
              <w:t>Realizovano</w:t>
            </w:r>
          </w:p>
        </w:tc>
        <w:tc>
          <w:tcPr>
            <w:tcW w:w="828" w:type="dxa"/>
            <w:gridSpan w:val="3"/>
            <w:shd w:val="clear" w:color="auto" w:fill="auto"/>
          </w:tcPr>
          <w:p w14:paraId="318A40B3" w14:textId="77777777" w:rsidR="00993EDA" w:rsidRPr="00C44B47" w:rsidRDefault="00993EDA" w:rsidP="00DD1FEA">
            <w:pPr>
              <w:rPr>
                <w:rFonts w:ascii="Arial" w:hAnsi="Arial" w:cs="Arial"/>
                <w:b/>
              </w:rPr>
            </w:pPr>
          </w:p>
        </w:tc>
        <w:tc>
          <w:tcPr>
            <w:tcW w:w="519" w:type="dxa"/>
            <w:shd w:val="clear" w:color="auto" w:fill="auto"/>
          </w:tcPr>
          <w:p w14:paraId="1FE0E85F" w14:textId="77777777" w:rsidR="00993EDA" w:rsidRPr="00C44B47" w:rsidRDefault="00993EDA" w:rsidP="00DD1FEA">
            <w:pPr>
              <w:rPr>
                <w:rFonts w:ascii="Arial" w:hAnsi="Arial" w:cs="Arial"/>
                <w:b/>
              </w:rPr>
            </w:pPr>
            <w:r w:rsidRPr="00C44B47">
              <w:rPr>
                <w:rFonts w:ascii="Arial" w:hAnsi="Arial" w:cs="Arial"/>
              </w:rPr>
              <w:t xml:space="preserve">900 </w:t>
            </w:r>
            <w:proofErr w:type="spellStart"/>
            <w:r w:rsidRPr="00C44B47">
              <w:rPr>
                <w:rFonts w:ascii="Arial" w:hAnsi="Arial" w:cs="Arial"/>
              </w:rPr>
              <w:t>eur</w:t>
            </w:r>
            <w:proofErr w:type="spellEnd"/>
          </w:p>
        </w:tc>
        <w:tc>
          <w:tcPr>
            <w:tcW w:w="607" w:type="dxa"/>
            <w:shd w:val="clear" w:color="auto" w:fill="auto"/>
          </w:tcPr>
          <w:p w14:paraId="123F5A15" w14:textId="77777777" w:rsidR="00993EDA" w:rsidRPr="00A13A66" w:rsidRDefault="00993EDA" w:rsidP="00DD1FEA">
            <w:pPr>
              <w:rPr>
                <w:rFonts w:ascii="Arial" w:hAnsi="Arial" w:cs="Arial"/>
              </w:rPr>
            </w:pPr>
            <w:r w:rsidRPr="00A13A66">
              <w:rPr>
                <w:rFonts w:ascii="Arial" w:hAnsi="Arial" w:cs="Arial"/>
              </w:rPr>
              <w:t xml:space="preserve">900 </w:t>
            </w:r>
            <w:proofErr w:type="spellStart"/>
            <w:r w:rsidRPr="00A13A66">
              <w:rPr>
                <w:rFonts w:ascii="Arial" w:hAnsi="Arial" w:cs="Arial"/>
              </w:rPr>
              <w:t>eur</w:t>
            </w:r>
            <w:proofErr w:type="spellEnd"/>
          </w:p>
        </w:tc>
        <w:tc>
          <w:tcPr>
            <w:tcW w:w="655" w:type="dxa"/>
            <w:shd w:val="clear" w:color="auto" w:fill="auto"/>
          </w:tcPr>
          <w:p w14:paraId="236F9BBE" w14:textId="77777777" w:rsidR="00993EDA" w:rsidRPr="00C44B47" w:rsidRDefault="00993EDA" w:rsidP="00DD1FEA">
            <w:pPr>
              <w:rPr>
                <w:rFonts w:ascii="Arial" w:hAnsi="Arial" w:cs="Arial"/>
                <w:b/>
              </w:rPr>
            </w:pPr>
            <w:r w:rsidRPr="00C44B47">
              <w:rPr>
                <w:rFonts w:ascii="Arial" w:hAnsi="Arial" w:cs="Arial"/>
              </w:rPr>
              <w:t>Projekat “Jak potrošač – jaka ekonomija”</w:t>
            </w:r>
          </w:p>
        </w:tc>
        <w:tc>
          <w:tcPr>
            <w:tcW w:w="5468" w:type="dxa"/>
            <w:shd w:val="clear" w:color="auto" w:fill="auto"/>
          </w:tcPr>
          <w:p w14:paraId="0BB67FC6" w14:textId="77777777" w:rsidR="00993EDA" w:rsidRPr="00C44B47" w:rsidRDefault="00993EDA" w:rsidP="00DD1FEA">
            <w:pPr>
              <w:rPr>
                <w:rFonts w:ascii="Arial" w:hAnsi="Arial" w:cs="Arial"/>
              </w:rPr>
            </w:pPr>
          </w:p>
        </w:tc>
      </w:tr>
      <w:tr w:rsidR="00993EDA" w:rsidRPr="00C44B47" w14:paraId="45CF964E" w14:textId="77777777" w:rsidTr="00DD1FEA">
        <w:trPr>
          <w:trHeight w:val="250"/>
        </w:trPr>
        <w:tc>
          <w:tcPr>
            <w:tcW w:w="1218" w:type="dxa"/>
            <w:gridSpan w:val="2"/>
          </w:tcPr>
          <w:p w14:paraId="73769824" w14:textId="77777777" w:rsidR="00993EDA" w:rsidRPr="00C44B47" w:rsidRDefault="00993EDA" w:rsidP="00DD1FEA">
            <w:pPr>
              <w:rPr>
                <w:rFonts w:ascii="Arial" w:hAnsi="Arial" w:cs="Arial"/>
                <w:b/>
              </w:rPr>
            </w:pPr>
            <w:r w:rsidRPr="00C44B47">
              <w:rPr>
                <w:rFonts w:ascii="Arial" w:hAnsi="Arial" w:cs="Arial"/>
                <w:b/>
              </w:rPr>
              <w:t>Operativni cilj 3:</w:t>
            </w:r>
          </w:p>
        </w:tc>
        <w:tc>
          <w:tcPr>
            <w:tcW w:w="11732" w:type="dxa"/>
            <w:gridSpan w:val="13"/>
            <w:shd w:val="clear" w:color="auto" w:fill="auto"/>
          </w:tcPr>
          <w:p w14:paraId="27B780A9" w14:textId="77777777" w:rsidR="00993EDA" w:rsidRPr="00C44B47" w:rsidRDefault="00993EDA" w:rsidP="00DD1FEA">
            <w:pPr>
              <w:rPr>
                <w:rFonts w:ascii="Arial" w:hAnsi="Arial" w:cs="Arial"/>
                <w:b/>
              </w:rPr>
            </w:pPr>
            <w:r w:rsidRPr="00C44B47">
              <w:rPr>
                <w:rFonts w:ascii="Arial" w:hAnsi="Arial" w:cs="Arial"/>
                <w:b/>
              </w:rPr>
              <w:t xml:space="preserve">Uspostavljanje efikasnog sistema saradnje i koordinacije sa različitim </w:t>
            </w:r>
            <w:proofErr w:type="spellStart"/>
            <w:r w:rsidRPr="00C44B47">
              <w:rPr>
                <w:rFonts w:ascii="Arial" w:hAnsi="Arial" w:cs="Arial"/>
                <w:b/>
              </w:rPr>
              <w:t>stejkholderima</w:t>
            </w:r>
            <w:proofErr w:type="spellEnd"/>
            <w:r w:rsidRPr="00C44B47">
              <w:rPr>
                <w:rFonts w:ascii="Arial" w:hAnsi="Arial" w:cs="Arial"/>
                <w:b/>
              </w:rPr>
              <w:t xml:space="preserve"> značajnim za implementaciju politike zaštite potrošača</w:t>
            </w:r>
          </w:p>
        </w:tc>
      </w:tr>
      <w:tr w:rsidR="00993EDA" w:rsidRPr="00C44B47" w14:paraId="72636C2E" w14:textId="77777777" w:rsidTr="00DD1FEA">
        <w:trPr>
          <w:trHeight w:val="250"/>
        </w:trPr>
        <w:tc>
          <w:tcPr>
            <w:tcW w:w="1218" w:type="dxa"/>
            <w:gridSpan w:val="2"/>
          </w:tcPr>
          <w:p w14:paraId="47C6100B" w14:textId="77777777" w:rsidR="00993EDA" w:rsidRPr="00C44B47" w:rsidRDefault="00993EDA" w:rsidP="00DD1FEA">
            <w:pPr>
              <w:rPr>
                <w:rFonts w:ascii="Arial" w:hAnsi="Arial" w:cs="Arial"/>
                <w:b/>
              </w:rPr>
            </w:pPr>
          </w:p>
        </w:tc>
        <w:tc>
          <w:tcPr>
            <w:tcW w:w="925" w:type="dxa"/>
          </w:tcPr>
          <w:p w14:paraId="14624A71" w14:textId="77777777" w:rsidR="00993EDA" w:rsidRPr="00C44B47" w:rsidRDefault="00993EDA" w:rsidP="00DD1FEA">
            <w:pPr>
              <w:rPr>
                <w:rFonts w:ascii="Arial" w:hAnsi="Arial" w:cs="Arial"/>
                <w:b/>
              </w:rPr>
            </w:pPr>
            <w:r w:rsidRPr="00C44B47">
              <w:rPr>
                <w:rFonts w:ascii="Arial" w:hAnsi="Arial" w:cs="Arial"/>
                <w:b/>
              </w:rPr>
              <w:t xml:space="preserve">Polazne </w:t>
            </w:r>
            <w:proofErr w:type="spellStart"/>
            <w:r w:rsidRPr="00C44B47">
              <w:rPr>
                <w:rFonts w:ascii="Arial" w:hAnsi="Arial" w:cs="Arial"/>
                <w:b/>
              </w:rPr>
              <w:t>vrijednosti</w:t>
            </w:r>
            <w:proofErr w:type="spellEnd"/>
            <w:r w:rsidRPr="00C44B47">
              <w:rPr>
                <w:rFonts w:ascii="Arial" w:hAnsi="Arial" w:cs="Arial"/>
                <w:b/>
              </w:rPr>
              <w:t xml:space="preserve"> – 2022</w:t>
            </w:r>
          </w:p>
        </w:tc>
        <w:tc>
          <w:tcPr>
            <w:tcW w:w="788" w:type="dxa"/>
            <w:gridSpan w:val="2"/>
          </w:tcPr>
          <w:p w14:paraId="19CE9FBA" w14:textId="77777777" w:rsidR="00993EDA" w:rsidRPr="00C44B47" w:rsidRDefault="00993EDA" w:rsidP="00DD1FEA">
            <w:pPr>
              <w:rPr>
                <w:rFonts w:ascii="Arial" w:hAnsi="Arial" w:cs="Arial"/>
                <w:b/>
              </w:rPr>
            </w:pPr>
            <w:r w:rsidRPr="00C44B47">
              <w:rPr>
                <w:rFonts w:ascii="Arial" w:hAnsi="Arial" w:cs="Arial"/>
                <w:b/>
              </w:rPr>
              <w:t>2023</w:t>
            </w:r>
          </w:p>
        </w:tc>
        <w:tc>
          <w:tcPr>
            <w:tcW w:w="10019" w:type="dxa"/>
            <w:gridSpan w:val="10"/>
            <w:shd w:val="clear" w:color="auto" w:fill="auto"/>
          </w:tcPr>
          <w:p w14:paraId="26D271C5" w14:textId="77777777" w:rsidR="00993EDA" w:rsidRPr="00C44B47" w:rsidRDefault="00993EDA" w:rsidP="00DD1FEA">
            <w:pPr>
              <w:rPr>
                <w:rFonts w:ascii="Arial" w:hAnsi="Arial" w:cs="Arial"/>
              </w:rPr>
            </w:pPr>
            <w:r w:rsidRPr="00C44B47">
              <w:rPr>
                <w:rFonts w:ascii="Arial" w:hAnsi="Arial" w:cs="Arial"/>
                <w:b/>
              </w:rPr>
              <w:t>2024</w:t>
            </w:r>
          </w:p>
        </w:tc>
      </w:tr>
      <w:tr w:rsidR="00993EDA" w:rsidRPr="00C44B47" w14:paraId="04960380" w14:textId="77777777" w:rsidTr="00DD1FEA">
        <w:trPr>
          <w:trHeight w:val="250"/>
        </w:trPr>
        <w:tc>
          <w:tcPr>
            <w:tcW w:w="1218" w:type="dxa"/>
            <w:gridSpan w:val="2"/>
          </w:tcPr>
          <w:p w14:paraId="6B3A03D7" w14:textId="77777777" w:rsidR="00993EDA" w:rsidRPr="00C44B47" w:rsidRDefault="00993EDA" w:rsidP="00DD1FEA">
            <w:pPr>
              <w:rPr>
                <w:rFonts w:ascii="Arial" w:hAnsi="Arial" w:cs="Arial"/>
                <w:b/>
              </w:rPr>
            </w:pPr>
            <w:r w:rsidRPr="00C44B47">
              <w:rPr>
                <w:rFonts w:ascii="Arial" w:hAnsi="Arial" w:cs="Arial"/>
                <w:b/>
              </w:rPr>
              <w:t xml:space="preserve">Indikator učinka </w:t>
            </w:r>
          </w:p>
          <w:p w14:paraId="2BB234EF" w14:textId="77777777" w:rsidR="00993EDA" w:rsidRPr="00C44B47" w:rsidRDefault="00993EDA" w:rsidP="00DD1FEA">
            <w:pPr>
              <w:rPr>
                <w:rFonts w:ascii="Arial" w:hAnsi="Arial" w:cs="Arial"/>
                <w:b/>
              </w:rPr>
            </w:pPr>
            <w:r w:rsidRPr="00C44B47">
              <w:rPr>
                <w:rFonts w:ascii="Arial" w:hAnsi="Arial" w:cs="Arial"/>
                <w:b/>
              </w:rPr>
              <w:t xml:space="preserve">1. </w:t>
            </w:r>
          </w:p>
          <w:p w14:paraId="6EA588F7" w14:textId="77777777" w:rsidR="00993EDA" w:rsidRPr="00C44B47" w:rsidRDefault="00993EDA" w:rsidP="00DD1FEA">
            <w:pPr>
              <w:rPr>
                <w:rFonts w:ascii="Arial" w:hAnsi="Arial" w:cs="Arial"/>
                <w:b/>
              </w:rPr>
            </w:pPr>
          </w:p>
          <w:p w14:paraId="5F846B42" w14:textId="77777777" w:rsidR="00993EDA" w:rsidRPr="00C44B47" w:rsidRDefault="00993EDA" w:rsidP="00DD1FEA">
            <w:pPr>
              <w:rPr>
                <w:rFonts w:ascii="Arial" w:hAnsi="Arial" w:cs="Arial"/>
                <w:b/>
              </w:rPr>
            </w:pPr>
            <w:r w:rsidRPr="00C44B47">
              <w:rPr>
                <w:rFonts w:ascii="Arial" w:hAnsi="Arial" w:cs="Arial"/>
                <w:b/>
              </w:rPr>
              <w:t xml:space="preserve">Povećanje broja lokalnih samouprava koje su ostvarile saradnju sa NVO </w:t>
            </w:r>
            <w:r w:rsidRPr="00C44B47">
              <w:rPr>
                <w:rFonts w:ascii="Arial" w:hAnsi="Arial" w:cs="Arial"/>
                <w:b/>
              </w:rPr>
              <w:lastRenderedPageBreak/>
              <w:t>udruženjima</w:t>
            </w:r>
          </w:p>
        </w:tc>
        <w:tc>
          <w:tcPr>
            <w:tcW w:w="925" w:type="dxa"/>
          </w:tcPr>
          <w:p w14:paraId="7613A2A8" w14:textId="77777777" w:rsidR="00993EDA" w:rsidRPr="00C44B47" w:rsidRDefault="00993EDA" w:rsidP="00DD1FEA">
            <w:pPr>
              <w:rPr>
                <w:rFonts w:ascii="Arial" w:hAnsi="Arial" w:cs="Arial"/>
              </w:rPr>
            </w:pPr>
            <w:r w:rsidRPr="00C44B47">
              <w:rPr>
                <w:rFonts w:ascii="Arial" w:hAnsi="Arial" w:cs="Arial"/>
              </w:rPr>
              <w:lastRenderedPageBreak/>
              <w:t>1</w:t>
            </w:r>
          </w:p>
        </w:tc>
        <w:tc>
          <w:tcPr>
            <w:tcW w:w="788" w:type="dxa"/>
            <w:gridSpan w:val="2"/>
          </w:tcPr>
          <w:p w14:paraId="6A540582" w14:textId="77777777" w:rsidR="00993EDA" w:rsidRPr="00C44B47" w:rsidRDefault="00993EDA" w:rsidP="00DD1FEA">
            <w:pPr>
              <w:rPr>
                <w:rFonts w:ascii="Arial" w:hAnsi="Arial" w:cs="Arial"/>
              </w:rPr>
            </w:pPr>
            <w:r w:rsidRPr="00C44B47">
              <w:rPr>
                <w:rFonts w:ascii="Arial" w:hAnsi="Arial" w:cs="Arial"/>
              </w:rPr>
              <w:t>2023: 0</w:t>
            </w:r>
          </w:p>
        </w:tc>
        <w:tc>
          <w:tcPr>
            <w:tcW w:w="10019" w:type="dxa"/>
            <w:gridSpan w:val="10"/>
            <w:shd w:val="clear" w:color="auto" w:fill="auto"/>
          </w:tcPr>
          <w:p w14:paraId="34643D72" w14:textId="77777777" w:rsidR="00993EDA" w:rsidRPr="00C44B47" w:rsidRDefault="00993EDA" w:rsidP="00DD1FEA">
            <w:pPr>
              <w:rPr>
                <w:rFonts w:ascii="Arial" w:hAnsi="Arial" w:cs="Arial"/>
                <w:color w:val="FF0000"/>
              </w:rPr>
            </w:pPr>
            <w:r w:rsidRPr="00C44B47">
              <w:rPr>
                <w:rFonts w:ascii="Arial" w:hAnsi="Arial" w:cs="Arial"/>
                <w:color w:val="FF0000"/>
              </w:rPr>
              <w:t>Povećanje broja lokalnih samouprava koje su uspostavile saradnju sa udruženjem potrošača za 1 u odnosu na 2022. godinu</w:t>
            </w:r>
          </w:p>
        </w:tc>
      </w:tr>
      <w:tr w:rsidR="00993EDA" w:rsidRPr="00C44B47" w14:paraId="5D461E09" w14:textId="77777777" w:rsidTr="00DD1FEA">
        <w:trPr>
          <w:trHeight w:val="250"/>
        </w:trPr>
        <w:tc>
          <w:tcPr>
            <w:tcW w:w="1218" w:type="dxa"/>
            <w:gridSpan w:val="2"/>
          </w:tcPr>
          <w:p w14:paraId="0A110B1D" w14:textId="77777777" w:rsidR="00993EDA" w:rsidRPr="00C44B47" w:rsidRDefault="00993EDA" w:rsidP="00DD1FEA">
            <w:pPr>
              <w:rPr>
                <w:rFonts w:ascii="Arial" w:hAnsi="Arial" w:cs="Arial"/>
                <w:b/>
              </w:rPr>
            </w:pPr>
            <w:r w:rsidRPr="00C44B47">
              <w:rPr>
                <w:rFonts w:ascii="Arial" w:hAnsi="Arial" w:cs="Arial"/>
                <w:b/>
              </w:rPr>
              <w:t xml:space="preserve">Indikator učinka 2. </w:t>
            </w:r>
          </w:p>
          <w:p w14:paraId="4AE40132" w14:textId="77777777" w:rsidR="00993EDA" w:rsidRPr="00C44B47" w:rsidRDefault="00993EDA" w:rsidP="00DD1FEA">
            <w:pPr>
              <w:rPr>
                <w:rFonts w:ascii="Arial" w:hAnsi="Arial" w:cs="Arial"/>
                <w:b/>
              </w:rPr>
            </w:pPr>
          </w:p>
          <w:p w14:paraId="280EB4B5" w14:textId="77777777" w:rsidR="00993EDA" w:rsidRPr="00C44B47" w:rsidRDefault="00993EDA" w:rsidP="00DD1FEA">
            <w:pPr>
              <w:rPr>
                <w:rFonts w:ascii="Arial" w:hAnsi="Arial" w:cs="Arial"/>
                <w:b/>
              </w:rPr>
            </w:pPr>
            <w:r w:rsidRPr="00C44B47">
              <w:rPr>
                <w:rFonts w:ascii="Arial" w:hAnsi="Arial" w:cs="Arial"/>
                <w:b/>
              </w:rPr>
              <w:t>Povećanje broja inicijativa i projekata koji se odnose na zaštitu potrošača/</w:t>
            </w:r>
            <w:proofErr w:type="spellStart"/>
            <w:r w:rsidRPr="00C44B47">
              <w:rPr>
                <w:rFonts w:ascii="Arial" w:hAnsi="Arial" w:cs="Arial"/>
                <w:b/>
              </w:rPr>
              <w:t>ica</w:t>
            </w:r>
            <w:proofErr w:type="spellEnd"/>
            <w:r w:rsidRPr="00C44B47">
              <w:rPr>
                <w:rFonts w:ascii="Arial" w:hAnsi="Arial" w:cs="Arial"/>
                <w:b/>
              </w:rPr>
              <w:t xml:space="preserve"> pokrenutih od strane ostalih </w:t>
            </w:r>
            <w:proofErr w:type="spellStart"/>
            <w:r w:rsidRPr="00C44B47">
              <w:rPr>
                <w:rFonts w:ascii="Arial" w:hAnsi="Arial" w:cs="Arial"/>
                <w:b/>
              </w:rPr>
              <w:t>stejkholdera</w:t>
            </w:r>
            <w:proofErr w:type="spellEnd"/>
          </w:p>
        </w:tc>
        <w:tc>
          <w:tcPr>
            <w:tcW w:w="925" w:type="dxa"/>
          </w:tcPr>
          <w:p w14:paraId="5737398D" w14:textId="77777777" w:rsidR="00993EDA" w:rsidRPr="00C44B47" w:rsidRDefault="00993EDA" w:rsidP="00DD1FEA">
            <w:pPr>
              <w:rPr>
                <w:rFonts w:ascii="Arial" w:hAnsi="Arial" w:cs="Arial"/>
              </w:rPr>
            </w:pPr>
            <w:r w:rsidRPr="00C44B47">
              <w:rPr>
                <w:rFonts w:ascii="Arial" w:hAnsi="Arial" w:cs="Arial"/>
              </w:rPr>
              <w:t>2</w:t>
            </w:r>
          </w:p>
        </w:tc>
        <w:tc>
          <w:tcPr>
            <w:tcW w:w="788" w:type="dxa"/>
            <w:gridSpan w:val="2"/>
          </w:tcPr>
          <w:p w14:paraId="7CA7C018" w14:textId="77777777" w:rsidR="00993EDA" w:rsidRPr="00C44B47" w:rsidRDefault="00993EDA" w:rsidP="00DD1FEA">
            <w:pPr>
              <w:rPr>
                <w:rFonts w:ascii="Arial" w:hAnsi="Arial" w:cs="Arial"/>
              </w:rPr>
            </w:pPr>
            <w:r w:rsidRPr="00C44B47">
              <w:rPr>
                <w:rFonts w:ascii="Arial" w:hAnsi="Arial" w:cs="Arial"/>
              </w:rPr>
              <w:t>2023: 2 (planirano povećanje za 1)</w:t>
            </w:r>
          </w:p>
        </w:tc>
        <w:tc>
          <w:tcPr>
            <w:tcW w:w="10019" w:type="dxa"/>
            <w:gridSpan w:val="10"/>
            <w:shd w:val="clear" w:color="auto" w:fill="auto"/>
          </w:tcPr>
          <w:p w14:paraId="4A814BCF" w14:textId="77777777" w:rsidR="00993EDA" w:rsidRPr="00C44B47" w:rsidRDefault="00993EDA" w:rsidP="00DD1FEA">
            <w:pPr>
              <w:rPr>
                <w:rFonts w:ascii="Arial" w:hAnsi="Arial" w:cs="Arial"/>
              </w:rPr>
            </w:pPr>
            <w:r w:rsidRPr="00C44B47">
              <w:rPr>
                <w:rFonts w:ascii="Arial" w:hAnsi="Arial" w:cs="Arial"/>
                <w:color w:val="FF0000"/>
              </w:rPr>
              <w:t>Povećanje projekata za 2 u odnosu na 2023. godinu</w:t>
            </w:r>
          </w:p>
        </w:tc>
      </w:tr>
      <w:tr w:rsidR="00993EDA" w:rsidRPr="00C44B47" w14:paraId="7C548B41" w14:textId="77777777" w:rsidTr="00DD1FEA">
        <w:trPr>
          <w:trHeight w:val="250"/>
        </w:trPr>
        <w:tc>
          <w:tcPr>
            <w:tcW w:w="1218" w:type="dxa"/>
            <w:gridSpan w:val="2"/>
          </w:tcPr>
          <w:p w14:paraId="65FB374D" w14:textId="77777777" w:rsidR="00993EDA" w:rsidRPr="00C44B47" w:rsidRDefault="00993EDA" w:rsidP="00DD1FEA">
            <w:pPr>
              <w:rPr>
                <w:rFonts w:ascii="Arial" w:hAnsi="Arial" w:cs="Arial"/>
                <w:b/>
              </w:rPr>
            </w:pPr>
            <w:r w:rsidRPr="00C44B47">
              <w:rPr>
                <w:rFonts w:ascii="Arial" w:hAnsi="Arial" w:cs="Arial"/>
                <w:b/>
              </w:rPr>
              <w:t xml:space="preserve">Aktivnost koja utiče na realizaciju </w:t>
            </w:r>
            <w:proofErr w:type="spellStart"/>
            <w:r w:rsidRPr="00C44B47">
              <w:rPr>
                <w:rFonts w:ascii="Arial" w:hAnsi="Arial" w:cs="Arial"/>
                <w:b/>
              </w:rPr>
              <w:t>Operativn</w:t>
            </w:r>
            <w:proofErr w:type="spellEnd"/>
            <w:r w:rsidRPr="00C44B47">
              <w:rPr>
                <w:rFonts w:ascii="Arial" w:hAnsi="Arial" w:cs="Arial"/>
                <w:b/>
              </w:rPr>
              <w:t xml:space="preserve"> </w:t>
            </w:r>
            <w:proofErr w:type="spellStart"/>
            <w:r w:rsidRPr="00C44B47">
              <w:rPr>
                <w:rFonts w:ascii="Arial" w:hAnsi="Arial" w:cs="Arial"/>
                <w:b/>
              </w:rPr>
              <w:t>ogcilja</w:t>
            </w:r>
            <w:proofErr w:type="spellEnd"/>
            <w:r w:rsidRPr="00C44B47">
              <w:rPr>
                <w:rFonts w:ascii="Arial" w:hAnsi="Arial" w:cs="Arial"/>
                <w:b/>
              </w:rPr>
              <w:t xml:space="preserve"> 3.</w:t>
            </w:r>
          </w:p>
        </w:tc>
        <w:tc>
          <w:tcPr>
            <w:tcW w:w="925" w:type="dxa"/>
          </w:tcPr>
          <w:p w14:paraId="718584B9" w14:textId="77777777" w:rsidR="00993EDA" w:rsidRPr="00C44B47" w:rsidRDefault="00993EDA" w:rsidP="00DD1FEA">
            <w:pPr>
              <w:rPr>
                <w:rFonts w:ascii="Arial" w:hAnsi="Arial" w:cs="Arial"/>
                <w:b/>
              </w:rPr>
            </w:pPr>
            <w:r w:rsidRPr="00C44B47">
              <w:rPr>
                <w:rFonts w:ascii="Arial" w:hAnsi="Arial" w:cs="Arial"/>
                <w:b/>
              </w:rPr>
              <w:t xml:space="preserve">Indikator rezultat a i postignute </w:t>
            </w:r>
            <w:proofErr w:type="spellStart"/>
            <w:r w:rsidRPr="00C44B47">
              <w:rPr>
                <w:rFonts w:ascii="Arial" w:hAnsi="Arial" w:cs="Arial"/>
                <w:b/>
              </w:rPr>
              <w:t>vrijednosti</w:t>
            </w:r>
            <w:proofErr w:type="spellEnd"/>
            <w:r w:rsidRPr="00C44B47">
              <w:rPr>
                <w:rFonts w:ascii="Arial" w:hAnsi="Arial" w:cs="Arial"/>
                <w:b/>
              </w:rPr>
              <w:t xml:space="preserve"> na kraju </w:t>
            </w:r>
            <w:proofErr w:type="spellStart"/>
            <w:r w:rsidRPr="00C44B47">
              <w:rPr>
                <w:rFonts w:ascii="Arial" w:hAnsi="Arial" w:cs="Arial"/>
                <w:b/>
              </w:rPr>
              <w:t>izvješta</w:t>
            </w:r>
            <w:proofErr w:type="spellEnd"/>
            <w:r w:rsidRPr="00C44B47">
              <w:rPr>
                <w:rFonts w:ascii="Arial" w:hAnsi="Arial" w:cs="Arial"/>
                <w:b/>
              </w:rPr>
              <w:t xml:space="preserve"> </w:t>
            </w:r>
            <w:proofErr w:type="spellStart"/>
            <w:r w:rsidRPr="00C44B47">
              <w:rPr>
                <w:rFonts w:ascii="Arial" w:hAnsi="Arial" w:cs="Arial"/>
                <w:b/>
              </w:rPr>
              <w:t>jnog</w:t>
            </w:r>
            <w:proofErr w:type="spellEnd"/>
            <w:r w:rsidRPr="00C44B47">
              <w:rPr>
                <w:rFonts w:ascii="Arial" w:hAnsi="Arial" w:cs="Arial"/>
                <w:b/>
              </w:rPr>
              <w:t xml:space="preserve"> perioda</w:t>
            </w:r>
          </w:p>
        </w:tc>
        <w:tc>
          <w:tcPr>
            <w:tcW w:w="788" w:type="dxa"/>
            <w:gridSpan w:val="2"/>
          </w:tcPr>
          <w:p w14:paraId="2A41A1CC" w14:textId="77777777" w:rsidR="00993EDA" w:rsidRPr="00C44B47" w:rsidRDefault="00993EDA" w:rsidP="00DD1FEA">
            <w:pPr>
              <w:rPr>
                <w:rFonts w:ascii="Arial" w:hAnsi="Arial" w:cs="Arial"/>
                <w:b/>
              </w:rPr>
            </w:pPr>
            <w:proofErr w:type="spellStart"/>
            <w:r w:rsidRPr="00C44B47">
              <w:rPr>
                <w:rFonts w:ascii="Arial" w:hAnsi="Arial" w:cs="Arial"/>
                <w:b/>
              </w:rPr>
              <w:t>Instituci</w:t>
            </w:r>
            <w:proofErr w:type="spellEnd"/>
            <w:r w:rsidRPr="00C44B47">
              <w:rPr>
                <w:rFonts w:ascii="Arial" w:hAnsi="Arial" w:cs="Arial"/>
                <w:b/>
              </w:rPr>
              <w:t xml:space="preserve"> je odgovor ne za </w:t>
            </w:r>
            <w:proofErr w:type="spellStart"/>
            <w:r w:rsidRPr="00C44B47">
              <w:rPr>
                <w:rFonts w:ascii="Arial" w:hAnsi="Arial" w:cs="Arial"/>
                <w:b/>
              </w:rPr>
              <w:t>sprovođ</w:t>
            </w:r>
            <w:proofErr w:type="spellEnd"/>
            <w:r w:rsidRPr="00C44B47">
              <w:rPr>
                <w:rFonts w:ascii="Arial" w:hAnsi="Arial" w:cs="Arial"/>
                <w:b/>
              </w:rPr>
              <w:t xml:space="preserve"> </w:t>
            </w:r>
            <w:proofErr w:type="spellStart"/>
            <w:r w:rsidRPr="00C44B47">
              <w:rPr>
                <w:rFonts w:ascii="Arial" w:hAnsi="Arial" w:cs="Arial"/>
                <w:b/>
              </w:rPr>
              <w:t>enje</w:t>
            </w:r>
            <w:proofErr w:type="spellEnd"/>
            <w:r w:rsidRPr="00C44B47">
              <w:rPr>
                <w:rFonts w:ascii="Arial" w:hAnsi="Arial" w:cs="Arial"/>
                <w:b/>
              </w:rPr>
              <w:t xml:space="preserve"> aktivno </w:t>
            </w:r>
            <w:proofErr w:type="spellStart"/>
            <w:r w:rsidRPr="00C44B47">
              <w:rPr>
                <w:rFonts w:ascii="Arial" w:hAnsi="Arial" w:cs="Arial"/>
                <w:b/>
              </w:rPr>
              <w:t>sti</w:t>
            </w:r>
            <w:proofErr w:type="spellEnd"/>
          </w:p>
        </w:tc>
        <w:tc>
          <w:tcPr>
            <w:tcW w:w="697" w:type="dxa"/>
          </w:tcPr>
          <w:p w14:paraId="32E8DADD" w14:textId="77777777" w:rsidR="00993EDA" w:rsidRPr="00C44B47" w:rsidRDefault="00993EDA" w:rsidP="00DD1FEA">
            <w:pPr>
              <w:rPr>
                <w:rFonts w:ascii="Arial" w:hAnsi="Arial" w:cs="Arial"/>
                <w:b/>
              </w:rPr>
            </w:pPr>
            <w:r w:rsidRPr="00C44B47">
              <w:rPr>
                <w:rFonts w:ascii="Arial" w:hAnsi="Arial" w:cs="Arial"/>
                <w:b/>
              </w:rPr>
              <w:t>Datu m počet ka</w:t>
            </w:r>
          </w:p>
        </w:tc>
        <w:tc>
          <w:tcPr>
            <w:tcW w:w="543" w:type="dxa"/>
          </w:tcPr>
          <w:p w14:paraId="2A211C44" w14:textId="77777777" w:rsidR="00993EDA" w:rsidRPr="00C44B47" w:rsidRDefault="00993EDA" w:rsidP="00DD1FEA">
            <w:pPr>
              <w:rPr>
                <w:rFonts w:ascii="Arial" w:hAnsi="Arial" w:cs="Arial"/>
                <w:b/>
              </w:rPr>
            </w:pPr>
            <w:r w:rsidRPr="00C44B47">
              <w:rPr>
                <w:rFonts w:ascii="Arial" w:hAnsi="Arial" w:cs="Arial"/>
                <w:b/>
              </w:rPr>
              <w:t xml:space="preserve">Plani rani datu m </w:t>
            </w:r>
            <w:proofErr w:type="spellStart"/>
            <w:r w:rsidRPr="00C44B47">
              <w:rPr>
                <w:rFonts w:ascii="Arial" w:hAnsi="Arial" w:cs="Arial"/>
                <w:b/>
              </w:rPr>
              <w:t>završ</w:t>
            </w:r>
            <w:proofErr w:type="spellEnd"/>
            <w:r w:rsidRPr="00C44B47">
              <w:rPr>
                <w:rFonts w:ascii="Arial" w:hAnsi="Arial" w:cs="Arial"/>
                <w:b/>
              </w:rPr>
              <w:t xml:space="preserve"> </w:t>
            </w:r>
            <w:proofErr w:type="spellStart"/>
            <w:r w:rsidRPr="00C44B47">
              <w:rPr>
                <w:rFonts w:ascii="Arial" w:hAnsi="Arial" w:cs="Arial"/>
                <w:b/>
              </w:rPr>
              <w:t>etka</w:t>
            </w:r>
            <w:proofErr w:type="spellEnd"/>
          </w:p>
        </w:tc>
        <w:tc>
          <w:tcPr>
            <w:tcW w:w="702" w:type="dxa"/>
            <w:shd w:val="clear" w:color="auto" w:fill="auto"/>
          </w:tcPr>
          <w:p w14:paraId="53461739" w14:textId="77777777" w:rsidR="00993EDA" w:rsidRPr="00C44B47" w:rsidRDefault="00993EDA" w:rsidP="00DD1FEA">
            <w:pPr>
              <w:rPr>
                <w:rFonts w:ascii="Arial" w:hAnsi="Arial" w:cs="Arial"/>
                <w:b/>
              </w:rPr>
            </w:pPr>
            <w:r w:rsidRPr="00C44B47">
              <w:rPr>
                <w:rFonts w:ascii="Arial" w:hAnsi="Arial" w:cs="Arial"/>
                <w:b/>
              </w:rPr>
              <w:t xml:space="preserve">Status </w:t>
            </w:r>
            <w:proofErr w:type="spellStart"/>
            <w:r w:rsidRPr="00C44B47">
              <w:rPr>
                <w:rFonts w:ascii="Arial" w:hAnsi="Arial" w:cs="Arial"/>
                <w:b/>
              </w:rPr>
              <w:t>realizaci</w:t>
            </w:r>
            <w:proofErr w:type="spellEnd"/>
            <w:r w:rsidRPr="00C44B47">
              <w:rPr>
                <w:rFonts w:ascii="Arial" w:hAnsi="Arial" w:cs="Arial"/>
                <w:b/>
              </w:rPr>
              <w:t xml:space="preserve"> je</w:t>
            </w:r>
          </w:p>
        </w:tc>
        <w:tc>
          <w:tcPr>
            <w:tcW w:w="828" w:type="dxa"/>
            <w:gridSpan w:val="3"/>
            <w:shd w:val="clear" w:color="auto" w:fill="auto"/>
          </w:tcPr>
          <w:p w14:paraId="42F5BA3A" w14:textId="77777777" w:rsidR="00993EDA" w:rsidRPr="00C44B47" w:rsidRDefault="00993EDA" w:rsidP="00DD1FEA">
            <w:pPr>
              <w:rPr>
                <w:rFonts w:ascii="Arial" w:hAnsi="Arial" w:cs="Arial"/>
                <w:b/>
              </w:rPr>
            </w:pPr>
            <w:r w:rsidRPr="00C44B47">
              <w:rPr>
                <w:rFonts w:ascii="Arial" w:hAnsi="Arial" w:cs="Arial"/>
                <w:b/>
              </w:rPr>
              <w:t xml:space="preserve">Novi rok za </w:t>
            </w:r>
            <w:proofErr w:type="spellStart"/>
            <w:r w:rsidRPr="00C44B47">
              <w:rPr>
                <w:rFonts w:ascii="Arial" w:hAnsi="Arial" w:cs="Arial"/>
                <w:b/>
              </w:rPr>
              <w:t>realizacij</w:t>
            </w:r>
            <w:proofErr w:type="spellEnd"/>
            <w:r w:rsidRPr="00C44B47">
              <w:rPr>
                <w:rFonts w:ascii="Arial" w:hAnsi="Arial" w:cs="Arial"/>
                <w:b/>
              </w:rPr>
              <w:t xml:space="preserve"> u (uz </w:t>
            </w:r>
            <w:proofErr w:type="spellStart"/>
            <w:r w:rsidRPr="00C44B47">
              <w:rPr>
                <w:rFonts w:ascii="Arial" w:hAnsi="Arial" w:cs="Arial"/>
                <w:b/>
              </w:rPr>
              <w:t>odgovar</w:t>
            </w:r>
            <w:proofErr w:type="spellEnd"/>
            <w:r w:rsidRPr="00C44B47">
              <w:rPr>
                <w:rFonts w:ascii="Arial" w:hAnsi="Arial" w:cs="Arial"/>
                <w:b/>
              </w:rPr>
              <w:t xml:space="preserve"> </w:t>
            </w:r>
            <w:proofErr w:type="spellStart"/>
            <w:r w:rsidRPr="00C44B47">
              <w:rPr>
                <w:rFonts w:ascii="Arial" w:hAnsi="Arial" w:cs="Arial"/>
                <w:b/>
              </w:rPr>
              <w:t>ajuće</w:t>
            </w:r>
            <w:proofErr w:type="spellEnd"/>
            <w:r w:rsidRPr="00C44B47">
              <w:rPr>
                <w:rFonts w:ascii="Arial" w:hAnsi="Arial" w:cs="Arial"/>
                <w:b/>
              </w:rPr>
              <w:t xml:space="preserve"> </w:t>
            </w:r>
            <w:proofErr w:type="spellStart"/>
            <w:r w:rsidRPr="00C44B47">
              <w:rPr>
                <w:rFonts w:ascii="Arial" w:hAnsi="Arial" w:cs="Arial"/>
                <w:b/>
              </w:rPr>
              <w:t>obrazlož</w:t>
            </w:r>
            <w:proofErr w:type="spellEnd"/>
            <w:r w:rsidRPr="00C44B47">
              <w:rPr>
                <w:rFonts w:ascii="Arial" w:hAnsi="Arial" w:cs="Arial"/>
                <w:b/>
              </w:rPr>
              <w:t xml:space="preserve"> </w:t>
            </w:r>
            <w:proofErr w:type="spellStart"/>
            <w:r w:rsidRPr="00C44B47">
              <w:rPr>
                <w:rFonts w:ascii="Arial" w:hAnsi="Arial" w:cs="Arial"/>
                <w:b/>
              </w:rPr>
              <w:t>enje</w:t>
            </w:r>
            <w:proofErr w:type="spellEnd"/>
            <w:r w:rsidRPr="00C44B47">
              <w:rPr>
                <w:rFonts w:ascii="Arial" w:hAnsi="Arial" w:cs="Arial"/>
                <w:b/>
              </w:rPr>
              <w:t>)</w:t>
            </w:r>
          </w:p>
        </w:tc>
        <w:tc>
          <w:tcPr>
            <w:tcW w:w="519" w:type="dxa"/>
            <w:shd w:val="clear" w:color="auto" w:fill="auto"/>
          </w:tcPr>
          <w:p w14:paraId="67F618B6" w14:textId="77777777" w:rsidR="00993EDA" w:rsidRPr="00C44B47" w:rsidRDefault="00993EDA" w:rsidP="00DD1FEA">
            <w:pPr>
              <w:rPr>
                <w:rFonts w:ascii="Arial" w:hAnsi="Arial" w:cs="Arial"/>
                <w:b/>
              </w:rPr>
            </w:pPr>
            <w:proofErr w:type="spellStart"/>
            <w:r w:rsidRPr="00C44B47">
              <w:rPr>
                <w:rFonts w:ascii="Arial" w:hAnsi="Arial" w:cs="Arial"/>
                <w:b/>
              </w:rPr>
              <w:t>Sreds</w:t>
            </w:r>
            <w:proofErr w:type="spellEnd"/>
            <w:r w:rsidRPr="00C44B47">
              <w:rPr>
                <w:rFonts w:ascii="Arial" w:hAnsi="Arial" w:cs="Arial"/>
                <w:b/>
              </w:rPr>
              <w:t xml:space="preserve"> </w:t>
            </w:r>
            <w:proofErr w:type="spellStart"/>
            <w:r w:rsidRPr="00C44B47">
              <w:rPr>
                <w:rFonts w:ascii="Arial" w:hAnsi="Arial" w:cs="Arial"/>
                <w:b/>
              </w:rPr>
              <w:t>tva</w:t>
            </w:r>
            <w:proofErr w:type="spellEnd"/>
            <w:r w:rsidRPr="00C44B47">
              <w:rPr>
                <w:rFonts w:ascii="Arial" w:hAnsi="Arial" w:cs="Arial"/>
                <w:b/>
              </w:rPr>
              <w:t xml:space="preserve"> </w:t>
            </w:r>
            <w:proofErr w:type="spellStart"/>
            <w:r w:rsidRPr="00C44B47">
              <w:rPr>
                <w:rFonts w:ascii="Arial" w:hAnsi="Arial" w:cs="Arial"/>
                <w:b/>
              </w:rPr>
              <w:t>planir</w:t>
            </w:r>
            <w:proofErr w:type="spellEnd"/>
            <w:r w:rsidRPr="00C44B47">
              <w:rPr>
                <w:rFonts w:ascii="Arial" w:hAnsi="Arial" w:cs="Arial"/>
                <w:b/>
              </w:rPr>
              <w:t xml:space="preserve"> </w:t>
            </w:r>
            <w:proofErr w:type="spellStart"/>
            <w:r w:rsidRPr="00C44B47">
              <w:rPr>
                <w:rFonts w:ascii="Arial" w:hAnsi="Arial" w:cs="Arial"/>
                <w:b/>
              </w:rPr>
              <w:t>ana</w:t>
            </w:r>
            <w:proofErr w:type="spellEnd"/>
          </w:p>
        </w:tc>
        <w:tc>
          <w:tcPr>
            <w:tcW w:w="607" w:type="dxa"/>
            <w:shd w:val="clear" w:color="auto" w:fill="auto"/>
          </w:tcPr>
          <w:p w14:paraId="671EEF8E" w14:textId="77777777" w:rsidR="00993EDA" w:rsidRPr="00C44B47" w:rsidRDefault="00993EDA" w:rsidP="00DD1FEA">
            <w:pPr>
              <w:rPr>
                <w:rFonts w:ascii="Arial" w:hAnsi="Arial" w:cs="Arial"/>
                <w:b/>
              </w:rPr>
            </w:pPr>
            <w:proofErr w:type="spellStart"/>
            <w:r w:rsidRPr="00C44B47">
              <w:rPr>
                <w:rFonts w:ascii="Arial" w:hAnsi="Arial" w:cs="Arial"/>
                <w:b/>
              </w:rPr>
              <w:t>Sreds</w:t>
            </w:r>
            <w:proofErr w:type="spellEnd"/>
            <w:r w:rsidRPr="00C44B47">
              <w:rPr>
                <w:rFonts w:ascii="Arial" w:hAnsi="Arial" w:cs="Arial"/>
                <w:b/>
              </w:rPr>
              <w:t xml:space="preserve"> </w:t>
            </w:r>
            <w:proofErr w:type="spellStart"/>
            <w:r w:rsidRPr="00C44B47">
              <w:rPr>
                <w:rFonts w:ascii="Arial" w:hAnsi="Arial" w:cs="Arial"/>
                <w:b/>
              </w:rPr>
              <w:t>tva</w:t>
            </w:r>
            <w:proofErr w:type="spellEnd"/>
            <w:r w:rsidRPr="00C44B47">
              <w:rPr>
                <w:rFonts w:ascii="Arial" w:hAnsi="Arial" w:cs="Arial"/>
                <w:b/>
              </w:rPr>
              <w:t xml:space="preserve"> </w:t>
            </w:r>
            <w:proofErr w:type="spellStart"/>
            <w:r w:rsidRPr="00C44B47">
              <w:rPr>
                <w:rFonts w:ascii="Arial" w:hAnsi="Arial" w:cs="Arial"/>
                <w:b/>
              </w:rPr>
              <w:t>realizov</w:t>
            </w:r>
            <w:proofErr w:type="spellEnd"/>
            <w:r w:rsidRPr="00C44B47">
              <w:rPr>
                <w:rFonts w:ascii="Arial" w:hAnsi="Arial" w:cs="Arial"/>
                <w:b/>
              </w:rPr>
              <w:t xml:space="preserve"> </w:t>
            </w:r>
            <w:proofErr w:type="spellStart"/>
            <w:r w:rsidRPr="00C44B47">
              <w:rPr>
                <w:rFonts w:ascii="Arial" w:hAnsi="Arial" w:cs="Arial"/>
                <w:b/>
              </w:rPr>
              <w:t>ana</w:t>
            </w:r>
            <w:proofErr w:type="spellEnd"/>
          </w:p>
        </w:tc>
        <w:tc>
          <w:tcPr>
            <w:tcW w:w="655" w:type="dxa"/>
            <w:shd w:val="clear" w:color="auto" w:fill="auto"/>
          </w:tcPr>
          <w:p w14:paraId="28D91AF1" w14:textId="77777777" w:rsidR="00993EDA" w:rsidRPr="00C44B47" w:rsidRDefault="00993EDA" w:rsidP="00DD1FEA">
            <w:pPr>
              <w:rPr>
                <w:rFonts w:ascii="Arial" w:hAnsi="Arial" w:cs="Arial"/>
                <w:b/>
              </w:rPr>
            </w:pPr>
            <w:r w:rsidRPr="00C44B47">
              <w:rPr>
                <w:rFonts w:ascii="Arial" w:hAnsi="Arial" w:cs="Arial"/>
                <w:b/>
              </w:rPr>
              <w:t xml:space="preserve">Izvor </w:t>
            </w:r>
            <w:proofErr w:type="spellStart"/>
            <w:r w:rsidRPr="00C44B47">
              <w:rPr>
                <w:rFonts w:ascii="Arial" w:hAnsi="Arial" w:cs="Arial"/>
                <w:b/>
              </w:rPr>
              <w:t>finansir</w:t>
            </w:r>
            <w:proofErr w:type="spellEnd"/>
            <w:r w:rsidRPr="00C44B47">
              <w:rPr>
                <w:rFonts w:ascii="Arial" w:hAnsi="Arial" w:cs="Arial"/>
                <w:b/>
              </w:rPr>
              <w:t xml:space="preserve"> </w:t>
            </w:r>
            <w:proofErr w:type="spellStart"/>
            <w:r w:rsidRPr="00C44B47">
              <w:rPr>
                <w:rFonts w:ascii="Arial" w:hAnsi="Arial" w:cs="Arial"/>
                <w:b/>
              </w:rPr>
              <w:t>anja</w:t>
            </w:r>
            <w:proofErr w:type="spellEnd"/>
          </w:p>
        </w:tc>
        <w:tc>
          <w:tcPr>
            <w:tcW w:w="5468" w:type="dxa"/>
            <w:shd w:val="clear" w:color="auto" w:fill="auto"/>
          </w:tcPr>
          <w:p w14:paraId="2BEB48CC" w14:textId="77777777" w:rsidR="00993EDA" w:rsidRPr="00C44B47" w:rsidRDefault="00993EDA" w:rsidP="00DD1FEA">
            <w:pPr>
              <w:rPr>
                <w:rFonts w:ascii="Arial" w:hAnsi="Arial" w:cs="Arial"/>
                <w:b/>
              </w:rPr>
            </w:pPr>
            <w:r w:rsidRPr="00C44B47">
              <w:rPr>
                <w:rFonts w:ascii="Arial" w:hAnsi="Arial" w:cs="Arial"/>
                <w:b/>
              </w:rPr>
              <w:t>Preporuke za naredni period sprovođenja</w:t>
            </w:r>
          </w:p>
        </w:tc>
      </w:tr>
      <w:tr w:rsidR="00993EDA" w:rsidRPr="00C44B47" w14:paraId="2D17C18E" w14:textId="77777777" w:rsidTr="00DD1FEA">
        <w:trPr>
          <w:trHeight w:val="250"/>
        </w:trPr>
        <w:tc>
          <w:tcPr>
            <w:tcW w:w="1218" w:type="dxa"/>
            <w:gridSpan w:val="2"/>
          </w:tcPr>
          <w:p w14:paraId="526F31F3" w14:textId="77777777" w:rsidR="00993EDA" w:rsidRPr="00C44B47" w:rsidRDefault="00993EDA" w:rsidP="00DD1FEA">
            <w:pPr>
              <w:rPr>
                <w:rFonts w:ascii="Arial" w:hAnsi="Arial" w:cs="Arial"/>
                <w:b/>
              </w:rPr>
            </w:pPr>
            <w:r w:rsidRPr="00C44B47">
              <w:rPr>
                <w:rFonts w:ascii="Arial" w:hAnsi="Arial" w:cs="Arial"/>
                <w:b/>
              </w:rPr>
              <w:lastRenderedPageBreak/>
              <w:t xml:space="preserve">3.1. </w:t>
            </w:r>
            <w:proofErr w:type="spellStart"/>
            <w:r w:rsidRPr="00C44B47">
              <w:rPr>
                <w:rFonts w:ascii="Arial" w:hAnsi="Arial" w:cs="Arial"/>
                <w:b/>
              </w:rPr>
              <w:t>Unaprjeđenje</w:t>
            </w:r>
            <w:proofErr w:type="spellEnd"/>
            <w:r w:rsidRPr="00C44B47">
              <w:rPr>
                <w:rFonts w:ascii="Arial" w:hAnsi="Arial" w:cs="Arial"/>
                <w:b/>
              </w:rPr>
              <w:t xml:space="preserve"> evidencije </w:t>
            </w:r>
            <w:proofErr w:type="spellStart"/>
            <w:r w:rsidRPr="00C44B47">
              <w:rPr>
                <w:rFonts w:ascii="Arial" w:hAnsi="Arial" w:cs="Arial"/>
                <w:b/>
              </w:rPr>
              <w:t>podnijetih</w:t>
            </w:r>
            <w:proofErr w:type="spellEnd"/>
            <w:r w:rsidRPr="00C44B47">
              <w:rPr>
                <w:rFonts w:ascii="Arial" w:hAnsi="Arial" w:cs="Arial"/>
                <w:b/>
              </w:rPr>
              <w:t xml:space="preserve"> žalbi u CISZP-u</w:t>
            </w:r>
          </w:p>
        </w:tc>
        <w:tc>
          <w:tcPr>
            <w:tcW w:w="925" w:type="dxa"/>
          </w:tcPr>
          <w:p w14:paraId="0EDC225A" w14:textId="77777777" w:rsidR="00993EDA" w:rsidRPr="00C44B47" w:rsidRDefault="00993EDA" w:rsidP="00DD1FEA">
            <w:pPr>
              <w:rPr>
                <w:rFonts w:ascii="Arial" w:hAnsi="Arial" w:cs="Arial"/>
                <w:b/>
              </w:rPr>
            </w:pPr>
            <w:r w:rsidRPr="00C44B47">
              <w:rPr>
                <w:rFonts w:ascii="Arial" w:hAnsi="Arial" w:cs="Arial"/>
              </w:rPr>
              <w:t>Broj podnesenih žalbi potrošača/</w:t>
            </w:r>
            <w:proofErr w:type="spellStart"/>
            <w:r w:rsidRPr="00C44B47">
              <w:rPr>
                <w:rFonts w:ascii="Arial" w:hAnsi="Arial" w:cs="Arial"/>
              </w:rPr>
              <w:t>ica</w:t>
            </w:r>
            <w:proofErr w:type="spellEnd"/>
            <w:r w:rsidRPr="00C44B47">
              <w:rPr>
                <w:rFonts w:ascii="Arial" w:hAnsi="Arial" w:cs="Arial"/>
              </w:rPr>
              <w:t xml:space="preserve"> putem sistema </w:t>
            </w:r>
            <w:proofErr w:type="spellStart"/>
            <w:r w:rsidRPr="00C44B47">
              <w:rPr>
                <w:rFonts w:ascii="Arial" w:hAnsi="Arial" w:cs="Arial"/>
              </w:rPr>
              <w:t>Namjanje</w:t>
            </w:r>
            <w:proofErr w:type="spellEnd"/>
            <w:r w:rsidRPr="00C44B47">
              <w:rPr>
                <w:rFonts w:ascii="Arial" w:hAnsi="Arial" w:cs="Arial"/>
              </w:rPr>
              <w:t xml:space="preserve"> 100 </w:t>
            </w:r>
            <w:proofErr w:type="spellStart"/>
            <w:r w:rsidRPr="00C44B47">
              <w:rPr>
                <w:rFonts w:ascii="Arial" w:hAnsi="Arial" w:cs="Arial"/>
              </w:rPr>
              <w:t>Unaprijeđena</w:t>
            </w:r>
            <w:proofErr w:type="spellEnd"/>
            <w:r w:rsidRPr="00C44B47">
              <w:rPr>
                <w:rFonts w:ascii="Arial" w:hAnsi="Arial" w:cs="Arial"/>
              </w:rPr>
              <w:t xml:space="preserve"> analitika i </w:t>
            </w:r>
            <w:proofErr w:type="spellStart"/>
            <w:r w:rsidRPr="00C44B47">
              <w:rPr>
                <w:rFonts w:ascii="Arial" w:hAnsi="Arial" w:cs="Arial"/>
              </w:rPr>
              <w:t>izvještavanje</w:t>
            </w:r>
            <w:proofErr w:type="spellEnd"/>
            <w:r w:rsidRPr="00C44B47">
              <w:rPr>
                <w:rFonts w:ascii="Arial" w:hAnsi="Arial" w:cs="Arial"/>
              </w:rPr>
              <w:t xml:space="preserve"> o broju </w:t>
            </w:r>
            <w:proofErr w:type="spellStart"/>
            <w:r w:rsidRPr="00C44B47">
              <w:rPr>
                <w:rFonts w:ascii="Arial" w:hAnsi="Arial" w:cs="Arial"/>
              </w:rPr>
              <w:t>podnijetih</w:t>
            </w:r>
            <w:proofErr w:type="spellEnd"/>
            <w:r w:rsidRPr="00C44B47">
              <w:rPr>
                <w:rFonts w:ascii="Arial" w:hAnsi="Arial" w:cs="Arial"/>
              </w:rPr>
              <w:t xml:space="preserve"> žalbi sa rodnog aspekta (rodna segregacija podataka)</w:t>
            </w:r>
          </w:p>
        </w:tc>
        <w:tc>
          <w:tcPr>
            <w:tcW w:w="788" w:type="dxa"/>
            <w:gridSpan w:val="2"/>
          </w:tcPr>
          <w:p w14:paraId="2E1E9FD4" w14:textId="77777777" w:rsidR="00993EDA" w:rsidRPr="00C44B47" w:rsidRDefault="00993EDA" w:rsidP="00DD1FEA">
            <w:pPr>
              <w:rPr>
                <w:rFonts w:ascii="Arial" w:hAnsi="Arial" w:cs="Arial"/>
                <w:b/>
              </w:rPr>
            </w:pPr>
            <w:r w:rsidRPr="00C44B47">
              <w:rPr>
                <w:rFonts w:ascii="Arial" w:hAnsi="Arial" w:cs="Arial"/>
              </w:rPr>
              <w:t xml:space="preserve">Ministarstvo ekonomskog razvoja Ministarstvo saobraćaja i pomorstva; Uprava za inspekcijske poslove Agencija za nadzor osiguranja Uprava za </w:t>
            </w:r>
            <w:proofErr w:type="spellStart"/>
            <w:r w:rsidRPr="00C44B47">
              <w:rPr>
                <w:rFonts w:ascii="Arial" w:hAnsi="Arial" w:cs="Arial"/>
              </w:rPr>
              <w:t>bezbjednost</w:t>
            </w:r>
            <w:proofErr w:type="spellEnd"/>
            <w:r w:rsidRPr="00C44B47">
              <w:rPr>
                <w:rFonts w:ascii="Arial" w:hAnsi="Arial" w:cs="Arial"/>
              </w:rPr>
              <w:t xml:space="preserve"> hrane, </w:t>
            </w:r>
            <w:r w:rsidRPr="00C44B47">
              <w:rPr>
                <w:rFonts w:ascii="Arial" w:hAnsi="Arial" w:cs="Arial"/>
              </w:rPr>
              <w:lastRenderedPageBreak/>
              <w:t xml:space="preserve">veterinu i </w:t>
            </w:r>
            <w:proofErr w:type="spellStart"/>
            <w:r w:rsidRPr="00C44B47">
              <w:rPr>
                <w:rFonts w:ascii="Arial" w:hAnsi="Arial" w:cs="Arial"/>
              </w:rPr>
              <w:t>fitosanitarne</w:t>
            </w:r>
            <w:proofErr w:type="spellEnd"/>
            <w:r w:rsidRPr="00C44B47">
              <w:rPr>
                <w:rFonts w:ascii="Arial" w:hAnsi="Arial" w:cs="Arial"/>
              </w:rPr>
              <w:t xml:space="preserve"> poslove Centralna banka Crne Gore; Agencija za elektronske komunikacije i poštansku </w:t>
            </w:r>
            <w:proofErr w:type="spellStart"/>
            <w:r w:rsidRPr="00C44B47">
              <w:rPr>
                <w:rFonts w:ascii="Arial" w:hAnsi="Arial" w:cs="Arial"/>
              </w:rPr>
              <w:t>djelatnost</w:t>
            </w:r>
            <w:proofErr w:type="spellEnd"/>
          </w:p>
        </w:tc>
        <w:tc>
          <w:tcPr>
            <w:tcW w:w="697" w:type="dxa"/>
          </w:tcPr>
          <w:p w14:paraId="67E64647" w14:textId="77777777" w:rsidR="00993EDA" w:rsidRPr="00C44B47" w:rsidRDefault="00993EDA" w:rsidP="00DD1FEA">
            <w:pPr>
              <w:rPr>
                <w:rFonts w:ascii="Arial" w:hAnsi="Arial" w:cs="Arial"/>
                <w:b/>
              </w:rPr>
            </w:pPr>
            <w:r w:rsidRPr="00C44B47">
              <w:rPr>
                <w:rFonts w:ascii="Arial" w:hAnsi="Arial" w:cs="Arial"/>
              </w:rPr>
              <w:lastRenderedPageBreak/>
              <w:t>IQ 2024</w:t>
            </w:r>
          </w:p>
        </w:tc>
        <w:tc>
          <w:tcPr>
            <w:tcW w:w="543" w:type="dxa"/>
          </w:tcPr>
          <w:p w14:paraId="08230FD3" w14:textId="77777777" w:rsidR="00993EDA" w:rsidRPr="00C44B47" w:rsidRDefault="00993EDA" w:rsidP="00DD1FEA">
            <w:pPr>
              <w:rPr>
                <w:rFonts w:ascii="Arial" w:hAnsi="Arial" w:cs="Arial"/>
                <w:b/>
              </w:rPr>
            </w:pPr>
            <w:r w:rsidRPr="00C44B47">
              <w:rPr>
                <w:rFonts w:ascii="Arial" w:hAnsi="Arial" w:cs="Arial"/>
              </w:rPr>
              <w:t>IVQ 2024</w:t>
            </w:r>
          </w:p>
        </w:tc>
        <w:tc>
          <w:tcPr>
            <w:tcW w:w="702" w:type="dxa"/>
            <w:shd w:val="clear" w:color="auto" w:fill="auto"/>
          </w:tcPr>
          <w:p w14:paraId="4422D90F" w14:textId="77777777" w:rsidR="00993EDA" w:rsidRPr="00C44B47" w:rsidRDefault="00993EDA" w:rsidP="00DD1FEA">
            <w:pPr>
              <w:rPr>
                <w:rFonts w:ascii="Arial" w:hAnsi="Arial" w:cs="Arial"/>
                <w:b/>
              </w:rPr>
            </w:pPr>
            <w:r w:rsidRPr="00C44B47">
              <w:rPr>
                <w:rFonts w:ascii="Arial" w:hAnsi="Arial" w:cs="Arial"/>
                <w:b/>
                <w:highlight w:val="red"/>
              </w:rPr>
              <w:t>Nerealizovano</w:t>
            </w:r>
          </w:p>
        </w:tc>
        <w:tc>
          <w:tcPr>
            <w:tcW w:w="828" w:type="dxa"/>
            <w:gridSpan w:val="3"/>
            <w:shd w:val="clear" w:color="auto" w:fill="auto"/>
          </w:tcPr>
          <w:p w14:paraId="07EDF243" w14:textId="77777777" w:rsidR="00993EDA" w:rsidRPr="00C44B47" w:rsidRDefault="00993EDA" w:rsidP="00DD1FEA">
            <w:pPr>
              <w:rPr>
                <w:rFonts w:ascii="Arial" w:hAnsi="Arial" w:cs="Arial"/>
                <w:b/>
              </w:rPr>
            </w:pPr>
            <w:r w:rsidRPr="00C44B47">
              <w:rPr>
                <w:rFonts w:ascii="Arial" w:hAnsi="Arial" w:cs="Arial"/>
              </w:rPr>
              <w:t>II Q 2025</w:t>
            </w:r>
          </w:p>
        </w:tc>
        <w:tc>
          <w:tcPr>
            <w:tcW w:w="519" w:type="dxa"/>
            <w:shd w:val="clear" w:color="auto" w:fill="auto"/>
          </w:tcPr>
          <w:p w14:paraId="4E73B7B3" w14:textId="77777777" w:rsidR="00993EDA" w:rsidRPr="00C44B47" w:rsidRDefault="00993EDA" w:rsidP="00DD1FEA">
            <w:pPr>
              <w:rPr>
                <w:rFonts w:ascii="Arial" w:hAnsi="Arial" w:cs="Arial"/>
                <w:b/>
              </w:rPr>
            </w:pPr>
            <w:r w:rsidRPr="00C44B47">
              <w:rPr>
                <w:rFonts w:ascii="Arial" w:hAnsi="Arial" w:cs="Arial"/>
              </w:rPr>
              <w:t>Nijesu potrebna sredstva</w:t>
            </w:r>
          </w:p>
        </w:tc>
        <w:tc>
          <w:tcPr>
            <w:tcW w:w="607" w:type="dxa"/>
            <w:shd w:val="clear" w:color="auto" w:fill="auto"/>
          </w:tcPr>
          <w:p w14:paraId="485B332E" w14:textId="77777777" w:rsidR="00993EDA" w:rsidRPr="00C44B47" w:rsidRDefault="00993EDA" w:rsidP="00DD1FEA">
            <w:pPr>
              <w:rPr>
                <w:rFonts w:ascii="Arial" w:hAnsi="Arial" w:cs="Arial"/>
                <w:b/>
              </w:rPr>
            </w:pPr>
            <w:r w:rsidRPr="00C44B47">
              <w:rPr>
                <w:rFonts w:ascii="Arial" w:hAnsi="Arial" w:cs="Arial"/>
                <w:b/>
              </w:rPr>
              <w:t>/</w:t>
            </w:r>
          </w:p>
        </w:tc>
        <w:tc>
          <w:tcPr>
            <w:tcW w:w="655" w:type="dxa"/>
            <w:shd w:val="clear" w:color="auto" w:fill="auto"/>
          </w:tcPr>
          <w:p w14:paraId="6DC74DCA"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shd w:val="clear" w:color="auto" w:fill="auto"/>
          </w:tcPr>
          <w:p w14:paraId="120035AC" w14:textId="77777777" w:rsidR="00993EDA" w:rsidRPr="00C44B47" w:rsidRDefault="00993EDA" w:rsidP="00DD1FEA">
            <w:pPr>
              <w:rPr>
                <w:rFonts w:ascii="Arial" w:hAnsi="Arial" w:cs="Arial"/>
                <w:b/>
              </w:rPr>
            </w:pPr>
            <w:r w:rsidRPr="00C44B47">
              <w:rPr>
                <w:rFonts w:ascii="Arial" w:hAnsi="Arial" w:cs="Arial"/>
                <w:b/>
              </w:rPr>
              <w:t xml:space="preserve">Usled </w:t>
            </w:r>
            <w:proofErr w:type="spellStart"/>
            <w:r w:rsidRPr="00C44B47">
              <w:rPr>
                <w:rFonts w:ascii="Arial" w:hAnsi="Arial" w:cs="Arial"/>
                <w:b/>
              </w:rPr>
              <w:t>promjene</w:t>
            </w:r>
            <w:proofErr w:type="spellEnd"/>
            <w:r w:rsidRPr="00C44B47">
              <w:rPr>
                <w:rFonts w:ascii="Arial" w:hAnsi="Arial" w:cs="Arial"/>
                <w:b/>
              </w:rPr>
              <w:t xml:space="preserve"> organizacione strukture, Tržišna inspekcija za sad nema osobu koja u ime ove institucije ima pristup CIZSP-u, te samim tim ni evidenciji žalbi u ovom trenutku. Planirano je da se u budućnosti zaduži osoba koja će </w:t>
            </w:r>
            <w:proofErr w:type="spellStart"/>
            <w:r w:rsidRPr="00C44B47">
              <w:rPr>
                <w:rFonts w:ascii="Arial" w:hAnsi="Arial" w:cs="Arial"/>
                <w:b/>
              </w:rPr>
              <w:t>umati</w:t>
            </w:r>
            <w:proofErr w:type="spellEnd"/>
            <w:r w:rsidRPr="00C44B47">
              <w:rPr>
                <w:rFonts w:ascii="Arial" w:hAnsi="Arial" w:cs="Arial"/>
                <w:b/>
              </w:rPr>
              <w:t xml:space="preserve"> uvid i delegirati obaveze u ovom </w:t>
            </w:r>
            <w:proofErr w:type="spellStart"/>
            <w:r w:rsidRPr="00C44B47">
              <w:rPr>
                <w:rFonts w:ascii="Arial" w:hAnsi="Arial" w:cs="Arial"/>
                <w:b/>
              </w:rPr>
              <w:t>dijelu</w:t>
            </w:r>
            <w:proofErr w:type="spellEnd"/>
            <w:r w:rsidRPr="00C44B47">
              <w:rPr>
                <w:rFonts w:ascii="Arial" w:hAnsi="Arial" w:cs="Arial"/>
                <w:b/>
              </w:rPr>
              <w:t>.</w:t>
            </w:r>
          </w:p>
        </w:tc>
      </w:tr>
      <w:tr w:rsidR="00993EDA" w:rsidRPr="00C44B47" w14:paraId="549F62C8" w14:textId="77777777" w:rsidTr="00DD1FEA">
        <w:trPr>
          <w:trHeight w:val="250"/>
        </w:trPr>
        <w:tc>
          <w:tcPr>
            <w:tcW w:w="1218" w:type="dxa"/>
            <w:gridSpan w:val="2"/>
          </w:tcPr>
          <w:p w14:paraId="036935AA" w14:textId="77777777" w:rsidR="00993EDA" w:rsidRPr="00C44B47" w:rsidRDefault="00993EDA" w:rsidP="00DD1FEA">
            <w:pPr>
              <w:rPr>
                <w:rFonts w:ascii="Arial" w:hAnsi="Arial" w:cs="Arial"/>
                <w:b/>
              </w:rPr>
            </w:pPr>
            <w:r w:rsidRPr="00C44B47">
              <w:rPr>
                <w:rFonts w:ascii="Arial" w:hAnsi="Arial" w:cs="Arial"/>
                <w:b/>
              </w:rPr>
              <w:t xml:space="preserve">3.2. Sprovođenje analize opština u kojima je potrebno uspostaviti </w:t>
            </w:r>
            <w:proofErr w:type="spellStart"/>
            <w:r w:rsidRPr="00C44B47">
              <w:rPr>
                <w:rFonts w:ascii="Arial" w:hAnsi="Arial" w:cs="Arial"/>
                <w:b/>
              </w:rPr>
              <w:t>Savjetovalište</w:t>
            </w:r>
            <w:proofErr w:type="spellEnd"/>
            <w:r w:rsidRPr="00C44B47">
              <w:rPr>
                <w:rFonts w:ascii="Arial" w:hAnsi="Arial" w:cs="Arial"/>
                <w:b/>
              </w:rPr>
              <w:t xml:space="preserve"> za </w:t>
            </w:r>
            <w:r w:rsidRPr="00C44B47">
              <w:rPr>
                <w:rFonts w:ascii="Arial" w:hAnsi="Arial" w:cs="Arial"/>
                <w:b/>
              </w:rPr>
              <w:lastRenderedPageBreak/>
              <w:t>zaštitu potrošača/</w:t>
            </w:r>
            <w:proofErr w:type="spellStart"/>
            <w:r w:rsidRPr="00C44B47">
              <w:rPr>
                <w:rFonts w:ascii="Arial" w:hAnsi="Arial" w:cs="Arial"/>
                <w:b/>
              </w:rPr>
              <w:t>ica</w:t>
            </w:r>
            <w:proofErr w:type="spellEnd"/>
          </w:p>
        </w:tc>
        <w:tc>
          <w:tcPr>
            <w:tcW w:w="925" w:type="dxa"/>
          </w:tcPr>
          <w:p w14:paraId="763C5C66" w14:textId="77777777" w:rsidR="00993EDA" w:rsidRPr="00C44B47" w:rsidRDefault="00993EDA" w:rsidP="00DD1FEA">
            <w:pPr>
              <w:rPr>
                <w:rFonts w:ascii="Arial" w:hAnsi="Arial" w:cs="Arial"/>
                <w:b/>
              </w:rPr>
            </w:pPr>
            <w:r w:rsidRPr="00C44B47">
              <w:rPr>
                <w:rFonts w:ascii="Arial" w:hAnsi="Arial" w:cs="Arial"/>
              </w:rPr>
              <w:lastRenderedPageBreak/>
              <w:t>Sprovedena analiza</w:t>
            </w:r>
          </w:p>
        </w:tc>
        <w:tc>
          <w:tcPr>
            <w:tcW w:w="788" w:type="dxa"/>
            <w:gridSpan w:val="2"/>
          </w:tcPr>
          <w:p w14:paraId="04B1A441" w14:textId="77777777" w:rsidR="00993EDA" w:rsidRPr="00C44B47" w:rsidRDefault="00993EDA" w:rsidP="00DD1FEA">
            <w:pPr>
              <w:rPr>
                <w:rFonts w:ascii="Arial" w:hAnsi="Arial" w:cs="Arial"/>
                <w:b/>
              </w:rPr>
            </w:pPr>
            <w:r w:rsidRPr="00C44B47">
              <w:rPr>
                <w:rFonts w:ascii="Arial" w:hAnsi="Arial" w:cs="Arial"/>
              </w:rPr>
              <w:t>Ministarstvo ekonomskog razvoja; UIP; Jedinice lokaln</w:t>
            </w:r>
            <w:r w:rsidRPr="00C44B47">
              <w:rPr>
                <w:rFonts w:ascii="Arial" w:hAnsi="Arial" w:cs="Arial"/>
              </w:rPr>
              <w:lastRenderedPageBreak/>
              <w:t>e samouprave</w:t>
            </w:r>
          </w:p>
        </w:tc>
        <w:tc>
          <w:tcPr>
            <w:tcW w:w="697" w:type="dxa"/>
          </w:tcPr>
          <w:p w14:paraId="2DF6F402" w14:textId="77777777" w:rsidR="00993EDA" w:rsidRPr="00C44B47" w:rsidRDefault="00993EDA" w:rsidP="00DD1FEA">
            <w:pPr>
              <w:rPr>
                <w:rFonts w:ascii="Arial" w:hAnsi="Arial" w:cs="Arial"/>
                <w:b/>
              </w:rPr>
            </w:pPr>
            <w:r w:rsidRPr="00C44B47">
              <w:rPr>
                <w:rFonts w:ascii="Arial" w:hAnsi="Arial" w:cs="Arial"/>
              </w:rPr>
              <w:lastRenderedPageBreak/>
              <w:t>I Q 2024</w:t>
            </w:r>
          </w:p>
        </w:tc>
        <w:tc>
          <w:tcPr>
            <w:tcW w:w="543" w:type="dxa"/>
          </w:tcPr>
          <w:p w14:paraId="75FBB283"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53FC37DC" w14:textId="77777777" w:rsidR="00993EDA" w:rsidRPr="00C44B47" w:rsidRDefault="00993EDA" w:rsidP="00DD1FEA">
            <w:pPr>
              <w:rPr>
                <w:rFonts w:ascii="Arial" w:hAnsi="Arial" w:cs="Arial"/>
                <w:b/>
              </w:rPr>
            </w:pPr>
            <w:proofErr w:type="spellStart"/>
            <w:r w:rsidRPr="00C44B47">
              <w:rPr>
                <w:rFonts w:ascii="Arial" w:hAnsi="Arial" w:cs="Arial"/>
                <w:b/>
                <w:highlight w:val="yellow"/>
              </w:rPr>
              <w:t>Djelimično</w:t>
            </w:r>
            <w:proofErr w:type="spellEnd"/>
            <w:r w:rsidRPr="00C44B47">
              <w:rPr>
                <w:rFonts w:ascii="Arial" w:hAnsi="Arial" w:cs="Arial"/>
                <w:b/>
                <w:highlight w:val="yellow"/>
              </w:rPr>
              <w:t xml:space="preserve"> realizovano</w:t>
            </w:r>
          </w:p>
        </w:tc>
        <w:tc>
          <w:tcPr>
            <w:tcW w:w="828" w:type="dxa"/>
            <w:gridSpan w:val="3"/>
            <w:shd w:val="clear" w:color="auto" w:fill="auto"/>
          </w:tcPr>
          <w:p w14:paraId="0DF7DEE6" w14:textId="77777777" w:rsidR="00993EDA" w:rsidRPr="00C44B47" w:rsidRDefault="00993EDA" w:rsidP="00DD1FEA">
            <w:pPr>
              <w:rPr>
                <w:rFonts w:ascii="Arial" w:hAnsi="Arial" w:cs="Arial"/>
                <w:b/>
              </w:rPr>
            </w:pPr>
            <w:r w:rsidRPr="00C44B47">
              <w:rPr>
                <w:rFonts w:ascii="Arial" w:hAnsi="Arial" w:cs="Arial"/>
                <w:b/>
              </w:rPr>
              <w:t>II Q 2025</w:t>
            </w:r>
          </w:p>
        </w:tc>
        <w:tc>
          <w:tcPr>
            <w:tcW w:w="519" w:type="dxa"/>
            <w:shd w:val="clear" w:color="auto" w:fill="auto"/>
          </w:tcPr>
          <w:p w14:paraId="792EC736" w14:textId="77777777" w:rsidR="00993EDA" w:rsidRPr="00C44B47" w:rsidRDefault="00993EDA" w:rsidP="00DD1FEA">
            <w:pPr>
              <w:rPr>
                <w:rFonts w:ascii="Arial" w:hAnsi="Arial" w:cs="Arial"/>
                <w:b/>
              </w:rPr>
            </w:pPr>
            <w:r w:rsidRPr="00C44B47">
              <w:rPr>
                <w:rFonts w:ascii="Arial" w:hAnsi="Arial" w:cs="Arial"/>
              </w:rPr>
              <w:t xml:space="preserve">1.000 </w:t>
            </w:r>
            <w:proofErr w:type="spellStart"/>
            <w:r w:rsidRPr="00C44B47">
              <w:rPr>
                <w:rFonts w:ascii="Arial" w:hAnsi="Arial" w:cs="Arial"/>
              </w:rPr>
              <w:t>eur</w:t>
            </w:r>
            <w:proofErr w:type="spellEnd"/>
          </w:p>
        </w:tc>
        <w:tc>
          <w:tcPr>
            <w:tcW w:w="607" w:type="dxa"/>
            <w:shd w:val="clear" w:color="auto" w:fill="auto"/>
          </w:tcPr>
          <w:p w14:paraId="129D6286" w14:textId="77777777" w:rsidR="00993EDA" w:rsidRPr="00C44B47" w:rsidRDefault="00993EDA" w:rsidP="00DD1FEA">
            <w:pPr>
              <w:rPr>
                <w:rFonts w:ascii="Arial" w:hAnsi="Arial" w:cs="Arial"/>
                <w:b/>
              </w:rPr>
            </w:pPr>
            <w:r w:rsidRPr="00C44B47">
              <w:rPr>
                <w:rFonts w:ascii="Arial" w:hAnsi="Arial" w:cs="Arial"/>
                <w:b/>
              </w:rPr>
              <w:t>/</w:t>
            </w:r>
          </w:p>
        </w:tc>
        <w:tc>
          <w:tcPr>
            <w:tcW w:w="655" w:type="dxa"/>
            <w:shd w:val="clear" w:color="auto" w:fill="auto"/>
          </w:tcPr>
          <w:p w14:paraId="3AD9648E" w14:textId="77777777" w:rsidR="00993EDA" w:rsidRPr="00C44B47" w:rsidRDefault="00993EDA" w:rsidP="00DD1FEA">
            <w:pPr>
              <w:rPr>
                <w:rFonts w:ascii="Arial" w:hAnsi="Arial" w:cs="Arial"/>
                <w:b/>
              </w:rPr>
            </w:pPr>
            <w:r w:rsidRPr="00C44B47">
              <w:rPr>
                <w:rFonts w:ascii="Arial" w:hAnsi="Arial" w:cs="Arial"/>
              </w:rPr>
              <w:t>Budžet MER</w:t>
            </w:r>
          </w:p>
        </w:tc>
        <w:tc>
          <w:tcPr>
            <w:tcW w:w="5468" w:type="dxa"/>
            <w:shd w:val="clear" w:color="auto" w:fill="auto"/>
          </w:tcPr>
          <w:p w14:paraId="40F36611" w14:textId="77777777" w:rsidR="00993EDA" w:rsidRPr="00C44B47" w:rsidRDefault="00993EDA" w:rsidP="00DD1FEA">
            <w:pPr>
              <w:rPr>
                <w:rFonts w:ascii="Arial" w:hAnsi="Arial" w:cs="Arial"/>
                <w:b/>
              </w:rPr>
            </w:pPr>
            <w:r w:rsidRPr="00C44B47">
              <w:rPr>
                <w:rFonts w:ascii="Arial" w:hAnsi="Arial" w:cs="Arial"/>
                <w:b/>
              </w:rPr>
              <w:t xml:space="preserve">Analiza je sprovedena u centralnom  i južnom regionu, a do kraja drugog kvartala će biti sprovedena i u </w:t>
            </w:r>
            <w:proofErr w:type="spellStart"/>
            <w:r w:rsidRPr="00C44B47">
              <w:rPr>
                <w:rFonts w:ascii="Arial" w:hAnsi="Arial" w:cs="Arial"/>
                <w:b/>
              </w:rPr>
              <w:t>sjevernom</w:t>
            </w:r>
            <w:proofErr w:type="spellEnd"/>
            <w:r w:rsidRPr="00C44B47">
              <w:rPr>
                <w:rFonts w:ascii="Arial" w:hAnsi="Arial" w:cs="Arial"/>
                <w:b/>
              </w:rPr>
              <w:t xml:space="preserve">. </w:t>
            </w:r>
          </w:p>
        </w:tc>
      </w:tr>
      <w:tr w:rsidR="00993EDA" w:rsidRPr="00C44B47" w14:paraId="45B39D80" w14:textId="77777777" w:rsidTr="00DD1FEA">
        <w:trPr>
          <w:trHeight w:val="250"/>
        </w:trPr>
        <w:tc>
          <w:tcPr>
            <w:tcW w:w="1218" w:type="dxa"/>
            <w:gridSpan w:val="2"/>
          </w:tcPr>
          <w:p w14:paraId="019D6CE0" w14:textId="77777777" w:rsidR="00993EDA" w:rsidRPr="00C44B47" w:rsidRDefault="00993EDA" w:rsidP="00DD1FEA">
            <w:pPr>
              <w:rPr>
                <w:rFonts w:ascii="Arial" w:hAnsi="Arial" w:cs="Arial"/>
                <w:b/>
              </w:rPr>
            </w:pPr>
            <w:r w:rsidRPr="00C44B47">
              <w:rPr>
                <w:rFonts w:ascii="Arial" w:hAnsi="Arial" w:cs="Arial"/>
                <w:b/>
              </w:rPr>
              <w:t xml:space="preserve">3.3. Sprovođenje Analize emitovanih sadržaja sa aspekta </w:t>
            </w:r>
            <w:proofErr w:type="spellStart"/>
            <w:r w:rsidRPr="00C44B47">
              <w:rPr>
                <w:rFonts w:ascii="Arial" w:hAnsi="Arial" w:cs="Arial"/>
                <w:b/>
              </w:rPr>
              <w:t>obezbjeđivanja</w:t>
            </w:r>
            <w:proofErr w:type="spellEnd"/>
            <w:r w:rsidRPr="00C44B47">
              <w:rPr>
                <w:rFonts w:ascii="Arial" w:hAnsi="Arial" w:cs="Arial"/>
                <w:b/>
              </w:rPr>
              <w:t xml:space="preserve"> </w:t>
            </w:r>
            <w:proofErr w:type="spellStart"/>
            <w:r w:rsidRPr="00C44B47">
              <w:rPr>
                <w:rFonts w:ascii="Arial" w:hAnsi="Arial" w:cs="Arial"/>
                <w:b/>
              </w:rPr>
              <w:t>inkluzivnosti</w:t>
            </w:r>
            <w:proofErr w:type="spellEnd"/>
            <w:r w:rsidRPr="00C44B47">
              <w:rPr>
                <w:rFonts w:ascii="Arial" w:hAnsi="Arial" w:cs="Arial"/>
                <w:b/>
              </w:rPr>
              <w:t xml:space="preserve"> ranjivih društvenih grupa</w:t>
            </w:r>
          </w:p>
        </w:tc>
        <w:tc>
          <w:tcPr>
            <w:tcW w:w="925" w:type="dxa"/>
          </w:tcPr>
          <w:p w14:paraId="0F66752A" w14:textId="77777777" w:rsidR="00993EDA" w:rsidRPr="00C44B47" w:rsidRDefault="00993EDA" w:rsidP="00DD1FEA">
            <w:pPr>
              <w:rPr>
                <w:rFonts w:ascii="Arial" w:hAnsi="Arial" w:cs="Arial"/>
                <w:b/>
              </w:rPr>
            </w:pPr>
            <w:r w:rsidRPr="00C44B47">
              <w:rPr>
                <w:rFonts w:ascii="Arial" w:hAnsi="Arial" w:cs="Arial"/>
              </w:rPr>
              <w:t>Urađena i objavljena Analiza</w:t>
            </w:r>
          </w:p>
        </w:tc>
        <w:tc>
          <w:tcPr>
            <w:tcW w:w="788" w:type="dxa"/>
            <w:gridSpan w:val="2"/>
          </w:tcPr>
          <w:p w14:paraId="68A9910A" w14:textId="77777777" w:rsidR="00993EDA" w:rsidRPr="00C44B47" w:rsidRDefault="00993EDA" w:rsidP="00DD1FEA">
            <w:pPr>
              <w:rPr>
                <w:rFonts w:ascii="Arial" w:hAnsi="Arial" w:cs="Arial"/>
                <w:b/>
              </w:rPr>
            </w:pPr>
            <w:r w:rsidRPr="00C44B47">
              <w:rPr>
                <w:rFonts w:ascii="Arial" w:hAnsi="Arial" w:cs="Arial"/>
              </w:rPr>
              <w:t>Agencija za elektronske medije</w:t>
            </w:r>
          </w:p>
        </w:tc>
        <w:tc>
          <w:tcPr>
            <w:tcW w:w="697" w:type="dxa"/>
          </w:tcPr>
          <w:p w14:paraId="4C2E2E98" w14:textId="77777777" w:rsidR="00993EDA" w:rsidRPr="00C44B47" w:rsidRDefault="00993EDA" w:rsidP="00DD1FEA">
            <w:pPr>
              <w:rPr>
                <w:rFonts w:ascii="Arial" w:hAnsi="Arial" w:cs="Arial"/>
                <w:b/>
              </w:rPr>
            </w:pPr>
            <w:r w:rsidRPr="00C44B47">
              <w:rPr>
                <w:rFonts w:ascii="Arial" w:hAnsi="Arial" w:cs="Arial"/>
              </w:rPr>
              <w:t>II Q 2024</w:t>
            </w:r>
          </w:p>
        </w:tc>
        <w:tc>
          <w:tcPr>
            <w:tcW w:w="543" w:type="dxa"/>
          </w:tcPr>
          <w:p w14:paraId="22BE6C6A" w14:textId="77777777" w:rsidR="00993EDA" w:rsidRPr="00C44B47" w:rsidRDefault="00993EDA" w:rsidP="00DD1FEA">
            <w:pPr>
              <w:rPr>
                <w:rFonts w:ascii="Arial" w:hAnsi="Arial" w:cs="Arial"/>
                <w:b/>
              </w:rPr>
            </w:pPr>
            <w:r w:rsidRPr="00C44B47">
              <w:rPr>
                <w:rFonts w:ascii="Arial" w:hAnsi="Arial" w:cs="Arial"/>
              </w:rPr>
              <w:t>III Q 2024</w:t>
            </w:r>
          </w:p>
        </w:tc>
        <w:tc>
          <w:tcPr>
            <w:tcW w:w="702" w:type="dxa"/>
            <w:shd w:val="clear" w:color="auto" w:fill="auto"/>
          </w:tcPr>
          <w:p w14:paraId="7E51E742" w14:textId="77777777" w:rsidR="00993EDA" w:rsidRPr="00C44B47" w:rsidRDefault="00993EDA" w:rsidP="00DD1FEA">
            <w:pPr>
              <w:rPr>
                <w:rFonts w:ascii="Arial" w:hAnsi="Arial" w:cs="Arial"/>
                <w:b/>
              </w:rPr>
            </w:pPr>
            <w:r w:rsidRPr="00C44B47">
              <w:rPr>
                <w:rFonts w:ascii="Arial" w:eastAsia="Calibri" w:hAnsi="Arial" w:cs="Arial"/>
                <w:bCs/>
                <w:noProof/>
                <w:highlight w:val="green"/>
              </w:rPr>
              <w:t>Realizovano</w:t>
            </w:r>
          </w:p>
        </w:tc>
        <w:tc>
          <w:tcPr>
            <w:tcW w:w="828" w:type="dxa"/>
            <w:gridSpan w:val="3"/>
            <w:shd w:val="clear" w:color="auto" w:fill="auto"/>
          </w:tcPr>
          <w:p w14:paraId="2721DD7E" w14:textId="77777777" w:rsidR="00993EDA" w:rsidRPr="00C44B47" w:rsidRDefault="00993EDA" w:rsidP="00DD1FEA">
            <w:pPr>
              <w:rPr>
                <w:rFonts w:ascii="Arial" w:hAnsi="Arial" w:cs="Arial"/>
                <w:b/>
              </w:rPr>
            </w:pPr>
          </w:p>
        </w:tc>
        <w:tc>
          <w:tcPr>
            <w:tcW w:w="519" w:type="dxa"/>
            <w:shd w:val="clear" w:color="auto" w:fill="auto"/>
          </w:tcPr>
          <w:p w14:paraId="593AF0AE" w14:textId="77777777" w:rsidR="00993EDA" w:rsidRPr="00C44B47" w:rsidRDefault="00993EDA" w:rsidP="00DD1FEA">
            <w:pPr>
              <w:rPr>
                <w:rFonts w:ascii="Arial" w:hAnsi="Arial" w:cs="Arial"/>
                <w:b/>
              </w:rPr>
            </w:pPr>
            <w:r w:rsidRPr="00C44B47">
              <w:rPr>
                <w:rFonts w:ascii="Arial" w:hAnsi="Arial" w:cs="Arial"/>
              </w:rPr>
              <w:t xml:space="preserve">1.000 </w:t>
            </w:r>
            <w:proofErr w:type="spellStart"/>
            <w:r w:rsidRPr="00C44B47">
              <w:rPr>
                <w:rFonts w:ascii="Arial" w:hAnsi="Arial" w:cs="Arial"/>
              </w:rPr>
              <w:t>eur</w:t>
            </w:r>
            <w:proofErr w:type="spellEnd"/>
          </w:p>
        </w:tc>
        <w:tc>
          <w:tcPr>
            <w:tcW w:w="607" w:type="dxa"/>
            <w:shd w:val="clear" w:color="auto" w:fill="auto"/>
          </w:tcPr>
          <w:p w14:paraId="45302F1C" w14:textId="77777777" w:rsidR="00993EDA" w:rsidRPr="00C44B47" w:rsidRDefault="00993EDA" w:rsidP="00DD1FEA">
            <w:pPr>
              <w:rPr>
                <w:rFonts w:ascii="Arial" w:hAnsi="Arial" w:cs="Arial"/>
                <w:b/>
              </w:rPr>
            </w:pPr>
            <w:r w:rsidRPr="00C44B47">
              <w:rPr>
                <w:rFonts w:ascii="Arial" w:eastAsia="Calibri" w:hAnsi="Arial" w:cs="Arial"/>
                <w:noProof/>
                <w:lang w:val="sr-Latn-ME"/>
              </w:rPr>
              <w:t>1.000 eur</w:t>
            </w:r>
          </w:p>
        </w:tc>
        <w:tc>
          <w:tcPr>
            <w:tcW w:w="655" w:type="dxa"/>
            <w:shd w:val="clear" w:color="auto" w:fill="auto"/>
          </w:tcPr>
          <w:p w14:paraId="648C0E3A" w14:textId="77777777" w:rsidR="00993EDA" w:rsidRPr="00C44B47" w:rsidRDefault="00993EDA" w:rsidP="00DD1FEA">
            <w:pPr>
              <w:rPr>
                <w:rFonts w:ascii="Arial" w:hAnsi="Arial" w:cs="Arial"/>
                <w:b/>
              </w:rPr>
            </w:pPr>
            <w:r w:rsidRPr="00C44B47">
              <w:rPr>
                <w:rFonts w:ascii="Arial" w:eastAsia="Calibri" w:hAnsi="Arial" w:cs="Arial"/>
                <w:noProof/>
                <w:lang w:val="sr-Latn-ME"/>
              </w:rPr>
              <w:t>Budžet Agencije za elektronske medije/ Agencija za audiovizuelne medijske usluge</w:t>
            </w:r>
          </w:p>
        </w:tc>
        <w:tc>
          <w:tcPr>
            <w:tcW w:w="5468" w:type="dxa"/>
            <w:shd w:val="clear" w:color="auto" w:fill="auto"/>
          </w:tcPr>
          <w:p w14:paraId="6C0AA4BA" w14:textId="77777777" w:rsidR="00993EDA" w:rsidRPr="00C44B47" w:rsidRDefault="00993EDA" w:rsidP="00DD1FEA">
            <w:pPr>
              <w:rPr>
                <w:rFonts w:ascii="Arial" w:eastAsia="Calibri" w:hAnsi="Arial" w:cs="Arial"/>
                <w:noProof/>
                <w:lang w:val="sr-Latn-ME"/>
              </w:rPr>
            </w:pPr>
            <w:r w:rsidRPr="00C44B47">
              <w:rPr>
                <w:rFonts w:ascii="Arial" w:eastAsia="Calibri" w:hAnsi="Arial" w:cs="Arial"/>
                <w:noProof/>
                <w:lang w:val="sr-Latn-ME"/>
              </w:rPr>
              <w:t>Urađena i objavljena Analiza uključenosti ranjivih društvenih</w:t>
            </w:r>
          </w:p>
          <w:p w14:paraId="6F5E75B8" w14:textId="77777777" w:rsidR="00993EDA" w:rsidRPr="00C44B47" w:rsidRDefault="00993EDA" w:rsidP="00DD1FEA">
            <w:pPr>
              <w:rPr>
                <w:rFonts w:ascii="Arial" w:eastAsia="Calibri" w:hAnsi="Arial" w:cs="Arial"/>
                <w:noProof/>
                <w:lang w:val="sr-Latn-ME"/>
              </w:rPr>
            </w:pPr>
            <w:r w:rsidRPr="00C44B47">
              <w:rPr>
                <w:rFonts w:ascii="Arial" w:eastAsia="Calibri" w:hAnsi="Arial" w:cs="Arial"/>
                <w:noProof/>
                <w:lang w:val="sr-Latn-ME"/>
              </w:rPr>
              <w:t>grupa u televizijskim programima</w:t>
            </w:r>
          </w:p>
          <w:p w14:paraId="15D70151" w14:textId="77777777" w:rsidR="00993EDA" w:rsidRPr="00C44B47" w:rsidRDefault="00993EDA" w:rsidP="00DD1FEA">
            <w:pPr>
              <w:rPr>
                <w:rFonts w:ascii="Arial" w:eastAsia="Calibri" w:hAnsi="Arial" w:cs="Arial"/>
                <w:noProof/>
                <w:lang w:val="sr-Latn-ME"/>
              </w:rPr>
            </w:pPr>
            <w:r w:rsidRPr="00C44B47">
              <w:rPr>
                <w:rFonts w:ascii="Arial" w:eastAsia="Calibri" w:hAnsi="Arial" w:cs="Arial"/>
                <w:noProof/>
                <w:lang w:val="sr-Latn-ME"/>
              </w:rPr>
              <w:t>sa nacionalnim pokrivanjem</w:t>
            </w:r>
          </w:p>
          <w:p w14:paraId="745A426F" w14:textId="77777777" w:rsidR="00993EDA" w:rsidRPr="00C44B47" w:rsidRDefault="00993EDA" w:rsidP="00DD1FEA">
            <w:pPr>
              <w:rPr>
                <w:rFonts w:ascii="Arial" w:hAnsi="Arial" w:cs="Arial"/>
                <w:b/>
              </w:rPr>
            </w:pPr>
            <w:r w:rsidRPr="00C44B47">
              <w:rPr>
                <w:rFonts w:ascii="Arial" w:eastAsia="Calibri" w:hAnsi="Arial" w:cs="Arial"/>
                <w:noProof/>
                <w:lang w:val="sr-Latn-ME"/>
              </w:rPr>
              <w:t>(jun 2024.)</w:t>
            </w:r>
            <w:r w:rsidRPr="00C44B47">
              <w:rPr>
                <w:rFonts w:ascii="Arial" w:eastAsia="Calibri" w:hAnsi="Arial" w:cs="Arial"/>
                <w:noProof/>
                <w:vertAlign w:val="superscript"/>
                <w:lang w:val="sr-Latn-ME"/>
              </w:rPr>
              <w:t xml:space="preserve"> </w:t>
            </w:r>
            <w:r w:rsidRPr="00C44B47">
              <w:rPr>
                <w:rFonts w:ascii="Arial" w:eastAsia="Calibri" w:hAnsi="Arial" w:cs="Arial"/>
                <w:noProof/>
                <w:vertAlign w:val="superscript"/>
                <w:lang w:val="sr-Latn-ME"/>
              </w:rPr>
              <w:footnoteReference w:id="4"/>
            </w:r>
          </w:p>
        </w:tc>
      </w:tr>
      <w:tr w:rsidR="00993EDA" w:rsidRPr="00C44B47" w14:paraId="7E9CA13E" w14:textId="77777777" w:rsidTr="00DD1FEA">
        <w:trPr>
          <w:trHeight w:val="250"/>
        </w:trPr>
        <w:tc>
          <w:tcPr>
            <w:tcW w:w="1218" w:type="dxa"/>
            <w:gridSpan w:val="2"/>
          </w:tcPr>
          <w:p w14:paraId="16AE1709" w14:textId="77777777" w:rsidR="00993EDA" w:rsidRPr="00C44B47" w:rsidRDefault="00993EDA" w:rsidP="00DD1FEA">
            <w:pPr>
              <w:rPr>
                <w:rFonts w:ascii="Arial" w:hAnsi="Arial" w:cs="Arial"/>
                <w:b/>
              </w:rPr>
            </w:pPr>
            <w:r w:rsidRPr="00C44B47">
              <w:rPr>
                <w:rFonts w:ascii="Arial" w:hAnsi="Arial" w:cs="Arial"/>
                <w:b/>
              </w:rPr>
              <w:t xml:space="preserve">3.4. Sprovođenje Analize vidljivosti </w:t>
            </w:r>
            <w:r w:rsidRPr="00C44B47">
              <w:rPr>
                <w:rFonts w:ascii="Arial" w:hAnsi="Arial" w:cs="Arial"/>
                <w:b/>
              </w:rPr>
              <w:lastRenderedPageBreak/>
              <w:t>žena i muškaraca u centralnim informativnim emisijama nacionalnih televizija</w:t>
            </w:r>
          </w:p>
        </w:tc>
        <w:tc>
          <w:tcPr>
            <w:tcW w:w="925" w:type="dxa"/>
          </w:tcPr>
          <w:p w14:paraId="2FB67E73" w14:textId="77777777" w:rsidR="00993EDA" w:rsidRPr="00C44B47" w:rsidRDefault="00993EDA" w:rsidP="00DD1FEA">
            <w:pPr>
              <w:rPr>
                <w:rFonts w:ascii="Arial" w:hAnsi="Arial" w:cs="Arial"/>
                <w:b/>
              </w:rPr>
            </w:pPr>
            <w:r w:rsidRPr="00C44B47">
              <w:rPr>
                <w:rFonts w:ascii="Arial" w:hAnsi="Arial" w:cs="Arial"/>
              </w:rPr>
              <w:lastRenderedPageBreak/>
              <w:t>Urađena i objavljena Analiza</w:t>
            </w:r>
          </w:p>
        </w:tc>
        <w:tc>
          <w:tcPr>
            <w:tcW w:w="788" w:type="dxa"/>
            <w:gridSpan w:val="2"/>
          </w:tcPr>
          <w:p w14:paraId="071DD4E0" w14:textId="77777777" w:rsidR="00993EDA" w:rsidRPr="00C44B47" w:rsidRDefault="00993EDA" w:rsidP="00DD1FEA">
            <w:pPr>
              <w:rPr>
                <w:rFonts w:ascii="Arial" w:hAnsi="Arial" w:cs="Arial"/>
                <w:b/>
              </w:rPr>
            </w:pPr>
            <w:r w:rsidRPr="00C44B47">
              <w:rPr>
                <w:rFonts w:ascii="Arial" w:hAnsi="Arial" w:cs="Arial"/>
              </w:rPr>
              <w:t xml:space="preserve">Agencija za elektronske </w:t>
            </w:r>
            <w:r w:rsidRPr="00C44B47">
              <w:rPr>
                <w:rFonts w:ascii="Arial" w:hAnsi="Arial" w:cs="Arial"/>
              </w:rPr>
              <w:lastRenderedPageBreak/>
              <w:t>medije</w:t>
            </w:r>
          </w:p>
        </w:tc>
        <w:tc>
          <w:tcPr>
            <w:tcW w:w="697" w:type="dxa"/>
          </w:tcPr>
          <w:p w14:paraId="1E7C59B6" w14:textId="77777777" w:rsidR="00993EDA" w:rsidRPr="00C44B47" w:rsidRDefault="00993EDA" w:rsidP="00DD1FEA">
            <w:pPr>
              <w:rPr>
                <w:rFonts w:ascii="Arial" w:hAnsi="Arial" w:cs="Arial"/>
                <w:b/>
              </w:rPr>
            </w:pPr>
            <w:r w:rsidRPr="00C44B47">
              <w:rPr>
                <w:rFonts w:ascii="Arial" w:hAnsi="Arial" w:cs="Arial"/>
              </w:rPr>
              <w:lastRenderedPageBreak/>
              <w:t>II Q 2024</w:t>
            </w:r>
          </w:p>
        </w:tc>
        <w:tc>
          <w:tcPr>
            <w:tcW w:w="543" w:type="dxa"/>
          </w:tcPr>
          <w:p w14:paraId="238A67C5" w14:textId="77777777" w:rsidR="00993EDA" w:rsidRPr="00C44B47" w:rsidRDefault="00993EDA" w:rsidP="00DD1FEA">
            <w:pPr>
              <w:rPr>
                <w:rFonts w:ascii="Arial" w:hAnsi="Arial" w:cs="Arial"/>
                <w:b/>
              </w:rPr>
            </w:pPr>
            <w:r w:rsidRPr="00C44B47">
              <w:rPr>
                <w:rFonts w:ascii="Arial" w:hAnsi="Arial" w:cs="Arial"/>
              </w:rPr>
              <w:t>III Q 2024</w:t>
            </w:r>
          </w:p>
        </w:tc>
        <w:tc>
          <w:tcPr>
            <w:tcW w:w="702" w:type="dxa"/>
            <w:shd w:val="clear" w:color="auto" w:fill="auto"/>
          </w:tcPr>
          <w:p w14:paraId="0FBBC371" w14:textId="77777777" w:rsidR="00993EDA" w:rsidRPr="00C44B47" w:rsidRDefault="00993EDA" w:rsidP="00DD1FEA">
            <w:pPr>
              <w:rPr>
                <w:rFonts w:ascii="Arial" w:hAnsi="Arial" w:cs="Arial"/>
                <w:b/>
                <w:highlight w:val="green"/>
              </w:rPr>
            </w:pPr>
            <w:r w:rsidRPr="00C44B47">
              <w:rPr>
                <w:rFonts w:ascii="Arial" w:eastAsia="Calibri" w:hAnsi="Arial" w:cs="Arial"/>
                <w:bCs/>
                <w:noProof/>
                <w:highlight w:val="green"/>
              </w:rPr>
              <w:t>Realizovano</w:t>
            </w:r>
          </w:p>
        </w:tc>
        <w:tc>
          <w:tcPr>
            <w:tcW w:w="828" w:type="dxa"/>
            <w:gridSpan w:val="3"/>
            <w:shd w:val="clear" w:color="auto" w:fill="auto"/>
          </w:tcPr>
          <w:p w14:paraId="3145757B" w14:textId="77777777" w:rsidR="00993EDA" w:rsidRPr="00C44B47" w:rsidRDefault="00993EDA" w:rsidP="00DD1FEA">
            <w:pPr>
              <w:rPr>
                <w:rFonts w:ascii="Arial" w:hAnsi="Arial" w:cs="Arial"/>
                <w:b/>
              </w:rPr>
            </w:pPr>
          </w:p>
        </w:tc>
        <w:tc>
          <w:tcPr>
            <w:tcW w:w="519" w:type="dxa"/>
            <w:shd w:val="clear" w:color="auto" w:fill="auto"/>
          </w:tcPr>
          <w:p w14:paraId="50B8C8B3" w14:textId="77777777" w:rsidR="00993EDA" w:rsidRPr="00C44B47" w:rsidRDefault="00993EDA" w:rsidP="00DD1FEA">
            <w:pPr>
              <w:rPr>
                <w:rFonts w:ascii="Arial" w:hAnsi="Arial" w:cs="Arial"/>
                <w:b/>
              </w:rPr>
            </w:pPr>
            <w:r w:rsidRPr="00C44B47">
              <w:rPr>
                <w:rFonts w:ascii="Arial" w:hAnsi="Arial" w:cs="Arial"/>
              </w:rPr>
              <w:t xml:space="preserve">1.000 </w:t>
            </w:r>
            <w:proofErr w:type="spellStart"/>
            <w:r w:rsidRPr="00C44B47">
              <w:rPr>
                <w:rFonts w:ascii="Arial" w:hAnsi="Arial" w:cs="Arial"/>
              </w:rPr>
              <w:t>eur</w:t>
            </w:r>
            <w:proofErr w:type="spellEnd"/>
          </w:p>
        </w:tc>
        <w:tc>
          <w:tcPr>
            <w:tcW w:w="607" w:type="dxa"/>
            <w:shd w:val="clear" w:color="auto" w:fill="auto"/>
          </w:tcPr>
          <w:p w14:paraId="5BF84CC6" w14:textId="77777777" w:rsidR="00993EDA" w:rsidRPr="00C44B47" w:rsidRDefault="00993EDA" w:rsidP="00DD1FEA">
            <w:pPr>
              <w:rPr>
                <w:rFonts w:ascii="Arial" w:hAnsi="Arial" w:cs="Arial"/>
                <w:b/>
              </w:rPr>
            </w:pPr>
            <w:r w:rsidRPr="00C44B47">
              <w:rPr>
                <w:rFonts w:ascii="Arial" w:eastAsia="Calibri" w:hAnsi="Arial" w:cs="Arial"/>
                <w:noProof/>
                <w:lang w:val="sr-Latn-ME"/>
              </w:rPr>
              <w:t>1.000 eur</w:t>
            </w:r>
          </w:p>
        </w:tc>
        <w:tc>
          <w:tcPr>
            <w:tcW w:w="655" w:type="dxa"/>
            <w:shd w:val="clear" w:color="auto" w:fill="auto"/>
          </w:tcPr>
          <w:p w14:paraId="5FA62849" w14:textId="77777777" w:rsidR="00993EDA" w:rsidRPr="00C44B47" w:rsidRDefault="00993EDA" w:rsidP="00DD1FEA">
            <w:pPr>
              <w:rPr>
                <w:rFonts w:ascii="Arial" w:hAnsi="Arial" w:cs="Arial"/>
                <w:b/>
              </w:rPr>
            </w:pPr>
            <w:r w:rsidRPr="00C44B47">
              <w:rPr>
                <w:rFonts w:ascii="Arial" w:eastAsia="Calibri" w:hAnsi="Arial" w:cs="Arial"/>
                <w:noProof/>
                <w:lang w:val="sr-Latn-ME"/>
              </w:rPr>
              <w:t xml:space="preserve">Budžet Agencije za </w:t>
            </w:r>
            <w:r w:rsidRPr="00C44B47">
              <w:rPr>
                <w:rFonts w:ascii="Arial" w:eastAsia="Calibri" w:hAnsi="Arial" w:cs="Arial"/>
                <w:noProof/>
                <w:lang w:val="sr-Latn-ME"/>
              </w:rPr>
              <w:lastRenderedPageBreak/>
              <w:t>elektronske medije/ Agencija za audiovizuelne medijske usluge</w:t>
            </w:r>
          </w:p>
        </w:tc>
        <w:tc>
          <w:tcPr>
            <w:tcW w:w="5468" w:type="dxa"/>
            <w:shd w:val="clear" w:color="auto" w:fill="auto"/>
          </w:tcPr>
          <w:p w14:paraId="046468FE" w14:textId="77777777" w:rsidR="00993EDA" w:rsidRPr="00C44B47" w:rsidRDefault="00993EDA" w:rsidP="00DD1FEA">
            <w:pPr>
              <w:rPr>
                <w:rFonts w:ascii="Arial" w:eastAsia="Calibri" w:hAnsi="Arial" w:cs="Arial"/>
                <w:noProof/>
                <w:lang w:val="sr-Latn-ME"/>
              </w:rPr>
            </w:pPr>
            <w:r w:rsidRPr="00C44B47">
              <w:rPr>
                <w:rFonts w:ascii="Arial" w:eastAsia="Calibri" w:hAnsi="Arial" w:cs="Arial"/>
                <w:noProof/>
                <w:lang w:val="sr-Latn-ME"/>
              </w:rPr>
              <w:lastRenderedPageBreak/>
              <w:t>Urađena i objavljena Analiza vidljivost žena i muškaraca u</w:t>
            </w:r>
          </w:p>
          <w:p w14:paraId="1B1C7E0A" w14:textId="77777777" w:rsidR="00993EDA" w:rsidRPr="00C44B47" w:rsidRDefault="00993EDA" w:rsidP="00DD1FEA">
            <w:pPr>
              <w:rPr>
                <w:rFonts w:ascii="Arial" w:eastAsia="Calibri" w:hAnsi="Arial" w:cs="Arial"/>
                <w:noProof/>
                <w:lang w:val="sr-Latn-ME"/>
              </w:rPr>
            </w:pPr>
            <w:r w:rsidRPr="00C44B47">
              <w:rPr>
                <w:rFonts w:ascii="Arial" w:eastAsia="Calibri" w:hAnsi="Arial" w:cs="Arial"/>
                <w:noProof/>
                <w:lang w:val="sr-Latn-ME"/>
              </w:rPr>
              <w:t>centralnim informativnim</w:t>
            </w:r>
          </w:p>
          <w:p w14:paraId="2F1C0E17" w14:textId="77777777" w:rsidR="00993EDA" w:rsidRPr="00C44B47" w:rsidRDefault="00993EDA" w:rsidP="00DD1FEA">
            <w:pPr>
              <w:rPr>
                <w:rFonts w:ascii="Arial" w:eastAsia="Calibri" w:hAnsi="Arial" w:cs="Arial"/>
                <w:noProof/>
                <w:lang w:val="sr-Latn-ME"/>
              </w:rPr>
            </w:pPr>
            <w:r w:rsidRPr="00C44B47">
              <w:rPr>
                <w:rFonts w:ascii="Arial" w:eastAsia="Calibri" w:hAnsi="Arial" w:cs="Arial"/>
                <w:noProof/>
                <w:lang w:val="sr-Latn-ME"/>
              </w:rPr>
              <w:t>emisijama nacionalnih televizija</w:t>
            </w:r>
          </w:p>
          <w:p w14:paraId="625554A1" w14:textId="77777777" w:rsidR="00993EDA" w:rsidRPr="00C44B47" w:rsidRDefault="00993EDA" w:rsidP="00DD1FEA">
            <w:pPr>
              <w:rPr>
                <w:rFonts w:ascii="Arial" w:hAnsi="Arial" w:cs="Arial"/>
                <w:b/>
              </w:rPr>
            </w:pPr>
            <w:r w:rsidRPr="00C44B47">
              <w:rPr>
                <w:rFonts w:ascii="Arial" w:eastAsia="Calibri" w:hAnsi="Arial" w:cs="Arial"/>
                <w:noProof/>
                <w:lang w:val="sr-Latn-ME"/>
              </w:rPr>
              <w:t>(jun 2024.)</w:t>
            </w:r>
            <w:r w:rsidRPr="00C44B47">
              <w:rPr>
                <w:rFonts w:ascii="Arial" w:eastAsia="Calibri" w:hAnsi="Arial" w:cs="Arial"/>
                <w:noProof/>
                <w:vertAlign w:val="superscript"/>
                <w:lang w:val="sr-Latn-ME"/>
              </w:rPr>
              <w:footnoteReference w:id="5"/>
            </w:r>
          </w:p>
        </w:tc>
      </w:tr>
      <w:tr w:rsidR="00993EDA" w:rsidRPr="00C44B47" w14:paraId="5976FE47" w14:textId="77777777" w:rsidTr="00DD1FEA">
        <w:trPr>
          <w:trHeight w:val="250"/>
        </w:trPr>
        <w:tc>
          <w:tcPr>
            <w:tcW w:w="1218" w:type="dxa"/>
            <w:gridSpan w:val="2"/>
          </w:tcPr>
          <w:p w14:paraId="59E2B1EC" w14:textId="77777777" w:rsidR="00993EDA" w:rsidRPr="00C44B47" w:rsidRDefault="00993EDA" w:rsidP="00DD1FEA">
            <w:pPr>
              <w:rPr>
                <w:rFonts w:ascii="Arial" w:hAnsi="Arial" w:cs="Arial"/>
                <w:b/>
              </w:rPr>
            </w:pPr>
            <w:r w:rsidRPr="00C44B47">
              <w:rPr>
                <w:rFonts w:ascii="Arial" w:hAnsi="Arial" w:cs="Arial"/>
                <w:b/>
              </w:rPr>
              <w:t>3.5. Prevod i priprema dostupnog Google priručnika na temu digitalne i medijske pismenosti</w:t>
            </w:r>
          </w:p>
        </w:tc>
        <w:tc>
          <w:tcPr>
            <w:tcW w:w="925" w:type="dxa"/>
          </w:tcPr>
          <w:p w14:paraId="68D081E0" w14:textId="77777777" w:rsidR="00993EDA" w:rsidRPr="00C44B47" w:rsidRDefault="00993EDA" w:rsidP="00DD1FEA">
            <w:pPr>
              <w:rPr>
                <w:rFonts w:ascii="Arial" w:hAnsi="Arial" w:cs="Arial"/>
                <w:b/>
              </w:rPr>
            </w:pPr>
            <w:r w:rsidRPr="00C44B47">
              <w:rPr>
                <w:rFonts w:ascii="Arial" w:hAnsi="Arial" w:cs="Arial"/>
              </w:rPr>
              <w:t xml:space="preserve">Priručnik preveden, pripremljen, objavljen i </w:t>
            </w:r>
            <w:proofErr w:type="spellStart"/>
            <w:r w:rsidRPr="00C44B47">
              <w:rPr>
                <w:rFonts w:ascii="Arial" w:hAnsi="Arial" w:cs="Arial"/>
              </w:rPr>
              <w:t>odstampan</w:t>
            </w:r>
            <w:proofErr w:type="spellEnd"/>
          </w:p>
        </w:tc>
        <w:tc>
          <w:tcPr>
            <w:tcW w:w="788" w:type="dxa"/>
            <w:gridSpan w:val="2"/>
          </w:tcPr>
          <w:p w14:paraId="221351BB" w14:textId="77777777" w:rsidR="00993EDA" w:rsidRPr="00C44B47" w:rsidRDefault="00993EDA" w:rsidP="00DD1FEA">
            <w:pPr>
              <w:rPr>
                <w:rFonts w:ascii="Arial" w:hAnsi="Arial" w:cs="Arial"/>
                <w:b/>
              </w:rPr>
            </w:pPr>
            <w:r w:rsidRPr="00C44B47">
              <w:rPr>
                <w:rFonts w:ascii="Arial" w:hAnsi="Arial" w:cs="Arial"/>
              </w:rPr>
              <w:t>Agencija za elektronske medije</w:t>
            </w:r>
          </w:p>
        </w:tc>
        <w:tc>
          <w:tcPr>
            <w:tcW w:w="697" w:type="dxa"/>
          </w:tcPr>
          <w:p w14:paraId="5A33473A" w14:textId="77777777" w:rsidR="00993EDA" w:rsidRPr="00C44B47" w:rsidRDefault="00993EDA" w:rsidP="00DD1FEA">
            <w:pPr>
              <w:rPr>
                <w:rFonts w:ascii="Arial" w:hAnsi="Arial" w:cs="Arial"/>
                <w:b/>
              </w:rPr>
            </w:pPr>
            <w:r w:rsidRPr="00C44B47">
              <w:rPr>
                <w:rFonts w:ascii="Arial" w:hAnsi="Arial" w:cs="Arial"/>
              </w:rPr>
              <w:t>II Q 2024</w:t>
            </w:r>
          </w:p>
        </w:tc>
        <w:tc>
          <w:tcPr>
            <w:tcW w:w="543" w:type="dxa"/>
          </w:tcPr>
          <w:p w14:paraId="7C40632B" w14:textId="77777777" w:rsidR="00993EDA" w:rsidRPr="00C44B47" w:rsidRDefault="00993EDA" w:rsidP="00DD1FEA">
            <w:pPr>
              <w:rPr>
                <w:rFonts w:ascii="Arial" w:hAnsi="Arial" w:cs="Arial"/>
                <w:b/>
              </w:rPr>
            </w:pPr>
            <w:r w:rsidRPr="00C44B47">
              <w:rPr>
                <w:rFonts w:ascii="Arial" w:hAnsi="Arial" w:cs="Arial"/>
              </w:rPr>
              <w:t>III Q 2024</w:t>
            </w:r>
          </w:p>
        </w:tc>
        <w:tc>
          <w:tcPr>
            <w:tcW w:w="702" w:type="dxa"/>
            <w:shd w:val="clear" w:color="auto" w:fill="auto"/>
          </w:tcPr>
          <w:p w14:paraId="4D29666D" w14:textId="77777777" w:rsidR="00993EDA" w:rsidRPr="00C44B47" w:rsidRDefault="00993EDA" w:rsidP="00DD1FEA">
            <w:pPr>
              <w:rPr>
                <w:rFonts w:ascii="Arial" w:hAnsi="Arial" w:cs="Arial"/>
                <w:b/>
                <w:highlight w:val="green"/>
              </w:rPr>
            </w:pPr>
            <w:r w:rsidRPr="00C44B47">
              <w:rPr>
                <w:rFonts w:ascii="Arial" w:eastAsia="Calibri" w:hAnsi="Arial" w:cs="Arial"/>
                <w:bCs/>
                <w:noProof/>
                <w:highlight w:val="green"/>
              </w:rPr>
              <w:t>Realizovano</w:t>
            </w:r>
          </w:p>
        </w:tc>
        <w:tc>
          <w:tcPr>
            <w:tcW w:w="828" w:type="dxa"/>
            <w:gridSpan w:val="3"/>
            <w:shd w:val="clear" w:color="auto" w:fill="auto"/>
          </w:tcPr>
          <w:p w14:paraId="484B3C8A" w14:textId="77777777" w:rsidR="00993EDA" w:rsidRPr="00C44B47" w:rsidRDefault="00993EDA" w:rsidP="00DD1FEA">
            <w:pPr>
              <w:rPr>
                <w:rFonts w:ascii="Arial" w:hAnsi="Arial" w:cs="Arial"/>
                <w:b/>
              </w:rPr>
            </w:pPr>
          </w:p>
        </w:tc>
        <w:tc>
          <w:tcPr>
            <w:tcW w:w="519" w:type="dxa"/>
            <w:shd w:val="clear" w:color="auto" w:fill="auto"/>
          </w:tcPr>
          <w:p w14:paraId="095E44EA" w14:textId="77777777" w:rsidR="00993EDA" w:rsidRPr="00C44B47" w:rsidRDefault="00993EDA" w:rsidP="00DD1FEA">
            <w:pPr>
              <w:rPr>
                <w:rFonts w:ascii="Arial" w:hAnsi="Arial" w:cs="Arial"/>
                <w:b/>
              </w:rPr>
            </w:pPr>
            <w:r w:rsidRPr="00C44B47">
              <w:rPr>
                <w:rFonts w:ascii="Arial" w:hAnsi="Arial" w:cs="Arial"/>
              </w:rPr>
              <w:t xml:space="preserve">6.000 </w:t>
            </w:r>
            <w:proofErr w:type="spellStart"/>
            <w:r w:rsidRPr="00C44B47">
              <w:rPr>
                <w:rFonts w:ascii="Arial" w:hAnsi="Arial" w:cs="Arial"/>
              </w:rPr>
              <w:t>eur</w:t>
            </w:r>
            <w:proofErr w:type="spellEnd"/>
          </w:p>
        </w:tc>
        <w:tc>
          <w:tcPr>
            <w:tcW w:w="607" w:type="dxa"/>
            <w:shd w:val="clear" w:color="auto" w:fill="auto"/>
          </w:tcPr>
          <w:p w14:paraId="00868321" w14:textId="77777777" w:rsidR="00993EDA" w:rsidRPr="00C44B47" w:rsidRDefault="00993EDA" w:rsidP="00DD1FEA">
            <w:pPr>
              <w:rPr>
                <w:rFonts w:ascii="Arial" w:hAnsi="Arial" w:cs="Arial"/>
                <w:b/>
              </w:rPr>
            </w:pPr>
            <w:r w:rsidRPr="00C44B47">
              <w:rPr>
                <w:rFonts w:ascii="Arial" w:hAnsi="Arial" w:cs="Arial"/>
                <w:noProof/>
                <w:lang w:val="sr-Latn-ME"/>
              </w:rPr>
              <w:t>1.520 eur</w:t>
            </w:r>
          </w:p>
        </w:tc>
        <w:tc>
          <w:tcPr>
            <w:tcW w:w="655" w:type="dxa"/>
            <w:shd w:val="clear" w:color="auto" w:fill="auto"/>
          </w:tcPr>
          <w:p w14:paraId="43612C5B" w14:textId="77777777" w:rsidR="00993EDA" w:rsidRPr="00C44B47" w:rsidRDefault="00993EDA" w:rsidP="00DD1FEA">
            <w:pPr>
              <w:rPr>
                <w:rFonts w:ascii="Arial" w:hAnsi="Arial" w:cs="Arial"/>
                <w:b/>
              </w:rPr>
            </w:pPr>
            <w:r w:rsidRPr="00C44B47">
              <w:rPr>
                <w:rFonts w:ascii="Arial" w:hAnsi="Arial" w:cs="Arial"/>
                <w:lang w:val="sr-Latn-ME"/>
              </w:rPr>
              <w:t>Budžet Agencije za elektronske medije/ Agencija za audiovizueln</w:t>
            </w:r>
            <w:r w:rsidRPr="00C44B47">
              <w:rPr>
                <w:rFonts w:ascii="Arial" w:hAnsi="Arial" w:cs="Arial"/>
                <w:lang w:val="sr-Latn-ME"/>
              </w:rPr>
              <w:lastRenderedPageBreak/>
              <w:t>e medijske usluge</w:t>
            </w:r>
          </w:p>
        </w:tc>
        <w:tc>
          <w:tcPr>
            <w:tcW w:w="5468" w:type="dxa"/>
            <w:shd w:val="clear" w:color="auto" w:fill="auto"/>
          </w:tcPr>
          <w:p w14:paraId="01EF6EB6" w14:textId="77777777" w:rsidR="00993EDA" w:rsidRPr="00C44B47" w:rsidRDefault="00993EDA" w:rsidP="00DD1FEA">
            <w:pPr>
              <w:rPr>
                <w:rFonts w:ascii="Arial" w:hAnsi="Arial" w:cs="Arial"/>
                <w:b/>
              </w:rPr>
            </w:pPr>
            <w:r w:rsidRPr="00C44B47">
              <w:rPr>
                <w:rFonts w:ascii="Arial" w:eastAsia="Calibri" w:hAnsi="Arial" w:cs="Arial"/>
                <w:noProof/>
                <w:lang w:val="sr-Latn-ME"/>
              </w:rPr>
              <w:lastRenderedPageBreak/>
              <w:t xml:space="preserve">Preveden, pripremljen, objavljen i odstampan </w:t>
            </w:r>
            <w:r w:rsidRPr="00C44B47">
              <w:rPr>
                <w:rFonts w:ascii="Arial" w:eastAsia="Calibri" w:hAnsi="Arial" w:cs="Arial"/>
                <w:lang w:val="sr-Latn-ME"/>
              </w:rPr>
              <w:t>Priručnik „Medijska i digitalna pismenost“ i na romskom jeziku.</w:t>
            </w:r>
            <w:r w:rsidRPr="00C44B47">
              <w:rPr>
                <w:rFonts w:ascii="Arial" w:eastAsia="Calibri" w:hAnsi="Arial" w:cs="Arial"/>
                <w:vertAlign w:val="superscript"/>
                <w:lang w:val="sr-Latn-ME"/>
              </w:rPr>
              <w:footnoteReference w:id="6"/>
            </w:r>
          </w:p>
        </w:tc>
      </w:tr>
      <w:tr w:rsidR="00993EDA" w:rsidRPr="00C44B47" w14:paraId="51C67F00" w14:textId="77777777" w:rsidTr="00DD1FEA">
        <w:trPr>
          <w:trHeight w:val="250"/>
        </w:trPr>
        <w:tc>
          <w:tcPr>
            <w:tcW w:w="1218" w:type="dxa"/>
            <w:gridSpan w:val="2"/>
          </w:tcPr>
          <w:p w14:paraId="4505D28C" w14:textId="77777777" w:rsidR="00993EDA" w:rsidRPr="00C44B47" w:rsidRDefault="00993EDA" w:rsidP="00DD1FEA">
            <w:pPr>
              <w:rPr>
                <w:rFonts w:ascii="Arial" w:hAnsi="Arial" w:cs="Arial"/>
                <w:b/>
              </w:rPr>
            </w:pPr>
            <w:r w:rsidRPr="00C44B47">
              <w:rPr>
                <w:rFonts w:ascii="Arial" w:hAnsi="Arial" w:cs="Arial"/>
                <w:b/>
              </w:rPr>
              <w:t>3.6. Aktiviranje SOS linije za medijsku pismenost</w:t>
            </w:r>
          </w:p>
        </w:tc>
        <w:tc>
          <w:tcPr>
            <w:tcW w:w="925" w:type="dxa"/>
          </w:tcPr>
          <w:p w14:paraId="0B6B0CCB" w14:textId="77777777" w:rsidR="00993EDA" w:rsidRPr="00C44B47" w:rsidRDefault="00993EDA" w:rsidP="00DD1FEA">
            <w:pPr>
              <w:rPr>
                <w:rFonts w:ascii="Arial" w:hAnsi="Arial" w:cs="Arial"/>
                <w:b/>
              </w:rPr>
            </w:pPr>
            <w:r w:rsidRPr="00C44B47">
              <w:rPr>
                <w:rFonts w:ascii="Arial" w:hAnsi="Arial" w:cs="Arial"/>
              </w:rPr>
              <w:t xml:space="preserve">SOS linija aktivna tri </w:t>
            </w:r>
            <w:proofErr w:type="spellStart"/>
            <w:r w:rsidRPr="00C44B47">
              <w:rPr>
                <w:rFonts w:ascii="Arial" w:hAnsi="Arial" w:cs="Arial"/>
              </w:rPr>
              <w:t>mjeseca</w:t>
            </w:r>
            <w:proofErr w:type="spellEnd"/>
          </w:p>
        </w:tc>
        <w:tc>
          <w:tcPr>
            <w:tcW w:w="788" w:type="dxa"/>
            <w:gridSpan w:val="2"/>
          </w:tcPr>
          <w:p w14:paraId="24D6899C" w14:textId="77777777" w:rsidR="00993EDA" w:rsidRPr="00C44B47" w:rsidRDefault="00993EDA" w:rsidP="00DD1FEA">
            <w:pPr>
              <w:rPr>
                <w:rFonts w:ascii="Arial" w:hAnsi="Arial" w:cs="Arial"/>
                <w:b/>
              </w:rPr>
            </w:pPr>
            <w:r w:rsidRPr="00C44B47">
              <w:rPr>
                <w:rFonts w:ascii="Arial" w:hAnsi="Arial" w:cs="Arial"/>
              </w:rPr>
              <w:t>Agencija za elektronske medije</w:t>
            </w:r>
          </w:p>
        </w:tc>
        <w:tc>
          <w:tcPr>
            <w:tcW w:w="697" w:type="dxa"/>
          </w:tcPr>
          <w:p w14:paraId="5569F28C" w14:textId="77777777" w:rsidR="00993EDA" w:rsidRPr="00C44B47" w:rsidRDefault="00993EDA" w:rsidP="00DD1FEA">
            <w:pPr>
              <w:rPr>
                <w:rFonts w:ascii="Arial" w:hAnsi="Arial" w:cs="Arial"/>
                <w:b/>
              </w:rPr>
            </w:pPr>
            <w:r w:rsidRPr="00C44B47">
              <w:rPr>
                <w:rFonts w:ascii="Arial" w:hAnsi="Arial" w:cs="Arial"/>
              </w:rPr>
              <w:t>III Q 2024</w:t>
            </w:r>
          </w:p>
        </w:tc>
        <w:tc>
          <w:tcPr>
            <w:tcW w:w="543" w:type="dxa"/>
          </w:tcPr>
          <w:p w14:paraId="5C8ACCA2"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53D952A5" w14:textId="77777777" w:rsidR="00993EDA" w:rsidRPr="00C44B47" w:rsidRDefault="00993EDA" w:rsidP="00DD1FEA">
            <w:pPr>
              <w:rPr>
                <w:rFonts w:ascii="Arial" w:hAnsi="Arial" w:cs="Arial"/>
                <w:b/>
              </w:rPr>
            </w:pPr>
            <w:r w:rsidRPr="00C44B47">
              <w:rPr>
                <w:rFonts w:ascii="Arial" w:eastAsia="Calibri" w:hAnsi="Arial" w:cs="Arial"/>
                <w:bCs/>
                <w:noProof/>
                <w:highlight w:val="green"/>
              </w:rPr>
              <w:t>Realizovano</w:t>
            </w:r>
          </w:p>
        </w:tc>
        <w:tc>
          <w:tcPr>
            <w:tcW w:w="828" w:type="dxa"/>
            <w:gridSpan w:val="3"/>
            <w:shd w:val="clear" w:color="auto" w:fill="auto"/>
          </w:tcPr>
          <w:p w14:paraId="53445E14" w14:textId="77777777" w:rsidR="00993EDA" w:rsidRPr="00C44B47" w:rsidRDefault="00993EDA" w:rsidP="00DD1FEA">
            <w:pPr>
              <w:rPr>
                <w:rFonts w:ascii="Arial" w:hAnsi="Arial" w:cs="Arial"/>
                <w:b/>
              </w:rPr>
            </w:pPr>
          </w:p>
        </w:tc>
        <w:tc>
          <w:tcPr>
            <w:tcW w:w="519" w:type="dxa"/>
            <w:shd w:val="clear" w:color="auto" w:fill="auto"/>
          </w:tcPr>
          <w:p w14:paraId="00DA12D1" w14:textId="77777777" w:rsidR="00993EDA" w:rsidRPr="00C44B47" w:rsidRDefault="00993EDA" w:rsidP="00DD1FEA">
            <w:pPr>
              <w:rPr>
                <w:rFonts w:ascii="Arial" w:hAnsi="Arial" w:cs="Arial"/>
                <w:b/>
              </w:rPr>
            </w:pPr>
            <w:r w:rsidRPr="00C44B47">
              <w:rPr>
                <w:rFonts w:ascii="Arial" w:hAnsi="Arial" w:cs="Arial"/>
              </w:rPr>
              <w:t xml:space="preserve">4.000 </w:t>
            </w:r>
            <w:proofErr w:type="spellStart"/>
            <w:r w:rsidRPr="00C44B47">
              <w:rPr>
                <w:rFonts w:ascii="Arial" w:hAnsi="Arial" w:cs="Arial"/>
              </w:rPr>
              <w:t>eur</w:t>
            </w:r>
            <w:proofErr w:type="spellEnd"/>
          </w:p>
        </w:tc>
        <w:tc>
          <w:tcPr>
            <w:tcW w:w="607" w:type="dxa"/>
            <w:shd w:val="clear" w:color="auto" w:fill="auto"/>
          </w:tcPr>
          <w:p w14:paraId="49107E78" w14:textId="77777777" w:rsidR="00993EDA" w:rsidRPr="00C44B47" w:rsidRDefault="00993EDA" w:rsidP="00DD1FEA">
            <w:pPr>
              <w:rPr>
                <w:rFonts w:ascii="Arial" w:hAnsi="Arial" w:cs="Arial"/>
                <w:b/>
              </w:rPr>
            </w:pPr>
            <w:r w:rsidRPr="00C44B47">
              <w:rPr>
                <w:rFonts w:ascii="Arial" w:eastAsia="Calibri" w:hAnsi="Arial" w:cs="Arial"/>
                <w:noProof/>
                <w:lang w:val="sr-Latn-ME"/>
              </w:rPr>
              <w:t>3.600 eur</w:t>
            </w:r>
          </w:p>
        </w:tc>
        <w:tc>
          <w:tcPr>
            <w:tcW w:w="655" w:type="dxa"/>
            <w:shd w:val="clear" w:color="auto" w:fill="auto"/>
          </w:tcPr>
          <w:p w14:paraId="18D09152" w14:textId="77777777" w:rsidR="00993EDA" w:rsidRPr="00C44B47" w:rsidRDefault="00993EDA" w:rsidP="00DD1FEA">
            <w:pPr>
              <w:rPr>
                <w:rFonts w:ascii="Arial" w:hAnsi="Arial" w:cs="Arial"/>
                <w:b/>
              </w:rPr>
            </w:pPr>
            <w:r w:rsidRPr="00C44B47">
              <w:rPr>
                <w:rFonts w:ascii="Arial" w:hAnsi="Arial" w:cs="Arial"/>
                <w:lang w:val="sr-Latn-ME"/>
              </w:rPr>
              <w:t>Budžet Agencije za elektronske medije/ Agencija za audiovizuelne medijske usluge</w:t>
            </w:r>
          </w:p>
        </w:tc>
        <w:tc>
          <w:tcPr>
            <w:tcW w:w="5468" w:type="dxa"/>
            <w:shd w:val="clear" w:color="auto" w:fill="auto"/>
          </w:tcPr>
          <w:p w14:paraId="1463BFEC" w14:textId="77777777" w:rsidR="00993EDA" w:rsidRPr="00C44B47" w:rsidRDefault="00993EDA" w:rsidP="00DD1FEA">
            <w:pPr>
              <w:rPr>
                <w:rFonts w:ascii="Arial" w:hAnsi="Arial" w:cs="Arial"/>
                <w:b/>
              </w:rPr>
            </w:pPr>
            <w:r w:rsidRPr="00C44B47">
              <w:rPr>
                <w:rFonts w:ascii="Arial" w:eastAsia="Calibri" w:hAnsi="Arial" w:cs="Arial"/>
                <w:noProof/>
                <w:lang w:val="sr-Latn-ME"/>
              </w:rPr>
              <w:t xml:space="preserve">SOS linija aktivna tri mjeseca (10/24-2/25). </w:t>
            </w:r>
            <w:r w:rsidRPr="00C44B47">
              <w:rPr>
                <w:rFonts w:ascii="Arial" w:eastAsia="Calibri" w:hAnsi="Arial" w:cs="Arial"/>
                <w:lang w:val="sr-Latn-ME"/>
              </w:rPr>
              <w:t>Zaprimljeno je 44 poziva, najčešće su tražene (1) informacije o „Vodiču za srebrne surfere“ u izdanju Agencije, (2) dodatna objašnjenja o funkciji SOS linije, kao i o ciljevima kampanje, (3) pojašnjenja definicije medijske pismenosti digitalne pismenosti i (4) informacije o osnovnoj upotrebi mobilnih telefona. Prosječno trajanje poziva iznosilo je oko šest minuta. Korisnici su uglavnom iskazivali pozitivan stav prema inicijativi, zahvaljujući na podršci i pomoći. Najviše poziva zabilježeno je iz opština: Podgorica, Nikšić, Budva, Bijelo Polje, Berane, Tivat, Kotor, Ulcinj, Zeta i Cetinje.</w:t>
            </w:r>
          </w:p>
        </w:tc>
      </w:tr>
      <w:tr w:rsidR="00993EDA" w:rsidRPr="00C44B47" w14:paraId="5C16BCD4" w14:textId="77777777" w:rsidTr="00DD1FEA">
        <w:trPr>
          <w:trHeight w:val="250"/>
        </w:trPr>
        <w:tc>
          <w:tcPr>
            <w:tcW w:w="1218" w:type="dxa"/>
            <w:gridSpan w:val="2"/>
          </w:tcPr>
          <w:p w14:paraId="4702FAAA" w14:textId="77777777" w:rsidR="00993EDA" w:rsidRPr="00C44B47" w:rsidRDefault="00993EDA" w:rsidP="00DD1FEA">
            <w:pPr>
              <w:rPr>
                <w:rFonts w:ascii="Arial" w:hAnsi="Arial" w:cs="Arial"/>
                <w:b/>
              </w:rPr>
            </w:pPr>
            <w:r w:rsidRPr="00C44B47">
              <w:rPr>
                <w:rFonts w:ascii="Arial" w:hAnsi="Arial" w:cs="Arial"/>
                <w:b/>
              </w:rPr>
              <w:t xml:space="preserve">3.7 Uspostavljanje usluge sertifikacije za kompanije "Fer sa </w:t>
            </w:r>
            <w:r w:rsidRPr="00C44B47">
              <w:rPr>
                <w:rFonts w:ascii="Arial" w:hAnsi="Arial" w:cs="Arial"/>
                <w:b/>
              </w:rPr>
              <w:lastRenderedPageBreak/>
              <w:t>potrošačem“</w:t>
            </w:r>
          </w:p>
        </w:tc>
        <w:tc>
          <w:tcPr>
            <w:tcW w:w="925" w:type="dxa"/>
          </w:tcPr>
          <w:p w14:paraId="58573987" w14:textId="77777777" w:rsidR="00993EDA" w:rsidRPr="00C44B47" w:rsidRDefault="00993EDA" w:rsidP="00DD1FEA">
            <w:pPr>
              <w:rPr>
                <w:rFonts w:ascii="Arial" w:hAnsi="Arial" w:cs="Arial"/>
                <w:b/>
              </w:rPr>
            </w:pPr>
            <w:r w:rsidRPr="00C44B47">
              <w:rPr>
                <w:rFonts w:ascii="Arial" w:hAnsi="Arial" w:cs="Arial"/>
              </w:rPr>
              <w:lastRenderedPageBreak/>
              <w:t>Broj izdatih sertifikata kompanijama – najmanje 1; Potpisa</w:t>
            </w:r>
            <w:r w:rsidRPr="00C44B47">
              <w:rPr>
                <w:rFonts w:ascii="Arial" w:hAnsi="Arial" w:cs="Arial"/>
              </w:rPr>
              <w:lastRenderedPageBreak/>
              <w:t>n memorandum o saradnji sa najmanje 2 trgovca/kompanije</w:t>
            </w:r>
          </w:p>
        </w:tc>
        <w:tc>
          <w:tcPr>
            <w:tcW w:w="788" w:type="dxa"/>
            <w:gridSpan w:val="2"/>
          </w:tcPr>
          <w:p w14:paraId="2546CDDB" w14:textId="77777777" w:rsidR="00993EDA" w:rsidRPr="00C44B47" w:rsidRDefault="00993EDA" w:rsidP="00DD1FEA">
            <w:pPr>
              <w:rPr>
                <w:rFonts w:ascii="Arial" w:hAnsi="Arial" w:cs="Arial"/>
                <w:b/>
              </w:rPr>
            </w:pPr>
            <w:r w:rsidRPr="00C44B47">
              <w:rPr>
                <w:rFonts w:ascii="Arial" w:hAnsi="Arial" w:cs="Arial"/>
              </w:rPr>
              <w:lastRenderedPageBreak/>
              <w:t>CEZAP</w:t>
            </w:r>
          </w:p>
        </w:tc>
        <w:tc>
          <w:tcPr>
            <w:tcW w:w="697" w:type="dxa"/>
          </w:tcPr>
          <w:p w14:paraId="28540DEC" w14:textId="77777777" w:rsidR="00993EDA" w:rsidRPr="00C44B47" w:rsidRDefault="00993EDA" w:rsidP="00DD1FEA">
            <w:pPr>
              <w:rPr>
                <w:rFonts w:ascii="Arial" w:hAnsi="Arial" w:cs="Arial"/>
                <w:b/>
              </w:rPr>
            </w:pPr>
            <w:r w:rsidRPr="00C44B47">
              <w:rPr>
                <w:rFonts w:ascii="Arial" w:hAnsi="Arial" w:cs="Arial"/>
              </w:rPr>
              <w:t>I Q 2024</w:t>
            </w:r>
          </w:p>
        </w:tc>
        <w:tc>
          <w:tcPr>
            <w:tcW w:w="543" w:type="dxa"/>
          </w:tcPr>
          <w:p w14:paraId="3BA6D586" w14:textId="77777777" w:rsidR="00993EDA" w:rsidRPr="00C44B47" w:rsidRDefault="00993EDA" w:rsidP="00DD1FEA">
            <w:pPr>
              <w:rPr>
                <w:rFonts w:ascii="Arial" w:hAnsi="Arial" w:cs="Arial"/>
                <w:b/>
              </w:rPr>
            </w:pPr>
            <w:r w:rsidRPr="00C44B47">
              <w:rPr>
                <w:rFonts w:ascii="Arial" w:hAnsi="Arial" w:cs="Arial"/>
              </w:rPr>
              <w:t>IV Q 2024</w:t>
            </w:r>
          </w:p>
        </w:tc>
        <w:tc>
          <w:tcPr>
            <w:tcW w:w="702" w:type="dxa"/>
            <w:shd w:val="clear" w:color="auto" w:fill="auto"/>
          </w:tcPr>
          <w:p w14:paraId="0A5A57C4" w14:textId="77777777" w:rsidR="00993EDA" w:rsidRPr="00C44B47" w:rsidRDefault="00993EDA" w:rsidP="00DD1FEA">
            <w:pPr>
              <w:rPr>
                <w:rFonts w:ascii="Arial" w:hAnsi="Arial" w:cs="Arial"/>
                <w:b/>
              </w:rPr>
            </w:pPr>
            <w:proofErr w:type="spellStart"/>
            <w:r w:rsidRPr="00A13A66">
              <w:rPr>
                <w:rFonts w:ascii="Arial" w:hAnsi="Arial" w:cs="Arial"/>
                <w:b/>
                <w:highlight w:val="yellow"/>
              </w:rPr>
              <w:t>Djelimično</w:t>
            </w:r>
            <w:proofErr w:type="spellEnd"/>
            <w:r w:rsidRPr="00A13A66">
              <w:rPr>
                <w:rFonts w:ascii="Arial" w:hAnsi="Arial" w:cs="Arial"/>
                <w:b/>
                <w:highlight w:val="yellow"/>
              </w:rPr>
              <w:t xml:space="preserve"> realizovano</w:t>
            </w:r>
          </w:p>
        </w:tc>
        <w:tc>
          <w:tcPr>
            <w:tcW w:w="828" w:type="dxa"/>
            <w:gridSpan w:val="3"/>
            <w:shd w:val="clear" w:color="auto" w:fill="auto"/>
          </w:tcPr>
          <w:p w14:paraId="46E5A4C3" w14:textId="77777777" w:rsidR="00993EDA" w:rsidRPr="00A13A66" w:rsidRDefault="00993EDA" w:rsidP="00DD1FEA">
            <w:pPr>
              <w:rPr>
                <w:rFonts w:ascii="Arial" w:hAnsi="Arial" w:cs="Arial"/>
              </w:rPr>
            </w:pPr>
            <w:r w:rsidRPr="00A13A66">
              <w:rPr>
                <w:rFonts w:ascii="Arial" w:hAnsi="Arial" w:cs="Arial"/>
              </w:rPr>
              <w:t>IV Q 2025</w:t>
            </w:r>
          </w:p>
          <w:p w14:paraId="72EEAD45" w14:textId="77777777" w:rsidR="00993EDA" w:rsidRPr="00C44B47" w:rsidRDefault="00993EDA" w:rsidP="00DD1FEA">
            <w:pPr>
              <w:rPr>
                <w:rFonts w:ascii="Arial" w:hAnsi="Arial" w:cs="Arial"/>
                <w:b/>
              </w:rPr>
            </w:pPr>
          </w:p>
        </w:tc>
        <w:tc>
          <w:tcPr>
            <w:tcW w:w="519" w:type="dxa"/>
            <w:shd w:val="clear" w:color="auto" w:fill="auto"/>
          </w:tcPr>
          <w:p w14:paraId="497A2780" w14:textId="77777777" w:rsidR="00993EDA" w:rsidRPr="00C44B47" w:rsidRDefault="00993EDA" w:rsidP="00DD1FEA">
            <w:pPr>
              <w:rPr>
                <w:rFonts w:ascii="Arial" w:hAnsi="Arial" w:cs="Arial"/>
                <w:b/>
              </w:rPr>
            </w:pPr>
            <w:r w:rsidRPr="00C44B47">
              <w:rPr>
                <w:rFonts w:ascii="Arial" w:hAnsi="Arial" w:cs="Arial"/>
              </w:rPr>
              <w:t>Nijesu potrebna sredstva</w:t>
            </w:r>
          </w:p>
        </w:tc>
        <w:tc>
          <w:tcPr>
            <w:tcW w:w="607" w:type="dxa"/>
            <w:shd w:val="clear" w:color="auto" w:fill="auto"/>
          </w:tcPr>
          <w:p w14:paraId="6E4A47DE" w14:textId="77777777" w:rsidR="00993EDA" w:rsidRPr="00C44B47" w:rsidRDefault="00993EDA" w:rsidP="00DD1FEA">
            <w:pPr>
              <w:rPr>
                <w:rFonts w:ascii="Arial" w:hAnsi="Arial" w:cs="Arial"/>
                <w:b/>
              </w:rPr>
            </w:pPr>
          </w:p>
        </w:tc>
        <w:tc>
          <w:tcPr>
            <w:tcW w:w="655" w:type="dxa"/>
            <w:shd w:val="clear" w:color="auto" w:fill="auto"/>
          </w:tcPr>
          <w:p w14:paraId="32B3FED8" w14:textId="77777777" w:rsidR="00993EDA" w:rsidRPr="00C44B47" w:rsidRDefault="00993EDA" w:rsidP="00DD1FEA">
            <w:pPr>
              <w:rPr>
                <w:rFonts w:ascii="Arial" w:hAnsi="Arial" w:cs="Arial"/>
                <w:b/>
              </w:rPr>
            </w:pPr>
            <w:r w:rsidRPr="00C44B47">
              <w:rPr>
                <w:rFonts w:ascii="Arial" w:hAnsi="Arial" w:cs="Arial"/>
              </w:rPr>
              <w:t xml:space="preserve">Troškove sertifikacije snosi </w:t>
            </w:r>
            <w:proofErr w:type="spellStart"/>
            <w:r w:rsidRPr="00C44B47">
              <w:rPr>
                <w:rFonts w:ascii="Arial" w:hAnsi="Arial" w:cs="Arial"/>
              </w:rPr>
              <w:t>aplikant</w:t>
            </w:r>
            <w:proofErr w:type="spellEnd"/>
            <w:r w:rsidRPr="00C44B47">
              <w:rPr>
                <w:rFonts w:ascii="Arial" w:hAnsi="Arial" w:cs="Arial"/>
              </w:rPr>
              <w:t xml:space="preserve"> </w:t>
            </w:r>
            <w:r w:rsidRPr="00C44B47">
              <w:rPr>
                <w:rFonts w:ascii="Arial" w:hAnsi="Arial" w:cs="Arial"/>
              </w:rPr>
              <w:lastRenderedPageBreak/>
              <w:t>za dobijanje sertifikata “Fer sa potrošačem”</w:t>
            </w:r>
          </w:p>
        </w:tc>
        <w:tc>
          <w:tcPr>
            <w:tcW w:w="5468" w:type="dxa"/>
            <w:shd w:val="clear" w:color="auto" w:fill="auto"/>
          </w:tcPr>
          <w:p w14:paraId="3E446D39" w14:textId="77777777" w:rsidR="00993EDA" w:rsidRDefault="00993EDA" w:rsidP="00DD1FEA">
            <w:pPr>
              <w:rPr>
                <w:rFonts w:ascii="Arial" w:hAnsi="Arial" w:cs="Arial"/>
                <w:bCs/>
              </w:rPr>
            </w:pPr>
            <w:r w:rsidRPr="00B81C97">
              <w:rPr>
                <w:rFonts w:ascii="Arial" w:hAnsi="Arial" w:cs="Arial"/>
                <w:bCs/>
              </w:rPr>
              <w:lastRenderedPageBreak/>
              <w:t xml:space="preserve">Pokrenute su procedure za sertifikaciju u </w:t>
            </w:r>
            <w:proofErr w:type="spellStart"/>
            <w:r w:rsidRPr="00B81C97">
              <w:rPr>
                <w:rFonts w:ascii="Arial" w:hAnsi="Arial" w:cs="Arial"/>
                <w:bCs/>
              </w:rPr>
              <w:t>dvije</w:t>
            </w:r>
            <w:proofErr w:type="spellEnd"/>
            <w:r w:rsidRPr="00B81C97">
              <w:rPr>
                <w:rFonts w:ascii="Arial" w:hAnsi="Arial" w:cs="Arial"/>
                <w:bCs/>
              </w:rPr>
              <w:t xml:space="preserve"> kompanije</w:t>
            </w:r>
          </w:p>
          <w:p w14:paraId="621F0BDB" w14:textId="77777777" w:rsidR="00993EDA" w:rsidRPr="00A13A66" w:rsidRDefault="00993EDA" w:rsidP="00DD1FEA">
            <w:pPr>
              <w:rPr>
                <w:rFonts w:ascii="Arial" w:hAnsi="Arial" w:cs="Arial"/>
              </w:rPr>
            </w:pPr>
            <w:r w:rsidRPr="00A13A66">
              <w:rPr>
                <w:rFonts w:ascii="Arial" w:hAnsi="Arial" w:cs="Arial"/>
              </w:rPr>
              <w:t>Aktivnost planirati u narednom AP</w:t>
            </w:r>
          </w:p>
        </w:tc>
      </w:tr>
      <w:tr w:rsidR="00993EDA" w:rsidRPr="00C44B47" w14:paraId="1B4618A6" w14:textId="77777777" w:rsidTr="00DD1FEA">
        <w:trPr>
          <w:trHeight w:val="250"/>
        </w:trPr>
        <w:tc>
          <w:tcPr>
            <w:tcW w:w="1218" w:type="dxa"/>
            <w:gridSpan w:val="2"/>
          </w:tcPr>
          <w:p w14:paraId="6F56FCE9" w14:textId="77777777" w:rsidR="00993EDA" w:rsidRPr="00C44B47" w:rsidRDefault="00993EDA" w:rsidP="00DD1FEA">
            <w:pPr>
              <w:rPr>
                <w:rFonts w:ascii="Arial" w:hAnsi="Arial" w:cs="Arial"/>
                <w:b/>
              </w:rPr>
            </w:pPr>
            <w:r w:rsidRPr="00C44B47">
              <w:rPr>
                <w:rFonts w:ascii="Arial" w:hAnsi="Arial" w:cs="Arial"/>
                <w:b/>
              </w:rPr>
              <w:t xml:space="preserve">3.8. Izrada studije o modelu funkcionisanja </w:t>
            </w:r>
            <w:proofErr w:type="spellStart"/>
            <w:r w:rsidRPr="00C44B47">
              <w:rPr>
                <w:rFonts w:ascii="Arial" w:hAnsi="Arial" w:cs="Arial"/>
                <w:b/>
              </w:rPr>
              <w:t>Savjetovališta</w:t>
            </w:r>
            <w:proofErr w:type="spellEnd"/>
            <w:r w:rsidRPr="00C44B47">
              <w:rPr>
                <w:rFonts w:ascii="Arial" w:hAnsi="Arial" w:cs="Arial"/>
                <w:b/>
              </w:rPr>
              <w:t xml:space="preserve"> za potrošače/</w:t>
            </w:r>
            <w:proofErr w:type="spellStart"/>
            <w:r w:rsidRPr="00C44B47">
              <w:rPr>
                <w:rFonts w:ascii="Arial" w:hAnsi="Arial" w:cs="Arial"/>
                <w:b/>
              </w:rPr>
              <w:t>ice</w:t>
            </w:r>
            <w:proofErr w:type="spellEnd"/>
            <w:r w:rsidRPr="00C44B47">
              <w:rPr>
                <w:rFonts w:ascii="Arial" w:hAnsi="Arial" w:cs="Arial"/>
                <w:b/>
              </w:rPr>
              <w:t xml:space="preserve"> u Podgorici</w:t>
            </w:r>
          </w:p>
        </w:tc>
        <w:tc>
          <w:tcPr>
            <w:tcW w:w="925" w:type="dxa"/>
          </w:tcPr>
          <w:p w14:paraId="7731660F" w14:textId="77777777" w:rsidR="00993EDA" w:rsidRPr="00C44B47" w:rsidRDefault="00993EDA" w:rsidP="00DD1FEA">
            <w:pPr>
              <w:rPr>
                <w:rFonts w:ascii="Arial" w:hAnsi="Arial" w:cs="Arial"/>
                <w:b/>
              </w:rPr>
            </w:pPr>
            <w:r w:rsidRPr="00C44B47">
              <w:rPr>
                <w:rFonts w:ascii="Arial" w:hAnsi="Arial" w:cs="Arial"/>
              </w:rPr>
              <w:t xml:space="preserve">Izrađena studija Broj </w:t>
            </w:r>
            <w:proofErr w:type="spellStart"/>
            <w:r w:rsidRPr="00C44B47">
              <w:rPr>
                <w:rFonts w:ascii="Arial" w:hAnsi="Arial" w:cs="Arial"/>
              </w:rPr>
              <w:t>ditribuiranih</w:t>
            </w:r>
            <w:proofErr w:type="spellEnd"/>
            <w:r w:rsidRPr="00C44B47">
              <w:rPr>
                <w:rFonts w:ascii="Arial" w:hAnsi="Arial" w:cs="Arial"/>
              </w:rPr>
              <w:t xml:space="preserve"> </w:t>
            </w:r>
            <w:proofErr w:type="spellStart"/>
            <w:r w:rsidRPr="00C44B47">
              <w:rPr>
                <w:rFonts w:ascii="Arial" w:hAnsi="Arial" w:cs="Arial"/>
              </w:rPr>
              <w:t>primjeraka</w:t>
            </w:r>
            <w:proofErr w:type="spellEnd"/>
            <w:r w:rsidRPr="00C44B47">
              <w:rPr>
                <w:rFonts w:ascii="Arial" w:hAnsi="Arial" w:cs="Arial"/>
              </w:rPr>
              <w:t>: najmanje 50</w:t>
            </w:r>
          </w:p>
        </w:tc>
        <w:tc>
          <w:tcPr>
            <w:tcW w:w="788" w:type="dxa"/>
            <w:gridSpan w:val="2"/>
          </w:tcPr>
          <w:p w14:paraId="3D25518C" w14:textId="77777777" w:rsidR="00993EDA" w:rsidRPr="00C44B47" w:rsidRDefault="00993EDA" w:rsidP="00DD1FEA">
            <w:pPr>
              <w:rPr>
                <w:rFonts w:ascii="Arial" w:hAnsi="Arial" w:cs="Arial"/>
                <w:b/>
              </w:rPr>
            </w:pPr>
            <w:r w:rsidRPr="00C44B47">
              <w:rPr>
                <w:rFonts w:ascii="Arial" w:hAnsi="Arial" w:cs="Arial"/>
              </w:rPr>
              <w:t>CEZAP</w:t>
            </w:r>
          </w:p>
        </w:tc>
        <w:tc>
          <w:tcPr>
            <w:tcW w:w="697" w:type="dxa"/>
          </w:tcPr>
          <w:p w14:paraId="5BB64AB0" w14:textId="77777777" w:rsidR="00993EDA" w:rsidRPr="00C44B47" w:rsidRDefault="00993EDA" w:rsidP="00DD1FEA">
            <w:pPr>
              <w:rPr>
                <w:rFonts w:ascii="Arial" w:hAnsi="Arial" w:cs="Arial"/>
                <w:b/>
              </w:rPr>
            </w:pPr>
            <w:r w:rsidRPr="00C44B47">
              <w:rPr>
                <w:rFonts w:ascii="Arial" w:hAnsi="Arial" w:cs="Arial"/>
              </w:rPr>
              <w:t>I Q 2024</w:t>
            </w:r>
          </w:p>
        </w:tc>
        <w:tc>
          <w:tcPr>
            <w:tcW w:w="543" w:type="dxa"/>
          </w:tcPr>
          <w:p w14:paraId="7B5C322D" w14:textId="77777777" w:rsidR="00993EDA" w:rsidRPr="00C44B47" w:rsidRDefault="00993EDA" w:rsidP="00DD1FEA">
            <w:pPr>
              <w:rPr>
                <w:rFonts w:ascii="Arial" w:hAnsi="Arial" w:cs="Arial"/>
                <w:b/>
              </w:rPr>
            </w:pPr>
            <w:r w:rsidRPr="00C44B47">
              <w:rPr>
                <w:rFonts w:ascii="Arial" w:hAnsi="Arial" w:cs="Arial"/>
              </w:rPr>
              <w:t>II Q 2024</w:t>
            </w:r>
          </w:p>
        </w:tc>
        <w:tc>
          <w:tcPr>
            <w:tcW w:w="702" w:type="dxa"/>
            <w:shd w:val="clear" w:color="auto" w:fill="auto"/>
          </w:tcPr>
          <w:p w14:paraId="1AFDEC4D" w14:textId="77777777" w:rsidR="00993EDA" w:rsidRPr="00C44B47" w:rsidRDefault="00993EDA" w:rsidP="00DD1FEA">
            <w:pPr>
              <w:rPr>
                <w:rFonts w:ascii="Arial" w:hAnsi="Arial" w:cs="Arial"/>
                <w:b/>
              </w:rPr>
            </w:pPr>
            <w:r w:rsidRPr="00A13A66">
              <w:rPr>
                <w:rFonts w:ascii="Arial" w:hAnsi="Arial" w:cs="Arial"/>
                <w:b/>
                <w:highlight w:val="green"/>
              </w:rPr>
              <w:t>Realizovano</w:t>
            </w:r>
          </w:p>
        </w:tc>
        <w:tc>
          <w:tcPr>
            <w:tcW w:w="828" w:type="dxa"/>
            <w:gridSpan w:val="3"/>
            <w:shd w:val="clear" w:color="auto" w:fill="auto"/>
          </w:tcPr>
          <w:p w14:paraId="1A5EF481" w14:textId="77777777" w:rsidR="00993EDA" w:rsidRPr="00C44B47" w:rsidRDefault="00993EDA" w:rsidP="00DD1FEA">
            <w:pPr>
              <w:rPr>
                <w:rFonts w:ascii="Arial" w:hAnsi="Arial" w:cs="Arial"/>
                <w:b/>
              </w:rPr>
            </w:pPr>
          </w:p>
        </w:tc>
        <w:tc>
          <w:tcPr>
            <w:tcW w:w="519" w:type="dxa"/>
            <w:shd w:val="clear" w:color="auto" w:fill="auto"/>
          </w:tcPr>
          <w:p w14:paraId="47D6CAFC" w14:textId="77777777" w:rsidR="00993EDA" w:rsidRPr="00C44B47" w:rsidRDefault="00993EDA" w:rsidP="00DD1FEA">
            <w:pPr>
              <w:rPr>
                <w:rFonts w:ascii="Arial" w:hAnsi="Arial" w:cs="Arial"/>
                <w:b/>
              </w:rPr>
            </w:pPr>
            <w:r w:rsidRPr="00C44B47">
              <w:rPr>
                <w:rFonts w:ascii="Arial" w:hAnsi="Arial" w:cs="Arial"/>
              </w:rPr>
              <w:t xml:space="preserve">1.500 </w:t>
            </w:r>
            <w:proofErr w:type="spellStart"/>
            <w:r w:rsidRPr="00C44B47">
              <w:rPr>
                <w:rFonts w:ascii="Arial" w:hAnsi="Arial" w:cs="Arial"/>
              </w:rPr>
              <w:t>eur</w:t>
            </w:r>
            <w:proofErr w:type="spellEnd"/>
          </w:p>
        </w:tc>
        <w:tc>
          <w:tcPr>
            <w:tcW w:w="607" w:type="dxa"/>
            <w:shd w:val="clear" w:color="auto" w:fill="auto"/>
          </w:tcPr>
          <w:p w14:paraId="16360263" w14:textId="77777777" w:rsidR="00993EDA" w:rsidRPr="00A13A66" w:rsidRDefault="00993EDA" w:rsidP="00DD1FEA">
            <w:pPr>
              <w:rPr>
                <w:rFonts w:ascii="Arial" w:hAnsi="Arial" w:cs="Arial"/>
              </w:rPr>
            </w:pPr>
            <w:r w:rsidRPr="00A13A66">
              <w:rPr>
                <w:rFonts w:ascii="Arial" w:hAnsi="Arial" w:cs="Arial"/>
              </w:rPr>
              <w:t xml:space="preserve">1921,00 </w:t>
            </w:r>
            <w:proofErr w:type="spellStart"/>
            <w:r w:rsidRPr="00A13A66">
              <w:rPr>
                <w:rFonts w:ascii="Arial" w:hAnsi="Arial" w:cs="Arial"/>
              </w:rPr>
              <w:t>eur</w:t>
            </w:r>
            <w:proofErr w:type="spellEnd"/>
          </w:p>
        </w:tc>
        <w:tc>
          <w:tcPr>
            <w:tcW w:w="655" w:type="dxa"/>
            <w:shd w:val="clear" w:color="auto" w:fill="auto"/>
          </w:tcPr>
          <w:p w14:paraId="31064577" w14:textId="77777777" w:rsidR="00993EDA" w:rsidRPr="00C44B47" w:rsidRDefault="00993EDA" w:rsidP="00DD1FEA">
            <w:pPr>
              <w:rPr>
                <w:rFonts w:ascii="Arial" w:hAnsi="Arial" w:cs="Arial"/>
                <w:b/>
              </w:rPr>
            </w:pPr>
            <w:r w:rsidRPr="00C44B47">
              <w:rPr>
                <w:rFonts w:ascii="Arial" w:hAnsi="Arial" w:cs="Arial"/>
              </w:rPr>
              <w:t>Projekat “Aktivan potrošač je zaštićen potrošač”</w:t>
            </w:r>
          </w:p>
        </w:tc>
        <w:tc>
          <w:tcPr>
            <w:tcW w:w="5468" w:type="dxa"/>
            <w:shd w:val="clear" w:color="auto" w:fill="auto"/>
          </w:tcPr>
          <w:p w14:paraId="58A3B43B" w14:textId="77777777" w:rsidR="00993EDA" w:rsidRPr="00C44B47" w:rsidRDefault="00993EDA" w:rsidP="00DD1FEA">
            <w:pPr>
              <w:rPr>
                <w:rFonts w:ascii="Arial" w:hAnsi="Arial" w:cs="Arial"/>
                <w:b/>
              </w:rPr>
            </w:pPr>
          </w:p>
        </w:tc>
      </w:tr>
      <w:tr w:rsidR="00993EDA" w:rsidRPr="00C44B47" w14:paraId="2185C4EA" w14:textId="77777777" w:rsidTr="00DD1FEA">
        <w:trPr>
          <w:trHeight w:val="250"/>
        </w:trPr>
        <w:tc>
          <w:tcPr>
            <w:tcW w:w="1218" w:type="dxa"/>
            <w:gridSpan w:val="2"/>
          </w:tcPr>
          <w:p w14:paraId="6B2C4A48" w14:textId="77777777" w:rsidR="00993EDA" w:rsidRPr="00C44B47" w:rsidRDefault="00993EDA" w:rsidP="00DD1FEA">
            <w:pPr>
              <w:rPr>
                <w:rFonts w:ascii="Arial" w:hAnsi="Arial" w:cs="Arial"/>
                <w:b/>
              </w:rPr>
            </w:pPr>
            <w:r w:rsidRPr="00C44B47">
              <w:rPr>
                <w:rFonts w:ascii="Arial" w:hAnsi="Arial" w:cs="Arial"/>
                <w:b/>
              </w:rPr>
              <w:t xml:space="preserve">3.9. Okrugli sto sa Glavnim gradom i MER na temu </w:t>
            </w:r>
            <w:proofErr w:type="spellStart"/>
            <w:r w:rsidRPr="00C44B47">
              <w:rPr>
                <w:rFonts w:ascii="Arial" w:hAnsi="Arial" w:cs="Arial"/>
                <w:b/>
              </w:rPr>
              <w:t>Savjetovališta</w:t>
            </w:r>
            <w:proofErr w:type="spellEnd"/>
            <w:r w:rsidRPr="00C44B47">
              <w:rPr>
                <w:rFonts w:ascii="Arial" w:hAnsi="Arial" w:cs="Arial"/>
                <w:b/>
              </w:rPr>
              <w:t xml:space="preserve"> za potrošače/</w:t>
            </w:r>
            <w:proofErr w:type="spellStart"/>
            <w:r w:rsidRPr="00C44B47">
              <w:rPr>
                <w:rFonts w:ascii="Arial" w:hAnsi="Arial" w:cs="Arial"/>
                <w:b/>
              </w:rPr>
              <w:t>ice</w:t>
            </w:r>
            <w:proofErr w:type="spellEnd"/>
            <w:r w:rsidRPr="00C44B47">
              <w:rPr>
                <w:rFonts w:ascii="Arial" w:hAnsi="Arial" w:cs="Arial"/>
                <w:b/>
              </w:rPr>
              <w:t xml:space="preserve"> u Podgorici</w:t>
            </w:r>
          </w:p>
        </w:tc>
        <w:tc>
          <w:tcPr>
            <w:tcW w:w="925" w:type="dxa"/>
          </w:tcPr>
          <w:p w14:paraId="1D2A8BEB" w14:textId="77777777" w:rsidR="00993EDA" w:rsidRPr="00C44B47" w:rsidRDefault="00993EDA" w:rsidP="00DD1FEA">
            <w:pPr>
              <w:rPr>
                <w:rFonts w:ascii="Arial" w:hAnsi="Arial" w:cs="Arial"/>
              </w:rPr>
            </w:pPr>
            <w:r w:rsidRPr="00C44B47">
              <w:rPr>
                <w:rFonts w:ascii="Arial" w:hAnsi="Arial" w:cs="Arial"/>
              </w:rPr>
              <w:t>Organizovan okrugli sto Najmanje 1 0 učesnika/</w:t>
            </w:r>
            <w:proofErr w:type="spellStart"/>
            <w:r w:rsidRPr="00C44B47">
              <w:rPr>
                <w:rFonts w:ascii="Arial" w:hAnsi="Arial" w:cs="Arial"/>
              </w:rPr>
              <w:t>ca</w:t>
            </w:r>
            <w:proofErr w:type="spellEnd"/>
            <w:r w:rsidRPr="00C44B47">
              <w:rPr>
                <w:rFonts w:ascii="Arial" w:hAnsi="Arial" w:cs="Arial"/>
              </w:rPr>
              <w:t>, od čega 5 žena</w:t>
            </w:r>
          </w:p>
        </w:tc>
        <w:tc>
          <w:tcPr>
            <w:tcW w:w="788" w:type="dxa"/>
            <w:gridSpan w:val="2"/>
          </w:tcPr>
          <w:p w14:paraId="04466F19" w14:textId="77777777" w:rsidR="00993EDA" w:rsidRPr="00C44B47" w:rsidRDefault="00993EDA" w:rsidP="00DD1FEA">
            <w:pPr>
              <w:rPr>
                <w:rFonts w:ascii="Arial" w:hAnsi="Arial" w:cs="Arial"/>
              </w:rPr>
            </w:pPr>
            <w:r w:rsidRPr="00C44B47">
              <w:rPr>
                <w:rFonts w:ascii="Arial" w:hAnsi="Arial" w:cs="Arial"/>
              </w:rPr>
              <w:t>CEZAP</w:t>
            </w:r>
          </w:p>
        </w:tc>
        <w:tc>
          <w:tcPr>
            <w:tcW w:w="697" w:type="dxa"/>
          </w:tcPr>
          <w:p w14:paraId="1D20B274" w14:textId="77777777" w:rsidR="00993EDA" w:rsidRPr="00C44B47" w:rsidRDefault="00993EDA" w:rsidP="00DD1FEA">
            <w:pPr>
              <w:rPr>
                <w:rFonts w:ascii="Arial" w:hAnsi="Arial" w:cs="Arial"/>
              </w:rPr>
            </w:pPr>
            <w:r w:rsidRPr="00C44B47">
              <w:rPr>
                <w:rFonts w:ascii="Arial" w:hAnsi="Arial" w:cs="Arial"/>
              </w:rPr>
              <w:t>I Q 2024</w:t>
            </w:r>
          </w:p>
        </w:tc>
        <w:tc>
          <w:tcPr>
            <w:tcW w:w="543" w:type="dxa"/>
          </w:tcPr>
          <w:p w14:paraId="0A6AD19A" w14:textId="77777777" w:rsidR="00993EDA" w:rsidRPr="00C44B47" w:rsidRDefault="00993EDA" w:rsidP="00DD1FEA">
            <w:pPr>
              <w:rPr>
                <w:rFonts w:ascii="Arial" w:hAnsi="Arial" w:cs="Arial"/>
              </w:rPr>
            </w:pPr>
            <w:r w:rsidRPr="00C44B47">
              <w:rPr>
                <w:rFonts w:ascii="Arial" w:hAnsi="Arial" w:cs="Arial"/>
              </w:rPr>
              <w:t>II Q 2024</w:t>
            </w:r>
          </w:p>
        </w:tc>
        <w:tc>
          <w:tcPr>
            <w:tcW w:w="702" w:type="dxa"/>
            <w:shd w:val="clear" w:color="auto" w:fill="auto"/>
          </w:tcPr>
          <w:p w14:paraId="3EF7C308" w14:textId="77777777" w:rsidR="00993EDA" w:rsidRPr="00C44B47" w:rsidRDefault="00993EDA" w:rsidP="00DD1FEA">
            <w:pPr>
              <w:rPr>
                <w:rFonts w:ascii="Arial" w:hAnsi="Arial" w:cs="Arial"/>
                <w:b/>
              </w:rPr>
            </w:pPr>
            <w:r w:rsidRPr="00A13A66">
              <w:rPr>
                <w:rFonts w:ascii="Arial" w:hAnsi="Arial" w:cs="Arial"/>
                <w:b/>
                <w:highlight w:val="green"/>
              </w:rPr>
              <w:t>Realizovano</w:t>
            </w:r>
          </w:p>
        </w:tc>
        <w:tc>
          <w:tcPr>
            <w:tcW w:w="828" w:type="dxa"/>
            <w:gridSpan w:val="3"/>
            <w:shd w:val="clear" w:color="auto" w:fill="auto"/>
          </w:tcPr>
          <w:p w14:paraId="4201EBB0" w14:textId="77777777" w:rsidR="00993EDA" w:rsidRPr="00C44B47" w:rsidRDefault="00993EDA" w:rsidP="00DD1FEA">
            <w:pPr>
              <w:rPr>
                <w:rFonts w:ascii="Arial" w:hAnsi="Arial" w:cs="Arial"/>
                <w:b/>
              </w:rPr>
            </w:pPr>
          </w:p>
        </w:tc>
        <w:tc>
          <w:tcPr>
            <w:tcW w:w="519" w:type="dxa"/>
            <w:shd w:val="clear" w:color="auto" w:fill="auto"/>
          </w:tcPr>
          <w:p w14:paraId="5EBB9A59" w14:textId="77777777" w:rsidR="00993EDA" w:rsidRPr="00C44B47" w:rsidRDefault="00993EDA" w:rsidP="00DD1FEA">
            <w:pPr>
              <w:rPr>
                <w:rFonts w:ascii="Arial" w:hAnsi="Arial" w:cs="Arial"/>
              </w:rPr>
            </w:pPr>
            <w:r w:rsidRPr="00C44B47">
              <w:rPr>
                <w:rFonts w:ascii="Arial" w:hAnsi="Arial" w:cs="Arial"/>
              </w:rPr>
              <w:t xml:space="preserve">1.500 </w:t>
            </w:r>
            <w:proofErr w:type="spellStart"/>
            <w:r w:rsidRPr="00C44B47">
              <w:rPr>
                <w:rFonts w:ascii="Arial" w:hAnsi="Arial" w:cs="Arial"/>
              </w:rPr>
              <w:t>eur</w:t>
            </w:r>
            <w:proofErr w:type="spellEnd"/>
          </w:p>
        </w:tc>
        <w:tc>
          <w:tcPr>
            <w:tcW w:w="607" w:type="dxa"/>
            <w:shd w:val="clear" w:color="auto" w:fill="auto"/>
          </w:tcPr>
          <w:p w14:paraId="5E1D393F" w14:textId="77777777" w:rsidR="00993EDA" w:rsidRPr="00A13A66" w:rsidRDefault="00993EDA" w:rsidP="00DD1FEA">
            <w:pPr>
              <w:rPr>
                <w:rFonts w:ascii="Arial" w:hAnsi="Arial" w:cs="Arial"/>
              </w:rPr>
            </w:pPr>
            <w:r w:rsidRPr="00A13A66">
              <w:rPr>
                <w:rFonts w:ascii="Arial" w:hAnsi="Arial" w:cs="Arial"/>
              </w:rPr>
              <w:t xml:space="preserve">955,00 </w:t>
            </w:r>
            <w:proofErr w:type="spellStart"/>
            <w:r w:rsidRPr="00A13A66">
              <w:rPr>
                <w:rFonts w:ascii="Arial" w:hAnsi="Arial" w:cs="Arial"/>
              </w:rPr>
              <w:t>eur</w:t>
            </w:r>
            <w:proofErr w:type="spellEnd"/>
          </w:p>
        </w:tc>
        <w:tc>
          <w:tcPr>
            <w:tcW w:w="655" w:type="dxa"/>
            <w:shd w:val="clear" w:color="auto" w:fill="auto"/>
          </w:tcPr>
          <w:p w14:paraId="222A1BD3" w14:textId="77777777" w:rsidR="00993EDA" w:rsidRPr="00C44B47" w:rsidRDefault="00993EDA" w:rsidP="00DD1FEA">
            <w:pPr>
              <w:rPr>
                <w:rFonts w:ascii="Arial" w:hAnsi="Arial" w:cs="Arial"/>
              </w:rPr>
            </w:pPr>
            <w:r w:rsidRPr="00C44B47">
              <w:rPr>
                <w:rFonts w:ascii="Arial" w:hAnsi="Arial" w:cs="Arial"/>
              </w:rPr>
              <w:t>Projekat “Aktivan potrošač je zaštićen potrošač”</w:t>
            </w:r>
          </w:p>
        </w:tc>
        <w:tc>
          <w:tcPr>
            <w:tcW w:w="5468" w:type="dxa"/>
            <w:shd w:val="clear" w:color="auto" w:fill="auto"/>
          </w:tcPr>
          <w:p w14:paraId="447A43BF" w14:textId="77777777" w:rsidR="00993EDA" w:rsidRPr="00C44B47" w:rsidRDefault="00993EDA" w:rsidP="00DD1FEA">
            <w:pPr>
              <w:rPr>
                <w:rFonts w:ascii="Arial" w:hAnsi="Arial" w:cs="Arial"/>
                <w:b/>
              </w:rPr>
            </w:pPr>
          </w:p>
        </w:tc>
      </w:tr>
    </w:tbl>
    <w:p w14:paraId="23E00646" w14:textId="77777777" w:rsidR="00993EDA" w:rsidRPr="00C44B47" w:rsidRDefault="00993EDA" w:rsidP="00993EDA">
      <w:pPr>
        <w:rPr>
          <w:rFonts w:ascii="Arial" w:hAnsi="Arial" w:cs="Arial"/>
        </w:rPr>
      </w:pPr>
    </w:p>
    <w:p w14:paraId="06A6DAFE" w14:textId="14C749AF" w:rsidR="00993EDA" w:rsidRPr="00993EDA" w:rsidRDefault="00993EDA" w:rsidP="00993EDA">
      <w:pPr>
        <w:rPr>
          <w:lang w:val="en-GB" w:eastAsia="de-DE"/>
        </w:rPr>
      </w:pPr>
    </w:p>
    <w:p w14:paraId="341F620E" w14:textId="77777777" w:rsidR="00176DC5" w:rsidRPr="00176DC5" w:rsidRDefault="00176DC5" w:rsidP="00176DC5">
      <w:pPr>
        <w:rPr>
          <w:lang w:val="en-GB" w:eastAsia="de-DE"/>
        </w:rPr>
      </w:pPr>
    </w:p>
    <w:p w14:paraId="3099C39C" w14:textId="77777777" w:rsidR="00E56BE3" w:rsidRPr="00E56BE3" w:rsidRDefault="00E56BE3" w:rsidP="00E56BE3">
      <w:pPr>
        <w:rPr>
          <w:lang w:val="en-GB" w:eastAsia="de-DE"/>
        </w:rPr>
      </w:pPr>
    </w:p>
    <w:sectPr w:rsidR="00E56BE3" w:rsidRPr="00E56BE3" w:rsidSect="00993E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3F62" w14:textId="77777777" w:rsidR="004374EE" w:rsidRDefault="004374EE" w:rsidP="00C43234">
      <w:pPr>
        <w:spacing w:after="0" w:line="240" w:lineRule="auto"/>
      </w:pPr>
      <w:r>
        <w:separator/>
      </w:r>
    </w:p>
  </w:endnote>
  <w:endnote w:type="continuationSeparator" w:id="0">
    <w:p w14:paraId="62168058" w14:textId="77777777" w:rsidR="004374EE" w:rsidRDefault="004374EE" w:rsidP="00C4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umnst777 BT">
    <w:altName w:val="Calibri"/>
    <w:panose1 w:val="020B0604020202020204"/>
    <w:charset w:val="00"/>
    <w:family w:val="swiss"/>
    <w:pitch w:val="variable"/>
    <w:sig w:usb0="800000AF" w:usb1="1000204A" w:usb2="00000000" w:usb3="00000000" w:csb0="0000001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4E5" w14:textId="77777777" w:rsidR="004374EE" w:rsidRDefault="004374EE" w:rsidP="00C43234">
      <w:pPr>
        <w:spacing w:after="0" w:line="240" w:lineRule="auto"/>
      </w:pPr>
      <w:r>
        <w:separator/>
      </w:r>
    </w:p>
  </w:footnote>
  <w:footnote w:type="continuationSeparator" w:id="0">
    <w:p w14:paraId="51AC651A" w14:textId="77777777" w:rsidR="004374EE" w:rsidRDefault="004374EE" w:rsidP="00C43234">
      <w:pPr>
        <w:spacing w:after="0" w:line="240" w:lineRule="auto"/>
      </w:pPr>
      <w:r>
        <w:continuationSeparator/>
      </w:r>
    </w:p>
  </w:footnote>
  <w:footnote w:id="1">
    <w:p w14:paraId="1E49D6CC" w14:textId="2131AB27" w:rsidR="00F74E80" w:rsidRPr="00F74E80" w:rsidRDefault="00F74E80">
      <w:pPr>
        <w:pStyle w:val="FootnoteText"/>
        <w:rPr>
          <w:lang w:val="sr-Latn-RS"/>
        </w:rPr>
      </w:pPr>
      <w:r>
        <w:rPr>
          <w:rStyle w:val="FootnoteReference"/>
        </w:rPr>
        <w:footnoteRef/>
      </w:r>
      <w:r>
        <w:t xml:space="preserve"> </w:t>
      </w:r>
      <w:r w:rsidRPr="00573A80">
        <w:rPr>
          <w:rFonts w:ascii="Arial" w:hAnsi="Arial" w:cs="Arial"/>
          <w:sz w:val="18"/>
          <w:szCs w:val="18"/>
          <w:lang w:val="en-US"/>
        </w:rPr>
        <w:t>European Commission, COM (2020) 696, COMMUNICATION FROM THE COMMISSION TO THE EUROPEAN PARLIAMENT AND THE COUNCIL, New Consumer Agenda, Strengthening consumer resilience for sustainable recovery</w:t>
      </w:r>
    </w:p>
  </w:footnote>
  <w:footnote w:id="2">
    <w:p w14:paraId="0E4A8822" w14:textId="5D2FC325" w:rsidR="00FD45F2" w:rsidRPr="00FD45F2" w:rsidRDefault="00FD45F2">
      <w:pPr>
        <w:pStyle w:val="FootnoteText"/>
        <w:rPr>
          <w:lang w:val="sr-Latn-RS"/>
        </w:rPr>
      </w:pPr>
      <w:r>
        <w:rPr>
          <w:rStyle w:val="FootnoteReference"/>
        </w:rPr>
        <w:footnoteRef/>
      </w:r>
      <w:r>
        <w:t xml:space="preserve"> </w:t>
      </w:r>
      <w:r w:rsidRPr="00D21816">
        <w:rPr>
          <w:rFonts w:ascii="Arial" w:hAnsi="Arial" w:cs="Arial"/>
          <w:sz w:val="18"/>
          <w:szCs w:val="18"/>
        </w:rPr>
        <w:t>OECD (2010), Quality Standards for Development Evaluation, DAC Guidelines and Reference Series, OECD Publishing, Paris, https://doi.org/10.1787/9789264083905-en.</w:t>
      </w:r>
    </w:p>
  </w:footnote>
  <w:footnote w:id="3">
    <w:p w14:paraId="2EA35485" w14:textId="1E464FE7" w:rsidR="00D736D1" w:rsidRPr="00D736D1" w:rsidRDefault="00D736D1">
      <w:pPr>
        <w:pStyle w:val="FootnoteText"/>
        <w:rPr>
          <w:lang w:val="sr-Latn-RS"/>
        </w:rPr>
      </w:pPr>
      <w:r>
        <w:rPr>
          <w:rStyle w:val="FootnoteReference"/>
        </w:rPr>
        <w:footnoteRef/>
      </w:r>
      <w:r>
        <w:t xml:space="preserve"> </w:t>
      </w:r>
      <w:r>
        <w:rPr>
          <w:rFonts w:ascii="Arial" w:hAnsi="Arial" w:cs="Arial"/>
          <w:sz w:val="18"/>
          <w:szCs w:val="18"/>
          <w:lang w:val="en-US"/>
        </w:rPr>
        <w:t>Dostupan na</w:t>
      </w:r>
      <w:r w:rsidRPr="00715E7F">
        <w:rPr>
          <w:rFonts w:ascii="Arial" w:hAnsi="Arial" w:cs="Arial"/>
          <w:sz w:val="18"/>
          <w:szCs w:val="18"/>
          <w:lang w:val="en-US"/>
        </w:rPr>
        <w:t xml:space="preserve"> https://www.eu.me/wp-content/uploads/2024/04/4-IV-24-Nacrt-PPCG-a-2024-2027-za-OS.pdf</w:t>
      </w:r>
    </w:p>
  </w:footnote>
  <w:footnote w:id="4">
    <w:p w14:paraId="645D66EC" w14:textId="77777777" w:rsidR="00993EDA" w:rsidRPr="004B19D4" w:rsidRDefault="00993EDA" w:rsidP="00993EDA">
      <w:pPr>
        <w:pStyle w:val="FootnoteText"/>
        <w:rPr>
          <w:rFonts w:ascii="Tahoma" w:hAnsi="Tahoma" w:cs="Tahoma"/>
          <w:sz w:val="16"/>
          <w:szCs w:val="16"/>
          <w:lang w:val="sr-Latn-ME"/>
        </w:rPr>
      </w:pPr>
      <w:r w:rsidRPr="004B19D4">
        <w:rPr>
          <w:rStyle w:val="FootnoteReference"/>
          <w:rFonts w:ascii="Tahoma" w:hAnsi="Tahoma" w:cs="Tahoma"/>
        </w:rPr>
        <w:footnoteRef/>
      </w:r>
      <w:r w:rsidRPr="004B19D4">
        <w:rPr>
          <w:rFonts w:ascii="Tahoma" w:hAnsi="Tahoma" w:cs="Tahoma"/>
          <w:sz w:val="16"/>
          <w:szCs w:val="16"/>
        </w:rPr>
        <w:t xml:space="preserve"> </w:t>
      </w:r>
      <w:hyperlink r:id="rId1" w:history="1">
        <w:r w:rsidRPr="004B19D4">
          <w:rPr>
            <w:rStyle w:val="Hyperlink"/>
            <w:rFonts w:ascii="Tahoma" w:hAnsi="Tahoma" w:cs="Tahoma"/>
            <w:sz w:val="16"/>
            <w:szCs w:val="16"/>
          </w:rPr>
          <w:t>https://amu.me/wp-content/uploads/2025/01/Analiza-ukljucenosti-ranjivih-drustvenih-grupa-u-TV-programima-sa-nacionalnim-pokrivanjem-24.01.2025.pdf</w:t>
        </w:r>
      </w:hyperlink>
      <w:r w:rsidRPr="004B19D4">
        <w:rPr>
          <w:rFonts w:ascii="Tahoma" w:hAnsi="Tahoma" w:cs="Tahoma"/>
          <w:sz w:val="16"/>
          <w:szCs w:val="16"/>
        </w:rPr>
        <w:t xml:space="preserve"> </w:t>
      </w:r>
    </w:p>
  </w:footnote>
  <w:footnote w:id="5">
    <w:p w14:paraId="6E424E1D" w14:textId="77777777" w:rsidR="00993EDA" w:rsidRPr="004B19D4" w:rsidRDefault="00993EDA" w:rsidP="00993EDA">
      <w:pPr>
        <w:pStyle w:val="FootnoteText"/>
        <w:rPr>
          <w:rFonts w:ascii="Tahoma" w:hAnsi="Tahoma" w:cs="Tahoma"/>
          <w:sz w:val="16"/>
          <w:szCs w:val="16"/>
          <w:lang w:val="sr-Latn-ME"/>
        </w:rPr>
      </w:pPr>
      <w:r w:rsidRPr="004B19D4">
        <w:rPr>
          <w:rStyle w:val="FootnoteReference"/>
          <w:rFonts w:ascii="Tahoma" w:hAnsi="Tahoma" w:cs="Tahoma"/>
        </w:rPr>
        <w:footnoteRef/>
      </w:r>
      <w:r w:rsidRPr="004B19D4">
        <w:rPr>
          <w:rFonts w:ascii="Tahoma" w:hAnsi="Tahoma" w:cs="Tahoma"/>
          <w:sz w:val="16"/>
          <w:szCs w:val="16"/>
          <w:lang w:val="sr-Latn-ME"/>
        </w:rPr>
        <w:t xml:space="preserve"> </w:t>
      </w:r>
      <w:hyperlink r:id="rId2" w:history="1">
        <w:r w:rsidRPr="00352E03">
          <w:rPr>
            <w:rStyle w:val="Hyperlink"/>
            <w:rFonts w:ascii="Tahoma" w:hAnsi="Tahoma" w:cs="Tahoma"/>
            <w:sz w:val="16"/>
            <w:szCs w:val="16"/>
          </w:rPr>
          <w:t>https</w:t>
        </w:r>
        <w:r w:rsidRPr="00352E03">
          <w:rPr>
            <w:rStyle w:val="Hyperlink"/>
            <w:rFonts w:ascii="Tahoma" w:hAnsi="Tahoma" w:cs="Tahoma"/>
            <w:sz w:val="16"/>
            <w:szCs w:val="16"/>
            <w:lang w:val="sr-Latn-ME"/>
          </w:rPr>
          <w:t>://</w:t>
        </w:r>
        <w:r w:rsidRPr="00352E03">
          <w:rPr>
            <w:rStyle w:val="Hyperlink"/>
            <w:rFonts w:ascii="Tahoma" w:hAnsi="Tahoma" w:cs="Tahoma"/>
            <w:sz w:val="16"/>
            <w:szCs w:val="16"/>
          </w:rPr>
          <w:t>amu</w:t>
        </w:r>
        <w:r w:rsidRPr="00352E03">
          <w:rPr>
            <w:rStyle w:val="Hyperlink"/>
            <w:rFonts w:ascii="Tahoma" w:hAnsi="Tahoma" w:cs="Tahoma"/>
            <w:sz w:val="16"/>
            <w:szCs w:val="16"/>
            <w:lang w:val="sr-Latn-ME"/>
          </w:rPr>
          <w:t>.</w:t>
        </w:r>
        <w:r w:rsidRPr="00352E03">
          <w:rPr>
            <w:rStyle w:val="Hyperlink"/>
            <w:rFonts w:ascii="Tahoma" w:hAnsi="Tahoma" w:cs="Tahoma"/>
            <w:sz w:val="16"/>
            <w:szCs w:val="16"/>
          </w:rPr>
          <w:t>me</w:t>
        </w:r>
        <w:r w:rsidRPr="00352E03">
          <w:rPr>
            <w:rStyle w:val="Hyperlink"/>
            <w:rFonts w:ascii="Tahoma" w:hAnsi="Tahoma" w:cs="Tahoma"/>
            <w:sz w:val="16"/>
            <w:szCs w:val="16"/>
            <w:lang w:val="sr-Latn-ME"/>
          </w:rPr>
          <w:t>/</w:t>
        </w:r>
        <w:r w:rsidRPr="00352E03">
          <w:rPr>
            <w:rStyle w:val="Hyperlink"/>
            <w:rFonts w:ascii="Tahoma" w:hAnsi="Tahoma" w:cs="Tahoma"/>
            <w:sz w:val="16"/>
            <w:szCs w:val="16"/>
          </w:rPr>
          <w:t>wp</w:t>
        </w:r>
        <w:r w:rsidRPr="00352E03">
          <w:rPr>
            <w:rStyle w:val="Hyperlink"/>
            <w:rFonts w:ascii="Tahoma" w:hAnsi="Tahoma" w:cs="Tahoma"/>
            <w:sz w:val="16"/>
            <w:szCs w:val="16"/>
            <w:lang w:val="sr-Latn-ME"/>
          </w:rPr>
          <w:t>-</w:t>
        </w:r>
        <w:r w:rsidRPr="00352E03">
          <w:rPr>
            <w:rStyle w:val="Hyperlink"/>
            <w:rFonts w:ascii="Tahoma" w:hAnsi="Tahoma" w:cs="Tahoma"/>
            <w:sz w:val="16"/>
            <w:szCs w:val="16"/>
          </w:rPr>
          <w:t>content</w:t>
        </w:r>
        <w:r w:rsidRPr="00352E03">
          <w:rPr>
            <w:rStyle w:val="Hyperlink"/>
            <w:rFonts w:ascii="Tahoma" w:hAnsi="Tahoma" w:cs="Tahoma"/>
            <w:sz w:val="16"/>
            <w:szCs w:val="16"/>
            <w:lang w:val="sr-Latn-ME"/>
          </w:rPr>
          <w:t>/</w:t>
        </w:r>
        <w:r w:rsidRPr="00352E03">
          <w:rPr>
            <w:rStyle w:val="Hyperlink"/>
            <w:rFonts w:ascii="Tahoma" w:hAnsi="Tahoma" w:cs="Tahoma"/>
            <w:sz w:val="16"/>
            <w:szCs w:val="16"/>
          </w:rPr>
          <w:t>uploads</w:t>
        </w:r>
        <w:r w:rsidRPr="00352E03">
          <w:rPr>
            <w:rStyle w:val="Hyperlink"/>
            <w:rFonts w:ascii="Tahoma" w:hAnsi="Tahoma" w:cs="Tahoma"/>
            <w:sz w:val="16"/>
            <w:szCs w:val="16"/>
            <w:lang w:val="sr-Latn-ME"/>
          </w:rPr>
          <w:t>/2025/01/</w:t>
        </w:r>
        <w:r w:rsidRPr="00352E03">
          <w:rPr>
            <w:rStyle w:val="Hyperlink"/>
            <w:rFonts w:ascii="Tahoma" w:hAnsi="Tahoma" w:cs="Tahoma"/>
            <w:sz w:val="16"/>
            <w:szCs w:val="16"/>
          </w:rPr>
          <w:t>Analiza</w:t>
        </w:r>
        <w:r w:rsidRPr="00352E03">
          <w:rPr>
            <w:rStyle w:val="Hyperlink"/>
            <w:rFonts w:ascii="Tahoma" w:hAnsi="Tahoma" w:cs="Tahoma"/>
            <w:sz w:val="16"/>
            <w:szCs w:val="16"/>
            <w:lang w:val="sr-Latn-ME"/>
          </w:rPr>
          <w:t>-</w:t>
        </w:r>
        <w:r w:rsidRPr="00352E03">
          <w:rPr>
            <w:rStyle w:val="Hyperlink"/>
            <w:rFonts w:ascii="Tahoma" w:hAnsi="Tahoma" w:cs="Tahoma"/>
            <w:sz w:val="16"/>
            <w:szCs w:val="16"/>
          </w:rPr>
          <w:t>vidljivosti</w:t>
        </w:r>
        <w:r w:rsidRPr="00352E03">
          <w:rPr>
            <w:rStyle w:val="Hyperlink"/>
            <w:rFonts w:ascii="Tahoma" w:hAnsi="Tahoma" w:cs="Tahoma"/>
            <w:sz w:val="16"/>
            <w:szCs w:val="16"/>
            <w:lang w:val="sr-Latn-ME"/>
          </w:rPr>
          <w:t>-</w:t>
        </w:r>
        <w:r w:rsidRPr="00352E03">
          <w:rPr>
            <w:rStyle w:val="Hyperlink"/>
            <w:rFonts w:ascii="Tahoma" w:hAnsi="Tahoma" w:cs="Tahoma"/>
            <w:sz w:val="16"/>
            <w:szCs w:val="16"/>
          </w:rPr>
          <w:t>zena</w:t>
        </w:r>
        <w:r w:rsidRPr="00352E03">
          <w:rPr>
            <w:rStyle w:val="Hyperlink"/>
            <w:rFonts w:ascii="Tahoma" w:hAnsi="Tahoma" w:cs="Tahoma"/>
            <w:sz w:val="16"/>
            <w:szCs w:val="16"/>
            <w:lang w:val="sr-Latn-ME"/>
          </w:rPr>
          <w:t>-</w:t>
        </w:r>
        <w:r w:rsidRPr="00352E03">
          <w:rPr>
            <w:rStyle w:val="Hyperlink"/>
            <w:rFonts w:ascii="Tahoma" w:hAnsi="Tahoma" w:cs="Tahoma"/>
            <w:sz w:val="16"/>
            <w:szCs w:val="16"/>
          </w:rPr>
          <w:t>i</w:t>
        </w:r>
        <w:r w:rsidRPr="00352E03">
          <w:rPr>
            <w:rStyle w:val="Hyperlink"/>
            <w:rFonts w:ascii="Tahoma" w:hAnsi="Tahoma" w:cs="Tahoma"/>
            <w:sz w:val="16"/>
            <w:szCs w:val="16"/>
            <w:lang w:val="sr-Latn-ME"/>
          </w:rPr>
          <w:t>-</w:t>
        </w:r>
        <w:r w:rsidRPr="00352E03">
          <w:rPr>
            <w:rStyle w:val="Hyperlink"/>
            <w:rFonts w:ascii="Tahoma" w:hAnsi="Tahoma" w:cs="Tahoma"/>
            <w:sz w:val="16"/>
            <w:szCs w:val="16"/>
          </w:rPr>
          <w:t>muskaraca</w:t>
        </w:r>
        <w:r w:rsidRPr="00352E03">
          <w:rPr>
            <w:rStyle w:val="Hyperlink"/>
            <w:rFonts w:ascii="Tahoma" w:hAnsi="Tahoma" w:cs="Tahoma"/>
            <w:sz w:val="16"/>
            <w:szCs w:val="16"/>
            <w:lang w:val="sr-Latn-ME"/>
          </w:rPr>
          <w:t>-</w:t>
        </w:r>
        <w:r w:rsidRPr="00352E03">
          <w:rPr>
            <w:rStyle w:val="Hyperlink"/>
            <w:rFonts w:ascii="Tahoma" w:hAnsi="Tahoma" w:cs="Tahoma"/>
            <w:sz w:val="16"/>
            <w:szCs w:val="16"/>
          </w:rPr>
          <w:t>u</w:t>
        </w:r>
        <w:r w:rsidRPr="00352E03">
          <w:rPr>
            <w:rStyle w:val="Hyperlink"/>
            <w:rFonts w:ascii="Tahoma" w:hAnsi="Tahoma" w:cs="Tahoma"/>
            <w:sz w:val="16"/>
            <w:szCs w:val="16"/>
            <w:lang w:val="sr-Latn-ME"/>
          </w:rPr>
          <w:t>-</w:t>
        </w:r>
        <w:r w:rsidRPr="00352E03">
          <w:rPr>
            <w:rStyle w:val="Hyperlink"/>
            <w:rFonts w:ascii="Tahoma" w:hAnsi="Tahoma" w:cs="Tahoma"/>
            <w:sz w:val="16"/>
            <w:szCs w:val="16"/>
          </w:rPr>
          <w:t>centralnim</w:t>
        </w:r>
        <w:r w:rsidRPr="00352E03">
          <w:rPr>
            <w:rStyle w:val="Hyperlink"/>
            <w:rFonts w:ascii="Tahoma" w:hAnsi="Tahoma" w:cs="Tahoma"/>
            <w:sz w:val="16"/>
            <w:szCs w:val="16"/>
            <w:lang w:val="sr-Latn-ME"/>
          </w:rPr>
          <w:t>-</w:t>
        </w:r>
        <w:r w:rsidRPr="00352E03">
          <w:rPr>
            <w:rStyle w:val="Hyperlink"/>
            <w:rFonts w:ascii="Tahoma" w:hAnsi="Tahoma" w:cs="Tahoma"/>
            <w:sz w:val="16"/>
            <w:szCs w:val="16"/>
          </w:rPr>
          <w:t>informativnim</w:t>
        </w:r>
        <w:r w:rsidRPr="00352E03">
          <w:rPr>
            <w:rStyle w:val="Hyperlink"/>
            <w:rFonts w:ascii="Tahoma" w:hAnsi="Tahoma" w:cs="Tahoma"/>
            <w:sz w:val="16"/>
            <w:szCs w:val="16"/>
            <w:lang w:val="sr-Latn-ME"/>
          </w:rPr>
          <w:t>-</w:t>
        </w:r>
        <w:r w:rsidRPr="00352E03">
          <w:rPr>
            <w:rStyle w:val="Hyperlink"/>
            <w:rFonts w:ascii="Tahoma" w:hAnsi="Tahoma" w:cs="Tahoma"/>
            <w:sz w:val="16"/>
            <w:szCs w:val="16"/>
          </w:rPr>
          <w:t>emisijama</w:t>
        </w:r>
        <w:r w:rsidRPr="00352E03">
          <w:rPr>
            <w:rStyle w:val="Hyperlink"/>
            <w:rFonts w:ascii="Tahoma" w:hAnsi="Tahoma" w:cs="Tahoma"/>
            <w:sz w:val="16"/>
            <w:szCs w:val="16"/>
            <w:lang w:val="sr-Latn-ME"/>
          </w:rPr>
          <w:t>-</w:t>
        </w:r>
        <w:r w:rsidRPr="00352E03">
          <w:rPr>
            <w:rStyle w:val="Hyperlink"/>
            <w:rFonts w:ascii="Tahoma" w:hAnsi="Tahoma" w:cs="Tahoma"/>
            <w:sz w:val="16"/>
            <w:szCs w:val="16"/>
          </w:rPr>
          <w:t>nacionalnih</w:t>
        </w:r>
        <w:r w:rsidRPr="00352E03">
          <w:rPr>
            <w:rStyle w:val="Hyperlink"/>
            <w:rFonts w:ascii="Tahoma" w:hAnsi="Tahoma" w:cs="Tahoma"/>
            <w:sz w:val="16"/>
            <w:szCs w:val="16"/>
            <w:lang w:val="sr-Latn-ME"/>
          </w:rPr>
          <w:t>-</w:t>
        </w:r>
        <w:r w:rsidRPr="00352E03">
          <w:rPr>
            <w:rStyle w:val="Hyperlink"/>
            <w:rFonts w:ascii="Tahoma" w:hAnsi="Tahoma" w:cs="Tahoma"/>
            <w:sz w:val="16"/>
            <w:szCs w:val="16"/>
          </w:rPr>
          <w:t>televizija</w:t>
        </w:r>
        <w:r w:rsidRPr="00352E03">
          <w:rPr>
            <w:rStyle w:val="Hyperlink"/>
            <w:rFonts w:ascii="Tahoma" w:hAnsi="Tahoma" w:cs="Tahoma"/>
            <w:sz w:val="16"/>
            <w:szCs w:val="16"/>
            <w:lang w:val="sr-Latn-ME"/>
          </w:rPr>
          <w:t>-22.01.2025.</w:t>
        </w:r>
        <w:r w:rsidRPr="00352E03">
          <w:rPr>
            <w:rStyle w:val="Hyperlink"/>
            <w:rFonts w:ascii="Tahoma" w:hAnsi="Tahoma" w:cs="Tahoma"/>
            <w:sz w:val="16"/>
            <w:szCs w:val="16"/>
          </w:rPr>
          <w:t>pdf</w:t>
        </w:r>
      </w:hyperlink>
      <w:r w:rsidRPr="004B19D4">
        <w:rPr>
          <w:rFonts w:ascii="Tahoma" w:hAnsi="Tahoma" w:cs="Tahoma"/>
          <w:sz w:val="16"/>
          <w:szCs w:val="16"/>
          <w:lang w:val="sr-Latn-ME"/>
        </w:rPr>
        <w:t xml:space="preserve"> </w:t>
      </w:r>
    </w:p>
  </w:footnote>
  <w:footnote w:id="6">
    <w:p w14:paraId="00BB9B56" w14:textId="77777777" w:rsidR="00993EDA" w:rsidRPr="004B19D4" w:rsidRDefault="00993EDA" w:rsidP="00993EDA">
      <w:pPr>
        <w:pStyle w:val="FootnoteText"/>
        <w:rPr>
          <w:rFonts w:ascii="Tahoma" w:hAnsi="Tahoma" w:cs="Tahoma"/>
          <w:sz w:val="16"/>
          <w:szCs w:val="16"/>
          <w:lang w:val="sr-Latn-ME"/>
        </w:rPr>
      </w:pPr>
      <w:r w:rsidRPr="004B19D4">
        <w:rPr>
          <w:rStyle w:val="FootnoteReference"/>
          <w:rFonts w:ascii="Tahoma" w:hAnsi="Tahoma" w:cs="Tahoma"/>
          <w:lang w:val="sr-Latn-ME"/>
        </w:rPr>
        <w:footnoteRef/>
      </w:r>
      <w:r w:rsidRPr="004B19D4">
        <w:rPr>
          <w:rFonts w:ascii="Tahoma" w:hAnsi="Tahoma" w:cs="Tahoma"/>
          <w:sz w:val="16"/>
          <w:szCs w:val="16"/>
          <w:lang w:val="sr-Latn-ME"/>
        </w:rPr>
        <w:t xml:space="preserve"> </w:t>
      </w:r>
      <w:hyperlink r:id="rId3" w:history="1">
        <w:r w:rsidRPr="004B19D4">
          <w:rPr>
            <w:rStyle w:val="Hyperlink"/>
            <w:rFonts w:ascii="Tahoma" w:hAnsi="Tahoma" w:cs="Tahoma"/>
            <w:sz w:val="16"/>
            <w:szCs w:val="16"/>
            <w:lang w:val="sr-Latn-ME"/>
          </w:rPr>
          <w:t>https://amu.me/wp-content/uploads/2022/11/Medijako-thai-digitalno-siklipe-1.pdf</w:t>
        </w:r>
      </w:hyperlink>
      <w:r w:rsidRPr="004B19D4">
        <w:rPr>
          <w:rFonts w:ascii="Tahoma" w:hAnsi="Tahoma" w:cs="Tahoma"/>
          <w:sz w:val="16"/>
          <w:szCs w:val="16"/>
          <w:lang w:val="sr-Latn-M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483"/>
    <w:multiLevelType w:val="hybridMultilevel"/>
    <w:tmpl w:val="00D0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5678"/>
    <w:multiLevelType w:val="hybridMultilevel"/>
    <w:tmpl w:val="3146AB3C"/>
    <w:lvl w:ilvl="0" w:tplc="50122D94">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6FE784B"/>
    <w:multiLevelType w:val="hybridMultilevel"/>
    <w:tmpl w:val="32EABB96"/>
    <w:lvl w:ilvl="0" w:tplc="5CFA6E58">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F6528"/>
    <w:multiLevelType w:val="hybridMultilevel"/>
    <w:tmpl w:val="78945C80"/>
    <w:lvl w:ilvl="0" w:tplc="FFFFFFFF">
      <w:start w:val="1"/>
      <w:numFmt w:val="bullet"/>
      <w:lvlText w:val="-"/>
      <w:lvlJc w:val="left"/>
      <w:pPr>
        <w:ind w:left="720" w:hanging="360"/>
      </w:pPr>
      <w:rPr>
        <w:rFonts w:ascii="Arial" w:eastAsia="Times New Roman" w:hAnsi="Arial" w:cs="Arial" w:hint="default"/>
      </w:rPr>
    </w:lvl>
    <w:lvl w:ilvl="1" w:tplc="50122D94">
      <w:start w:val="1"/>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AB033E6"/>
    <w:multiLevelType w:val="multilevel"/>
    <w:tmpl w:val="7EA6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E619E"/>
    <w:multiLevelType w:val="hybridMultilevel"/>
    <w:tmpl w:val="6E0A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E312E"/>
    <w:multiLevelType w:val="hybridMultilevel"/>
    <w:tmpl w:val="3828A08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AA73E6"/>
    <w:multiLevelType w:val="hybridMultilevel"/>
    <w:tmpl w:val="EB9E989E"/>
    <w:lvl w:ilvl="0" w:tplc="CC94F334">
      <w:start w:val="1"/>
      <w:numFmt w:val="decimal"/>
      <w:pStyle w:val="ParagraphOED"/>
      <w:lvlText w:val="%1."/>
      <w:lvlJc w:val="left"/>
      <w:pPr>
        <w:ind w:left="360" w:hanging="360"/>
      </w:pPr>
      <w:rPr>
        <w:rFonts w:ascii="Segoe UI" w:hAnsi="Segoe UI" w:cs="Segoe UI" w:hint="default"/>
        <w:b w:val="0"/>
        <w:i w:val="0"/>
        <w:caps w:val="0"/>
        <w:strike w:val="0"/>
        <w:dstrike w:val="0"/>
        <w:vanish w:val="0"/>
        <w:webHidden w:val="0"/>
        <w:color w:val="auto"/>
        <w:sz w:val="21"/>
        <w:szCs w:val="21"/>
        <w:u w:val="none"/>
        <w:effect w:val="none"/>
        <w:vertAlign w:val="baseline"/>
        <w:lang w:val="en-GB"/>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797182"/>
    <w:multiLevelType w:val="hybridMultilevel"/>
    <w:tmpl w:val="A00A37CE"/>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3458B"/>
    <w:multiLevelType w:val="hybridMultilevel"/>
    <w:tmpl w:val="5DDC1912"/>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C0E2D"/>
    <w:multiLevelType w:val="hybridMultilevel"/>
    <w:tmpl w:val="7E9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92725"/>
    <w:multiLevelType w:val="hybridMultilevel"/>
    <w:tmpl w:val="E4CA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761B8"/>
    <w:multiLevelType w:val="hybridMultilevel"/>
    <w:tmpl w:val="820EC690"/>
    <w:lvl w:ilvl="0" w:tplc="0100AAF0">
      <w:start w:val="1"/>
      <w:numFmt w:val="bullet"/>
      <w:pStyle w:val="Aufzhlung2"/>
      <w:lvlText w:val="–"/>
      <w:lvlJc w:val="left"/>
      <w:pPr>
        <w:ind w:left="720" w:hanging="360"/>
      </w:pPr>
      <w:rPr>
        <w:rFonts w:ascii="Humnst777 BT" w:hAnsi="Humnst777 BT" w:cs="Humnst777 BT" w:hint="default"/>
        <w:color w:val="0060A9"/>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F4F5E14"/>
    <w:multiLevelType w:val="hybridMultilevel"/>
    <w:tmpl w:val="DADA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C6142"/>
    <w:multiLevelType w:val="hybridMultilevel"/>
    <w:tmpl w:val="0DC24546"/>
    <w:lvl w:ilvl="0" w:tplc="50122D9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A2C0B"/>
    <w:multiLevelType w:val="hybridMultilevel"/>
    <w:tmpl w:val="4C1C2F4A"/>
    <w:lvl w:ilvl="0" w:tplc="50122D94">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270A558E"/>
    <w:multiLevelType w:val="hybridMultilevel"/>
    <w:tmpl w:val="E324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D55FA"/>
    <w:multiLevelType w:val="hybridMultilevel"/>
    <w:tmpl w:val="2B8C0EAC"/>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A1FD4"/>
    <w:multiLevelType w:val="hybridMultilevel"/>
    <w:tmpl w:val="9B92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C2BAA"/>
    <w:multiLevelType w:val="hybridMultilevel"/>
    <w:tmpl w:val="C3F4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2180E"/>
    <w:multiLevelType w:val="hybridMultilevel"/>
    <w:tmpl w:val="E8B2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E079A"/>
    <w:multiLevelType w:val="hybridMultilevel"/>
    <w:tmpl w:val="9A40305E"/>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C00DB"/>
    <w:multiLevelType w:val="multilevel"/>
    <w:tmpl w:val="E6060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737F40"/>
    <w:multiLevelType w:val="hybridMultilevel"/>
    <w:tmpl w:val="567EAAAA"/>
    <w:lvl w:ilvl="0" w:tplc="D814F71A">
      <w:start w:val="1"/>
      <w:numFmt w:val="bullet"/>
      <w:pStyle w:val="Aufzhlung"/>
      <w:lvlText w:val=""/>
      <w:lvlJc w:val="left"/>
      <w:pPr>
        <w:tabs>
          <w:tab w:val="num" w:pos="360"/>
        </w:tabs>
        <w:ind w:left="340" w:hanging="340"/>
      </w:pPr>
      <w:rPr>
        <w:rFonts w:ascii="Webdings" w:hAnsi="Webdings" w:hint="default"/>
        <w:color w:val="0060A9"/>
        <w:sz w:val="21"/>
        <w:szCs w:val="21"/>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A03B9E"/>
    <w:multiLevelType w:val="hybridMultilevel"/>
    <w:tmpl w:val="B11ACD0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63C4FEF"/>
    <w:multiLevelType w:val="hybridMultilevel"/>
    <w:tmpl w:val="ABCEAA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24169"/>
    <w:multiLevelType w:val="hybridMultilevel"/>
    <w:tmpl w:val="D804C57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A5B7190"/>
    <w:multiLevelType w:val="hybridMultilevel"/>
    <w:tmpl w:val="6A745B4E"/>
    <w:lvl w:ilvl="0" w:tplc="50122D94">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72" w:hanging="360"/>
      </w:pPr>
      <w:rPr>
        <w:rFonts w:ascii="Courier New" w:hAnsi="Courier New" w:cs="Courier New"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28" w15:restartNumberingAfterBreak="0">
    <w:nsid w:val="3F4D28BD"/>
    <w:multiLevelType w:val="hybridMultilevel"/>
    <w:tmpl w:val="1D5C9450"/>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DD3A1C"/>
    <w:multiLevelType w:val="hybridMultilevel"/>
    <w:tmpl w:val="E39ED66A"/>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D77A2"/>
    <w:multiLevelType w:val="hybridMultilevel"/>
    <w:tmpl w:val="B9E6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580076"/>
    <w:multiLevelType w:val="hybridMultilevel"/>
    <w:tmpl w:val="AB0EB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1644B3C"/>
    <w:multiLevelType w:val="hybridMultilevel"/>
    <w:tmpl w:val="F570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E94088"/>
    <w:multiLevelType w:val="hybridMultilevel"/>
    <w:tmpl w:val="A3DE2462"/>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E06C94"/>
    <w:multiLevelType w:val="hybridMultilevel"/>
    <w:tmpl w:val="4EEE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500CF0"/>
    <w:multiLevelType w:val="hybridMultilevel"/>
    <w:tmpl w:val="AE4AD21A"/>
    <w:lvl w:ilvl="0" w:tplc="79F418B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943873"/>
    <w:multiLevelType w:val="hybridMultilevel"/>
    <w:tmpl w:val="507A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AB4A5D"/>
    <w:multiLevelType w:val="hybridMultilevel"/>
    <w:tmpl w:val="31226FAE"/>
    <w:lvl w:ilvl="0" w:tplc="50122D9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F4543"/>
    <w:multiLevelType w:val="multilevel"/>
    <w:tmpl w:val="BECC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81508"/>
    <w:multiLevelType w:val="hybridMultilevel"/>
    <w:tmpl w:val="9888448C"/>
    <w:lvl w:ilvl="0" w:tplc="50122D94">
      <w:start w:val="1"/>
      <w:numFmt w:val="bullet"/>
      <w:lvlText w:val="-"/>
      <w:lvlJc w:val="left"/>
      <w:pPr>
        <w:ind w:left="144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1090C5B"/>
    <w:multiLevelType w:val="multilevel"/>
    <w:tmpl w:val="56046F8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62B7E5D"/>
    <w:multiLevelType w:val="hybridMultilevel"/>
    <w:tmpl w:val="F0F0E2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06281B"/>
    <w:multiLevelType w:val="hybridMultilevel"/>
    <w:tmpl w:val="C1D0CEA0"/>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0B170C"/>
    <w:multiLevelType w:val="hybridMultilevel"/>
    <w:tmpl w:val="AAD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28218E"/>
    <w:multiLevelType w:val="hybridMultilevel"/>
    <w:tmpl w:val="D610CC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2870E1D"/>
    <w:multiLevelType w:val="hybridMultilevel"/>
    <w:tmpl w:val="1EDE8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3A6C1F"/>
    <w:multiLevelType w:val="hybridMultilevel"/>
    <w:tmpl w:val="3CFAA3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9B3A32"/>
    <w:multiLevelType w:val="hybridMultilevel"/>
    <w:tmpl w:val="9E8CD268"/>
    <w:lvl w:ilvl="0" w:tplc="50122D94">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1A16E6F"/>
    <w:multiLevelType w:val="hybridMultilevel"/>
    <w:tmpl w:val="DD942542"/>
    <w:lvl w:ilvl="0" w:tplc="50122D94">
      <w:start w:val="1"/>
      <w:numFmt w:val="bullet"/>
      <w:lvlText w:val="-"/>
      <w:lvlJc w:val="left"/>
      <w:pPr>
        <w:ind w:left="1068" w:hanging="360"/>
      </w:pPr>
      <w:rPr>
        <w:rFonts w:ascii="Arial" w:eastAsia="Times New Roman"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72865E15"/>
    <w:multiLevelType w:val="hybridMultilevel"/>
    <w:tmpl w:val="4CD6125E"/>
    <w:lvl w:ilvl="0" w:tplc="50122D94">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0" w15:restartNumberingAfterBreak="0">
    <w:nsid w:val="728F39DD"/>
    <w:multiLevelType w:val="hybridMultilevel"/>
    <w:tmpl w:val="CDB6445E"/>
    <w:lvl w:ilvl="0" w:tplc="50122D94">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1" w15:restartNumberingAfterBreak="0">
    <w:nsid w:val="72FA43E8"/>
    <w:multiLevelType w:val="hybridMultilevel"/>
    <w:tmpl w:val="B3183B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2D7A32"/>
    <w:multiLevelType w:val="hybridMultilevel"/>
    <w:tmpl w:val="6AF8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DF18A2"/>
    <w:multiLevelType w:val="hybridMultilevel"/>
    <w:tmpl w:val="1ED4FE6A"/>
    <w:lvl w:ilvl="0" w:tplc="50122D94">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4" w15:restartNumberingAfterBreak="0">
    <w:nsid w:val="7883147B"/>
    <w:multiLevelType w:val="hybridMultilevel"/>
    <w:tmpl w:val="6D4C8FCE"/>
    <w:lvl w:ilvl="0" w:tplc="50122D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75495C"/>
    <w:multiLevelType w:val="hybridMultilevel"/>
    <w:tmpl w:val="A9A2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4F675B"/>
    <w:multiLevelType w:val="hybridMultilevel"/>
    <w:tmpl w:val="C782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203B64"/>
    <w:multiLevelType w:val="hybridMultilevel"/>
    <w:tmpl w:val="4A6ED93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7C4D630D"/>
    <w:multiLevelType w:val="hybridMultilevel"/>
    <w:tmpl w:val="C68A2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70129C"/>
    <w:multiLevelType w:val="hybridMultilevel"/>
    <w:tmpl w:val="8CDA091A"/>
    <w:lvl w:ilvl="0" w:tplc="50122D94">
      <w:start w:val="1"/>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7FAD76E0"/>
    <w:multiLevelType w:val="hybridMultilevel"/>
    <w:tmpl w:val="5998B408"/>
    <w:lvl w:ilvl="0" w:tplc="FFFFFFFF">
      <w:start w:val="1"/>
      <w:numFmt w:val="bullet"/>
      <w:lvlText w:val="o"/>
      <w:lvlJc w:val="left"/>
      <w:pPr>
        <w:ind w:left="720" w:hanging="360"/>
      </w:pPr>
      <w:rPr>
        <w:rFonts w:ascii="Courier New" w:hAnsi="Courier New" w:cs="Courier New" w:hint="default"/>
      </w:rPr>
    </w:lvl>
    <w:lvl w:ilvl="1" w:tplc="50122D9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1899947">
    <w:abstractNumId w:val="23"/>
  </w:num>
  <w:num w:numId="2" w16cid:durableId="912854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860523">
    <w:abstractNumId w:val="44"/>
  </w:num>
  <w:num w:numId="4" w16cid:durableId="1624993313">
    <w:abstractNumId w:val="40"/>
  </w:num>
  <w:num w:numId="5" w16cid:durableId="904951311">
    <w:abstractNumId w:val="12"/>
  </w:num>
  <w:num w:numId="6" w16cid:durableId="195625865">
    <w:abstractNumId w:val="30"/>
  </w:num>
  <w:num w:numId="7" w16cid:durableId="444495807">
    <w:abstractNumId w:val="19"/>
  </w:num>
  <w:num w:numId="8" w16cid:durableId="1594970777">
    <w:abstractNumId w:val="11"/>
  </w:num>
  <w:num w:numId="9" w16cid:durableId="238640131">
    <w:abstractNumId w:val="14"/>
  </w:num>
  <w:num w:numId="10" w16cid:durableId="2138644493">
    <w:abstractNumId w:val="27"/>
  </w:num>
  <w:num w:numId="11" w16cid:durableId="1599019744">
    <w:abstractNumId w:val="24"/>
  </w:num>
  <w:num w:numId="12" w16cid:durableId="456604646">
    <w:abstractNumId w:val="59"/>
  </w:num>
  <w:num w:numId="13" w16cid:durableId="232088108">
    <w:abstractNumId w:val="5"/>
  </w:num>
  <w:num w:numId="14" w16cid:durableId="1913736617">
    <w:abstractNumId w:val="10"/>
  </w:num>
  <w:num w:numId="15" w16cid:durableId="1262688169">
    <w:abstractNumId w:val="2"/>
  </w:num>
  <w:num w:numId="16" w16cid:durableId="1538276840">
    <w:abstractNumId w:val="55"/>
  </w:num>
  <w:num w:numId="17" w16cid:durableId="624895858">
    <w:abstractNumId w:val="45"/>
  </w:num>
  <w:num w:numId="18" w16cid:durableId="541672531">
    <w:abstractNumId w:val="35"/>
  </w:num>
  <w:num w:numId="19" w16cid:durableId="354817581">
    <w:abstractNumId w:val="38"/>
  </w:num>
  <w:num w:numId="20" w16cid:durableId="1739009931">
    <w:abstractNumId w:val="4"/>
  </w:num>
  <w:num w:numId="21" w16cid:durableId="399600330">
    <w:abstractNumId w:val="31"/>
  </w:num>
  <w:num w:numId="22" w16cid:durableId="229273169">
    <w:abstractNumId w:val="22"/>
  </w:num>
  <w:num w:numId="23" w16cid:durableId="1740665234">
    <w:abstractNumId w:val="34"/>
  </w:num>
  <w:num w:numId="24" w16cid:durableId="1151555118">
    <w:abstractNumId w:val="56"/>
  </w:num>
  <w:num w:numId="25" w16cid:durableId="2101294686">
    <w:abstractNumId w:val="0"/>
  </w:num>
  <w:num w:numId="26" w16cid:durableId="1434519599">
    <w:abstractNumId w:val="20"/>
  </w:num>
  <w:num w:numId="27" w16cid:durableId="73090400">
    <w:abstractNumId w:val="36"/>
  </w:num>
  <w:num w:numId="28" w16cid:durableId="86508926">
    <w:abstractNumId w:val="43"/>
  </w:num>
  <w:num w:numId="29" w16cid:durableId="1521623756">
    <w:abstractNumId w:val="21"/>
  </w:num>
  <w:num w:numId="30" w16cid:durableId="77599591">
    <w:abstractNumId w:val="9"/>
  </w:num>
  <w:num w:numId="31" w16cid:durableId="328754268">
    <w:abstractNumId w:val="26"/>
  </w:num>
  <w:num w:numId="32" w16cid:durableId="458643734">
    <w:abstractNumId w:val="50"/>
  </w:num>
  <w:num w:numId="33" w16cid:durableId="821697033">
    <w:abstractNumId w:val="53"/>
  </w:num>
  <w:num w:numId="34" w16cid:durableId="102921165">
    <w:abstractNumId w:val="33"/>
  </w:num>
  <w:num w:numId="35" w16cid:durableId="344866999">
    <w:abstractNumId w:val="54"/>
  </w:num>
  <w:num w:numId="36" w16cid:durableId="1335189578">
    <w:abstractNumId w:val="25"/>
  </w:num>
  <w:num w:numId="37" w16cid:durableId="2074235617">
    <w:abstractNumId w:val="3"/>
  </w:num>
  <w:num w:numId="38" w16cid:durableId="98376600">
    <w:abstractNumId w:val="39"/>
  </w:num>
  <w:num w:numId="39" w16cid:durableId="2092850662">
    <w:abstractNumId w:val="6"/>
  </w:num>
  <w:num w:numId="40" w16cid:durableId="1702167477">
    <w:abstractNumId w:val="48"/>
  </w:num>
  <w:num w:numId="41" w16cid:durableId="917790277">
    <w:abstractNumId w:val="37"/>
  </w:num>
  <w:num w:numId="42" w16cid:durableId="545988174">
    <w:abstractNumId w:val="29"/>
  </w:num>
  <w:num w:numId="43" w16cid:durableId="753433841">
    <w:abstractNumId w:val="16"/>
  </w:num>
  <w:num w:numId="44" w16cid:durableId="1963610663">
    <w:abstractNumId w:val="32"/>
  </w:num>
  <w:num w:numId="45" w16cid:durableId="698745816">
    <w:abstractNumId w:val="40"/>
  </w:num>
  <w:num w:numId="46" w16cid:durableId="738013925">
    <w:abstractNumId w:val="18"/>
  </w:num>
  <w:num w:numId="47" w16cid:durableId="1355956178">
    <w:abstractNumId w:val="8"/>
  </w:num>
  <w:num w:numId="48" w16cid:durableId="1535314593">
    <w:abstractNumId w:val="58"/>
  </w:num>
  <w:num w:numId="49" w16cid:durableId="1942567774">
    <w:abstractNumId w:val="42"/>
  </w:num>
  <w:num w:numId="50" w16cid:durableId="1962883163">
    <w:abstractNumId w:val="17"/>
  </w:num>
  <w:num w:numId="51" w16cid:durableId="556431221">
    <w:abstractNumId w:val="46"/>
  </w:num>
  <w:num w:numId="52" w16cid:durableId="1543982969">
    <w:abstractNumId w:val="13"/>
  </w:num>
  <w:num w:numId="53" w16cid:durableId="776950738">
    <w:abstractNumId w:val="52"/>
  </w:num>
  <w:num w:numId="54" w16cid:durableId="671644540">
    <w:abstractNumId w:val="23"/>
  </w:num>
  <w:num w:numId="55" w16cid:durableId="1479148691">
    <w:abstractNumId w:val="15"/>
  </w:num>
  <w:num w:numId="56" w16cid:durableId="507987763">
    <w:abstractNumId w:val="49"/>
  </w:num>
  <w:num w:numId="57" w16cid:durableId="1906987901">
    <w:abstractNumId w:val="1"/>
  </w:num>
  <w:num w:numId="58" w16cid:durableId="1463306303">
    <w:abstractNumId w:val="47"/>
  </w:num>
  <w:num w:numId="59" w16cid:durableId="1777602992">
    <w:abstractNumId w:val="28"/>
  </w:num>
  <w:num w:numId="60" w16cid:durableId="513347592">
    <w:abstractNumId w:val="57"/>
  </w:num>
  <w:num w:numId="61" w16cid:durableId="1318459816">
    <w:abstractNumId w:val="51"/>
  </w:num>
  <w:num w:numId="62" w16cid:durableId="38671866">
    <w:abstractNumId w:val="41"/>
  </w:num>
  <w:num w:numId="63" w16cid:durableId="924069145">
    <w:abstractNumId w:val="6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34"/>
    <w:rsid w:val="00016755"/>
    <w:rsid w:val="000168A5"/>
    <w:rsid w:val="000301E5"/>
    <w:rsid w:val="000328DE"/>
    <w:rsid w:val="00047BE0"/>
    <w:rsid w:val="00047D9C"/>
    <w:rsid w:val="00062BE8"/>
    <w:rsid w:val="00067F75"/>
    <w:rsid w:val="00083915"/>
    <w:rsid w:val="000921E0"/>
    <w:rsid w:val="00092C65"/>
    <w:rsid w:val="000B4109"/>
    <w:rsid w:val="000B6C35"/>
    <w:rsid w:val="000C5085"/>
    <w:rsid w:val="000E16D5"/>
    <w:rsid w:val="000F6DBC"/>
    <w:rsid w:val="00115EDF"/>
    <w:rsid w:val="00116506"/>
    <w:rsid w:val="001262B5"/>
    <w:rsid w:val="00132EC3"/>
    <w:rsid w:val="001413CE"/>
    <w:rsid w:val="00146F9D"/>
    <w:rsid w:val="001525B8"/>
    <w:rsid w:val="001553A7"/>
    <w:rsid w:val="00166C8B"/>
    <w:rsid w:val="00173672"/>
    <w:rsid w:val="00176DC5"/>
    <w:rsid w:val="00185F6E"/>
    <w:rsid w:val="001941B4"/>
    <w:rsid w:val="001C2AAD"/>
    <w:rsid w:val="001D2297"/>
    <w:rsid w:val="001D2CB4"/>
    <w:rsid w:val="001E118C"/>
    <w:rsid w:val="001E471F"/>
    <w:rsid w:val="002139B3"/>
    <w:rsid w:val="00240FE3"/>
    <w:rsid w:val="002412BA"/>
    <w:rsid w:val="002429A4"/>
    <w:rsid w:val="00252A22"/>
    <w:rsid w:val="00264ACD"/>
    <w:rsid w:val="0027736D"/>
    <w:rsid w:val="002830CB"/>
    <w:rsid w:val="0028407B"/>
    <w:rsid w:val="00287FB5"/>
    <w:rsid w:val="00296A94"/>
    <w:rsid w:val="002A0EEA"/>
    <w:rsid w:val="002F18D4"/>
    <w:rsid w:val="002F3354"/>
    <w:rsid w:val="002F434E"/>
    <w:rsid w:val="00300D9E"/>
    <w:rsid w:val="003058D8"/>
    <w:rsid w:val="003119F6"/>
    <w:rsid w:val="003245F2"/>
    <w:rsid w:val="0032609E"/>
    <w:rsid w:val="00330E62"/>
    <w:rsid w:val="00351ED8"/>
    <w:rsid w:val="00356974"/>
    <w:rsid w:val="00366B2D"/>
    <w:rsid w:val="0037115A"/>
    <w:rsid w:val="003775D8"/>
    <w:rsid w:val="00386E22"/>
    <w:rsid w:val="00393C5E"/>
    <w:rsid w:val="003B3838"/>
    <w:rsid w:val="003C5CA0"/>
    <w:rsid w:val="003D1340"/>
    <w:rsid w:val="003D331F"/>
    <w:rsid w:val="003D5F54"/>
    <w:rsid w:val="003E638F"/>
    <w:rsid w:val="003F099A"/>
    <w:rsid w:val="003F2413"/>
    <w:rsid w:val="003F2713"/>
    <w:rsid w:val="003F5F6A"/>
    <w:rsid w:val="0040118A"/>
    <w:rsid w:val="00403269"/>
    <w:rsid w:val="00407639"/>
    <w:rsid w:val="00412BEA"/>
    <w:rsid w:val="0042349F"/>
    <w:rsid w:val="0042356F"/>
    <w:rsid w:val="00424307"/>
    <w:rsid w:val="004374EE"/>
    <w:rsid w:val="00442610"/>
    <w:rsid w:val="00445E58"/>
    <w:rsid w:val="00446F94"/>
    <w:rsid w:val="00452469"/>
    <w:rsid w:val="00465B8E"/>
    <w:rsid w:val="0049662D"/>
    <w:rsid w:val="004B391C"/>
    <w:rsid w:val="004C740F"/>
    <w:rsid w:val="004F2EC9"/>
    <w:rsid w:val="00513A79"/>
    <w:rsid w:val="00561257"/>
    <w:rsid w:val="00563102"/>
    <w:rsid w:val="00572AC3"/>
    <w:rsid w:val="00573A80"/>
    <w:rsid w:val="005868D3"/>
    <w:rsid w:val="005938BE"/>
    <w:rsid w:val="005A067C"/>
    <w:rsid w:val="005A7409"/>
    <w:rsid w:val="005B0535"/>
    <w:rsid w:val="005C1FF7"/>
    <w:rsid w:val="005D176B"/>
    <w:rsid w:val="005D578D"/>
    <w:rsid w:val="005E7C78"/>
    <w:rsid w:val="005F61A8"/>
    <w:rsid w:val="00601B87"/>
    <w:rsid w:val="00626746"/>
    <w:rsid w:val="006312B9"/>
    <w:rsid w:val="00636D41"/>
    <w:rsid w:val="00663AFC"/>
    <w:rsid w:val="00690D98"/>
    <w:rsid w:val="006917C5"/>
    <w:rsid w:val="006A4DE0"/>
    <w:rsid w:val="006C399B"/>
    <w:rsid w:val="006D6681"/>
    <w:rsid w:val="006E3744"/>
    <w:rsid w:val="006F56A6"/>
    <w:rsid w:val="00700897"/>
    <w:rsid w:val="00715E7F"/>
    <w:rsid w:val="00724499"/>
    <w:rsid w:val="007312BD"/>
    <w:rsid w:val="007453E6"/>
    <w:rsid w:val="00746761"/>
    <w:rsid w:val="00751CEE"/>
    <w:rsid w:val="00754CEA"/>
    <w:rsid w:val="00765556"/>
    <w:rsid w:val="007657C3"/>
    <w:rsid w:val="00780FF6"/>
    <w:rsid w:val="007910AB"/>
    <w:rsid w:val="0079264D"/>
    <w:rsid w:val="007B69C3"/>
    <w:rsid w:val="007C3CD4"/>
    <w:rsid w:val="007E4ED3"/>
    <w:rsid w:val="00802D0B"/>
    <w:rsid w:val="00842EDB"/>
    <w:rsid w:val="0085730A"/>
    <w:rsid w:val="00862039"/>
    <w:rsid w:val="00866D08"/>
    <w:rsid w:val="00874FE3"/>
    <w:rsid w:val="00885161"/>
    <w:rsid w:val="0089696A"/>
    <w:rsid w:val="00897D21"/>
    <w:rsid w:val="008A16F3"/>
    <w:rsid w:val="008B16B9"/>
    <w:rsid w:val="008B7B56"/>
    <w:rsid w:val="008C5E38"/>
    <w:rsid w:val="008D72D8"/>
    <w:rsid w:val="00905010"/>
    <w:rsid w:val="00916C09"/>
    <w:rsid w:val="00924FE9"/>
    <w:rsid w:val="009431FE"/>
    <w:rsid w:val="00963B2F"/>
    <w:rsid w:val="00993EDA"/>
    <w:rsid w:val="00994570"/>
    <w:rsid w:val="009B5A68"/>
    <w:rsid w:val="009B64EB"/>
    <w:rsid w:val="009B78C0"/>
    <w:rsid w:val="009C2DE2"/>
    <w:rsid w:val="009C4A3C"/>
    <w:rsid w:val="009D2947"/>
    <w:rsid w:val="009E0404"/>
    <w:rsid w:val="009E2D00"/>
    <w:rsid w:val="009F134C"/>
    <w:rsid w:val="009F19BD"/>
    <w:rsid w:val="00A02AE3"/>
    <w:rsid w:val="00A147CB"/>
    <w:rsid w:val="00A20BF1"/>
    <w:rsid w:val="00A22B5E"/>
    <w:rsid w:val="00A25755"/>
    <w:rsid w:val="00A40ADB"/>
    <w:rsid w:val="00A526B5"/>
    <w:rsid w:val="00A559E1"/>
    <w:rsid w:val="00A60204"/>
    <w:rsid w:val="00A66B0A"/>
    <w:rsid w:val="00AA4998"/>
    <w:rsid w:val="00AA7F12"/>
    <w:rsid w:val="00AB5B7E"/>
    <w:rsid w:val="00AC1C09"/>
    <w:rsid w:val="00AC249E"/>
    <w:rsid w:val="00AC3F75"/>
    <w:rsid w:val="00AE66A1"/>
    <w:rsid w:val="00B02283"/>
    <w:rsid w:val="00B213CF"/>
    <w:rsid w:val="00B308E8"/>
    <w:rsid w:val="00B33368"/>
    <w:rsid w:val="00B33E3A"/>
    <w:rsid w:val="00B42667"/>
    <w:rsid w:val="00B43885"/>
    <w:rsid w:val="00B50C21"/>
    <w:rsid w:val="00B55268"/>
    <w:rsid w:val="00B64BAB"/>
    <w:rsid w:val="00B82226"/>
    <w:rsid w:val="00B844C2"/>
    <w:rsid w:val="00BA45D7"/>
    <w:rsid w:val="00BB324E"/>
    <w:rsid w:val="00BD4E98"/>
    <w:rsid w:val="00BE429C"/>
    <w:rsid w:val="00BF693A"/>
    <w:rsid w:val="00C006B9"/>
    <w:rsid w:val="00C04A43"/>
    <w:rsid w:val="00C21585"/>
    <w:rsid w:val="00C43234"/>
    <w:rsid w:val="00C43C63"/>
    <w:rsid w:val="00C4538E"/>
    <w:rsid w:val="00C532FF"/>
    <w:rsid w:val="00C66561"/>
    <w:rsid w:val="00C7053D"/>
    <w:rsid w:val="00C726A6"/>
    <w:rsid w:val="00C75297"/>
    <w:rsid w:val="00C97F2A"/>
    <w:rsid w:val="00CA119A"/>
    <w:rsid w:val="00CA1A10"/>
    <w:rsid w:val="00CA1C9E"/>
    <w:rsid w:val="00CC5D10"/>
    <w:rsid w:val="00CD0411"/>
    <w:rsid w:val="00CE43BE"/>
    <w:rsid w:val="00D1284D"/>
    <w:rsid w:val="00D21816"/>
    <w:rsid w:val="00D21821"/>
    <w:rsid w:val="00D2616A"/>
    <w:rsid w:val="00D306CE"/>
    <w:rsid w:val="00D32D4F"/>
    <w:rsid w:val="00D34F46"/>
    <w:rsid w:val="00D57207"/>
    <w:rsid w:val="00D64E6A"/>
    <w:rsid w:val="00D736D1"/>
    <w:rsid w:val="00D85456"/>
    <w:rsid w:val="00D855F9"/>
    <w:rsid w:val="00DE468B"/>
    <w:rsid w:val="00DE6249"/>
    <w:rsid w:val="00DF6D25"/>
    <w:rsid w:val="00DF6F34"/>
    <w:rsid w:val="00E02920"/>
    <w:rsid w:val="00E06576"/>
    <w:rsid w:val="00E20F51"/>
    <w:rsid w:val="00E266F8"/>
    <w:rsid w:val="00E356F5"/>
    <w:rsid w:val="00E37BC5"/>
    <w:rsid w:val="00E56BE3"/>
    <w:rsid w:val="00E7688B"/>
    <w:rsid w:val="00E8222C"/>
    <w:rsid w:val="00E82B3C"/>
    <w:rsid w:val="00E930A3"/>
    <w:rsid w:val="00EA1C56"/>
    <w:rsid w:val="00EA5192"/>
    <w:rsid w:val="00EB58FC"/>
    <w:rsid w:val="00EC5DE0"/>
    <w:rsid w:val="00EC7616"/>
    <w:rsid w:val="00EC7DB7"/>
    <w:rsid w:val="00EF5704"/>
    <w:rsid w:val="00EF7E09"/>
    <w:rsid w:val="00F05922"/>
    <w:rsid w:val="00F2340F"/>
    <w:rsid w:val="00F3110C"/>
    <w:rsid w:val="00F313FF"/>
    <w:rsid w:val="00F31D48"/>
    <w:rsid w:val="00F72F0E"/>
    <w:rsid w:val="00F7473F"/>
    <w:rsid w:val="00F74E80"/>
    <w:rsid w:val="00F8383F"/>
    <w:rsid w:val="00F97660"/>
    <w:rsid w:val="00FA3146"/>
    <w:rsid w:val="00FB25CB"/>
    <w:rsid w:val="00FB3AC3"/>
    <w:rsid w:val="00FB42D9"/>
    <w:rsid w:val="00FC5319"/>
    <w:rsid w:val="00FD45F2"/>
    <w:rsid w:val="00FE3021"/>
    <w:rsid w:val="00FE6F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814"/>
  <w15:docId w15:val="{36605328-B4B3-7F4D-9E6B-677EAF8D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46"/>
  </w:style>
  <w:style w:type="paragraph" w:styleId="Heading1">
    <w:name w:val="heading 1"/>
    <w:basedOn w:val="Normal"/>
    <w:next w:val="Normal"/>
    <w:link w:val="Heading1Char"/>
    <w:qFormat/>
    <w:rsid w:val="00EC7DB7"/>
    <w:pPr>
      <w:keepNext/>
      <w:numPr>
        <w:numId w:val="4"/>
      </w:numPr>
      <w:suppressAutoHyphens/>
      <w:spacing w:before="480" w:after="240" w:line="280" w:lineRule="atLeast"/>
      <w:outlineLvl w:val="0"/>
    </w:pPr>
    <w:rPr>
      <w:rFonts w:ascii="Calibri" w:eastAsia="Times New Roman" w:hAnsi="Calibri" w:cs="Arial"/>
      <w:color w:val="0060A9"/>
      <w:kern w:val="32"/>
      <w:sz w:val="24"/>
      <w:szCs w:val="32"/>
      <w:lang w:val="en-GB" w:eastAsia="de-DE"/>
    </w:rPr>
  </w:style>
  <w:style w:type="paragraph" w:styleId="Heading2">
    <w:name w:val="heading 2"/>
    <w:basedOn w:val="Normal"/>
    <w:next w:val="Normal"/>
    <w:link w:val="Heading2Char"/>
    <w:qFormat/>
    <w:rsid w:val="00EC7DB7"/>
    <w:pPr>
      <w:keepNext/>
      <w:numPr>
        <w:ilvl w:val="1"/>
        <w:numId w:val="4"/>
      </w:numPr>
      <w:suppressAutoHyphens/>
      <w:spacing w:before="360" w:after="240" w:line="280" w:lineRule="atLeast"/>
      <w:ind w:left="567" w:hanging="567"/>
      <w:outlineLvl w:val="1"/>
    </w:pPr>
    <w:rPr>
      <w:rFonts w:ascii="Calibri" w:eastAsia="Times New Roman" w:hAnsi="Calibri" w:cs="Times New Roman"/>
      <w:szCs w:val="28"/>
      <w:lang w:val="en-GB" w:eastAsia="de-DE"/>
    </w:rPr>
  </w:style>
  <w:style w:type="paragraph" w:styleId="Heading3">
    <w:name w:val="heading 3"/>
    <w:basedOn w:val="Normal"/>
    <w:next w:val="Normal"/>
    <w:link w:val="Heading3Char"/>
    <w:qFormat/>
    <w:rsid w:val="00EC7DB7"/>
    <w:pPr>
      <w:keepNext/>
      <w:numPr>
        <w:ilvl w:val="2"/>
        <w:numId w:val="4"/>
      </w:numPr>
      <w:suppressAutoHyphens/>
      <w:spacing w:before="240" w:after="240" w:line="280" w:lineRule="atLeast"/>
      <w:ind w:left="567" w:hanging="567"/>
      <w:outlineLvl w:val="2"/>
    </w:pPr>
    <w:rPr>
      <w:rFonts w:ascii="Calibri" w:eastAsia="Times New Roman" w:hAnsi="Calibri" w:cs="Arial"/>
      <w:sz w:val="21"/>
      <w:szCs w:val="26"/>
      <w:lang w:val="en-GB" w:eastAsia="de-DE"/>
    </w:rPr>
  </w:style>
  <w:style w:type="paragraph" w:styleId="Heading4">
    <w:name w:val="heading 4"/>
    <w:basedOn w:val="Normal"/>
    <w:next w:val="Normal"/>
    <w:link w:val="Heading4Char"/>
    <w:qFormat/>
    <w:rsid w:val="00EC7DB7"/>
    <w:pPr>
      <w:keepNext/>
      <w:numPr>
        <w:ilvl w:val="3"/>
        <w:numId w:val="4"/>
      </w:numPr>
      <w:tabs>
        <w:tab w:val="left" w:pos="851"/>
      </w:tabs>
      <w:spacing w:before="240" w:after="240" w:line="280" w:lineRule="atLeast"/>
      <w:ind w:left="851" w:hanging="851"/>
      <w:outlineLvl w:val="3"/>
    </w:pPr>
    <w:rPr>
      <w:rFonts w:ascii="Calibri" w:eastAsia="Times New Roman" w:hAnsi="Calibri" w:cs="Times New Roman"/>
      <w:sz w:val="21"/>
      <w:szCs w:val="28"/>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3234"/>
  </w:style>
  <w:style w:type="paragraph" w:styleId="Footer">
    <w:name w:val="footer"/>
    <w:basedOn w:val="Normal"/>
    <w:link w:val="FooterChar"/>
    <w:uiPriority w:val="99"/>
    <w:unhideWhenUsed/>
    <w:rsid w:val="00C432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234"/>
  </w:style>
  <w:style w:type="paragraph" w:customStyle="1" w:styleId="Quelle">
    <w:name w:val="Quelle"/>
    <w:basedOn w:val="Normal"/>
    <w:next w:val="Normal"/>
    <w:qFormat/>
    <w:rsid w:val="0089696A"/>
    <w:pPr>
      <w:spacing w:before="80" w:after="240" w:line="240" w:lineRule="auto"/>
    </w:pPr>
    <w:rPr>
      <w:rFonts w:ascii="Calibri Light" w:eastAsia="Times New Roman" w:hAnsi="Calibri Light" w:cs="Times New Roman"/>
      <w:bCs/>
      <w:iCs/>
      <w:sz w:val="16"/>
      <w:szCs w:val="20"/>
      <w:lang w:val="en-GB" w:eastAsia="de-DE"/>
    </w:rPr>
  </w:style>
  <w:style w:type="paragraph" w:customStyle="1" w:styleId="Aufzhlung">
    <w:name w:val="Aufzählung"/>
    <w:basedOn w:val="Normal"/>
    <w:link w:val="AufzhlungZchn"/>
    <w:qFormat/>
    <w:rsid w:val="001413CE"/>
    <w:pPr>
      <w:numPr>
        <w:numId w:val="1"/>
      </w:numPr>
      <w:spacing w:after="120" w:line="280" w:lineRule="atLeast"/>
      <w:jc w:val="both"/>
    </w:pPr>
    <w:rPr>
      <w:rFonts w:ascii="Calibri Light" w:eastAsia="Times New Roman" w:hAnsi="Calibri Light" w:cs="Times New Roman"/>
      <w:sz w:val="21"/>
      <w:szCs w:val="20"/>
      <w:lang w:val="de-AT" w:eastAsia="de-DE"/>
    </w:rPr>
  </w:style>
  <w:style w:type="paragraph" w:customStyle="1" w:styleId="AufzhlungEnde">
    <w:name w:val="Aufzählung_Ende"/>
    <w:basedOn w:val="Aufzhlung"/>
    <w:next w:val="Normal"/>
    <w:link w:val="AufzhlungEndeZchn"/>
    <w:qFormat/>
    <w:rsid w:val="001413CE"/>
    <w:pPr>
      <w:spacing w:after="240"/>
    </w:pPr>
  </w:style>
  <w:style w:type="character" w:customStyle="1" w:styleId="AufzhlungZchn">
    <w:name w:val="Aufzählung Zchn"/>
    <w:link w:val="Aufzhlung"/>
    <w:qFormat/>
    <w:rsid w:val="001413CE"/>
    <w:rPr>
      <w:rFonts w:ascii="Calibri Light" w:eastAsia="Times New Roman" w:hAnsi="Calibri Light" w:cs="Times New Roman"/>
      <w:sz w:val="21"/>
      <w:szCs w:val="20"/>
      <w:lang w:val="de-AT" w:eastAsia="de-DE"/>
    </w:rPr>
  </w:style>
  <w:style w:type="character" w:customStyle="1" w:styleId="AufzhlungEndeZchn">
    <w:name w:val="Aufzählung_Ende Zchn"/>
    <w:link w:val="AufzhlungEnde"/>
    <w:qFormat/>
    <w:rsid w:val="001413CE"/>
    <w:rPr>
      <w:rFonts w:ascii="Calibri Light" w:eastAsia="Times New Roman" w:hAnsi="Calibri Light" w:cs="Times New Roman"/>
      <w:sz w:val="21"/>
      <w:szCs w:val="20"/>
      <w:lang w:val="de-AT" w:eastAsia="de-DE"/>
    </w:rPr>
  </w:style>
  <w:style w:type="character" w:styleId="Hyperlink">
    <w:name w:val="Hyperlink"/>
    <w:basedOn w:val="DefaultParagraphFont"/>
    <w:uiPriority w:val="99"/>
    <w:rsid w:val="00FB3AC3"/>
    <w:rPr>
      <w:color w:val="0000FF"/>
      <w:u w:val="single"/>
    </w:rPr>
  </w:style>
  <w:style w:type="paragraph" w:styleId="FootnoteText">
    <w:name w:val="footnote text"/>
    <w:aliases w:val="FOOTNOTES,fn,single space,Footnote Text Char1,Footnote Text Char Char,Char,Char Char,Char Char Char Char,Char Char Char Char Char Char,Char Char21,Char Char211,Footnote Text Char Char Char Char Char,ft,Fußnote,Nbpage Moens,footnote text"/>
    <w:basedOn w:val="Normal"/>
    <w:link w:val="FootnoteTextChar"/>
    <w:uiPriority w:val="99"/>
    <w:qFormat/>
    <w:rsid w:val="00FB3AC3"/>
    <w:pPr>
      <w:spacing w:after="240" w:line="280" w:lineRule="atLeast"/>
    </w:pPr>
    <w:rPr>
      <w:rFonts w:ascii="Trebuchet MS" w:eastAsia="Times New Roman" w:hAnsi="Trebuchet MS" w:cs="Times New Roman"/>
      <w:sz w:val="20"/>
      <w:szCs w:val="20"/>
      <w:lang w:val="en-NZ"/>
    </w:rPr>
  </w:style>
  <w:style w:type="character" w:customStyle="1" w:styleId="FootnoteTextChar">
    <w:name w:val="Footnote Text Char"/>
    <w:aliases w:val="FOOTNOTES Char,fn Char,single space Char,Footnote Text Char1 Char,Footnote Text Char Char Char,Char Char1,Char Char Char,Char Char Char Char Char,Char Char Char Char Char Char Char,Char Char21 Char,Char Char211 Char,ft Char"/>
    <w:basedOn w:val="DefaultParagraphFont"/>
    <w:link w:val="FootnoteText"/>
    <w:uiPriority w:val="99"/>
    <w:rsid w:val="00FB3AC3"/>
    <w:rPr>
      <w:rFonts w:ascii="Trebuchet MS" w:eastAsia="Times New Roman" w:hAnsi="Trebuchet MS" w:cs="Times New Roman"/>
      <w:sz w:val="20"/>
      <w:szCs w:val="20"/>
      <w:lang w:val="en-NZ"/>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16 Point,ftref"/>
    <w:basedOn w:val="DefaultParagraphFont"/>
    <w:link w:val="BVIfnrCarattereCharCharCharCarattereCharCharCharCharCharChar1CharCharCharCarattereChar"/>
    <w:uiPriority w:val="99"/>
    <w:qFormat/>
    <w:rsid w:val="00FB3AC3"/>
    <w:rPr>
      <w:rFonts w:ascii="Trebuchet MS" w:hAnsi="Trebuchet MS"/>
      <w:sz w:val="16"/>
      <w:szCs w:val="16"/>
      <w:vertAlign w:val="superscript"/>
    </w:rPr>
  </w:style>
  <w:style w:type="paragraph" w:styleId="ListParagraph">
    <w:name w:val="List Paragraph"/>
    <w:aliases w:val="Reference 2,Bullets,List Bullet-OpsManual,References,Title Style 1,List Paragraph nowy,List Paragraph (numbered (a)),Liste 1,ANNEX,List Paragraph1,List Paragraph2,Ha,Paragraphe  revu,Figures,Numbered List Paragraph,List Bullet Mary,lp1,b1"/>
    <w:basedOn w:val="Normal"/>
    <w:link w:val="ListParagraphChar"/>
    <w:uiPriority w:val="34"/>
    <w:qFormat/>
    <w:rsid w:val="00FB3AC3"/>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Reference 2 Char,Bullets Char,List Bullet-OpsManual Char,References Char,Title Style 1 Char,List Paragraph nowy Char,List Paragraph (numbered (a)) Char,Liste 1 Char,ANNEX Char,List Paragraph1 Char,List Paragraph2 Char,Ha Char,b1 Char"/>
    <w:basedOn w:val="DefaultParagraphFont"/>
    <w:link w:val="ListParagraph"/>
    <w:uiPriority w:val="34"/>
    <w:qFormat/>
    <w:locked/>
    <w:rsid w:val="00FB3AC3"/>
    <w:rPr>
      <w:rFonts w:ascii="Times New Roman" w:eastAsia="Times New Roman" w:hAnsi="Times New Roman" w:cs="Times New Roman"/>
      <w:sz w:val="24"/>
      <w:szCs w:val="24"/>
      <w:lang w:val="en-GB"/>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FB3AC3"/>
    <w:pPr>
      <w:spacing w:before="120" w:line="240" w:lineRule="exact"/>
      <w:jc w:val="both"/>
    </w:pPr>
    <w:rPr>
      <w:rFonts w:ascii="Trebuchet MS" w:hAnsi="Trebuchet MS"/>
      <w:sz w:val="16"/>
      <w:szCs w:val="16"/>
      <w:vertAlign w:val="superscript"/>
    </w:rPr>
  </w:style>
  <w:style w:type="character" w:customStyle="1" w:styleId="ParagraphOEDChar">
    <w:name w:val="Paragraph  OED Char"/>
    <w:link w:val="ParagraphOED"/>
    <w:uiPriority w:val="99"/>
    <w:locked/>
    <w:rsid w:val="00FB3AC3"/>
    <w:rPr>
      <w:rFonts w:ascii="Segoe UI" w:hAnsi="Segoe UI" w:cs="Segoe UI"/>
      <w:sz w:val="21"/>
      <w:szCs w:val="21"/>
      <w:lang w:val="fr-FR"/>
    </w:rPr>
  </w:style>
  <w:style w:type="paragraph" w:customStyle="1" w:styleId="ParagraphOED">
    <w:name w:val="Paragraph  OED"/>
    <w:link w:val="ParagraphOEDChar"/>
    <w:uiPriority w:val="99"/>
    <w:qFormat/>
    <w:rsid w:val="00FB3AC3"/>
    <w:pPr>
      <w:numPr>
        <w:numId w:val="2"/>
      </w:numPr>
      <w:spacing w:before="120" w:after="240" w:line="240" w:lineRule="auto"/>
      <w:jc w:val="both"/>
    </w:pPr>
    <w:rPr>
      <w:rFonts w:ascii="Segoe UI" w:hAnsi="Segoe UI" w:cs="Segoe UI"/>
      <w:sz w:val="21"/>
      <w:szCs w:val="21"/>
      <w:lang w:val="fr-FR"/>
    </w:rPr>
  </w:style>
  <w:style w:type="character" w:customStyle="1" w:styleId="Heading1Char">
    <w:name w:val="Heading 1 Char"/>
    <w:basedOn w:val="DefaultParagraphFont"/>
    <w:link w:val="Heading1"/>
    <w:rsid w:val="00EC7DB7"/>
    <w:rPr>
      <w:rFonts w:ascii="Calibri" w:eastAsia="Times New Roman" w:hAnsi="Calibri" w:cs="Arial"/>
      <w:color w:val="0060A9"/>
      <w:kern w:val="32"/>
      <w:sz w:val="24"/>
      <w:szCs w:val="32"/>
      <w:lang w:val="en-GB" w:eastAsia="de-DE"/>
    </w:rPr>
  </w:style>
  <w:style w:type="character" w:customStyle="1" w:styleId="Heading2Char">
    <w:name w:val="Heading 2 Char"/>
    <w:basedOn w:val="DefaultParagraphFont"/>
    <w:link w:val="Heading2"/>
    <w:rsid w:val="00EC7DB7"/>
    <w:rPr>
      <w:rFonts w:ascii="Calibri" w:eastAsia="Times New Roman" w:hAnsi="Calibri" w:cs="Times New Roman"/>
      <w:szCs w:val="28"/>
      <w:lang w:val="en-GB" w:eastAsia="de-DE"/>
    </w:rPr>
  </w:style>
  <w:style w:type="character" w:customStyle="1" w:styleId="Heading3Char">
    <w:name w:val="Heading 3 Char"/>
    <w:basedOn w:val="DefaultParagraphFont"/>
    <w:link w:val="Heading3"/>
    <w:rsid w:val="00EC7DB7"/>
    <w:rPr>
      <w:rFonts w:ascii="Calibri" w:eastAsia="Times New Roman" w:hAnsi="Calibri" w:cs="Arial"/>
      <w:sz w:val="21"/>
      <w:szCs w:val="26"/>
      <w:lang w:val="en-GB" w:eastAsia="de-DE"/>
    </w:rPr>
  </w:style>
  <w:style w:type="character" w:customStyle="1" w:styleId="Heading4Char">
    <w:name w:val="Heading 4 Char"/>
    <w:basedOn w:val="DefaultParagraphFont"/>
    <w:link w:val="Heading4"/>
    <w:rsid w:val="00EC7DB7"/>
    <w:rPr>
      <w:rFonts w:ascii="Calibri" w:eastAsia="Times New Roman" w:hAnsi="Calibri" w:cs="Times New Roman"/>
      <w:sz w:val="21"/>
      <w:szCs w:val="28"/>
      <w:lang w:val="de-AT" w:eastAsia="de-DE"/>
    </w:rPr>
  </w:style>
  <w:style w:type="paragraph" w:customStyle="1" w:styleId="Tabelle">
    <w:name w:val="Tabelle"/>
    <w:basedOn w:val="Normal"/>
    <w:link w:val="TabelleZchn"/>
    <w:qFormat/>
    <w:rsid w:val="00EC7DB7"/>
    <w:pPr>
      <w:spacing w:before="40" w:after="40" w:line="240" w:lineRule="auto"/>
    </w:pPr>
    <w:rPr>
      <w:rFonts w:ascii="Calibri Light" w:eastAsia="Times New Roman" w:hAnsi="Calibri Light" w:cs="Arial"/>
      <w:sz w:val="18"/>
      <w:szCs w:val="20"/>
      <w:lang w:val="de-AT" w:eastAsia="de-DE"/>
    </w:rPr>
  </w:style>
  <w:style w:type="paragraph" w:customStyle="1" w:styleId="BeschriftungTab">
    <w:name w:val="Beschriftung_Tab"/>
    <w:basedOn w:val="Caption"/>
    <w:next w:val="Normal"/>
    <w:qFormat/>
    <w:rsid w:val="00EC7DB7"/>
    <w:pPr>
      <w:keepNext/>
      <w:spacing w:before="120" w:after="120"/>
      <w:ind w:left="851" w:hanging="851"/>
    </w:pPr>
    <w:rPr>
      <w:rFonts w:ascii="Calibri" w:eastAsia="Times New Roman" w:hAnsi="Calibri" w:cs="Times New Roman"/>
      <w:bCs/>
      <w:i w:val="0"/>
      <w:iCs w:val="0"/>
      <w:color w:val="auto"/>
      <w:szCs w:val="16"/>
      <w:lang w:val="en-GB" w:eastAsia="de-DE"/>
    </w:rPr>
  </w:style>
  <w:style w:type="paragraph" w:customStyle="1" w:styleId="Aufzhlung2">
    <w:name w:val="Aufzählung 2"/>
    <w:basedOn w:val="Normal"/>
    <w:qFormat/>
    <w:rsid w:val="00EC7DB7"/>
    <w:pPr>
      <w:numPr>
        <w:numId w:val="5"/>
      </w:numPr>
      <w:tabs>
        <w:tab w:val="left" w:pos="851"/>
      </w:tabs>
      <w:spacing w:after="60" w:line="280" w:lineRule="atLeast"/>
      <w:ind w:left="851" w:hanging="284"/>
      <w:jc w:val="both"/>
    </w:pPr>
    <w:rPr>
      <w:rFonts w:ascii="Calibri Light" w:eastAsia="Times New Roman" w:hAnsi="Calibri Light" w:cs="Times New Roman"/>
      <w:sz w:val="21"/>
      <w:szCs w:val="20"/>
      <w:lang w:val="de-AT" w:eastAsia="de-DE"/>
    </w:rPr>
  </w:style>
  <w:style w:type="character" w:customStyle="1" w:styleId="TabelleZchn">
    <w:name w:val="Tabelle Zchn"/>
    <w:basedOn w:val="DefaultParagraphFont"/>
    <w:link w:val="Tabelle"/>
    <w:rsid w:val="00EC7DB7"/>
    <w:rPr>
      <w:rFonts w:ascii="Calibri Light" w:eastAsia="Times New Roman" w:hAnsi="Calibri Light" w:cs="Arial"/>
      <w:sz w:val="18"/>
      <w:szCs w:val="20"/>
      <w:lang w:val="de-AT" w:eastAsia="de-DE"/>
    </w:rPr>
  </w:style>
  <w:style w:type="table" w:customStyle="1" w:styleId="TableGrid1">
    <w:name w:val="Table Grid1"/>
    <w:basedOn w:val="TableNormal"/>
    <w:next w:val="TableGrid"/>
    <w:uiPriority w:val="39"/>
    <w:rsid w:val="00EC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C7DB7"/>
    <w:pPr>
      <w:spacing w:after="200" w:line="240" w:lineRule="auto"/>
    </w:pPr>
    <w:rPr>
      <w:i/>
      <w:iCs/>
      <w:color w:val="44546A" w:themeColor="text2"/>
      <w:sz w:val="18"/>
      <w:szCs w:val="18"/>
    </w:rPr>
  </w:style>
  <w:style w:type="table" w:styleId="TableGrid">
    <w:name w:val="Table Grid"/>
    <w:basedOn w:val="TableNormal"/>
    <w:uiPriority w:val="39"/>
    <w:rsid w:val="00EC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01B87"/>
    <w:pPr>
      <w:spacing w:after="0" w:line="240" w:lineRule="auto"/>
    </w:pPr>
    <w:rPr>
      <w:rFonts w:eastAsiaTheme="minorEastAsia"/>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252A22"/>
    <w:rPr>
      <w:sz w:val="16"/>
      <w:szCs w:val="16"/>
    </w:rPr>
  </w:style>
  <w:style w:type="paragraph" w:styleId="CommentText">
    <w:name w:val="annotation text"/>
    <w:basedOn w:val="Normal"/>
    <w:link w:val="CommentTextChar"/>
    <w:uiPriority w:val="99"/>
    <w:semiHidden/>
    <w:unhideWhenUsed/>
    <w:rsid w:val="00252A22"/>
    <w:pPr>
      <w:spacing w:line="240" w:lineRule="auto"/>
    </w:pPr>
    <w:rPr>
      <w:sz w:val="20"/>
      <w:szCs w:val="20"/>
    </w:rPr>
  </w:style>
  <w:style w:type="character" w:customStyle="1" w:styleId="CommentTextChar">
    <w:name w:val="Comment Text Char"/>
    <w:basedOn w:val="DefaultParagraphFont"/>
    <w:link w:val="CommentText"/>
    <w:uiPriority w:val="99"/>
    <w:semiHidden/>
    <w:rsid w:val="00252A22"/>
    <w:rPr>
      <w:sz w:val="20"/>
      <w:szCs w:val="20"/>
    </w:rPr>
  </w:style>
  <w:style w:type="paragraph" w:styleId="CommentSubject">
    <w:name w:val="annotation subject"/>
    <w:basedOn w:val="CommentText"/>
    <w:next w:val="CommentText"/>
    <w:link w:val="CommentSubjectChar"/>
    <w:uiPriority w:val="99"/>
    <w:semiHidden/>
    <w:unhideWhenUsed/>
    <w:rsid w:val="00252A22"/>
    <w:rPr>
      <w:b/>
      <w:bCs/>
    </w:rPr>
  </w:style>
  <w:style w:type="character" w:customStyle="1" w:styleId="CommentSubjectChar">
    <w:name w:val="Comment Subject Char"/>
    <w:basedOn w:val="CommentTextChar"/>
    <w:link w:val="CommentSubject"/>
    <w:uiPriority w:val="99"/>
    <w:semiHidden/>
    <w:rsid w:val="00252A22"/>
    <w:rPr>
      <w:b/>
      <w:bCs/>
      <w:sz w:val="20"/>
      <w:szCs w:val="20"/>
    </w:rPr>
  </w:style>
  <w:style w:type="paragraph" w:styleId="TOCHeading">
    <w:name w:val="TOC Heading"/>
    <w:basedOn w:val="Heading1"/>
    <w:next w:val="Normal"/>
    <w:uiPriority w:val="39"/>
    <w:unhideWhenUsed/>
    <w:qFormat/>
    <w:rsid w:val="005D578D"/>
    <w:pPr>
      <w:keepLines/>
      <w:numPr>
        <w:numId w:val="0"/>
      </w:numPr>
      <w:suppressAutoHyphens w:val="0"/>
      <w:spacing w:before="240" w:after="0" w:line="259" w:lineRule="auto"/>
      <w:outlineLvl w:val="9"/>
    </w:pPr>
    <w:rPr>
      <w:rFonts w:asciiTheme="majorHAnsi" w:eastAsiaTheme="majorEastAsia" w:hAnsiTheme="majorHAnsi" w:cstheme="majorBidi"/>
      <w:color w:val="2F5496" w:themeColor="accent1" w:themeShade="BF"/>
      <w:kern w:val="0"/>
      <w:sz w:val="32"/>
      <w:lang w:val="en-US" w:eastAsia="en-US"/>
    </w:rPr>
  </w:style>
  <w:style w:type="paragraph" w:styleId="TOC1">
    <w:name w:val="toc 1"/>
    <w:basedOn w:val="Normal"/>
    <w:next w:val="Normal"/>
    <w:autoRedefine/>
    <w:uiPriority w:val="39"/>
    <w:unhideWhenUsed/>
    <w:rsid w:val="005D578D"/>
    <w:pPr>
      <w:spacing w:after="100"/>
    </w:pPr>
  </w:style>
  <w:style w:type="paragraph" w:styleId="TOC2">
    <w:name w:val="toc 2"/>
    <w:basedOn w:val="Normal"/>
    <w:next w:val="Normal"/>
    <w:autoRedefine/>
    <w:uiPriority w:val="39"/>
    <w:unhideWhenUsed/>
    <w:rsid w:val="005D578D"/>
    <w:pPr>
      <w:spacing w:after="100"/>
      <w:ind w:left="220"/>
    </w:pPr>
  </w:style>
  <w:style w:type="paragraph" w:styleId="TOC3">
    <w:name w:val="toc 3"/>
    <w:basedOn w:val="Normal"/>
    <w:next w:val="Normal"/>
    <w:autoRedefine/>
    <w:uiPriority w:val="39"/>
    <w:unhideWhenUsed/>
    <w:rsid w:val="00A40ADB"/>
    <w:pPr>
      <w:spacing w:after="100"/>
      <w:ind w:left="440"/>
    </w:pPr>
  </w:style>
  <w:style w:type="paragraph" w:styleId="TableofFigures">
    <w:name w:val="table of figures"/>
    <w:basedOn w:val="Normal"/>
    <w:next w:val="Normal"/>
    <w:uiPriority w:val="99"/>
    <w:unhideWhenUsed/>
    <w:rsid w:val="002139B3"/>
    <w:pPr>
      <w:spacing w:after="0"/>
    </w:pPr>
  </w:style>
  <w:style w:type="paragraph" w:customStyle="1" w:styleId="Auftraggeber">
    <w:name w:val="Auftraggeber"/>
    <w:basedOn w:val="Normal"/>
    <w:rsid w:val="006312B9"/>
    <w:pPr>
      <w:framePr w:w="4820" w:hSpace="142" w:wrap="notBeside" w:hAnchor="text" w:xAlign="center" w:yAlign="bottom"/>
      <w:tabs>
        <w:tab w:val="left" w:pos="1418"/>
        <w:tab w:val="left" w:pos="2835"/>
        <w:tab w:val="left" w:pos="4253"/>
        <w:tab w:val="left" w:pos="5670"/>
        <w:tab w:val="left" w:pos="7088"/>
        <w:tab w:val="right" w:pos="8505"/>
      </w:tabs>
      <w:spacing w:after="0" w:line="240" w:lineRule="auto"/>
    </w:pPr>
    <w:rPr>
      <w:rFonts w:ascii="Calibri Light" w:eastAsia="Times New Roman" w:hAnsi="Calibri Light" w:cs="Arial"/>
      <w:sz w:val="21"/>
      <w:szCs w:val="20"/>
      <w:lang w:val="en-GB" w:eastAsia="de-DE"/>
    </w:rPr>
  </w:style>
  <w:style w:type="paragraph" w:styleId="Title">
    <w:name w:val="Title"/>
    <w:basedOn w:val="Normal"/>
    <w:next w:val="Normal"/>
    <w:link w:val="TitleChar"/>
    <w:qFormat/>
    <w:rsid w:val="006312B9"/>
    <w:pPr>
      <w:spacing w:after="360" w:line="280" w:lineRule="atLeast"/>
    </w:pPr>
    <w:rPr>
      <w:rFonts w:ascii="Calibri" w:eastAsia="Times New Roman" w:hAnsi="Calibri" w:cs="Times New Roman"/>
      <w:color w:val="0060A9"/>
      <w:sz w:val="36"/>
      <w:szCs w:val="20"/>
      <w:lang w:val="en-GB" w:eastAsia="de-DE"/>
    </w:rPr>
  </w:style>
  <w:style w:type="character" w:customStyle="1" w:styleId="TitleChar">
    <w:name w:val="Title Char"/>
    <w:basedOn w:val="DefaultParagraphFont"/>
    <w:link w:val="Title"/>
    <w:rsid w:val="006312B9"/>
    <w:rPr>
      <w:rFonts w:ascii="Calibri" w:eastAsia="Times New Roman" w:hAnsi="Calibri" w:cs="Times New Roman"/>
      <w:color w:val="0060A9"/>
      <w:sz w:val="36"/>
      <w:szCs w:val="20"/>
      <w:lang w:val="en-GB" w:eastAsia="de-DE"/>
    </w:rPr>
  </w:style>
  <w:style w:type="paragraph" w:customStyle="1" w:styleId="Status">
    <w:name w:val="Status"/>
    <w:basedOn w:val="Normal"/>
    <w:qFormat/>
    <w:rsid w:val="006312B9"/>
    <w:pPr>
      <w:spacing w:after="360" w:line="280" w:lineRule="atLeast"/>
    </w:pPr>
    <w:rPr>
      <w:rFonts w:ascii="Calibri" w:eastAsia="Times New Roman" w:hAnsi="Calibri" w:cs="Times New Roman"/>
      <w:iCs/>
      <w:sz w:val="24"/>
      <w:szCs w:val="20"/>
      <w:lang w:val="en-GB" w:eastAsia="de-DE"/>
    </w:rPr>
  </w:style>
  <w:style w:type="paragraph" w:customStyle="1" w:styleId="Berichtsdatum">
    <w:name w:val="Berichtsdatum"/>
    <w:basedOn w:val="Normal"/>
    <w:qFormat/>
    <w:rsid w:val="006312B9"/>
    <w:pPr>
      <w:spacing w:after="240" w:line="280" w:lineRule="atLeast"/>
    </w:pPr>
    <w:rPr>
      <w:rFonts w:ascii="Calibri" w:eastAsia="Times New Roman" w:hAnsi="Calibri" w:cs="Times New Roman"/>
      <w:iCs/>
      <w:sz w:val="21"/>
      <w:szCs w:val="20"/>
      <w:lang w:val="en-GB" w:eastAsia="de-DE"/>
    </w:rPr>
  </w:style>
  <w:style w:type="paragraph" w:styleId="Subtitle">
    <w:name w:val="Subtitle"/>
    <w:basedOn w:val="Normal"/>
    <w:next w:val="Normal"/>
    <w:link w:val="SubtitleChar"/>
    <w:uiPriority w:val="11"/>
    <w:qFormat/>
    <w:rsid w:val="006312B9"/>
    <w:pPr>
      <w:spacing w:after="360" w:line="280" w:lineRule="atLeast"/>
    </w:pPr>
    <w:rPr>
      <w:rFonts w:ascii="Calibri" w:eastAsia="Times New Roman" w:hAnsi="Calibri" w:cs="Times New Roman"/>
      <w:sz w:val="28"/>
      <w:szCs w:val="20"/>
      <w:lang w:val="en-GB" w:eastAsia="de-DE"/>
    </w:rPr>
  </w:style>
  <w:style w:type="character" w:customStyle="1" w:styleId="SubtitleChar">
    <w:name w:val="Subtitle Char"/>
    <w:basedOn w:val="DefaultParagraphFont"/>
    <w:link w:val="Subtitle"/>
    <w:uiPriority w:val="11"/>
    <w:rsid w:val="006312B9"/>
    <w:rPr>
      <w:rFonts w:ascii="Calibri" w:eastAsia="Times New Roman" w:hAnsi="Calibri" w:cs="Times New Roman"/>
      <w:sz w:val="28"/>
      <w:szCs w:val="20"/>
      <w:lang w:val="en-GB" w:eastAsia="de-DE"/>
    </w:rPr>
  </w:style>
  <w:style w:type="paragraph" w:styleId="BodyText">
    <w:name w:val="Body Text"/>
    <w:basedOn w:val="Normal"/>
    <w:link w:val="BodyTextChar"/>
    <w:uiPriority w:val="99"/>
    <w:semiHidden/>
    <w:rsid w:val="00E56BE3"/>
    <w:pPr>
      <w:spacing w:after="0" w:line="240" w:lineRule="auto"/>
      <w:ind w:left="720" w:hanging="360"/>
      <w:jc w:val="both"/>
    </w:pPr>
    <w:rPr>
      <w:rFonts w:ascii="Arial" w:eastAsia="Times New Roman" w:hAnsi="Arial" w:cs="Arial"/>
      <w:color w:val="000000"/>
      <w:lang w:val="sr-Latn-CS"/>
    </w:rPr>
  </w:style>
  <w:style w:type="character" w:customStyle="1" w:styleId="BodyTextChar">
    <w:name w:val="Body Text Char"/>
    <w:basedOn w:val="DefaultParagraphFont"/>
    <w:link w:val="BodyText"/>
    <w:uiPriority w:val="99"/>
    <w:semiHidden/>
    <w:rsid w:val="00E56BE3"/>
    <w:rPr>
      <w:rFonts w:ascii="Arial" w:eastAsia="Times New Roman" w:hAnsi="Arial" w:cs="Arial"/>
      <w:color w:val="000000"/>
      <w:lang w:val="sr-Latn-CS"/>
    </w:rPr>
  </w:style>
  <w:style w:type="paragraph" w:styleId="NoSpacing">
    <w:name w:val="No Spacing"/>
    <w:uiPriority w:val="1"/>
    <w:qFormat/>
    <w:rsid w:val="00E56BE3"/>
    <w:pPr>
      <w:spacing w:after="0" w:line="240" w:lineRule="auto"/>
      <w:ind w:left="720" w:hanging="360"/>
      <w:jc w:val="both"/>
    </w:pPr>
    <w:rPr>
      <w:rFonts w:ascii="Calibri" w:eastAsia="Times New Roman" w:hAnsi="Calibri" w:cs="Times New Roman"/>
      <w:lang w:val="en-US"/>
    </w:rPr>
  </w:style>
  <w:style w:type="paragraph" w:customStyle="1" w:styleId="BodyText23">
    <w:name w:val="Body Text 23"/>
    <w:basedOn w:val="Normal"/>
    <w:rsid w:val="00E56BE3"/>
    <w:pPr>
      <w:widowControl w:val="0"/>
      <w:tabs>
        <w:tab w:val="left" w:pos="547"/>
      </w:tabs>
      <w:spacing w:after="0" w:line="240" w:lineRule="auto"/>
      <w:ind w:left="720" w:hanging="360"/>
      <w:jc w:val="both"/>
    </w:pPr>
    <w:rPr>
      <w:rFonts w:ascii="Times New Roman" w:eastAsia="Times New Roman" w:hAnsi="Times New Roman" w:cs="Times New Roman"/>
      <w:snapToGrid w:val="0"/>
      <w:szCs w:val="20"/>
      <w:lang w:val="en-GB"/>
    </w:rPr>
  </w:style>
  <w:style w:type="character" w:styleId="UnresolvedMention">
    <w:name w:val="Unresolved Mention"/>
    <w:basedOn w:val="DefaultParagraphFont"/>
    <w:uiPriority w:val="99"/>
    <w:semiHidden/>
    <w:unhideWhenUsed/>
    <w:rsid w:val="00176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302">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80543974">
      <w:bodyDiv w:val="1"/>
      <w:marLeft w:val="0"/>
      <w:marRight w:val="0"/>
      <w:marTop w:val="0"/>
      <w:marBottom w:val="0"/>
      <w:divBdr>
        <w:top w:val="none" w:sz="0" w:space="0" w:color="auto"/>
        <w:left w:val="none" w:sz="0" w:space="0" w:color="auto"/>
        <w:bottom w:val="none" w:sz="0" w:space="0" w:color="auto"/>
        <w:right w:val="none" w:sz="0" w:space="0" w:color="auto"/>
      </w:divBdr>
    </w:div>
    <w:div w:id="825249135">
      <w:bodyDiv w:val="1"/>
      <w:marLeft w:val="0"/>
      <w:marRight w:val="0"/>
      <w:marTop w:val="0"/>
      <w:marBottom w:val="0"/>
      <w:divBdr>
        <w:top w:val="none" w:sz="0" w:space="0" w:color="auto"/>
        <w:left w:val="none" w:sz="0" w:space="0" w:color="auto"/>
        <w:bottom w:val="none" w:sz="0" w:space="0" w:color="auto"/>
        <w:right w:val="none" w:sz="0" w:space="0" w:color="auto"/>
      </w:divBdr>
    </w:div>
    <w:div w:id="829247045">
      <w:bodyDiv w:val="1"/>
      <w:marLeft w:val="0"/>
      <w:marRight w:val="0"/>
      <w:marTop w:val="0"/>
      <w:marBottom w:val="0"/>
      <w:divBdr>
        <w:top w:val="none" w:sz="0" w:space="0" w:color="auto"/>
        <w:left w:val="none" w:sz="0" w:space="0" w:color="auto"/>
        <w:bottom w:val="none" w:sz="0" w:space="0" w:color="auto"/>
        <w:right w:val="none" w:sz="0" w:space="0" w:color="auto"/>
      </w:divBdr>
    </w:div>
    <w:div w:id="1013264825">
      <w:bodyDiv w:val="1"/>
      <w:marLeft w:val="0"/>
      <w:marRight w:val="0"/>
      <w:marTop w:val="0"/>
      <w:marBottom w:val="0"/>
      <w:divBdr>
        <w:top w:val="none" w:sz="0" w:space="0" w:color="auto"/>
        <w:left w:val="none" w:sz="0" w:space="0" w:color="auto"/>
        <w:bottom w:val="none" w:sz="0" w:space="0" w:color="auto"/>
        <w:right w:val="none" w:sz="0" w:space="0" w:color="auto"/>
      </w:divBdr>
    </w:div>
    <w:div w:id="1134564802">
      <w:bodyDiv w:val="1"/>
      <w:marLeft w:val="0"/>
      <w:marRight w:val="0"/>
      <w:marTop w:val="0"/>
      <w:marBottom w:val="0"/>
      <w:divBdr>
        <w:top w:val="none" w:sz="0" w:space="0" w:color="auto"/>
        <w:left w:val="none" w:sz="0" w:space="0" w:color="auto"/>
        <w:bottom w:val="none" w:sz="0" w:space="0" w:color="auto"/>
        <w:right w:val="none" w:sz="0" w:space="0" w:color="auto"/>
      </w:divBdr>
    </w:div>
    <w:div w:id="1219047458">
      <w:bodyDiv w:val="1"/>
      <w:marLeft w:val="0"/>
      <w:marRight w:val="0"/>
      <w:marTop w:val="0"/>
      <w:marBottom w:val="0"/>
      <w:divBdr>
        <w:top w:val="none" w:sz="0" w:space="0" w:color="auto"/>
        <w:left w:val="none" w:sz="0" w:space="0" w:color="auto"/>
        <w:bottom w:val="none" w:sz="0" w:space="0" w:color="auto"/>
        <w:right w:val="none" w:sz="0" w:space="0" w:color="auto"/>
      </w:divBdr>
    </w:div>
    <w:div w:id="1515998550">
      <w:bodyDiv w:val="1"/>
      <w:marLeft w:val="0"/>
      <w:marRight w:val="0"/>
      <w:marTop w:val="0"/>
      <w:marBottom w:val="0"/>
      <w:divBdr>
        <w:top w:val="none" w:sz="0" w:space="0" w:color="auto"/>
        <w:left w:val="none" w:sz="0" w:space="0" w:color="auto"/>
        <w:bottom w:val="none" w:sz="0" w:space="0" w:color="auto"/>
        <w:right w:val="none" w:sz="0" w:space="0" w:color="auto"/>
      </w:divBdr>
      <w:divsChild>
        <w:div w:id="1057164771">
          <w:marLeft w:val="0"/>
          <w:marRight w:val="0"/>
          <w:marTop w:val="0"/>
          <w:marBottom w:val="0"/>
          <w:divBdr>
            <w:top w:val="none" w:sz="0" w:space="0" w:color="auto"/>
            <w:left w:val="none" w:sz="0" w:space="0" w:color="auto"/>
            <w:bottom w:val="none" w:sz="0" w:space="0" w:color="auto"/>
            <w:right w:val="none" w:sz="0" w:space="0" w:color="auto"/>
          </w:divBdr>
          <w:divsChild>
            <w:div w:id="768044542">
              <w:marLeft w:val="0"/>
              <w:marRight w:val="0"/>
              <w:marTop w:val="0"/>
              <w:marBottom w:val="0"/>
              <w:divBdr>
                <w:top w:val="none" w:sz="0" w:space="0" w:color="auto"/>
                <w:left w:val="none" w:sz="0" w:space="0" w:color="auto"/>
                <w:bottom w:val="none" w:sz="0" w:space="0" w:color="auto"/>
                <w:right w:val="none" w:sz="0" w:space="0" w:color="auto"/>
              </w:divBdr>
              <w:divsChild>
                <w:div w:id="367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2283">
      <w:bodyDiv w:val="1"/>
      <w:marLeft w:val="0"/>
      <w:marRight w:val="0"/>
      <w:marTop w:val="0"/>
      <w:marBottom w:val="0"/>
      <w:divBdr>
        <w:top w:val="none" w:sz="0" w:space="0" w:color="auto"/>
        <w:left w:val="none" w:sz="0" w:space="0" w:color="auto"/>
        <w:bottom w:val="none" w:sz="0" w:space="0" w:color="auto"/>
        <w:right w:val="none" w:sz="0" w:space="0" w:color="auto"/>
      </w:divBdr>
    </w:div>
    <w:div w:id="199918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cg.me/slike_i_fajlovi/fajlovi/fajlovi_usagl_posl_zastita_prava/zastita_prava_klijenata/brosure_flajeri/potrosacki_kredit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cg.me/slike_i_fajlovi/fajlovi/fajlovi_usagl_posl_zastita_prava/zastita_prava_klijenata/brosure_flajeri/zastita_klijenata_i_korisnika_finansijskih_uslug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e/dokumenta/01ff49b1-cb7a-43b4-8d58-429d95d993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me/clanak/izvjestaj-o-radu-trzisne-inspekcije-za-april-2025-godin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facebook.com/share/r/18L3M9CGC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mu.me/wp-content/uploads/2022/11/Medijako-thai-digitalno-siklipe-1.pdf" TargetMode="External"/><Relationship Id="rId2" Type="http://schemas.openxmlformats.org/officeDocument/2006/relationships/hyperlink" Target="https://amu.me/wp-content/uploads/2025/01/Analiza-vidljivosti-zena-i-muskaraca-u-centralnim-informativnim-emisijama-nacionalnih-televizija-22.01.2025.pdf" TargetMode="External"/><Relationship Id="rId1" Type="http://schemas.openxmlformats.org/officeDocument/2006/relationships/hyperlink" Target="https://amu.me/wp-content/uploads/2025/01/Analiza-ukljucenosti-ranjivih-drustvenih-grupa-u-TV-programima-sa-nacionalnim-pokrivanjem-24.01.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1A44-E70A-4C7F-A78A-9C53B2CF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23491</Words>
  <Characters>133905</Characters>
  <Application>Microsoft Office Word</Application>
  <DocSecurity>0</DocSecurity>
  <Lines>1115</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Pesic</dc:creator>
  <cp:keywords/>
  <dc:description/>
  <cp:lastModifiedBy>Marko Pesic</cp:lastModifiedBy>
  <cp:revision>2</cp:revision>
  <cp:lastPrinted>2021-07-26T14:14:00Z</cp:lastPrinted>
  <dcterms:created xsi:type="dcterms:W3CDTF">2025-05-30T05:22:00Z</dcterms:created>
  <dcterms:modified xsi:type="dcterms:W3CDTF">2025-05-30T05:22:00Z</dcterms:modified>
</cp:coreProperties>
</file>