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B" w:rsidRPr="00DC4AD1" w:rsidRDefault="007B41C4" w:rsidP="00D61692">
      <w:pPr>
        <w:spacing w:after="0" w:line="240" w:lineRule="auto"/>
        <w:jc w:val="center"/>
        <w:rPr>
          <w:rFonts w:ascii="Cambria" w:hAnsi="Cambria" w:cs="Cambria"/>
          <w:b/>
          <w:bCs/>
          <w:noProof/>
          <w:sz w:val="28"/>
          <w:szCs w:val="28"/>
        </w:rPr>
      </w:pPr>
      <w:r w:rsidRPr="00DC4AD1">
        <w:rPr>
          <w:rFonts w:ascii="Cambria" w:hAnsi="Cambria" w:cs="Cambria"/>
          <w:noProof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0B" w:rsidRPr="00DC4AD1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DC4AD1">
        <w:rPr>
          <w:b/>
          <w:bCs/>
          <w:noProof/>
          <w:sz w:val="28"/>
          <w:szCs w:val="28"/>
        </w:rPr>
        <w:t>CRNA GORA</w:t>
      </w:r>
    </w:p>
    <w:p w:rsidR="0082570B" w:rsidRPr="00DC4AD1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DC4AD1">
        <w:rPr>
          <w:b/>
          <w:bCs/>
          <w:noProof/>
          <w:sz w:val="28"/>
          <w:szCs w:val="28"/>
        </w:rPr>
        <w:t>MINISTARSTVO FINANSIJA</w:t>
      </w:r>
    </w:p>
    <w:p w:rsidR="0082570B" w:rsidRPr="00DC4AD1" w:rsidRDefault="00DC4AD1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DC4AD1">
        <w:rPr>
          <w:b/>
          <w:bCs/>
          <w:noProof/>
          <w:sz w:val="28"/>
          <w:szCs w:val="28"/>
        </w:rPr>
        <w:t>Direktorat</w:t>
      </w:r>
      <w:r w:rsidR="0082570B" w:rsidRPr="00DC4AD1">
        <w:rPr>
          <w:b/>
          <w:bCs/>
          <w:noProof/>
          <w:sz w:val="28"/>
          <w:szCs w:val="28"/>
        </w:rPr>
        <w:t xml:space="preserve"> za ekonomsku politiku i razvoj</w:t>
      </w:r>
    </w:p>
    <w:p w:rsidR="0082570B" w:rsidRPr="00DC4AD1" w:rsidRDefault="0082570B" w:rsidP="00D61692">
      <w:pPr>
        <w:rPr>
          <w:rFonts w:cs="Calibri"/>
          <w:noProof/>
        </w:rPr>
      </w:pPr>
    </w:p>
    <w:p w:rsidR="0082570B" w:rsidRPr="00DC4AD1" w:rsidRDefault="0082570B" w:rsidP="00D61692">
      <w:pPr>
        <w:jc w:val="center"/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DC4AD1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DC4AD1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DC4AD1" w:rsidRDefault="0082570B" w:rsidP="0002564B">
      <w:pPr>
        <w:spacing w:line="240" w:lineRule="auto"/>
        <w:jc w:val="center"/>
        <w:outlineLvl w:val="0"/>
        <w:rPr>
          <w:rFonts w:cs="Calibri"/>
          <w:b/>
          <w:bCs/>
          <w:iCs/>
          <w:noProof/>
          <w:sz w:val="52"/>
          <w:szCs w:val="52"/>
        </w:rPr>
      </w:pPr>
      <w:r w:rsidRPr="00DC4AD1">
        <w:rPr>
          <w:rFonts w:cs="Calibri"/>
          <w:b/>
          <w:bCs/>
          <w:iCs/>
          <w:noProof/>
          <w:sz w:val="52"/>
          <w:szCs w:val="52"/>
        </w:rPr>
        <w:t>MJESEČNI MAKROEKONOMSKI INDIKATORI</w:t>
      </w:r>
    </w:p>
    <w:p w:rsidR="0082570B" w:rsidRPr="00DC4AD1" w:rsidRDefault="0082570B" w:rsidP="0002564B">
      <w:pPr>
        <w:spacing w:line="240" w:lineRule="auto"/>
        <w:jc w:val="center"/>
        <w:outlineLvl w:val="0"/>
        <w:rPr>
          <w:rFonts w:cs="Calibri"/>
          <w:b/>
          <w:bCs/>
          <w:noProof/>
          <w:sz w:val="32"/>
          <w:szCs w:val="32"/>
        </w:rPr>
      </w:pPr>
      <w:r w:rsidRPr="00DC4AD1">
        <w:rPr>
          <w:rFonts w:cs="Calibri"/>
          <w:b/>
          <w:bCs/>
          <w:noProof/>
          <w:sz w:val="32"/>
          <w:szCs w:val="32"/>
        </w:rPr>
        <w:t>Jul 2013.</w:t>
      </w:r>
    </w:p>
    <w:p w:rsidR="0082570B" w:rsidRPr="00DC4AD1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Pr="00DC4AD1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Pr="00DC4AD1" w:rsidRDefault="00EE0167" w:rsidP="00D20CDA">
      <w:pPr>
        <w:spacing w:after="0" w:line="240" w:lineRule="auto"/>
        <w:rPr>
          <w:rFonts w:cs="Calibri"/>
          <w:bCs/>
          <w:noProof/>
          <w:sz w:val="28"/>
          <w:szCs w:val="28"/>
        </w:rPr>
      </w:pPr>
      <w:r w:rsidRPr="00EE0167"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-6.5pt;margin-top:367.6pt;width:234.35pt;height:304.1pt;rotation:-360;z-index:-251657216;mso-position-horizontal-relative:margin;mso-position-vertical-relative:margin" wrapcoords="1315 -107 900 -53 -138 587 -138 20747 277 21227 277 21333 1038 21653 1246 21653 20285 21653 20423 21653 21392 21227 21738 20480 21738 1440 21669 587 20769 0 20285 -107 1315 -107" o:allowincell="f" adj="1739" fillcolor="#943634" strokecolor="#c00000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DC4AD1" w:rsidRDefault="00DC4AD1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3A5C77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DC4AD1" w:rsidRPr="003A5C77" w:rsidRDefault="00DC4AD1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</w:p>
                <w:p w:rsidR="00DC4AD1" w:rsidRDefault="00DC4AD1" w:rsidP="008E3D20">
                  <w:pPr>
                    <w:pStyle w:val="NoSpacing"/>
                    <w:numPr>
                      <w:ilvl w:val="0"/>
                      <w:numId w:val="7"/>
                    </w:numPr>
                    <w:jc w:val="both"/>
                    <w:rPr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</w:pPr>
                  <w:r>
                    <w:rPr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  <w:t>Početak stabilizacije ekonomske aktivnosti u Eurozoni</w:t>
                  </w:r>
                </w:p>
                <w:p w:rsidR="00DC4AD1" w:rsidRDefault="00DC4AD1" w:rsidP="00FD0AB9">
                  <w:pPr>
                    <w:pStyle w:val="NoSpacing"/>
                    <w:jc w:val="both"/>
                    <w:rPr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</w:pPr>
                </w:p>
                <w:p w:rsidR="00DC4AD1" w:rsidRDefault="00DC4AD1" w:rsidP="008E3D20">
                  <w:pPr>
                    <w:pStyle w:val="NoSpacing"/>
                    <w:numPr>
                      <w:ilvl w:val="0"/>
                      <w:numId w:val="6"/>
                    </w:numPr>
                    <w:jc w:val="both"/>
                    <w:rPr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</w:pPr>
                  <w:r>
                    <w:rPr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  <w:t>Rast proizvodnje električ-ne energije i pad proizvodnje metala</w:t>
                  </w:r>
                </w:p>
                <w:p w:rsidR="00DC4AD1" w:rsidRDefault="00DC4AD1" w:rsidP="00787E88">
                  <w:pPr>
                    <w:pStyle w:val="NoSpacing"/>
                    <w:ind w:left="720"/>
                    <w:jc w:val="both"/>
                    <w:rPr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</w:pPr>
                </w:p>
                <w:p w:rsidR="00DC4AD1" w:rsidRDefault="00DC4AD1" w:rsidP="008E3D20">
                  <w:pPr>
                    <w:pStyle w:val="NoSpacing"/>
                    <w:numPr>
                      <w:ilvl w:val="0"/>
                      <w:numId w:val="6"/>
                    </w:numPr>
                    <w:jc w:val="both"/>
                    <w:rPr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</w:pPr>
                  <w:r>
                    <w:rPr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  <w:t>Pad cijena u junu</w:t>
                  </w:r>
                </w:p>
                <w:p w:rsidR="00DC4AD1" w:rsidRDefault="00DC4AD1" w:rsidP="00787E88">
                  <w:pPr>
                    <w:pStyle w:val="NoSpacing"/>
                    <w:jc w:val="both"/>
                    <w:rPr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</w:pPr>
                </w:p>
                <w:p w:rsidR="00DC4AD1" w:rsidRPr="003A5C77" w:rsidRDefault="00DC4AD1" w:rsidP="00787E88">
                  <w:pPr>
                    <w:pStyle w:val="NoSpacing"/>
                    <w:jc w:val="both"/>
                    <w:rPr>
                      <w:b/>
                      <w:bCs/>
                      <w:color w:val="000000"/>
                      <w:sz w:val="32"/>
                      <w:szCs w:val="32"/>
                      <w:lang w:val="pl-PL"/>
                    </w:rPr>
                  </w:pPr>
                </w:p>
              </w:txbxContent>
            </v:textbox>
            <w10:wrap type="tight" anchorx="margin" anchory="margin"/>
          </v:shape>
        </w:pict>
      </w:r>
      <w:r w:rsidR="007B41C4" w:rsidRPr="00DC4AD1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-555625</wp:posOffset>
            </wp:positionH>
            <wp:positionV relativeFrom="paragraph">
              <wp:posOffset>40640</wp:posOffset>
            </wp:positionV>
            <wp:extent cx="5528945" cy="5076190"/>
            <wp:effectExtent l="19050" t="0" r="0" b="0"/>
            <wp:wrapNone/>
            <wp:docPr id="7" name="Picture 5" descr="http://www.mtaconsulting.com/uploads/images/Arrow%20up%20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taconsulting.com/uploads/images/Arrow%20up%20v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507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570B" w:rsidRPr="00DC4AD1" w:rsidRDefault="0082570B" w:rsidP="00D20CDA">
      <w:pPr>
        <w:spacing w:after="0" w:line="240" w:lineRule="auto"/>
        <w:rPr>
          <w:rFonts w:cs="Calibri"/>
          <w:bCs/>
          <w:iCs/>
          <w:noProof/>
          <w:sz w:val="26"/>
          <w:szCs w:val="26"/>
        </w:rPr>
      </w:pPr>
    </w:p>
    <w:p w:rsidR="0082570B" w:rsidRPr="00DC4AD1" w:rsidRDefault="0082570B" w:rsidP="00D61692">
      <w:pPr>
        <w:pStyle w:val="NoSpacing"/>
        <w:rPr>
          <w:bCs/>
          <w:iCs/>
          <w:noProof/>
          <w:sz w:val="26"/>
          <w:szCs w:val="26"/>
        </w:rPr>
      </w:pPr>
    </w:p>
    <w:p w:rsidR="0082570B" w:rsidRPr="00DC4AD1" w:rsidRDefault="0082570B" w:rsidP="00694445">
      <w:pPr>
        <w:pStyle w:val="NoSpacing"/>
        <w:rPr>
          <w:bCs/>
          <w:noProof/>
          <w:sz w:val="28"/>
          <w:szCs w:val="20"/>
        </w:rPr>
      </w:pPr>
    </w:p>
    <w:p w:rsidR="0082570B" w:rsidRPr="00DC4AD1" w:rsidRDefault="0082570B" w:rsidP="003324D9">
      <w:pPr>
        <w:pStyle w:val="NoSpacing"/>
        <w:rPr>
          <w:noProof/>
          <w:sz w:val="32"/>
        </w:rPr>
      </w:pPr>
    </w:p>
    <w:p w:rsidR="0082570B" w:rsidRPr="00DC4AD1" w:rsidRDefault="0082570B" w:rsidP="003324D9">
      <w:pPr>
        <w:pStyle w:val="NoSpacing"/>
        <w:rPr>
          <w:noProof/>
          <w:sz w:val="32"/>
        </w:rPr>
      </w:pPr>
    </w:p>
    <w:p w:rsidR="0082570B" w:rsidRPr="00DC4AD1" w:rsidRDefault="0082570B" w:rsidP="003324D9">
      <w:pPr>
        <w:pStyle w:val="NoSpacing"/>
        <w:rPr>
          <w:noProof/>
        </w:rPr>
      </w:pPr>
    </w:p>
    <w:p w:rsidR="0082570B" w:rsidRPr="00DC4AD1" w:rsidRDefault="0082570B" w:rsidP="003324D9">
      <w:pPr>
        <w:pStyle w:val="NoSpacing"/>
        <w:rPr>
          <w:noProof/>
        </w:rPr>
      </w:pPr>
    </w:p>
    <w:p w:rsidR="0082570B" w:rsidRPr="00DC4AD1" w:rsidRDefault="0082570B" w:rsidP="003324D9">
      <w:pPr>
        <w:pStyle w:val="NoSpacing"/>
        <w:rPr>
          <w:noProof/>
        </w:rPr>
      </w:pPr>
    </w:p>
    <w:p w:rsidR="0082570B" w:rsidRPr="00DC4AD1" w:rsidRDefault="0082570B" w:rsidP="003324D9">
      <w:pPr>
        <w:pStyle w:val="NoSpacing"/>
        <w:rPr>
          <w:noProof/>
        </w:rPr>
      </w:pPr>
    </w:p>
    <w:p w:rsidR="0082570B" w:rsidRPr="00DC4AD1" w:rsidRDefault="0082570B" w:rsidP="003324D9">
      <w:pPr>
        <w:pStyle w:val="NoSpacing"/>
        <w:rPr>
          <w:noProof/>
        </w:rPr>
      </w:pPr>
    </w:p>
    <w:p w:rsidR="0082570B" w:rsidRPr="00DC4AD1" w:rsidRDefault="0082570B" w:rsidP="003324D9">
      <w:pPr>
        <w:pStyle w:val="NoSpacing"/>
        <w:rPr>
          <w:noProof/>
        </w:rPr>
      </w:pPr>
    </w:p>
    <w:p w:rsidR="0082570B" w:rsidRPr="00DC4AD1" w:rsidRDefault="0082570B" w:rsidP="003324D9">
      <w:pPr>
        <w:pStyle w:val="NoSpacing"/>
        <w:rPr>
          <w:noProof/>
        </w:rPr>
      </w:pPr>
    </w:p>
    <w:p w:rsidR="0082570B" w:rsidRPr="00DC4AD1" w:rsidRDefault="0082570B" w:rsidP="003324D9">
      <w:pPr>
        <w:pStyle w:val="NoSpacing"/>
        <w:rPr>
          <w:noProof/>
        </w:rPr>
      </w:pPr>
    </w:p>
    <w:p w:rsidR="0082570B" w:rsidRPr="00DC4AD1" w:rsidRDefault="0082570B" w:rsidP="003324D9">
      <w:pPr>
        <w:pStyle w:val="NoSpacing"/>
        <w:rPr>
          <w:noProof/>
        </w:rPr>
      </w:pPr>
    </w:p>
    <w:p w:rsidR="0082570B" w:rsidRPr="00DC4AD1" w:rsidRDefault="0082570B" w:rsidP="003324D9">
      <w:pPr>
        <w:pStyle w:val="NoSpacing"/>
        <w:rPr>
          <w:noProof/>
        </w:rPr>
      </w:pPr>
    </w:p>
    <w:p w:rsidR="0082570B" w:rsidRPr="00DC4AD1" w:rsidRDefault="0082570B" w:rsidP="003324D9">
      <w:pPr>
        <w:pStyle w:val="NoSpacing"/>
        <w:rPr>
          <w:noProof/>
        </w:rPr>
      </w:pPr>
    </w:p>
    <w:p w:rsidR="0082570B" w:rsidRPr="00DC4AD1" w:rsidRDefault="0082570B" w:rsidP="003324D9">
      <w:pPr>
        <w:pStyle w:val="NoSpacing"/>
        <w:rPr>
          <w:noProof/>
        </w:rPr>
      </w:pPr>
    </w:p>
    <w:p w:rsidR="0082570B" w:rsidRPr="00DC4AD1" w:rsidRDefault="0082570B" w:rsidP="003324D9">
      <w:pPr>
        <w:pStyle w:val="NoSpacing"/>
        <w:rPr>
          <w:noProof/>
        </w:rPr>
      </w:pPr>
    </w:p>
    <w:p w:rsidR="0082570B" w:rsidRPr="00DC4AD1" w:rsidRDefault="0082570B" w:rsidP="003324D9">
      <w:pPr>
        <w:pStyle w:val="NoSpacing"/>
        <w:rPr>
          <w:noProof/>
        </w:rPr>
      </w:pPr>
    </w:p>
    <w:p w:rsidR="0082570B" w:rsidRPr="00DC4AD1" w:rsidRDefault="0082570B" w:rsidP="003324D9">
      <w:pPr>
        <w:pStyle w:val="NoSpacing"/>
        <w:rPr>
          <w:noProof/>
        </w:rPr>
      </w:pPr>
    </w:p>
    <w:p w:rsidR="0082570B" w:rsidRPr="00DC4AD1" w:rsidRDefault="0082570B" w:rsidP="003324D9">
      <w:pPr>
        <w:pStyle w:val="NoSpacing"/>
        <w:rPr>
          <w:noProof/>
        </w:rPr>
      </w:pPr>
    </w:p>
    <w:p w:rsidR="0082570B" w:rsidRPr="00DC4AD1" w:rsidRDefault="0082570B" w:rsidP="003324D9">
      <w:pPr>
        <w:pStyle w:val="NoSpacing"/>
        <w:rPr>
          <w:noProof/>
        </w:rPr>
      </w:pPr>
    </w:p>
    <w:p w:rsidR="0082570B" w:rsidRPr="00DC4AD1" w:rsidRDefault="0082570B" w:rsidP="003324D9">
      <w:pPr>
        <w:pStyle w:val="NoSpacing"/>
        <w:rPr>
          <w:noProof/>
        </w:rPr>
      </w:pPr>
    </w:p>
    <w:p w:rsidR="0082570B" w:rsidRPr="00DC4AD1" w:rsidRDefault="0082570B" w:rsidP="003324D9">
      <w:pPr>
        <w:pStyle w:val="NoSpacing"/>
        <w:rPr>
          <w:noProof/>
        </w:rPr>
      </w:pPr>
    </w:p>
    <w:p w:rsidR="0082570B" w:rsidRPr="00DC4AD1" w:rsidRDefault="0082570B" w:rsidP="003324D9">
      <w:pPr>
        <w:pStyle w:val="NoSpacing"/>
        <w:rPr>
          <w:noProof/>
        </w:rPr>
      </w:pPr>
    </w:p>
    <w:p w:rsidR="0082570B" w:rsidRPr="00DC4AD1" w:rsidRDefault="0082570B" w:rsidP="003324D9">
      <w:pPr>
        <w:pStyle w:val="NoSpacing"/>
        <w:rPr>
          <w:b/>
          <w:bCs/>
          <w:noProof/>
          <w:color w:val="000000"/>
          <w:sz w:val="16"/>
          <w:szCs w:val="16"/>
        </w:rPr>
      </w:pPr>
    </w:p>
    <w:p w:rsidR="0082570B" w:rsidRPr="00DC4AD1" w:rsidRDefault="0082570B" w:rsidP="003324D9">
      <w:pPr>
        <w:pStyle w:val="NoSpacing"/>
        <w:rPr>
          <w:b/>
          <w:bCs/>
          <w:noProof/>
          <w:color w:val="000000"/>
          <w:sz w:val="16"/>
          <w:szCs w:val="16"/>
        </w:rPr>
      </w:pPr>
    </w:p>
    <w:p w:rsidR="0082570B" w:rsidRPr="00DC4AD1" w:rsidRDefault="0082570B" w:rsidP="0002564B">
      <w:pPr>
        <w:pStyle w:val="NoSpacing"/>
        <w:outlineLvl w:val="0"/>
        <w:rPr>
          <w:bCs/>
          <w:noProof/>
          <w:color w:val="000000"/>
          <w:sz w:val="16"/>
          <w:szCs w:val="16"/>
        </w:rPr>
      </w:pPr>
      <w:r w:rsidRPr="00DC4AD1">
        <w:rPr>
          <w:b/>
          <w:bCs/>
          <w:noProof/>
          <w:color w:val="000000"/>
          <w:sz w:val="16"/>
          <w:szCs w:val="16"/>
        </w:rPr>
        <w:t xml:space="preserve">Autori priloga: </w:t>
      </w:r>
      <w:r w:rsidR="002A2CED" w:rsidRPr="00DC4AD1">
        <w:rPr>
          <w:bCs/>
          <w:noProof/>
          <w:color w:val="000000"/>
          <w:sz w:val="16"/>
          <w:szCs w:val="16"/>
        </w:rPr>
        <w:t>Radovan Živković , Radojka Martinović, Olja Tomanović, Stanko Jeknić , Ivana Rašović, Andrija Dmjanović, Marija Novosel i ZdenkaDabović</w:t>
      </w:r>
    </w:p>
    <w:p w:rsidR="0082570B" w:rsidRPr="00DC4AD1" w:rsidRDefault="0082570B" w:rsidP="004F7F71">
      <w:pPr>
        <w:pStyle w:val="NoSpacing"/>
        <w:rPr>
          <w:noProof/>
        </w:rPr>
      </w:pPr>
      <w:r w:rsidRPr="00DC4AD1">
        <w:rPr>
          <w:noProof/>
        </w:rPr>
        <w:br w:type="page"/>
      </w:r>
    </w:p>
    <w:tbl>
      <w:tblPr>
        <w:tblpPr w:leftFromText="180" w:rightFromText="180" w:vertAnchor="text" w:tblpY="1"/>
        <w:tblOverlap w:val="never"/>
        <w:tblW w:w="10740" w:type="dxa"/>
        <w:tblBorders>
          <w:top w:val="thinThickSmallGap" w:sz="18" w:space="0" w:color="auto"/>
          <w:bottom w:val="thinThickSmallGap" w:sz="18" w:space="0" w:color="auto"/>
          <w:insideH w:val="thinThickSmallGap" w:sz="18" w:space="0" w:color="auto"/>
        </w:tblBorders>
        <w:tblLayout w:type="fixed"/>
        <w:tblLook w:val="00A0"/>
      </w:tblPr>
      <w:tblGrid>
        <w:gridCol w:w="7054"/>
        <w:gridCol w:w="3674"/>
        <w:gridCol w:w="12"/>
      </w:tblGrid>
      <w:tr w:rsidR="0082570B" w:rsidRPr="00DC4AD1" w:rsidTr="00547B34">
        <w:trPr>
          <w:gridAfter w:val="1"/>
          <w:wAfter w:w="12" w:type="dxa"/>
        </w:trPr>
        <w:tc>
          <w:tcPr>
            <w:tcW w:w="7054" w:type="dxa"/>
            <w:tcBorders>
              <w:bottom w:val="single" w:sz="4" w:space="0" w:color="auto"/>
            </w:tcBorders>
          </w:tcPr>
          <w:p w:rsidR="0082570B" w:rsidRPr="00DC4AD1" w:rsidRDefault="0082570B" w:rsidP="003A5C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imes New Roman"/>
                <w:b/>
                <w:bCs/>
                <w:noProof/>
                <w:sz w:val="20"/>
                <w:szCs w:val="20"/>
              </w:rPr>
            </w:pPr>
            <w:r w:rsidRPr="00DC4AD1">
              <w:rPr>
                <w:rFonts w:ascii="Cambria" w:hAnsi="Cambria" w:cs="Cambria"/>
                <w:b/>
                <w:bCs/>
                <w:i/>
                <w:iCs/>
                <w:noProof/>
                <w:sz w:val="20"/>
                <w:szCs w:val="20"/>
              </w:rPr>
              <w:lastRenderedPageBreak/>
              <w:br w:type="page"/>
            </w:r>
            <w:bookmarkStart w:id="0" w:name="OLE_LINK3"/>
            <w:r w:rsidRPr="00DC4AD1">
              <w:rPr>
                <w:b/>
                <w:bCs/>
                <w:noProof/>
                <w:sz w:val="20"/>
                <w:szCs w:val="20"/>
              </w:rPr>
              <w:t>Međunarodno okruženje</w:t>
            </w:r>
            <w:bookmarkEnd w:id="0"/>
          </w:p>
        </w:tc>
        <w:tc>
          <w:tcPr>
            <w:tcW w:w="3674" w:type="dxa"/>
            <w:vMerge w:val="restart"/>
            <w:tcBorders>
              <w:bottom w:val="nil"/>
            </w:tcBorders>
          </w:tcPr>
          <w:p w:rsidR="0082570B" w:rsidRPr="00DC4AD1" w:rsidRDefault="00547B34" w:rsidP="007B41C4">
            <w:pPr>
              <w:spacing w:after="0" w:line="240" w:lineRule="auto"/>
              <w:rPr>
                <w:noProof/>
                <w:sz w:val="14"/>
                <w:szCs w:val="14"/>
              </w:rPr>
            </w:pPr>
            <w:r w:rsidRPr="00DC4AD1">
              <w:rPr>
                <w:noProof/>
                <w:sz w:val="14"/>
                <w:szCs w:val="14"/>
              </w:rPr>
              <w:drawing>
                <wp:inline distT="0" distB="0" distL="0" distR="0">
                  <wp:extent cx="2246478" cy="2176818"/>
                  <wp:effectExtent l="0" t="0" r="0" b="0"/>
                  <wp:docPr id="8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82570B" w:rsidRPr="00DC4AD1" w:rsidTr="00547B34">
        <w:trPr>
          <w:gridAfter w:val="1"/>
          <w:wAfter w:w="12" w:type="dxa"/>
          <w:trHeight w:val="2842"/>
        </w:trPr>
        <w:tc>
          <w:tcPr>
            <w:tcW w:w="7054" w:type="dxa"/>
            <w:tcBorders>
              <w:top w:val="single" w:sz="4" w:space="0" w:color="auto"/>
            </w:tcBorders>
          </w:tcPr>
          <w:p w:rsidR="0082570B" w:rsidRPr="00622F10" w:rsidRDefault="0082570B" w:rsidP="007B41C4">
            <w:pPr>
              <w:spacing w:after="0" w:line="240" w:lineRule="auto"/>
              <w:jc w:val="both"/>
              <w:rPr>
                <w:noProof/>
                <w:sz w:val="20"/>
                <w:szCs w:val="20"/>
              </w:rPr>
            </w:pPr>
            <w:r w:rsidRPr="00622F10">
              <w:rPr>
                <w:b/>
                <w:noProof/>
                <w:sz w:val="20"/>
                <w:szCs w:val="20"/>
              </w:rPr>
              <w:t>Ekonomski sentiment -ESI- je u Junu značajno porastao</w:t>
            </w:r>
            <w:r w:rsidRPr="00622F10">
              <w:rPr>
                <w:noProof/>
                <w:sz w:val="20"/>
                <w:szCs w:val="20"/>
              </w:rPr>
              <w:t xml:space="preserve"> za po 1,8 u EZ na 91,3 i  EU na 92,3. Rast je uslovljen jačanjem povjerenja i potrošača i menadžera u svim biznis sektorima sem usluga. Svih pet najvećih ekonomija eurozone su zabilježile rast ovog indokatora i </w:t>
            </w:r>
            <w:r w:rsidR="00DC4AD1" w:rsidRPr="00622F10">
              <w:rPr>
                <w:noProof/>
                <w:sz w:val="20"/>
                <w:szCs w:val="20"/>
              </w:rPr>
              <w:t>to : Španija (+2,</w:t>
            </w:r>
            <w:r w:rsidRPr="00622F10">
              <w:rPr>
                <w:noProof/>
                <w:sz w:val="20"/>
                <w:szCs w:val="20"/>
              </w:rPr>
              <w:t>5), Italija (+1</w:t>
            </w:r>
            <w:r w:rsidR="00DC4AD1" w:rsidRPr="00622F10">
              <w:rPr>
                <w:noProof/>
                <w:sz w:val="20"/>
                <w:szCs w:val="20"/>
              </w:rPr>
              <w:t>,</w:t>
            </w:r>
            <w:r w:rsidRPr="00622F10">
              <w:rPr>
                <w:noProof/>
                <w:sz w:val="20"/>
                <w:szCs w:val="20"/>
              </w:rPr>
              <w:t>7) , Francuska</w:t>
            </w:r>
            <w:r w:rsidR="00DC4AD1" w:rsidRPr="00622F10">
              <w:rPr>
                <w:noProof/>
                <w:sz w:val="20"/>
                <w:szCs w:val="20"/>
              </w:rPr>
              <w:t xml:space="preserve"> (+1,</w:t>
            </w:r>
            <w:r w:rsidRPr="00622F10">
              <w:rPr>
                <w:noProof/>
                <w:sz w:val="20"/>
                <w:szCs w:val="20"/>
              </w:rPr>
              <w:t>3), Njemačka</w:t>
            </w:r>
            <w:r w:rsidR="00DC4AD1" w:rsidRPr="00622F10">
              <w:rPr>
                <w:noProof/>
                <w:sz w:val="20"/>
                <w:szCs w:val="20"/>
              </w:rPr>
              <w:t xml:space="preserve"> (+1,</w:t>
            </w:r>
            <w:r w:rsidRPr="00622F10">
              <w:rPr>
                <w:noProof/>
                <w:sz w:val="20"/>
                <w:szCs w:val="20"/>
              </w:rPr>
              <w:t>1) i Holandija</w:t>
            </w:r>
            <w:r w:rsidRPr="00622F10">
              <w:rPr>
                <w:b/>
                <w:noProof/>
                <w:sz w:val="20"/>
                <w:szCs w:val="20"/>
              </w:rPr>
              <w:t xml:space="preserve"> </w:t>
            </w:r>
            <w:r w:rsidR="00DC4AD1" w:rsidRPr="00622F10">
              <w:rPr>
                <w:noProof/>
                <w:sz w:val="20"/>
                <w:szCs w:val="20"/>
              </w:rPr>
              <w:t>(+0,</w:t>
            </w:r>
            <w:r w:rsidRPr="00622F10">
              <w:rPr>
                <w:noProof/>
                <w:sz w:val="20"/>
                <w:szCs w:val="20"/>
              </w:rPr>
              <w:t>9). Rast pokazuje i PMI kompozitni Markit indeks i</w:t>
            </w:r>
            <w:r w:rsidR="00DC4AD1" w:rsidRPr="00622F10">
              <w:rPr>
                <w:noProof/>
                <w:sz w:val="20"/>
                <w:szCs w:val="20"/>
              </w:rPr>
              <w:t xml:space="preserve"> to rast u EZ na 48,7 s 47,7 u m</w:t>
            </w:r>
            <w:r w:rsidRPr="00622F10">
              <w:rPr>
                <w:noProof/>
                <w:sz w:val="20"/>
                <w:szCs w:val="20"/>
              </w:rPr>
              <w:t xml:space="preserve">aju . Rast ovih indikatora je znak da recesija slabi i da se u drugoj polovini godine </w:t>
            </w:r>
            <w:r w:rsidR="00DC4AD1" w:rsidRPr="00622F10">
              <w:rPr>
                <w:noProof/>
                <w:sz w:val="20"/>
                <w:szCs w:val="20"/>
              </w:rPr>
              <w:t>u e</w:t>
            </w:r>
            <w:r w:rsidRPr="00622F10">
              <w:rPr>
                <w:noProof/>
                <w:sz w:val="20"/>
                <w:szCs w:val="20"/>
              </w:rPr>
              <w:t>urozoni (i EU) može očekivati već projektovani blagi rast ekon</w:t>
            </w:r>
            <w:r w:rsidR="00DC4AD1" w:rsidRPr="00622F10">
              <w:rPr>
                <w:noProof/>
                <w:sz w:val="20"/>
                <w:szCs w:val="20"/>
              </w:rPr>
              <w:t>o</w:t>
            </w:r>
            <w:r w:rsidRPr="00622F10">
              <w:rPr>
                <w:noProof/>
                <w:sz w:val="20"/>
                <w:szCs w:val="20"/>
              </w:rPr>
              <w:t>mske aktivnosti, posl</w:t>
            </w:r>
            <w:r w:rsidR="00DC4AD1" w:rsidRPr="00622F10">
              <w:rPr>
                <w:noProof/>
                <w:sz w:val="20"/>
                <w:szCs w:val="20"/>
              </w:rPr>
              <w:t>ij</w:t>
            </w:r>
            <w:r w:rsidRPr="00622F10">
              <w:rPr>
                <w:noProof/>
                <w:sz w:val="20"/>
                <w:szCs w:val="20"/>
              </w:rPr>
              <w:t xml:space="preserve">e sedam kvartala duge recesije. </w:t>
            </w:r>
            <w:r w:rsidR="007B41C4" w:rsidRPr="00622F10">
              <w:rPr>
                <w:noProof/>
                <w:sz w:val="20"/>
                <w:szCs w:val="20"/>
              </w:rPr>
              <w:t>Međutim, tek snažniji rast ovih indikatora</w:t>
            </w:r>
            <w:r w:rsidR="00DC4AD1" w:rsidRPr="00622F10">
              <w:rPr>
                <w:noProof/>
                <w:sz w:val="20"/>
                <w:szCs w:val="20"/>
              </w:rPr>
              <w:t>,</w:t>
            </w:r>
            <w:r w:rsidR="007B41C4" w:rsidRPr="00622F10">
              <w:rPr>
                <w:noProof/>
                <w:sz w:val="20"/>
                <w:szCs w:val="20"/>
              </w:rPr>
              <w:t xml:space="preserve"> ESI iznad 100 i Markit iznad 50 i početak pada visoke stope nezaposlenosti koja je u junu iznosil</w:t>
            </w:r>
            <w:r w:rsidR="00DC4AD1" w:rsidRPr="00622F10">
              <w:rPr>
                <w:noProof/>
                <w:sz w:val="20"/>
                <w:szCs w:val="20"/>
              </w:rPr>
              <w:t>a rekordnih 12,2% biće znaci poč</w:t>
            </w:r>
            <w:r w:rsidR="007B41C4" w:rsidRPr="00622F10">
              <w:rPr>
                <w:noProof/>
                <w:sz w:val="20"/>
                <w:szCs w:val="20"/>
              </w:rPr>
              <w:t>etka pravog oporavka.</w:t>
            </w:r>
            <w:r w:rsidR="00DC4AD1" w:rsidRPr="00622F10">
              <w:rPr>
                <w:noProof/>
                <w:sz w:val="20"/>
                <w:szCs w:val="20"/>
              </w:rPr>
              <w:t xml:space="preserve"> </w:t>
            </w:r>
            <w:r w:rsidRPr="00622F10">
              <w:rPr>
                <w:noProof/>
                <w:sz w:val="20"/>
                <w:szCs w:val="20"/>
              </w:rPr>
              <w:t>Brent sirova nafta se kotira na 103USD/barell , kurs eura je 1EUR= 1,31</w:t>
            </w:r>
            <w:r w:rsidR="00DC4AD1" w:rsidRPr="00622F10">
              <w:rPr>
                <w:noProof/>
                <w:sz w:val="20"/>
                <w:szCs w:val="20"/>
              </w:rPr>
              <w:t>USD. Inflacija u Eurozoni je u j</w:t>
            </w:r>
            <w:r w:rsidRPr="00622F10">
              <w:rPr>
                <w:noProof/>
                <w:sz w:val="20"/>
                <w:szCs w:val="20"/>
              </w:rPr>
              <w:t>unu porasla na 1,6%  uzrokovana rastom cijena hrane, cigareta , alkohola i energije.</w:t>
            </w:r>
          </w:p>
        </w:tc>
        <w:tc>
          <w:tcPr>
            <w:tcW w:w="3674" w:type="dxa"/>
            <w:vMerge/>
            <w:tcBorders>
              <w:top w:val="nil"/>
            </w:tcBorders>
            <w:vAlign w:val="center"/>
          </w:tcPr>
          <w:p w:rsidR="0082570B" w:rsidRPr="00DC4AD1" w:rsidRDefault="0082570B" w:rsidP="003A5C77">
            <w:pPr>
              <w:spacing w:after="0" w:line="240" w:lineRule="auto"/>
              <w:ind w:left="34" w:hanging="34"/>
              <w:rPr>
                <w:noProof/>
                <w:sz w:val="17"/>
                <w:szCs w:val="17"/>
              </w:rPr>
            </w:pPr>
          </w:p>
        </w:tc>
      </w:tr>
      <w:tr w:rsidR="0082570B" w:rsidRPr="00DC4AD1" w:rsidTr="0015322D">
        <w:trPr>
          <w:gridAfter w:val="1"/>
          <w:wAfter w:w="12" w:type="dxa"/>
          <w:trHeight w:val="215"/>
        </w:trPr>
        <w:tc>
          <w:tcPr>
            <w:tcW w:w="7054" w:type="dxa"/>
            <w:tcBorders>
              <w:bottom w:val="single" w:sz="4" w:space="0" w:color="auto"/>
            </w:tcBorders>
          </w:tcPr>
          <w:p w:rsidR="0082570B" w:rsidRPr="00DC4AD1" w:rsidRDefault="0082570B" w:rsidP="003A5C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Style w:val="CaptionChar"/>
                <w:noProof/>
              </w:rPr>
            </w:pPr>
            <w:r w:rsidRPr="00DC4AD1">
              <w:rPr>
                <w:rStyle w:val="CaptionChar"/>
                <w:noProof/>
              </w:rPr>
              <w:t>Realni sektor</w:t>
            </w:r>
          </w:p>
        </w:tc>
        <w:tc>
          <w:tcPr>
            <w:tcW w:w="3674" w:type="dxa"/>
            <w:vMerge w:val="restart"/>
            <w:vAlign w:val="center"/>
          </w:tcPr>
          <w:p w:rsidR="0082570B" w:rsidRPr="00DC4AD1" w:rsidRDefault="007B41C4" w:rsidP="003A5C77">
            <w:pPr>
              <w:spacing w:after="0" w:line="240" w:lineRule="auto"/>
              <w:ind w:left="-250"/>
              <w:jc w:val="center"/>
              <w:rPr>
                <w:noProof/>
              </w:rPr>
            </w:pPr>
            <w:r w:rsidRPr="00DC4AD1">
              <w:rPr>
                <w:noProof/>
              </w:rPr>
              <w:drawing>
                <wp:anchor distT="128016" distB="57531" distL="150876" distR="337566" simplePos="0" relativeHeight="251657216" behindDoc="0" locked="0" layoutInCell="1" allowOverlap="1">
                  <wp:simplePos x="0" y="0"/>
                  <wp:positionH relativeFrom="margin">
                    <wp:posOffset>-583311</wp:posOffset>
                  </wp:positionH>
                  <wp:positionV relativeFrom="margin">
                    <wp:posOffset>-1559306</wp:posOffset>
                  </wp:positionV>
                  <wp:extent cx="2533777" cy="2276602"/>
                  <wp:effectExtent l="0" t="0" r="0" b="0"/>
                  <wp:wrapSquare wrapText="bothSides"/>
                  <wp:docPr id="6" name="Char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anchor>
              </w:drawing>
            </w:r>
          </w:p>
        </w:tc>
      </w:tr>
      <w:tr w:rsidR="0082570B" w:rsidRPr="00DC4AD1" w:rsidTr="0015322D">
        <w:trPr>
          <w:gridAfter w:val="1"/>
          <w:wAfter w:w="12" w:type="dxa"/>
          <w:trHeight w:val="3288"/>
        </w:trPr>
        <w:tc>
          <w:tcPr>
            <w:tcW w:w="7054" w:type="dxa"/>
            <w:tcBorders>
              <w:top w:val="single" w:sz="4" w:space="0" w:color="auto"/>
            </w:tcBorders>
          </w:tcPr>
          <w:p w:rsidR="0082570B" w:rsidRPr="00DC4AD1" w:rsidRDefault="0082570B" w:rsidP="003A5C77">
            <w:pPr>
              <w:pStyle w:val="NormalWeb"/>
              <w:jc w:val="both"/>
              <w:rPr>
                <w:rFonts w:ascii="Calibri" w:hAnsi="Calibri" w:cs="Calibri"/>
                <w:noProof/>
                <w:sz w:val="17"/>
                <w:szCs w:val="17"/>
              </w:rPr>
            </w:pPr>
            <w:r w:rsidRPr="00DC4AD1">
              <w:rPr>
                <w:rFonts w:ascii="Calibri" w:hAnsi="Calibri" w:cs="Calibri"/>
                <w:b/>
                <w:noProof/>
                <w:sz w:val="20"/>
                <w:szCs w:val="20"/>
              </w:rPr>
              <w:t xml:space="preserve">Nastavlja se trend godišnjeg rasta industrijske proizvodnje, opredijeljen   povećanom proizvodnjom električne energije. </w:t>
            </w:r>
            <w:r w:rsidRPr="00DC4AD1">
              <w:rPr>
                <w:rFonts w:ascii="Calibri" w:hAnsi="Calibri" w:cs="Calibri"/>
                <w:noProof/>
                <w:sz w:val="20"/>
                <w:szCs w:val="20"/>
              </w:rPr>
              <w:t>Industrijska proizvodnja u junu bilježi godiišnji rast od 19,0%, što je rezultat rasta u sektorima “vađenje rude i kamena”</w:t>
            </w:r>
            <w:r w:rsidR="00DC4AD1">
              <w:rPr>
                <w:rFonts w:ascii="Calibri" w:hAnsi="Calibri" w:cs="Calibri"/>
                <w:noProof/>
                <w:sz w:val="20"/>
                <w:szCs w:val="20"/>
              </w:rPr>
              <w:t xml:space="preserve"> </w:t>
            </w:r>
            <w:r w:rsidRPr="00DC4AD1">
              <w:rPr>
                <w:rFonts w:ascii="Calibri" w:hAnsi="Calibri" w:cs="Calibri"/>
                <w:noProof/>
                <w:sz w:val="20"/>
                <w:szCs w:val="20"/>
              </w:rPr>
              <w:t>(124,9%) i “snabdijevanje el.energijom, gasom i parom”</w:t>
            </w:r>
            <w:r w:rsidR="00DC4AD1">
              <w:rPr>
                <w:rFonts w:ascii="Calibri" w:hAnsi="Calibri" w:cs="Calibri"/>
                <w:noProof/>
                <w:sz w:val="20"/>
                <w:szCs w:val="20"/>
              </w:rPr>
              <w:t xml:space="preserve"> </w:t>
            </w:r>
            <w:r w:rsidRPr="00DC4AD1">
              <w:rPr>
                <w:rFonts w:ascii="Calibri" w:hAnsi="Calibri" w:cs="Calibri"/>
                <w:noProof/>
                <w:sz w:val="20"/>
                <w:szCs w:val="20"/>
              </w:rPr>
              <w:t xml:space="preserve">(103,7%), dok je sektor ”prerađivačka industrija” ostvario godišnji pad od 11,1%. U odnosu na prethodni mjesec, industrijska proizvodnja je niža za 12,7% (pad prerađivačke industrije i proizvodnje el.energije 11,6 I 23,5%), dok je u periodu januar-jun ostvaren rast industrijske proizvodnje od 10,4% . Proizvodnja električne energije od početka godine bila je </w:t>
            </w:r>
            <w:r w:rsidR="00DC4AD1">
              <w:rPr>
                <w:rFonts w:ascii="Calibri" w:hAnsi="Calibri" w:cs="Calibri"/>
                <w:noProof/>
                <w:sz w:val="20"/>
                <w:szCs w:val="20"/>
              </w:rPr>
              <w:t xml:space="preserve">za 41,4 % viša od planirane i </w:t>
            </w:r>
            <w:r w:rsidRPr="00DC4AD1">
              <w:rPr>
                <w:rFonts w:ascii="Calibri" w:hAnsi="Calibri" w:cs="Calibri"/>
                <w:noProof/>
                <w:sz w:val="20"/>
                <w:szCs w:val="20"/>
              </w:rPr>
              <w:t>87,0 % viša od proizvodnje ostvarene u istom periodu 2012.</w:t>
            </w:r>
            <w:r w:rsidR="00DC4AD1">
              <w:rPr>
                <w:rFonts w:ascii="Calibri" w:hAnsi="Calibri" w:cs="Calibri"/>
                <w:noProof/>
                <w:sz w:val="20"/>
                <w:szCs w:val="20"/>
              </w:rPr>
              <w:t xml:space="preserve"> </w:t>
            </w:r>
            <w:r w:rsidRPr="00DC4AD1">
              <w:rPr>
                <w:rFonts w:ascii="Calibri" w:hAnsi="Calibri" w:cs="Calibri"/>
                <w:noProof/>
                <w:sz w:val="20"/>
                <w:szCs w:val="20"/>
              </w:rPr>
              <w:t xml:space="preserve">godine. Proizvodnja osnovnih metala, koji u ukupnoj industrijskoj proizvodnji učestvuju sa 21,2%, bilježi godišnji pad od 39,1%, dok je u periodu januar-jun  ova proizvodnja bila za 47,4% niža nego u uporednom periodu prošle godine. Crnu Goru je u junu posjetilo </w:t>
            </w:r>
            <w:r w:rsidR="00DC4AD1">
              <w:rPr>
                <w:rFonts w:ascii="Calibri" w:hAnsi="Calibri" w:cs="Calibri"/>
                <w:noProof/>
                <w:sz w:val="20"/>
                <w:szCs w:val="20"/>
              </w:rPr>
              <w:t xml:space="preserve">161,8 hilj. turista (4,4 </w:t>
            </w:r>
            <w:r w:rsidRPr="00DC4AD1">
              <w:rPr>
                <w:rFonts w:ascii="Calibri" w:hAnsi="Calibri" w:cs="Calibri"/>
                <w:noProof/>
                <w:sz w:val="20"/>
                <w:szCs w:val="20"/>
              </w:rPr>
              <w:t>% više nego u junu prošle</w:t>
            </w:r>
            <w:r w:rsidR="00DC4AD1">
              <w:rPr>
                <w:rFonts w:ascii="Calibri" w:hAnsi="Calibri" w:cs="Calibri"/>
                <w:noProof/>
                <w:sz w:val="20"/>
                <w:szCs w:val="20"/>
              </w:rPr>
              <w:t xml:space="preserve"> godine) i ostvareno je 1008,8 </w:t>
            </w:r>
            <w:r w:rsidRPr="00DC4AD1">
              <w:rPr>
                <w:rFonts w:ascii="Calibri" w:hAnsi="Calibri" w:cs="Calibri"/>
                <w:noProof/>
                <w:sz w:val="20"/>
                <w:szCs w:val="20"/>
              </w:rPr>
              <w:t>hilj.</w:t>
            </w:r>
            <w:r w:rsidR="00DC4AD1">
              <w:rPr>
                <w:rFonts w:ascii="Calibri" w:hAnsi="Calibri" w:cs="Calibri"/>
                <w:noProof/>
                <w:sz w:val="20"/>
                <w:szCs w:val="20"/>
              </w:rPr>
              <w:t xml:space="preserve"> </w:t>
            </w:r>
            <w:r w:rsidRPr="00DC4AD1">
              <w:rPr>
                <w:rFonts w:ascii="Calibri" w:hAnsi="Calibri" w:cs="Calibri"/>
                <w:noProof/>
                <w:sz w:val="20"/>
                <w:szCs w:val="20"/>
              </w:rPr>
              <w:t xml:space="preserve">noćenja (4,5 % više u odnosu na jun prošle godine). </w:t>
            </w:r>
          </w:p>
        </w:tc>
        <w:tc>
          <w:tcPr>
            <w:tcW w:w="3674" w:type="dxa"/>
            <w:vMerge/>
            <w:vAlign w:val="center"/>
          </w:tcPr>
          <w:p w:rsidR="0082570B" w:rsidRPr="00DC4AD1" w:rsidRDefault="0082570B" w:rsidP="003A5C77">
            <w:pPr>
              <w:spacing w:after="119" w:line="240" w:lineRule="auto"/>
              <w:jc w:val="center"/>
              <w:rPr>
                <w:noProof/>
              </w:rPr>
            </w:pPr>
          </w:p>
        </w:tc>
      </w:tr>
      <w:tr w:rsidR="0082570B" w:rsidRPr="00DC4AD1" w:rsidTr="0015322D">
        <w:trPr>
          <w:gridAfter w:val="1"/>
          <w:wAfter w:w="12" w:type="dxa"/>
          <w:trHeight w:val="215"/>
        </w:trPr>
        <w:tc>
          <w:tcPr>
            <w:tcW w:w="7054" w:type="dxa"/>
            <w:tcBorders>
              <w:bottom w:val="single" w:sz="4" w:space="0" w:color="auto"/>
            </w:tcBorders>
          </w:tcPr>
          <w:p w:rsidR="0082570B" w:rsidRPr="00DC4AD1" w:rsidRDefault="0082570B" w:rsidP="003A5C77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</w:pPr>
            <w:r w:rsidRPr="00DC4AD1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  <w:t>Cijene</w:t>
            </w:r>
          </w:p>
        </w:tc>
        <w:tc>
          <w:tcPr>
            <w:tcW w:w="3674" w:type="dxa"/>
            <w:vMerge w:val="restart"/>
            <w:vAlign w:val="center"/>
          </w:tcPr>
          <w:p w:rsidR="0082570B" w:rsidRPr="00DC4AD1" w:rsidRDefault="007B41C4" w:rsidP="003A5C77">
            <w:pPr>
              <w:spacing w:after="0" w:line="240" w:lineRule="auto"/>
              <w:ind w:left="-250"/>
              <w:jc w:val="center"/>
              <w:rPr>
                <w:b/>
                <w:noProof/>
              </w:rPr>
            </w:pPr>
            <w:r w:rsidRPr="00DC4AD1">
              <w:rPr>
                <w:noProof/>
              </w:rPr>
              <w:drawing>
                <wp:anchor distT="128016" distB="89027" distL="284988" distR="222123" simplePos="0" relativeHeight="251656192" behindDoc="0" locked="0" layoutInCell="1" allowOverlap="1">
                  <wp:simplePos x="0" y="0"/>
                  <wp:positionH relativeFrom="margin">
                    <wp:posOffset>193802</wp:posOffset>
                  </wp:positionH>
                  <wp:positionV relativeFrom="margin">
                    <wp:posOffset>-381</wp:posOffset>
                  </wp:positionV>
                  <wp:extent cx="2161921" cy="2210308"/>
                  <wp:effectExtent l="0" t="0" r="0" b="0"/>
                  <wp:wrapSquare wrapText="bothSides"/>
                  <wp:docPr id="5" name="Char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anchor>
              </w:drawing>
            </w:r>
          </w:p>
        </w:tc>
      </w:tr>
      <w:tr w:rsidR="0082570B" w:rsidRPr="00DC4AD1" w:rsidTr="00622F10">
        <w:trPr>
          <w:gridAfter w:val="1"/>
          <w:wAfter w:w="12" w:type="dxa"/>
          <w:trHeight w:val="3699"/>
        </w:trPr>
        <w:tc>
          <w:tcPr>
            <w:tcW w:w="7054" w:type="dxa"/>
            <w:tcBorders>
              <w:top w:val="single" w:sz="4" w:space="0" w:color="auto"/>
              <w:bottom w:val="thinThickSmallGap" w:sz="18" w:space="0" w:color="auto"/>
            </w:tcBorders>
          </w:tcPr>
          <w:p w:rsidR="0082570B" w:rsidRPr="00DC4AD1" w:rsidRDefault="0082570B" w:rsidP="007B41C4">
            <w:pPr>
              <w:pStyle w:val="Default"/>
              <w:jc w:val="both"/>
              <w:rPr>
                <w:noProof/>
                <w:sz w:val="18"/>
                <w:szCs w:val="18"/>
              </w:rPr>
            </w:pPr>
            <w:r w:rsidRPr="00DC4AD1">
              <w:rPr>
                <w:rFonts w:cs="Arial-ItalicMT"/>
                <w:b/>
                <w:iCs/>
                <w:noProof/>
                <w:sz w:val="20"/>
                <w:szCs w:val="20"/>
                <w:lang w:eastAsia="sr-Latn-CS"/>
              </w:rPr>
              <w:t xml:space="preserve">Pad godišnje stope inflacije i deflacija na mjesečnom nivou, obilježili kretanje cijena u junu 2013.godine. </w:t>
            </w:r>
            <w:r w:rsidR="00DC4AD1">
              <w:rPr>
                <w:rFonts w:cs="Arial-ItalicMT"/>
                <w:iCs/>
                <w:noProof/>
                <w:sz w:val="20"/>
                <w:szCs w:val="20"/>
                <w:lang w:eastAsia="sr-Latn-CS"/>
              </w:rPr>
              <w:t xml:space="preserve">Godišnja stopa inflacije, </w:t>
            </w:r>
            <w:r w:rsidRPr="00DC4AD1">
              <w:rPr>
                <w:rFonts w:cs="Arial-ItalicMT"/>
                <w:iCs/>
                <w:noProof/>
                <w:sz w:val="20"/>
                <w:szCs w:val="20"/>
                <w:lang w:eastAsia="sr-Latn-CS"/>
              </w:rPr>
              <w:t>iznosila je 2,2 %, što je pad od 0,8 p.p u odnosu na istu izmjerenu prethodnog mjeseca, dok je na mjesečnom nivou zabilježena deflacija od 0,6%. Godišnja stopa inflacije je opredij</w:t>
            </w:r>
            <w:r w:rsidR="00DC4AD1">
              <w:rPr>
                <w:rFonts w:cs="Arial-ItalicMT"/>
                <w:iCs/>
                <w:noProof/>
                <w:sz w:val="20"/>
                <w:szCs w:val="20"/>
                <w:lang w:eastAsia="sr-Latn-CS"/>
              </w:rPr>
              <w:t xml:space="preserve">eljena rastom  cijena hrane od </w:t>
            </w:r>
            <w:r w:rsidRPr="00DC4AD1">
              <w:rPr>
                <w:rFonts w:cs="Arial-ItalicMT"/>
                <w:iCs/>
                <w:noProof/>
                <w:sz w:val="20"/>
                <w:szCs w:val="20"/>
                <w:lang w:eastAsia="sr-Latn-CS"/>
              </w:rPr>
              <w:t>4,</w:t>
            </w:r>
            <w:r w:rsidR="00DC4AD1">
              <w:rPr>
                <w:rFonts w:cs="Arial-ItalicMT"/>
                <w:iCs/>
                <w:noProof/>
                <w:sz w:val="20"/>
                <w:szCs w:val="20"/>
                <w:lang w:eastAsia="sr-Latn-CS"/>
              </w:rPr>
              <w:t>7% (</w:t>
            </w:r>
            <w:r w:rsidRPr="00DC4AD1">
              <w:rPr>
                <w:rFonts w:cs="Arial-ItalicMT"/>
                <w:iCs/>
                <w:noProof/>
                <w:sz w:val="20"/>
                <w:szCs w:val="20"/>
                <w:lang w:eastAsia="sr-Latn-CS"/>
              </w:rPr>
              <w:t xml:space="preserve">najveći rast zabilježile cijene povrća 29,6% i ulja i masti 11,4%) i padom cijena usluga smještaja od 8,8%. Najveći uticaj na mjesečnu stopu inflacije, odnosno zabilježenu deflaciju na mjesečnom nivou, imali su pad cijena hrane od 1,0%, i  rast usluga smještaja od 9,0%, </w:t>
            </w:r>
            <w:r w:rsidR="00DC4AD1">
              <w:rPr>
                <w:rFonts w:cs="Arial-ItalicMT"/>
                <w:iCs/>
                <w:noProof/>
                <w:sz w:val="20"/>
                <w:szCs w:val="20"/>
                <w:lang w:eastAsia="sr-Latn-CS"/>
              </w:rPr>
              <w:t xml:space="preserve">u odnosu na maj tekuće godine. </w:t>
            </w:r>
            <w:r w:rsidR="00DC4AD1">
              <w:rPr>
                <w:noProof/>
                <w:sz w:val="20"/>
                <w:szCs w:val="20"/>
              </w:rPr>
              <w:t xml:space="preserve">Godišnja stopa inflacije, </w:t>
            </w:r>
            <w:r w:rsidRPr="00DC4AD1">
              <w:rPr>
                <w:noProof/>
                <w:sz w:val="20"/>
                <w:szCs w:val="20"/>
              </w:rPr>
              <w:t xml:space="preserve">mjerena harmonizovanim indeksom potrošačkih cijena, u junu tekuće godine iznosila je 1,5%, što je pad od 0,6 p.p u odnosu na istu izmjerenu prethodnog mjeseca. </w:t>
            </w:r>
            <w:r w:rsidRPr="00DC4AD1">
              <w:rPr>
                <w:rFonts w:cs="Arial-ItalicMT"/>
                <w:iCs/>
                <w:noProof/>
                <w:sz w:val="20"/>
                <w:szCs w:val="20"/>
                <w:lang w:eastAsia="sr-Latn-CS"/>
              </w:rPr>
              <w:t>Proizvođačke cijene u junu 2013</w:t>
            </w:r>
            <w:r w:rsidR="00DC4AD1">
              <w:rPr>
                <w:rFonts w:cs="Arial-ItalicMT"/>
                <w:iCs/>
                <w:noProof/>
                <w:sz w:val="20"/>
                <w:szCs w:val="20"/>
                <w:lang w:eastAsia="sr-Latn-CS"/>
              </w:rPr>
              <w:t>.</w:t>
            </w:r>
            <w:r w:rsidRPr="00DC4AD1">
              <w:rPr>
                <w:rFonts w:cs="Arial-ItalicMT"/>
                <w:iCs/>
                <w:noProof/>
                <w:sz w:val="20"/>
                <w:szCs w:val="20"/>
                <w:lang w:eastAsia="sr-Latn-CS"/>
              </w:rPr>
              <w:t xml:space="preserve"> godine su se zadržale na istom nivou kao prethodnog mjeseca, dok je na godišnjem nivou ostvaren rast od 2,3%.</w:t>
            </w:r>
            <w:r w:rsidR="00DC4AD1">
              <w:rPr>
                <w:noProof/>
                <w:sz w:val="20"/>
                <w:szCs w:val="20"/>
              </w:rPr>
              <w:t xml:space="preserve"> </w:t>
            </w:r>
            <w:r w:rsidRPr="00DC4AD1">
              <w:rPr>
                <w:noProof/>
                <w:sz w:val="20"/>
                <w:szCs w:val="20"/>
              </w:rPr>
              <w:t>Povećanje cijena snabdijevanja električnom energijom, gasom i  parom</w:t>
            </w:r>
            <w:r w:rsidR="00DC4AD1">
              <w:rPr>
                <w:noProof/>
                <w:sz w:val="20"/>
                <w:szCs w:val="20"/>
              </w:rPr>
              <w:t xml:space="preserve"> </w:t>
            </w:r>
            <w:r w:rsidRPr="00DC4AD1">
              <w:rPr>
                <w:noProof/>
                <w:sz w:val="20"/>
                <w:szCs w:val="20"/>
              </w:rPr>
              <w:t>(17,6%) ,vađenja rude i kamena</w:t>
            </w:r>
            <w:r w:rsidR="00DC4AD1">
              <w:rPr>
                <w:noProof/>
                <w:sz w:val="20"/>
                <w:szCs w:val="20"/>
              </w:rPr>
              <w:t xml:space="preserve"> </w:t>
            </w:r>
            <w:r w:rsidRPr="00DC4AD1">
              <w:rPr>
                <w:noProof/>
                <w:sz w:val="20"/>
                <w:szCs w:val="20"/>
              </w:rPr>
              <w:t>(4,4%),  i pad u prerađivačkoj industriji od 2,9%.</w:t>
            </w:r>
          </w:p>
        </w:tc>
        <w:tc>
          <w:tcPr>
            <w:tcW w:w="3674" w:type="dxa"/>
            <w:vMerge/>
            <w:vAlign w:val="center"/>
          </w:tcPr>
          <w:p w:rsidR="0082570B" w:rsidRPr="00DC4AD1" w:rsidRDefault="0082570B" w:rsidP="003A5C77">
            <w:pPr>
              <w:pStyle w:val="NoSpacing"/>
              <w:jc w:val="both"/>
              <w:rPr>
                <w:noProof/>
                <w:sz w:val="17"/>
                <w:szCs w:val="17"/>
              </w:rPr>
            </w:pPr>
          </w:p>
        </w:tc>
      </w:tr>
      <w:tr w:rsidR="0082570B" w:rsidRPr="00DC4AD1" w:rsidTr="00622F10">
        <w:trPr>
          <w:gridAfter w:val="1"/>
          <w:wAfter w:w="12" w:type="dxa"/>
          <w:trHeight w:val="255"/>
        </w:trPr>
        <w:tc>
          <w:tcPr>
            <w:tcW w:w="7054" w:type="dxa"/>
            <w:tcBorders>
              <w:bottom w:val="single" w:sz="4" w:space="0" w:color="auto"/>
            </w:tcBorders>
            <w:vAlign w:val="center"/>
          </w:tcPr>
          <w:p w:rsidR="0082570B" w:rsidRPr="00DC4AD1" w:rsidRDefault="0082570B" w:rsidP="003A5C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noProof/>
                <w:sz w:val="20"/>
                <w:szCs w:val="20"/>
              </w:rPr>
            </w:pPr>
            <w:r w:rsidRPr="00DC4AD1">
              <w:rPr>
                <w:b/>
                <w:bCs/>
                <w:noProof/>
                <w:sz w:val="20"/>
                <w:szCs w:val="20"/>
              </w:rPr>
              <w:t>Zaposlenost i zarade</w:t>
            </w:r>
          </w:p>
        </w:tc>
        <w:tc>
          <w:tcPr>
            <w:tcW w:w="3674" w:type="dxa"/>
            <w:vMerge w:val="restart"/>
            <w:vAlign w:val="center"/>
          </w:tcPr>
          <w:p w:rsidR="0082570B" w:rsidRPr="00DC4AD1" w:rsidRDefault="007B41C4" w:rsidP="003A5C77">
            <w:pPr>
              <w:spacing w:after="0" w:line="240" w:lineRule="auto"/>
              <w:ind w:left="-250"/>
              <w:jc w:val="center"/>
              <w:rPr>
                <w:noProof/>
              </w:rPr>
            </w:pPr>
            <w:r w:rsidRPr="00DC4AD1">
              <w:rPr>
                <w:noProof/>
              </w:rPr>
              <w:drawing>
                <wp:inline distT="0" distB="0" distL="0" distR="0">
                  <wp:extent cx="1760855" cy="1473835"/>
                  <wp:effectExtent l="0" t="0" r="0" b="0"/>
                  <wp:docPr id="2" name="Char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82570B" w:rsidRPr="00DC4AD1" w:rsidTr="00622F10">
        <w:trPr>
          <w:gridAfter w:val="1"/>
          <w:wAfter w:w="12" w:type="dxa"/>
          <w:trHeight w:val="2433"/>
        </w:trPr>
        <w:tc>
          <w:tcPr>
            <w:tcW w:w="7054" w:type="dxa"/>
            <w:tcBorders>
              <w:top w:val="single" w:sz="4" w:space="0" w:color="auto"/>
            </w:tcBorders>
          </w:tcPr>
          <w:p w:rsidR="0082570B" w:rsidRPr="00DC4AD1" w:rsidRDefault="0082570B" w:rsidP="00622F10">
            <w:pPr>
              <w:spacing w:after="0" w:line="240" w:lineRule="auto"/>
              <w:jc w:val="both"/>
              <w:rPr>
                <w:noProof/>
                <w:sz w:val="18"/>
                <w:szCs w:val="18"/>
              </w:rPr>
            </w:pPr>
            <w:r w:rsidRPr="00DC4AD1">
              <w:rPr>
                <w:b/>
                <w:noProof/>
                <w:sz w:val="20"/>
                <w:szCs w:val="20"/>
              </w:rPr>
              <w:t xml:space="preserve">Zaposlenost se u junu 2013. značajno povećala uglavnom u primorskim opštinama, na što je uticala </w:t>
            </w:r>
            <w:r w:rsidR="00622F10">
              <w:rPr>
                <w:b/>
                <w:noProof/>
                <w:sz w:val="20"/>
                <w:szCs w:val="20"/>
              </w:rPr>
              <w:t>turistička sezona</w:t>
            </w:r>
            <w:r w:rsidRPr="00DC4AD1">
              <w:rPr>
                <w:b/>
                <w:noProof/>
                <w:sz w:val="20"/>
                <w:szCs w:val="20"/>
              </w:rPr>
              <w:t>.</w:t>
            </w:r>
            <w:r w:rsidRPr="00DC4AD1">
              <w:rPr>
                <w:noProof/>
                <w:sz w:val="20"/>
                <w:szCs w:val="20"/>
              </w:rPr>
              <w:t xml:space="preserve"> Broj zaposlenih u junu je iznosio </w:t>
            </w:r>
            <w:r w:rsidRPr="00DC4AD1">
              <w:rPr>
                <w:b/>
                <w:noProof/>
                <w:sz w:val="20"/>
                <w:szCs w:val="20"/>
              </w:rPr>
              <w:t>179.861,</w:t>
            </w:r>
            <w:r w:rsidR="00622F10" w:rsidRPr="00DC4AD1">
              <w:rPr>
                <w:noProof/>
                <w:sz w:val="20"/>
                <w:szCs w:val="20"/>
              </w:rPr>
              <w:t xml:space="preserve"> povećan je za 10,6% u odnosu na jun 2012. god. </w:t>
            </w:r>
            <w:r w:rsidRPr="00DC4AD1">
              <w:rPr>
                <w:b/>
                <w:noProof/>
                <w:sz w:val="20"/>
                <w:szCs w:val="20"/>
              </w:rPr>
              <w:t xml:space="preserve"> što je najveć</w:t>
            </w:r>
            <w:r w:rsidR="00622F10">
              <w:rPr>
                <w:b/>
                <w:noProof/>
                <w:sz w:val="20"/>
                <w:szCs w:val="20"/>
              </w:rPr>
              <w:t>i nivo zaposlenosti</w:t>
            </w:r>
            <w:r w:rsidRPr="00DC4AD1">
              <w:rPr>
                <w:b/>
                <w:noProof/>
                <w:sz w:val="20"/>
                <w:szCs w:val="20"/>
              </w:rPr>
              <w:t xml:space="preserve"> u </w:t>
            </w:r>
            <w:r w:rsidR="00622F10">
              <w:rPr>
                <w:b/>
                <w:noProof/>
                <w:sz w:val="20"/>
                <w:szCs w:val="20"/>
              </w:rPr>
              <w:t>poslednjih nekoliko godina</w:t>
            </w:r>
            <w:r w:rsidR="00622F10">
              <w:rPr>
                <w:noProof/>
                <w:sz w:val="20"/>
                <w:szCs w:val="20"/>
              </w:rPr>
              <w:t>.</w:t>
            </w:r>
            <w:r w:rsidRPr="00DC4AD1">
              <w:rPr>
                <w:noProof/>
                <w:sz w:val="20"/>
                <w:szCs w:val="20"/>
              </w:rPr>
              <w:t xml:space="preserve"> Broj nezaposlen</w:t>
            </w:r>
            <w:r w:rsidR="00E64E93">
              <w:rPr>
                <w:noProof/>
                <w:sz w:val="20"/>
                <w:szCs w:val="20"/>
              </w:rPr>
              <w:t xml:space="preserve">ih u junu je iznosio  30.337, a </w:t>
            </w:r>
            <w:r w:rsidRPr="00DC4AD1">
              <w:rPr>
                <w:noProof/>
                <w:sz w:val="20"/>
                <w:szCs w:val="20"/>
              </w:rPr>
              <w:t xml:space="preserve">povećan je 3,1% u odnosu na isti mjesec 2012, dok je stopa nezaposlenosti iznosila 13,0%. Značajno se povećao broj lica koja prvi put traže zaposlenje (naročito visokoškolaca) u odnosu na jun 2012, ali je </w:t>
            </w:r>
            <w:r w:rsidR="00622F10">
              <w:rPr>
                <w:noProof/>
                <w:sz w:val="20"/>
                <w:szCs w:val="20"/>
              </w:rPr>
              <w:t>od januara 2013 karakterističan opadajući trend</w:t>
            </w:r>
            <w:r w:rsidRPr="00DC4AD1">
              <w:rPr>
                <w:noProof/>
                <w:sz w:val="20"/>
                <w:szCs w:val="20"/>
              </w:rPr>
              <w:t xml:space="preserve">. U junu je oglašeno 1430 slobodnih radnih mjesta, što je znatno manje nego u junu 2012, ali je istovremeno izdato 3929 radnih dozvola strancima, što je znatno više. Prosječna bruto zarada u junu 2013. je iznosila 730€, a povećana je za 0,3% u odnosu na prethodni mjesec. </w:t>
            </w:r>
            <w:r w:rsidRPr="00DC4AD1">
              <w:rPr>
                <w:b/>
                <w:noProof/>
                <w:sz w:val="20"/>
                <w:szCs w:val="20"/>
              </w:rPr>
              <w:t>Prosječna neto zarada je iznosila 481€, a povećana je 0,2%, dok je realno u junu 2013. u odnosu na prethodni mjesec povećana 0,8%.</w:t>
            </w:r>
          </w:p>
        </w:tc>
        <w:tc>
          <w:tcPr>
            <w:tcW w:w="3674" w:type="dxa"/>
            <w:vMerge/>
            <w:vAlign w:val="center"/>
          </w:tcPr>
          <w:p w:rsidR="0082570B" w:rsidRPr="00DC4AD1" w:rsidRDefault="0082570B" w:rsidP="003A5C77">
            <w:pPr>
              <w:spacing w:after="0" w:line="240" w:lineRule="auto"/>
              <w:jc w:val="center"/>
              <w:rPr>
                <w:noProof/>
                <w:sz w:val="17"/>
                <w:szCs w:val="17"/>
              </w:rPr>
            </w:pPr>
          </w:p>
        </w:tc>
      </w:tr>
      <w:tr w:rsidR="0082570B" w:rsidRPr="00DC4AD1" w:rsidTr="0015322D">
        <w:trPr>
          <w:gridAfter w:val="1"/>
          <w:wAfter w:w="12" w:type="dxa"/>
          <w:trHeight w:val="286"/>
        </w:trPr>
        <w:tc>
          <w:tcPr>
            <w:tcW w:w="7054" w:type="dxa"/>
            <w:tcBorders>
              <w:bottom w:val="single" w:sz="4" w:space="0" w:color="auto"/>
            </w:tcBorders>
          </w:tcPr>
          <w:p w:rsidR="0082570B" w:rsidRPr="00DC4AD1" w:rsidRDefault="0082570B" w:rsidP="003A5C77">
            <w:pPr>
              <w:spacing w:after="0" w:line="240" w:lineRule="auto"/>
              <w:rPr>
                <w:b/>
                <w:noProof/>
                <w:sz w:val="20"/>
                <w:szCs w:val="20"/>
              </w:rPr>
            </w:pPr>
            <w:r w:rsidRPr="00DC4AD1">
              <w:rPr>
                <w:b/>
                <w:noProof/>
                <w:sz w:val="20"/>
                <w:szCs w:val="20"/>
              </w:rPr>
              <w:lastRenderedPageBreak/>
              <w:t>5. Javne finansije</w:t>
            </w:r>
          </w:p>
        </w:tc>
        <w:tc>
          <w:tcPr>
            <w:tcW w:w="3674" w:type="dxa"/>
            <w:vMerge w:val="restart"/>
            <w:vAlign w:val="center"/>
          </w:tcPr>
          <w:p w:rsidR="0082570B" w:rsidRPr="00DC4AD1" w:rsidRDefault="007B41C4" w:rsidP="003A5C77">
            <w:pPr>
              <w:spacing w:after="0" w:line="240" w:lineRule="auto"/>
              <w:jc w:val="center"/>
              <w:rPr>
                <w:noProof/>
                <w:sz w:val="17"/>
                <w:szCs w:val="17"/>
              </w:rPr>
            </w:pPr>
            <w:r w:rsidRPr="00DC4AD1">
              <w:rPr>
                <w:noProof/>
                <w:sz w:val="17"/>
                <w:szCs w:val="17"/>
              </w:rPr>
              <w:drawing>
                <wp:inline distT="0" distB="0" distL="0" distR="0">
                  <wp:extent cx="2279729" cy="2641905"/>
                  <wp:effectExtent l="19050" t="0" r="25321" b="6045"/>
                  <wp:docPr id="3" name="Char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82570B" w:rsidRPr="00DC4AD1" w:rsidTr="0015322D">
        <w:trPr>
          <w:gridAfter w:val="1"/>
          <w:wAfter w:w="12" w:type="dxa"/>
          <w:trHeight w:val="1215"/>
        </w:trPr>
        <w:tc>
          <w:tcPr>
            <w:tcW w:w="7054" w:type="dxa"/>
            <w:tcBorders>
              <w:top w:val="single" w:sz="4" w:space="0" w:color="auto"/>
            </w:tcBorders>
          </w:tcPr>
          <w:p w:rsidR="009F35DF" w:rsidRPr="00DC4AD1" w:rsidRDefault="009F35DF" w:rsidP="00E64E93">
            <w:pPr>
              <w:spacing w:after="0" w:line="240" w:lineRule="auto"/>
              <w:jc w:val="both"/>
              <w:rPr>
                <w:noProof/>
                <w:sz w:val="20"/>
                <w:szCs w:val="20"/>
              </w:rPr>
            </w:pPr>
            <w:r w:rsidRPr="00DC4AD1">
              <w:rPr>
                <w:b/>
                <w:noProof/>
                <w:sz w:val="20"/>
                <w:szCs w:val="20"/>
              </w:rPr>
              <w:t xml:space="preserve">Izvorni prihodi budžeta Crne Gore u junu 2013. godine iznosili su 99,5 mil. € i veći su </w:t>
            </w:r>
            <w:r w:rsidR="00E64E93">
              <w:rPr>
                <w:b/>
                <w:noProof/>
                <w:sz w:val="20"/>
                <w:szCs w:val="20"/>
              </w:rPr>
              <w:t>u odnosu na 2012. godinu za 3,7</w:t>
            </w:r>
            <w:r w:rsidRPr="00DC4AD1">
              <w:rPr>
                <w:b/>
                <w:noProof/>
                <w:sz w:val="20"/>
                <w:szCs w:val="20"/>
              </w:rPr>
              <w:t>%, dok su u odnosu na plan za 2013. manji z</w:t>
            </w:r>
            <w:r w:rsidR="00E64E93">
              <w:rPr>
                <w:b/>
                <w:noProof/>
                <w:sz w:val="20"/>
                <w:szCs w:val="20"/>
              </w:rPr>
              <w:t>a 1,5</w:t>
            </w:r>
            <w:r w:rsidRPr="00DC4AD1">
              <w:rPr>
                <w:b/>
                <w:noProof/>
                <w:sz w:val="20"/>
                <w:szCs w:val="20"/>
              </w:rPr>
              <w:t xml:space="preserve">%. </w:t>
            </w:r>
            <w:r w:rsidRPr="00DC4AD1">
              <w:rPr>
                <w:noProof/>
                <w:sz w:val="20"/>
                <w:szCs w:val="20"/>
              </w:rPr>
              <w:t>Rast od skoro 20% u odnosu na jun 2012, ostvaren je naplatom poreza i doprinosa na zarade, što je posljedica sprovođenja mjera na suzbijanju sive ekonomije i uvođenja kriznog poreza na zarade iznad prosjeka u državi. Direktni porezi bilježe rast i</w:t>
            </w:r>
            <w:r w:rsidR="00E64E93">
              <w:rPr>
                <w:noProof/>
                <w:sz w:val="20"/>
                <w:szCs w:val="20"/>
              </w:rPr>
              <w:t xml:space="preserve"> u odnosu na plan od 8,57</w:t>
            </w:r>
            <w:r w:rsidRPr="00DC4AD1">
              <w:rPr>
                <w:noProof/>
                <w:sz w:val="20"/>
                <w:szCs w:val="20"/>
              </w:rPr>
              <w:t>%. U junu je prvi put ove godine podbacila naplata PDV-a u odnosu  na plan, dok su akcize bile veće za 6,7%.</w:t>
            </w:r>
          </w:p>
          <w:p w:rsidR="009F35DF" w:rsidRPr="00DC4AD1" w:rsidRDefault="009F35DF" w:rsidP="00E64E93">
            <w:pPr>
              <w:spacing w:after="0" w:line="240" w:lineRule="auto"/>
              <w:jc w:val="both"/>
              <w:rPr>
                <w:noProof/>
                <w:sz w:val="20"/>
                <w:szCs w:val="20"/>
              </w:rPr>
            </w:pPr>
            <w:r w:rsidRPr="00DC4AD1">
              <w:rPr>
                <w:b/>
                <w:noProof/>
                <w:sz w:val="20"/>
                <w:szCs w:val="20"/>
              </w:rPr>
              <w:t>Izdaci budžeta</w:t>
            </w:r>
            <w:r w:rsidRPr="00DC4AD1">
              <w:rPr>
                <w:noProof/>
                <w:sz w:val="20"/>
                <w:szCs w:val="20"/>
              </w:rPr>
              <w:t xml:space="preserve"> iznosili su 100,5 mil.</w:t>
            </w:r>
            <w:r w:rsidR="00E64E93">
              <w:rPr>
                <w:noProof/>
                <w:sz w:val="20"/>
                <w:szCs w:val="20"/>
              </w:rPr>
              <w:t xml:space="preserve"> </w:t>
            </w:r>
            <w:r w:rsidRPr="00DC4AD1">
              <w:rPr>
                <w:noProof/>
                <w:sz w:val="20"/>
                <w:szCs w:val="20"/>
              </w:rPr>
              <w:t>€ i veći su za 0,7 mil</w:t>
            </w:r>
            <w:r w:rsidR="00E64E93">
              <w:rPr>
                <w:noProof/>
                <w:sz w:val="20"/>
                <w:szCs w:val="20"/>
              </w:rPr>
              <w:t>. € u odnosu na isti period proš</w:t>
            </w:r>
            <w:r w:rsidRPr="00DC4AD1">
              <w:rPr>
                <w:noProof/>
                <w:sz w:val="20"/>
                <w:szCs w:val="20"/>
              </w:rPr>
              <w:t xml:space="preserve">le godine, i manji za 3,4 mil. € u odnosu na plan 2013. godine. </w:t>
            </w:r>
          </w:p>
          <w:p w:rsidR="009F35DF" w:rsidRPr="00DC4AD1" w:rsidRDefault="009F35DF" w:rsidP="00E64E93">
            <w:pPr>
              <w:spacing w:after="0" w:line="240" w:lineRule="auto"/>
              <w:jc w:val="both"/>
              <w:rPr>
                <w:noProof/>
                <w:sz w:val="20"/>
                <w:szCs w:val="20"/>
              </w:rPr>
            </w:pPr>
            <w:r w:rsidRPr="00DC4AD1">
              <w:rPr>
                <w:b/>
                <w:noProof/>
                <w:sz w:val="20"/>
                <w:szCs w:val="20"/>
              </w:rPr>
              <w:t>Deficit u prvih 6 mjeseci 2013. godine</w:t>
            </w:r>
            <w:r w:rsidRPr="00DC4AD1">
              <w:rPr>
                <w:noProof/>
                <w:sz w:val="20"/>
                <w:szCs w:val="20"/>
              </w:rPr>
              <w:t xml:space="preserve"> pokazuje tendenciju smanjenja kako u odnosu na prethodnu godinu tako i na plan za 2013. godinu. Deficit budžeta u junu 2013. godine iznosio je 1,01 mil.</w:t>
            </w:r>
            <w:r w:rsidR="00E64E93">
              <w:rPr>
                <w:noProof/>
                <w:sz w:val="20"/>
                <w:szCs w:val="20"/>
              </w:rPr>
              <w:t xml:space="preserve"> </w:t>
            </w:r>
            <w:r w:rsidRPr="00DC4AD1">
              <w:rPr>
                <w:noProof/>
                <w:sz w:val="20"/>
                <w:szCs w:val="20"/>
              </w:rPr>
              <w:t>€ i niži je od deficita u maju 2012. godine za 2,82 mil.</w:t>
            </w:r>
            <w:r w:rsidR="00E64E93">
              <w:rPr>
                <w:noProof/>
                <w:sz w:val="20"/>
                <w:szCs w:val="20"/>
              </w:rPr>
              <w:t xml:space="preserve"> </w:t>
            </w:r>
            <w:r w:rsidRPr="00DC4AD1">
              <w:rPr>
                <w:noProof/>
                <w:sz w:val="20"/>
                <w:szCs w:val="20"/>
              </w:rPr>
              <w:t>€. Kumulativni deficit budžeta u periodu januar-jun 2013. godine iznosi 79,58 mil. € i niži je od deficita u istom periodu 2012. za 67,82 mil. €, a od planiranog u istom periodu 2013.g. niži je za 39,01 mil. €.</w:t>
            </w:r>
          </w:p>
          <w:p w:rsidR="0082570B" w:rsidRPr="00DC4AD1" w:rsidRDefault="009F35DF" w:rsidP="00E64E93">
            <w:pPr>
              <w:spacing w:after="0" w:line="240" w:lineRule="auto"/>
              <w:jc w:val="both"/>
              <w:rPr>
                <w:noProof/>
                <w:sz w:val="20"/>
              </w:rPr>
            </w:pPr>
            <w:r w:rsidRPr="00DC4AD1">
              <w:rPr>
                <w:b/>
                <w:noProof/>
                <w:sz w:val="20"/>
                <w:szCs w:val="20"/>
              </w:rPr>
              <w:t>Državni dug</w:t>
            </w:r>
            <w:r w:rsidRPr="00DC4AD1">
              <w:rPr>
                <w:noProof/>
                <w:sz w:val="20"/>
                <w:szCs w:val="20"/>
              </w:rPr>
              <w:t xml:space="preserve"> na kraju juna 2013.godine izn</w:t>
            </w:r>
            <w:r w:rsidR="00E64E93">
              <w:rPr>
                <w:noProof/>
                <w:sz w:val="20"/>
                <w:szCs w:val="20"/>
              </w:rPr>
              <w:t>osio je 1.760,9 mil. € ili 50,1</w:t>
            </w:r>
            <w:r w:rsidRPr="00DC4AD1">
              <w:rPr>
                <w:noProof/>
                <w:sz w:val="20"/>
                <w:szCs w:val="20"/>
              </w:rPr>
              <w:t>% procijenj</w:t>
            </w:r>
            <w:r w:rsidR="00E64E93">
              <w:rPr>
                <w:noProof/>
                <w:sz w:val="20"/>
                <w:szCs w:val="20"/>
              </w:rPr>
              <w:t>enog BDP-a i smanjen je za 0,35</w:t>
            </w:r>
            <w:r w:rsidRPr="00DC4AD1">
              <w:rPr>
                <w:noProof/>
                <w:sz w:val="20"/>
                <w:szCs w:val="20"/>
              </w:rPr>
              <w:t xml:space="preserve">% u odnosu na prethodni mjesec. Unutrašnji dug iznosio je 442,7 mil. €, dug prema nerezidentima 1.318,2 mil.€ </w:t>
            </w:r>
            <w:r w:rsidR="0082570B" w:rsidRPr="00DC4AD1">
              <w:rPr>
                <w:noProof/>
                <w:sz w:val="20"/>
              </w:rPr>
              <w:t xml:space="preserve"> </w:t>
            </w:r>
          </w:p>
        </w:tc>
        <w:tc>
          <w:tcPr>
            <w:tcW w:w="3674" w:type="dxa"/>
            <w:vMerge/>
            <w:vAlign w:val="center"/>
          </w:tcPr>
          <w:p w:rsidR="0082570B" w:rsidRPr="00DC4AD1" w:rsidRDefault="0082570B" w:rsidP="003A5C77">
            <w:pPr>
              <w:spacing w:after="0" w:line="240" w:lineRule="auto"/>
              <w:jc w:val="center"/>
              <w:rPr>
                <w:noProof/>
                <w:sz w:val="17"/>
                <w:szCs w:val="17"/>
              </w:rPr>
            </w:pPr>
          </w:p>
        </w:tc>
      </w:tr>
      <w:tr w:rsidR="0082570B" w:rsidRPr="00DC4AD1" w:rsidTr="00CA211C">
        <w:trPr>
          <w:trHeight w:val="258"/>
        </w:trPr>
        <w:tc>
          <w:tcPr>
            <w:tcW w:w="7054" w:type="dxa"/>
            <w:tcBorders>
              <w:bottom w:val="single" w:sz="4" w:space="0" w:color="auto"/>
            </w:tcBorders>
          </w:tcPr>
          <w:p w:rsidR="0082570B" w:rsidRPr="00DC4AD1" w:rsidRDefault="0082570B" w:rsidP="003A5C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b/>
                <w:bCs/>
                <w:noProof/>
                <w:sz w:val="20"/>
                <w:szCs w:val="20"/>
              </w:rPr>
            </w:pPr>
            <w:r w:rsidRPr="00DC4AD1">
              <w:rPr>
                <w:b/>
                <w:bCs/>
                <w:noProof/>
                <w:sz w:val="20"/>
                <w:szCs w:val="20"/>
              </w:rPr>
              <w:t>Bankarski sektor i likvidnost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:rsidR="0082570B" w:rsidRPr="00DC4AD1" w:rsidRDefault="00D94466" w:rsidP="003A5C77">
            <w:pPr>
              <w:spacing w:after="0" w:line="240" w:lineRule="auto"/>
              <w:ind w:left="-250"/>
              <w:jc w:val="center"/>
              <w:rPr>
                <w:noProof/>
              </w:rPr>
            </w:pPr>
            <w:r w:rsidRPr="00DC4AD1">
              <w:rPr>
                <w:noProof/>
              </w:rPr>
              <w:drawing>
                <wp:inline distT="0" distB="0" distL="0" distR="0">
                  <wp:extent cx="2432649" cy="2294626"/>
                  <wp:effectExtent l="0" t="0" r="5751" b="0"/>
                  <wp:docPr id="9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82570B" w:rsidRPr="00DC4AD1" w:rsidTr="00622F10">
        <w:trPr>
          <w:trHeight w:val="3402"/>
        </w:trPr>
        <w:tc>
          <w:tcPr>
            <w:tcW w:w="7054" w:type="dxa"/>
            <w:tcBorders>
              <w:top w:val="single" w:sz="4" w:space="0" w:color="auto"/>
              <w:bottom w:val="thinThickSmallGap" w:sz="18" w:space="0" w:color="auto"/>
            </w:tcBorders>
          </w:tcPr>
          <w:p w:rsidR="0082570B" w:rsidRPr="00DC4AD1" w:rsidRDefault="0082570B" w:rsidP="001D37FD">
            <w:pPr>
              <w:spacing w:after="0" w:line="240" w:lineRule="auto"/>
              <w:jc w:val="both"/>
              <w:rPr>
                <w:noProof/>
              </w:rPr>
            </w:pPr>
            <w:r w:rsidRPr="00DC4AD1">
              <w:rPr>
                <w:b/>
                <w:noProof/>
                <w:sz w:val="20"/>
                <w:szCs w:val="18"/>
                <w:lang w:eastAsia="sr-Latn-CS"/>
              </w:rPr>
              <w:t>Poslovanje b</w:t>
            </w:r>
            <w:r w:rsidR="00E64E93">
              <w:rPr>
                <w:b/>
                <w:noProof/>
                <w:sz w:val="20"/>
                <w:szCs w:val="18"/>
                <w:lang w:eastAsia="sr-Latn-CS"/>
              </w:rPr>
              <w:t>anaka u j</w:t>
            </w:r>
            <w:r w:rsidRPr="00DC4AD1">
              <w:rPr>
                <w:b/>
                <w:noProof/>
                <w:sz w:val="20"/>
                <w:szCs w:val="18"/>
                <w:lang w:eastAsia="sr-Latn-CS"/>
              </w:rPr>
              <w:t>unu karakteriše rast kapitala i depozita i smanjenje kreditne aktivnosti</w:t>
            </w:r>
            <w:r w:rsidRPr="00DC4AD1">
              <w:rPr>
                <w:noProof/>
                <w:sz w:val="20"/>
                <w:szCs w:val="18"/>
                <w:lang w:eastAsia="sr-Latn-CS"/>
              </w:rPr>
              <w:t xml:space="preserve">. </w:t>
            </w:r>
            <w:r w:rsidRPr="00DC4AD1">
              <w:rPr>
                <w:b/>
                <w:noProof/>
                <w:sz w:val="20"/>
                <w:szCs w:val="18"/>
                <w:lang w:eastAsia="sr-Latn-CS"/>
              </w:rPr>
              <w:t>Ukupan kapital</w:t>
            </w:r>
            <w:r w:rsidRPr="00DC4AD1">
              <w:rPr>
                <w:noProof/>
                <w:sz w:val="20"/>
                <w:szCs w:val="18"/>
                <w:lang w:eastAsia="sr-Latn-CS"/>
              </w:rPr>
              <w:t xml:space="preserve"> je iznosio 405,9 mil.</w:t>
            </w:r>
            <w:r w:rsidR="00E64E93">
              <w:rPr>
                <w:noProof/>
                <w:sz w:val="20"/>
                <w:szCs w:val="18"/>
                <w:lang w:eastAsia="sr-Latn-CS"/>
              </w:rPr>
              <w:t xml:space="preserve"> </w:t>
            </w:r>
            <w:r w:rsidRPr="00DC4AD1">
              <w:rPr>
                <w:noProof/>
                <w:sz w:val="20"/>
                <w:szCs w:val="18"/>
                <w:lang w:eastAsia="sr-Latn-CS"/>
              </w:rPr>
              <w:t>€ i povećan je za 40,6%  ili 117,2 mil.</w:t>
            </w:r>
            <w:r w:rsidR="00E64E93">
              <w:rPr>
                <w:noProof/>
                <w:sz w:val="20"/>
                <w:szCs w:val="18"/>
                <w:lang w:eastAsia="sr-Latn-CS"/>
              </w:rPr>
              <w:t xml:space="preserve"> € </w:t>
            </w:r>
            <w:r w:rsidRPr="00DC4AD1">
              <w:rPr>
                <w:noProof/>
                <w:sz w:val="20"/>
                <w:szCs w:val="18"/>
                <w:lang w:eastAsia="sr-Latn-CS"/>
              </w:rPr>
              <w:t xml:space="preserve">u odnosu na kraj prethodne godine. </w:t>
            </w:r>
            <w:r w:rsidRPr="00DC4AD1">
              <w:rPr>
                <w:b/>
                <w:noProof/>
                <w:sz w:val="20"/>
                <w:szCs w:val="18"/>
                <w:lang w:eastAsia="sr-Latn-CS"/>
              </w:rPr>
              <w:t>Ukupni depoziti</w:t>
            </w:r>
            <w:r w:rsidRPr="00DC4AD1">
              <w:rPr>
                <w:noProof/>
                <w:sz w:val="20"/>
                <w:szCs w:val="18"/>
                <w:lang w:eastAsia="sr-Latn-CS"/>
              </w:rPr>
              <w:t xml:space="preserve"> su ostvarili rast od 1,8% na mjesečnom i 9,0% na godišnjem nivou. Sektorski posmatrano, </w:t>
            </w:r>
            <w:r w:rsidRPr="00DC4AD1">
              <w:rPr>
                <w:b/>
                <w:noProof/>
                <w:sz w:val="20"/>
                <w:szCs w:val="18"/>
                <w:lang w:eastAsia="sr-Latn-CS"/>
              </w:rPr>
              <w:t>depoziti stanovništva</w:t>
            </w:r>
            <w:r w:rsidR="00E64E93">
              <w:rPr>
                <w:noProof/>
                <w:sz w:val="20"/>
                <w:szCs w:val="18"/>
                <w:lang w:eastAsia="sr-Latn-CS"/>
              </w:rPr>
              <w:t xml:space="preserve"> sa iznosom od 1.</w:t>
            </w:r>
            <w:r w:rsidRPr="00DC4AD1">
              <w:rPr>
                <w:noProof/>
                <w:sz w:val="20"/>
                <w:szCs w:val="18"/>
                <w:lang w:eastAsia="sr-Latn-CS"/>
              </w:rPr>
              <w:t>164,7 mil.€ koji imaju najveće učeš</w:t>
            </w:r>
            <w:r w:rsidR="00E64E93">
              <w:rPr>
                <w:noProof/>
                <w:sz w:val="20"/>
                <w:szCs w:val="18"/>
                <w:lang w:eastAsia="sr-Latn-CS"/>
              </w:rPr>
              <w:t>će u ukupnim depozitima od 58,0% ostvarili su rast od 7,7</w:t>
            </w:r>
            <w:r w:rsidRPr="00DC4AD1">
              <w:rPr>
                <w:noProof/>
                <w:sz w:val="20"/>
                <w:szCs w:val="18"/>
                <w:lang w:eastAsia="sr-Latn-CS"/>
              </w:rPr>
              <w:t xml:space="preserve">% u odnosu na isti mjesec prethodne godine. Vrijednost </w:t>
            </w:r>
            <w:r w:rsidRPr="00DC4AD1">
              <w:rPr>
                <w:b/>
                <w:noProof/>
                <w:sz w:val="20"/>
                <w:szCs w:val="18"/>
                <w:lang w:eastAsia="sr-Latn-CS"/>
              </w:rPr>
              <w:t>ukupnih kredita</w:t>
            </w:r>
            <w:r w:rsidRPr="00DC4AD1">
              <w:rPr>
                <w:noProof/>
                <w:sz w:val="20"/>
                <w:szCs w:val="18"/>
                <w:lang w:eastAsia="sr-Latn-CS"/>
              </w:rPr>
              <w:t xml:space="preserve"> i ostali</w:t>
            </w:r>
            <w:r w:rsidR="00E64E93">
              <w:rPr>
                <w:noProof/>
                <w:sz w:val="20"/>
                <w:szCs w:val="18"/>
                <w:lang w:eastAsia="sr-Latn-CS"/>
              </w:rPr>
              <w:t>h potraživanja je iznosila 2.</w:t>
            </w:r>
            <w:r w:rsidRPr="00DC4AD1">
              <w:rPr>
                <w:noProof/>
                <w:sz w:val="20"/>
                <w:szCs w:val="18"/>
                <w:lang w:eastAsia="sr-Latn-CS"/>
              </w:rPr>
              <w:t>457,5 mil.</w:t>
            </w:r>
            <w:r w:rsidR="00E64E93">
              <w:rPr>
                <w:noProof/>
                <w:sz w:val="20"/>
                <w:szCs w:val="18"/>
                <w:lang w:eastAsia="sr-Latn-CS"/>
              </w:rPr>
              <w:t xml:space="preserve"> </w:t>
            </w:r>
            <w:r w:rsidRPr="00DC4AD1">
              <w:rPr>
                <w:noProof/>
                <w:sz w:val="20"/>
                <w:szCs w:val="18"/>
                <w:lang w:eastAsia="sr-Latn-CS"/>
              </w:rPr>
              <w:t xml:space="preserve">€, što je za 0,8% manje u odnosu na prethodni mjesec i 4,8% više na godišnjem nivou. Najznačajniji korisnik kredita, </w:t>
            </w:r>
            <w:r w:rsidRPr="00622F10">
              <w:rPr>
                <w:b/>
                <w:noProof/>
                <w:sz w:val="20"/>
                <w:szCs w:val="18"/>
                <w:lang w:eastAsia="sr-Latn-CS"/>
              </w:rPr>
              <w:t>sektor privrede</w:t>
            </w:r>
            <w:r w:rsidRPr="00DC4AD1">
              <w:rPr>
                <w:noProof/>
                <w:sz w:val="20"/>
                <w:szCs w:val="18"/>
                <w:lang w:eastAsia="sr-Latn-CS"/>
              </w:rPr>
              <w:t xml:space="preserve"> je bio kreditno zadužen 990,5 mil .</w:t>
            </w:r>
            <w:r w:rsidR="00E64E93">
              <w:rPr>
                <w:noProof/>
                <w:sz w:val="20"/>
                <w:szCs w:val="18"/>
                <w:lang w:eastAsia="sr-Latn-CS"/>
              </w:rPr>
              <w:t xml:space="preserve"> </w:t>
            </w:r>
            <w:r w:rsidRPr="00DC4AD1">
              <w:rPr>
                <w:noProof/>
                <w:sz w:val="20"/>
                <w:szCs w:val="18"/>
                <w:lang w:eastAsia="sr-Latn-CS"/>
              </w:rPr>
              <w:t>€  što čini</w:t>
            </w:r>
            <w:r w:rsidR="00E64E93">
              <w:rPr>
                <w:noProof/>
                <w:sz w:val="20"/>
                <w:szCs w:val="18"/>
                <w:lang w:eastAsia="sr-Latn-CS"/>
              </w:rPr>
              <w:t xml:space="preserve"> 40,3% ukupno odobrenih kredita</w:t>
            </w:r>
            <w:r w:rsidRPr="00DC4AD1">
              <w:rPr>
                <w:noProof/>
                <w:sz w:val="20"/>
                <w:szCs w:val="18"/>
                <w:lang w:eastAsia="sr-Latn-CS"/>
              </w:rPr>
              <w:t>. Ovi krediti su manji u odno</w:t>
            </w:r>
            <w:r w:rsidR="00E64E93">
              <w:rPr>
                <w:noProof/>
                <w:sz w:val="20"/>
                <w:szCs w:val="18"/>
                <w:lang w:eastAsia="sr-Latn-CS"/>
              </w:rPr>
              <w:t xml:space="preserve">su na prethodni mjesec za 3,6%, </w:t>
            </w:r>
            <w:r w:rsidRPr="00DC4AD1">
              <w:rPr>
                <w:noProof/>
                <w:sz w:val="20"/>
                <w:szCs w:val="18"/>
                <w:lang w:eastAsia="sr-Latn-CS"/>
              </w:rPr>
              <w:t xml:space="preserve">a na godišnjem nivou veći za 1,5%. U </w:t>
            </w:r>
            <w:r w:rsidRPr="00DC4AD1">
              <w:rPr>
                <w:b/>
                <w:noProof/>
                <w:sz w:val="20"/>
                <w:szCs w:val="18"/>
                <w:lang w:eastAsia="sr-Latn-CS"/>
              </w:rPr>
              <w:t>blokadi</w:t>
            </w:r>
            <w:r w:rsidRPr="00DC4AD1">
              <w:rPr>
                <w:noProof/>
                <w:sz w:val="20"/>
                <w:szCs w:val="18"/>
                <w:lang w:eastAsia="sr-Latn-CS"/>
              </w:rPr>
              <w:t xml:space="preserve"> je bilo 12.480 pravnih lica i preduzetnika, što je za 0,29% manje u odnosu na prethodni mjesec, dok je ukupan  dug iznosio 432,7 mil.</w:t>
            </w:r>
            <w:r w:rsidR="00E64E93">
              <w:rPr>
                <w:noProof/>
                <w:sz w:val="20"/>
                <w:szCs w:val="18"/>
                <w:lang w:eastAsia="sr-Latn-CS"/>
              </w:rPr>
              <w:t xml:space="preserve"> </w:t>
            </w:r>
            <w:r w:rsidRPr="00DC4AD1">
              <w:rPr>
                <w:noProof/>
                <w:sz w:val="20"/>
                <w:szCs w:val="18"/>
                <w:lang w:eastAsia="sr-Latn-CS"/>
              </w:rPr>
              <w:t xml:space="preserve">€  i povećan je 1,48% u posmatranom periodu. </w:t>
            </w:r>
          </w:p>
          <w:p w:rsidR="0082570B" w:rsidRPr="00DC4AD1" w:rsidRDefault="0082570B" w:rsidP="003A5C77">
            <w:pPr>
              <w:pStyle w:val="NormalWeb"/>
              <w:spacing w:before="0" w:beforeAutospacing="0" w:after="0"/>
              <w:jc w:val="both"/>
              <w:rPr>
                <w:rFonts w:ascii="Calibri" w:hAnsi="Calibri" w:cs="Calibri"/>
                <w:bCs/>
                <w:noProof/>
                <w:sz w:val="20"/>
                <w:szCs w:val="17"/>
              </w:rPr>
            </w:pPr>
          </w:p>
        </w:tc>
        <w:tc>
          <w:tcPr>
            <w:tcW w:w="3686" w:type="dxa"/>
            <w:gridSpan w:val="2"/>
            <w:vMerge/>
            <w:tcBorders>
              <w:bottom w:val="thinThickSmallGap" w:sz="18" w:space="0" w:color="auto"/>
            </w:tcBorders>
            <w:vAlign w:val="center"/>
          </w:tcPr>
          <w:p w:rsidR="0082570B" w:rsidRPr="00DC4AD1" w:rsidRDefault="0082570B" w:rsidP="003A5C77">
            <w:pPr>
              <w:spacing w:after="119" w:line="240" w:lineRule="auto"/>
              <w:jc w:val="center"/>
              <w:rPr>
                <w:noProof/>
              </w:rPr>
            </w:pPr>
          </w:p>
        </w:tc>
      </w:tr>
      <w:tr w:rsidR="0082570B" w:rsidRPr="00DC4AD1" w:rsidTr="00622F10">
        <w:trPr>
          <w:trHeight w:val="258"/>
        </w:trPr>
        <w:tc>
          <w:tcPr>
            <w:tcW w:w="7054" w:type="dxa"/>
            <w:tcBorders>
              <w:bottom w:val="single" w:sz="4" w:space="0" w:color="auto"/>
            </w:tcBorders>
          </w:tcPr>
          <w:p w:rsidR="0082570B" w:rsidRPr="00DC4AD1" w:rsidRDefault="0082570B" w:rsidP="003A5C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  <w:b/>
                <w:noProof/>
                <w:sz w:val="20"/>
                <w:szCs w:val="20"/>
              </w:rPr>
            </w:pPr>
            <w:r w:rsidRPr="00DC4AD1">
              <w:rPr>
                <w:b/>
                <w:bCs/>
                <w:noProof/>
                <w:sz w:val="20"/>
                <w:szCs w:val="20"/>
              </w:rPr>
              <w:t>Spoljnotrgovinska  razmjena  i  investicije</w:t>
            </w:r>
          </w:p>
        </w:tc>
        <w:tc>
          <w:tcPr>
            <w:tcW w:w="3686" w:type="dxa"/>
            <w:gridSpan w:val="2"/>
            <w:vMerge w:val="restart"/>
            <w:tcBorders>
              <w:bottom w:val="thickThinSmallGap" w:sz="18" w:space="0" w:color="auto"/>
            </w:tcBorders>
            <w:vAlign w:val="center"/>
          </w:tcPr>
          <w:p w:rsidR="00134A21" w:rsidRPr="00DC4AD1" w:rsidRDefault="007B41C4" w:rsidP="003A5C77">
            <w:pPr>
              <w:spacing w:after="0" w:line="240" w:lineRule="auto"/>
              <w:ind w:left="-250"/>
              <w:jc w:val="center"/>
              <w:rPr>
                <w:noProof/>
                <w:sz w:val="17"/>
                <w:szCs w:val="17"/>
              </w:rPr>
            </w:pPr>
            <w:r w:rsidRPr="00622F10">
              <w:rPr>
                <w:noProof/>
                <w:sz w:val="18"/>
                <w:szCs w:val="17"/>
              </w:rPr>
              <w:drawing>
                <wp:inline distT="0" distB="0" distL="0" distR="0">
                  <wp:extent cx="2360930" cy="1876425"/>
                  <wp:effectExtent l="0" t="0" r="0" b="0"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15"/>
                          <a:srcRect l="-2376" t="-2728" r="-2348" b="-4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93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4A21" w:rsidRPr="00DC4AD1" w:rsidRDefault="00134A21" w:rsidP="00134A21">
            <w:pPr>
              <w:rPr>
                <w:noProof/>
                <w:sz w:val="17"/>
                <w:szCs w:val="17"/>
              </w:rPr>
            </w:pPr>
          </w:p>
          <w:p w:rsidR="00134A21" w:rsidRPr="00DC4AD1" w:rsidRDefault="00134A21" w:rsidP="00134A21">
            <w:pPr>
              <w:rPr>
                <w:noProof/>
                <w:sz w:val="17"/>
                <w:szCs w:val="17"/>
              </w:rPr>
            </w:pPr>
          </w:p>
          <w:p w:rsidR="0082570B" w:rsidRPr="00DC4AD1" w:rsidRDefault="0082570B" w:rsidP="00134A21">
            <w:pPr>
              <w:rPr>
                <w:noProof/>
                <w:sz w:val="17"/>
                <w:szCs w:val="17"/>
              </w:rPr>
            </w:pPr>
          </w:p>
        </w:tc>
      </w:tr>
      <w:tr w:rsidR="0082570B" w:rsidRPr="00DC4AD1" w:rsidTr="00622F10">
        <w:trPr>
          <w:trHeight w:val="5084"/>
        </w:trPr>
        <w:tc>
          <w:tcPr>
            <w:tcW w:w="7054" w:type="dxa"/>
            <w:tcBorders>
              <w:top w:val="single" w:sz="4" w:space="0" w:color="auto"/>
              <w:bottom w:val="thickThinSmallGap" w:sz="18" w:space="0" w:color="auto"/>
            </w:tcBorders>
          </w:tcPr>
          <w:p w:rsidR="0085673A" w:rsidRDefault="0082570B" w:rsidP="00E14901">
            <w:pPr>
              <w:spacing w:after="0" w:line="240" w:lineRule="auto"/>
              <w:jc w:val="both"/>
              <w:rPr>
                <w:rFonts w:cs="Calibri"/>
                <w:noProof/>
                <w:sz w:val="20"/>
                <w:szCs w:val="20"/>
              </w:rPr>
            </w:pPr>
            <w:r w:rsidRPr="00DC4AD1">
              <w:rPr>
                <w:noProof/>
                <w:color w:val="000000"/>
                <w:sz w:val="20"/>
                <w:szCs w:val="20"/>
              </w:rPr>
              <w:t>Osnovne</w:t>
            </w:r>
            <w:r w:rsidRPr="00DC4AD1">
              <w:rPr>
                <w:b/>
                <w:noProof/>
                <w:color w:val="000000"/>
                <w:sz w:val="20"/>
                <w:szCs w:val="20"/>
              </w:rPr>
              <w:t xml:space="preserve"> </w:t>
            </w:r>
            <w:r w:rsidRPr="00DC4AD1">
              <w:rPr>
                <w:noProof/>
                <w:color w:val="000000"/>
                <w:sz w:val="20"/>
                <w:szCs w:val="20"/>
              </w:rPr>
              <w:t xml:space="preserve">karakteristike </w:t>
            </w:r>
            <w:r w:rsidRPr="00DC4AD1">
              <w:rPr>
                <w:b/>
                <w:noProof/>
                <w:color w:val="000000"/>
                <w:sz w:val="20"/>
                <w:szCs w:val="20"/>
              </w:rPr>
              <w:t>spoljnotrgovinske razmjene u</w:t>
            </w:r>
            <w:r w:rsidRPr="00DC4AD1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DC4AD1">
              <w:rPr>
                <w:b/>
                <w:noProof/>
                <w:color w:val="000000"/>
                <w:sz w:val="20"/>
                <w:szCs w:val="20"/>
              </w:rPr>
              <w:t>prvoj polovini 2013. godine su</w:t>
            </w:r>
            <w:r w:rsidR="00E64E93">
              <w:rPr>
                <w:b/>
                <w:noProof/>
                <w:color w:val="000000"/>
                <w:sz w:val="20"/>
                <w:szCs w:val="20"/>
              </w:rPr>
              <w:t>:</w:t>
            </w:r>
            <w:r w:rsidRPr="00DC4AD1">
              <w:rPr>
                <w:rFonts w:cs="Calibri"/>
                <w:noProof/>
                <w:sz w:val="20"/>
                <w:szCs w:val="20"/>
              </w:rPr>
              <w:t xml:space="preserve"> smanjenje spoljnotrgovinskog deficita koji je na kraju juna iznosio 651,4mil.</w:t>
            </w:r>
            <w:r w:rsidR="00E64E93">
              <w:rPr>
                <w:rFonts w:cs="Calibri"/>
                <w:noProof/>
                <w:sz w:val="20"/>
                <w:szCs w:val="20"/>
              </w:rPr>
              <w:t xml:space="preserve"> € i bio </w:t>
            </w:r>
            <w:r w:rsidRPr="00DC4AD1">
              <w:rPr>
                <w:rFonts w:cs="Calibri"/>
                <w:noProof/>
                <w:sz w:val="20"/>
                <w:szCs w:val="20"/>
              </w:rPr>
              <w:t xml:space="preserve">7,6% manji, dinamičan rast izvoza i blagi pad uvoza roba. </w:t>
            </w:r>
            <w:r w:rsidRPr="00DC4AD1">
              <w:rPr>
                <w:rFonts w:cs="Calibri"/>
                <w:b/>
                <w:noProof/>
                <w:sz w:val="20"/>
                <w:szCs w:val="20"/>
              </w:rPr>
              <w:t xml:space="preserve">Ukupna robna razmjena je </w:t>
            </w:r>
            <w:r w:rsidRPr="00DC4AD1">
              <w:rPr>
                <w:rFonts w:cs="Calibri"/>
                <w:noProof/>
                <w:sz w:val="20"/>
                <w:szCs w:val="20"/>
              </w:rPr>
              <w:t>smanjena</w:t>
            </w:r>
            <w:r w:rsidR="00E64E93">
              <w:rPr>
                <w:rFonts w:cs="Calibri"/>
                <w:b/>
                <w:noProof/>
                <w:sz w:val="20"/>
                <w:szCs w:val="20"/>
              </w:rPr>
              <w:t xml:space="preserve"> </w:t>
            </w:r>
            <w:r w:rsidRPr="00DC4AD1">
              <w:rPr>
                <w:rFonts w:cs="Calibri"/>
                <w:noProof/>
                <w:sz w:val="20"/>
                <w:szCs w:val="20"/>
              </w:rPr>
              <w:t>2,5% u odnosu na isti period prethodne godine i iznosi 1.043,1 mil.</w:t>
            </w:r>
            <w:r w:rsidR="00E64E93">
              <w:rPr>
                <w:rFonts w:cs="Calibri"/>
                <w:noProof/>
                <w:sz w:val="20"/>
                <w:szCs w:val="20"/>
              </w:rPr>
              <w:t xml:space="preserve"> </w:t>
            </w:r>
            <w:r w:rsidRPr="00DC4AD1">
              <w:rPr>
                <w:rFonts w:cs="Calibri"/>
                <w:noProof/>
                <w:sz w:val="20"/>
                <w:szCs w:val="20"/>
              </w:rPr>
              <w:t>€.</w:t>
            </w:r>
            <w:r w:rsidRPr="00DC4AD1">
              <w:rPr>
                <w:b/>
                <w:noProof/>
                <w:color w:val="00B050"/>
                <w:sz w:val="20"/>
                <w:szCs w:val="20"/>
              </w:rPr>
              <w:t xml:space="preserve"> </w:t>
            </w:r>
            <w:r w:rsidRPr="00DC4AD1">
              <w:rPr>
                <w:noProof/>
                <w:color w:val="000000"/>
                <w:sz w:val="20"/>
                <w:szCs w:val="20"/>
              </w:rPr>
              <w:t>Povećan je stepen pokrivenosti uvoza izvozom robe na 23,1% sa 20,6% koliko je iznosio u prvoj polovini 2012</w:t>
            </w:r>
            <w:r w:rsidRPr="00DC4AD1">
              <w:rPr>
                <w:b/>
                <w:noProof/>
                <w:color w:val="000000"/>
                <w:sz w:val="20"/>
                <w:szCs w:val="20"/>
              </w:rPr>
              <w:t>.</w:t>
            </w:r>
            <w:r w:rsidRPr="00DC4AD1">
              <w:rPr>
                <w:rFonts w:cs="Calibri"/>
                <w:noProof/>
                <w:sz w:val="20"/>
                <w:szCs w:val="20"/>
              </w:rPr>
              <w:t xml:space="preserve"> Ukupan izvoz roba  iznosio je 195,8mil.</w:t>
            </w:r>
            <w:r w:rsidR="0085673A">
              <w:rPr>
                <w:rFonts w:cs="Calibri"/>
                <w:noProof/>
                <w:sz w:val="20"/>
                <w:szCs w:val="20"/>
              </w:rPr>
              <w:t xml:space="preserve"> </w:t>
            </w:r>
            <w:r w:rsidRPr="00DC4AD1">
              <w:rPr>
                <w:rFonts w:cs="Calibri"/>
                <w:noProof/>
                <w:sz w:val="20"/>
                <w:szCs w:val="20"/>
              </w:rPr>
              <w:t>€  ili 7,3% više, dok je uvezeno robe u vrijednosti od 847,2mil.</w:t>
            </w:r>
            <w:r w:rsidR="0085673A">
              <w:rPr>
                <w:rFonts w:cs="Calibri"/>
                <w:noProof/>
                <w:sz w:val="20"/>
                <w:szCs w:val="20"/>
              </w:rPr>
              <w:t xml:space="preserve"> </w:t>
            </w:r>
            <w:r w:rsidRPr="00DC4AD1">
              <w:rPr>
                <w:rFonts w:cs="Calibri"/>
                <w:noProof/>
                <w:sz w:val="20"/>
                <w:szCs w:val="20"/>
              </w:rPr>
              <w:t xml:space="preserve">€ ili 4,5% manje. Izvoz roba bilježi  povoljna kretanja usljed povećanja izvoza električne energije za 292,0% </w:t>
            </w:r>
            <w:r w:rsidR="00622F10">
              <w:rPr>
                <w:rFonts w:cs="Calibri"/>
                <w:noProof/>
                <w:sz w:val="20"/>
                <w:szCs w:val="20"/>
              </w:rPr>
              <w:t>(33,6%  ukupnog izvoza), dok su</w:t>
            </w:r>
            <w:r w:rsidRPr="00DC4AD1">
              <w:rPr>
                <w:rFonts w:cs="Calibri"/>
                <w:noProof/>
                <w:sz w:val="20"/>
                <w:szCs w:val="20"/>
              </w:rPr>
              <w:t xml:space="preserve"> aluminijum i gvožđe i čelik  ostvarili  pad od 46,0% i 38,0%, respektivno. Negativan trend kod izvoza navedenih kategorija  prisutan je usljed smanjenja proizvodnje KAP-a i Željezare Nikšić, pada cijena metala i eksterne tražnje usljed negativnih kretanja u pojedinim zemljama EU. Na pad  </w:t>
            </w:r>
            <w:r w:rsidRPr="00DC4AD1">
              <w:rPr>
                <w:rFonts w:cs="Calibri"/>
                <w:b/>
                <w:noProof/>
                <w:sz w:val="20"/>
                <w:szCs w:val="20"/>
              </w:rPr>
              <w:t>uvoza</w:t>
            </w:r>
            <w:r w:rsidRPr="00DC4AD1">
              <w:rPr>
                <w:rFonts w:cs="Calibri"/>
                <w:noProof/>
                <w:sz w:val="20"/>
                <w:szCs w:val="20"/>
              </w:rPr>
              <w:t xml:space="preserve"> najviše je uticalo smanjenje uvoza električne energije (68,0%), dok je uvoz robe široke potrošnje i  proizvoda kategorije „mašine i transportni uređaji“ ostao na približno istom nivou kao i u prvom polugođu 2012. </w:t>
            </w:r>
          </w:p>
          <w:p w:rsidR="0082570B" w:rsidRPr="00DC4AD1" w:rsidRDefault="0082570B" w:rsidP="00E14901">
            <w:pPr>
              <w:spacing w:after="0" w:line="240" w:lineRule="auto"/>
              <w:jc w:val="both"/>
              <w:rPr>
                <w:noProof/>
                <w:sz w:val="18"/>
                <w:szCs w:val="18"/>
              </w:rPr>
            </w:pPr>
            <w:r w:rsidRPr="00DC4AD1">
              <w:rPr>
                <w:b/>
                <w:noProof/>
                <w:sz w:val="20"/>
                <w:szCs w:val="20"/>
              </w:rPr>
              <w:t>Neto strane investicije za period  januar-maj 2013</w:t>
            </w:r>
            <w:r w:rsidR="0085673A">
              <w:rPr>
                <w:b/>
                <w:noProof/>
                <w:sz w:val="20"/>
                <w:szCs w:val="20"/>
              </w:rPr>
              <w:t>.</w:t>
            </w:r>
            <w:r w:rsidRPr="00DC4AD1">
              <w:rPr>
                <w:noProof/>
                <w:sz w:val="20"/>
                <w:szCs w:val="20"/>
              </w:rPr>
              <w:t xml:space="preserve"> </w:t>
            </w:r>
            <w:r w:rsidRPr="00DC4AD1">
              <w:rPr>
                <w:b/>
                <w:noProof/>
                <w:sz w:val="20"/>
                <w:szCs w:val="20"/>
              </w:rPr>
              <w:t>su iznosile 112,1 mil.</w:t>
            </w:r>
            <w:r w:rsidR="0085673A">
              <w:rPr>
                <w:b/>
                <w:noProof/>
                <w:sz w:val="20"/>
                <w:szCs w:val="20"/>
              </w:rPr>
              <w:t xml:space="preserve"> </w:t>
            </w:r>
            <w:r w:rsidRPr="00DC4AD1">
              <w:rPr>
                <w:b/>
                <w:noProof/>
                <w:sz w:val="20"/>
                <w:szCs w:val="20"/>
              </w:rPr>
              <w:t xml:space="preserve">€, što je za 5,5% manje nego u istom periodu 2012.  </w:t>
            </w:r>
            <w:r w:rsidRPr="00DC4AD1">
              <w:rPr>
                <w:noProof/>
                <w:sz w:val="20"/>
                <w:szCs w:val="20"/>
              </w:rPr>
              <w:t>Ukupan priliv SDI iznosio je 153,1 mil.</w:t>
            </w:r>
            <w:r w:rsidR="0085673A">
              <w:rPr>
                <w:noProof/>
                <w:sz w:val="20"/>
                <w:szCs w:val="20"/>
              </w:rPr>
              <w:t xml:space="preserve"> </w:t>
            </w:r>
            <w:r w:rsidRPr="00DC4AD1">
              <w:rPr>
                <w:noProof/>
                <w:sz w:val="20"/>
                <w:szCs w:val="20"/>
              </w:rPr>
              <w:t>€. Struktura SDI: vl</w:t>
            </w:r>
            <w:r w:rsidR="009F35DF" w:rsidRPr="00DC4AD1">
              <w:rPr>
                <w:noProof/>
                <w:sz w:val="20"/>
                <w:szCs w:val="20"/>
              </w:rPr>
              <w:t>asnička ulaganja 54,5%, i to:</w:t>
            </w:r>
            <w:r w:rsidRPr="00DC4AD1">
              <w:rPr>
                <w:noProof/>
                <w:sz w:val="20"/>
                <w:szCs w:val="20"/>
              </w:rPr>
              <w:t xml:space="preserve"> ulaganja u nekretnine 50,4% (manje za 8,5%) i investicije u preduzeća i banke 4,1% (manje za 84,7%); interkompanijski dug 44,6% (veće za 50,6%) i ostalo 0,9%(manje za 55,2%). Ukupan odliv SDI iznosio je 40,9mil.</w:t>
            </w:r>
            <w:r w:rsidR="0085673A">
              <w:rPr>
                <w:noProof/>
                <w:sz w:val="20"/>
                <w:szCs w:val="20"/>
              </w:rPr>
              <w:t xml:space="preserve"> </w:t>
            </w:r>
            <w:r w:rsidRPr="00DC4AD1">
              <w:rPr>
                <w:noProof/>
                <w:sz w:val="20"/>
                <w:szCs w:val="20"/>
              </w:rPr>
              <w:t>€,</w:t>
            </w:r>
            <w:r w:rsidRPr="00DC4AD1">
              <w:rPr>
                <w:rFonts w:cs="Calibri"/>
                <w:bCs/>
                <w:noProof/>
                <w:sz w:val="20"/>
                <w:szCs w:val="20"/>
              </w:rPr>
              <w:t xml:space="preserve"> </w:t>
            </w:r>
            <w:r w:rsidRPr="00DC4AD1">
              <w:rPr>
                <w:bCs/>
                <w:noProof/>
                <w:sz w:val="20"/>
                <w:szCs w:val="20"/>
              </w:rPr>
              <w:t xml:space="preserve">što je za 25,8% </w:t>
            </w:r>
            <w:r w:rsidR="0085673A">
              <w:rPr>
                <w:bCs/>
                <w:noProof/>
                <w:sz w:val="20"/>
                <w:szCs w:val="20"/>
              </w:rPr>
              <w:t xml:space="preserve"> </w:t>
            </w:r>
            <w:r w:rsidRPr="00DC4AD1">
              <w:rPr>
                <w:bCs/>
                <w:noProof/>
                <w:sz w:val="20"/>
                <w:szCs w:val="20"/>
              </w:rPr>
              <w:t>manje nego u istom periodu 2012.</w:t>
            </w:r>
            <w:r w:rsidR="0085673A">
              <w:rPr>
                <w:bCs/>
                <w:noProof/>
                <w:sz w:val="20"/>
                <w:szCs w:val="20"/>
              </w:rPr>
              <w:t xml:space="preserve"> </w:t>
            </w:r>
            <w:r w:rsidRPr="00DC4AD1">
              <w:rPr>
                <w:bCs/>
                <w:noProof/>
                <w:sz w:val="20"/>
                <w:szCs w:val="20"/>
              </w:rPr>
              <w:t>godine.</w:t>
            </w:r>
          </w:p>
        </w:tc>
        <w:tc>
          <w:tcPr>
            <w:tcW w:w="3686" w:type="dxa"/>
            <w:gridSpan w:val="2"/>
            <w:vMerge/>
            <w:tcBorders>
              <w:top w:val="thinThickSmallGap" w:sz="18" w:space="0" w:color="auto"/>
              <w:bottom w:val="thickThinSmallGap" w:sz="18" w:space="0" w:color="auto"/>
            </w:tcBorders>
            <w:vAlign w:val="center"/>
          </w:tcPr>
          <w:p w:rsidR="0082570B" w:rsidRPr="00DC4AD1" w:rsidRDefault="0082570B" w:rsidP="003A5C77">
            <w:pPr>
              <w:spacing w:after="0" w:line="240" w:lineRule="auto"/>
              <w:jc w:val="center"/>
              <w:rPr>
                <w:noProof/>
                <w:sz w:val="17"/>
                <w:szCs w:val="17"/>
              </w:rPr>
            </w:pPr>
          </w:p>
        </w:tc>
      </w:tr>
    </w:tbl>
    <w:p w:rsidR="0082570B" w:rsidRPr="00DC4AD1" w:rsidRDefault="0082570B" w:rsidP="00D51C00">
      <w:pPr>
        <w:rPr>
          <w:noProof/>
        </w:rPr>
        <w:sectPr w:rsidR="0082570B" w:rsidRPr="00DC4AD1" w:rsidSect="008D4618">
          <w:pgSz w:w="11907" w:h="16839" w:code="9"/>
          <w:pgMar w:top="720" w:right="720" w:bottom="567" w:left="720" w:header="720" w:footer="720" w:gutter="0"/>
          <w:cols w:space="720"/>
          <w:rtlGutter/>
          <w:docGrid w:linePitch="360"/>
        </w:sectPr>
      </w:pPr>
      <w:r w:rsidRPr="00DC4AD1">
        <w:rPr>
          <w:noProof/>
        </w:rPr>
        <w:br w:type="textWrapping" w:clear="all"/>
      </w:r>
    </w:p>
    <w:p w:rsidR="0082570B" w:rsidRPr="00DC4AD1" w:rsidRDefault="0082570B" w:rsidP="0002564B">
      <w:pPr>
        <w:jc w:val="center"/>
        <w:outlineLvl w:val="0"/>
        <w:rPr>
          <w:noProof/>
          <w:sz w:val="17"/>
          <w:szCs w:val="16"/>
        </w:rPr>
      </w:pPr>
      <w:r w:rsidRPr="00DC4AD1">
        <w:rPr>
          <w:noProof/>
          <w:sz w:val="17"/>
          <w:szCs w:val="16"/>
        </w:rPr>
        <w:lastRenderedPageBreak/>
        <w:t xml:space="preserve">Tabela 1: </w:t>
      </w:r>
      <w:r w:rsidRPr="00DC4AD1">
        <w:rPr>
          <w:b/>
          <w:bCs/>
          <w:noProof/>
          <w:sz w:val="17"/>
          <w:szCs w:val="16"/>
        </w:rPr>
        <w:t>MAKROEKONOMSKI INDIKATORI</w:t>
      </w:r>
      <w:r w:rsidRPr="00DC4AD1">
        <w:rPr>
          <w:noProof/>
          <w:sz w:val="17"/>
          <w:szCs w:val="16"/>
        </w:rPr>
        <w:t xml:space="preserve"> – </w:t>
      </w:r>
      <w:r w:rsidR="00191F90" w:rsidRPr="00DC4AD1">
        <w:rPr>
          <w:noProof/>
          <w:sz w:val="17"/>
          <w:szCs w:val="16"/>
        </w:rPr>
        <w:t>Jun</w:t>
      </w:r>
      <w:r w:rsidRPr="00DC4AD1">
        <w:rPr>
          <w:noProof/>
          <w:sz w:val="17"/>
          <w:szCs w:val="16"/>
        </w:rPr>
        <w:t xml:space="preserve"> 201</w:t>
      </w:r>
      <w:r w:rsidR="00191F90" w:rsidRPr="00DC4AD1">
        <w:rPr>
          <w:noProof/>
          <w:sz w:val="17"/>
          <w:szCs w:val="16"/>
        </w:rPr>
        <w:t>3</w:t>
      </w:r>
      <w:r w:rsidRPr="00DC4AD1">
        <w:rPr>
          <w:noProof/>
          <w:sz w:val="17"/>
          <w:szCs w:val="16"/>
        </w:rPr>
        <w:t>.</w:t>
      </w:r>
    </w:p>
    <w:p w:rsidR="0082570B" w:rsidRPr="00DC4AD1" w:rsidRDefault="0082570B" w:rsidP="0002564B">
      <w:pPr>
        <w:spacing w:after="0" w:line="240" w:lineRule="auto"/>
        <w:outlineLvl w:val="0"/>
        <w:rPr>
          <w:b/>
          <w:i/>
          <w:noProof/>
          <w:sz w:val="16"/>
          <w:szCs w:val="16"/>
        </w:rPr>
      </w:pPr>
      <w:bookmarkStart w:id="1" w:name="_GoBack"/>
      <w:bookmarkEnd w:id="1"/>
      <w:r w:rsidRPr="00DC4AD1">
        <w:rPr>
          <w:b/>
          <w:i/>
          <w:noProof/>
          <w:sz w:val="16"/>
          <w:szCs w:val="16"/>
        </w:rPr>
        <w:t>Izvor: Monstat, Centralna Banka, Zavod za zapošljavanje Crne Gore</w:t>
      </w:r>
    </w:p>
    <w:p w:rsidR="0082570B" w:rsidRPr="00DC4AD1" w:rsidRDefault="0082570B" w:rsidP="00303D85">
      <w:pPr>
        <w:spacing w:after="0"/>
        <w:ind w:firstLine="142"/>
        <w:rPr>
          <w:i/>
          <w:iCs/>
          <w:noProof/>
          <w:sz w:val="12"/>
          <w:szCs w:val="12"/>
        </w:rPr>
      </w:pPr>
      <w:r w:rsidRPr="00DC4AD1">
        <w:rPr>
          <w:i/>
          <w:iCs/>
          <w:noProof/>
          <w:sz w:val="12"/>
          <w:szCs w:val="12"/>
        </w:rPr>
        <w:t>Svi indikatori su prikazani kao godišnje stope rasta (stopa promjene indikatora u posmatranom mjesecu u odnosu na isti mjesec prethodne godine u %) ukoliko nije drugačije naznačeno u nazivu</w:t>
      </w:r>
    </w:p>
    <w:p w:rsidR="00475BE2" w:rsidRPr="00DC4AD1" w:rsidRDefault="0082570B" w:rsidP="00875C4F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  <w:r w:rsidRPr="00DC4AD1">
        <w:rPr>
          <w:i/>
          <w:iCs/>
          <w:noProof/>
          <w:sz w:val="12"/>
          <w:szCs w:val="12"/>
        </w:rPr>
        <w:t>M-n-M označava mjesečnu promjenu (stopa promjene indikatora u posmatranom mjesecu u odnosu na prethodni mjesec u %)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968"/>
        <w:gridCol w:w="846"/>
        <w:gridCol w:w="658"/>
        <w:gridCol w:w="658"/>
        <w:gridCol w:w="662"/>
        <w:gridCol w:w="658"/>
        <w:gridCol w:w="657"/>
        <w:gridCol w:w="849"/>
        <w:gridCol w:w="845"/>
        <w:gridCol w:w="845"/>
        <w:gridCol w:w="829"/>
        <w:gridCol w:w="829"/>
        <w:gridCol w:w="751"/>
        <w:gridCol w:w="845"/>
        <w:gridCol w:w="732"/>
        <w:gridCol w:w="771"/>
        <w:gridCol w:w="790"/>
      </w:tblGrid>
      <w:tr w:rsidR="00475BE2" w:rsidRPr="00DC4AD1" w:rsidTr="00191F90">
        <w:trPr>
          <w:trHeight w:hRule="exact" w:val="706"/>
        </w:trPr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DC4AD1">
              <w:rPr>
                <w:b/>
                <w:bCs/>
                <w:noProof/>
                <w:sz w:val="18"/>
                <w:szCs w:val="18"/>
              </w:rPr>
              <w:t>Indikatori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VI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VII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VIII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IX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X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XI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XII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2013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II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III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IV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V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DC4AD1">
              <w:rPr>
                <w:b/>
                <w:bCs/>
                <w:noProof/>
                <w:sz w:val="18"/>
                <w:szCs w:val="18"/>
              </w:rPr>
              <w:t>VI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M-n-M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jun 2013 / jun 2012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jan - jun 2013 / jan - jun 2012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8"/>
                <w:szCs w:val="18"/>
              </w:rPr>
            </w:pPr>
            <w:r w:rsidRPr="00DC4AD1">
              <w:rPr>
                <w:b/>
                <w:bCs/>
                <w:noProof/>
                <w:sz w:val="18"/>
                <w:szCs w:val="18"/>
              </w:rPr>
              <w:t>REALNI SEKTOR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8"/>
                <w:szCs w:val="18"/>
              </w:rPr>
            </w:pPr>
            <w:r w:rsidRPr="00DC4AD1">
              <w:rPr>
                <w:b/>
                <w:bCs/>
                <w:noProof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8"/>
                <w:szCs w:val="18"/>
              </w:rPr>
            </w:pPr>
            <w:r w:rsidRPr="00DC4AD1">
              <w:rPr>
                <w:b/>
                <w:bCs/>
                <w:noProof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8"/>
                <w:szCs w:val="18"/>
              </w:rPr>
            </w:pPr>
            <w:r w:rsidRPr="00DC4AD1">
              <w:rPr>
                <w:b/>
                <w:bCs/>
                <w:noProof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8"/>
                <w:szCs w:val="18"/>
              </w:rPr>
            </w:pPr>
            <w:r w:rsidRPr="00DC4AD1">
              <w:rPr>
                <w:b/>
                <w:bCs/>
                <w:noProof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8"/>
                <w:szCs w:val="18"/>
              </w:rPr>
            </w:pPr>
            <w:r w:rsidRPr="00DC4AD1">
              <w:rPr>
                <w:b/>
                <w:bCs/>
                <w:noProof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8"/>
                <w:szCs w:val="18"/>
              </w:rPr>
            </w:pPr>
            <w:r w:rsidRPr="00DC4AD1">
              <w:rPr>
                <w:b/>
                <w:bCs/>
                <w:noProof/>
                <w:sz w:val="18"/>
                <w:szCs w:val="18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8"/>
                <w:szCs w:val="18"/>
              </w:rPr>
            </w:pPr>
            <w:r w:rsidRPr="00DC4AD1">
              <w:rPr>
                <w:b/>
                <w:bCs/>
                <w:noProof/>
                <w:sz w:val="18"/>
                <w:szCs w:val="18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8"/>
                <w:szCs w:val="18"/>
              </w:rPr>
            </w:pPr>
            <w:r w:rsidRPr="00DC4AD1">
              <w:rPr>
                <w:b/>
                <w:bCs/>
                <w:noProof/>
                <w:sz w:val="18"/>
                <w:szCs w:val="18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8"/>
                <w:szCs w:val="18"/>
              </w:rPr>
            </w:pPr>
            <w:r w:rsidRPr="00DC4AD1">
              <w:rPr>
                <w:b/>
                <w:bCs/>
                <w:noProof/>
                <w:sz w:val="18"/>
                <w:szCs w:val="18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8"/>
                <w:szCs w:val="18"/>
              </w:rPr>
            </w:pPr>
            <w:r w:rsidRPr="00DC4AD1">
              <w:rPr>
                <w:b/>
                <w:bCs/>
                <w:noProof/>
                <w:sz w:val="18"/>
                <w:szCs w:val="18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8"/>
                <w:szCs w:val="18"/>
              </w:rPr>
            </w:pPr>
            <w:r w:rsidRPr="00DC4AD1">
              <w:rPr>
                <w:b/>
                <w:bCs/>
                <w:noProof/>
                <w:sz w:val="18"/>
                <w:szCs w:val="18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8"/>
                <w:szCs w:val="18"/>
              </w:rPr>
            </w:pPr>
            <w:r w:rsidRPr="00DC4AD1">
              <w:rPr>
                <w:b/>
                <w:bCs/>
                <w:noProof/>
                <w:sz w:val="18"/>
                <w:szCs w:val="18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8"/>
                <w:szCs w:val="18"/>
              </w:rPr>
            </w:pPr>
            <w:r w:rsidRPr="00DC4AD1">
              <w:rPr>
                <w:b/>
                <w:bCs/>
                <w:noProof/>
                <w:sz w:val="18"/>
                <w:szCs w:val="18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8"/>
                <w:szCs w:val="18"/>
              </w:rPr>
            </w:pPr>
            <w:r w:rsidRPr="00DC4AD1">
              <w:rPr>
                <w:b/>
                <w:bCs/>
                <w:noProof/>
                <w:sz w:val="18"/>
                <w:szCs w:val="18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8"/>
                <w:szCs w:val="18"/>
              </w:rPr>
            </w:pPr>
            <w:r w:rsidRPr="00DC4AD1">
              <w:rPr>
                <w:b/>
                <w:bCs/>
                <w:noProof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8"/>
                <w:szCs w:val="18"/>
              </w:rPr>
            </w:pPr>
            <w:r w:rsidRPr="00DC4AD1">
              <w:rPr>
                <w:b/>
                <w:bCs/>
                <w:noProof/>
                <w:sz w:val="18"/>
                <w:szCs w:val="18"/>
              </w:rPr>
              <w:t> 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Industrijska proizvodnja (stopa rasta)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-19.60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-1.80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-5.50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-16.10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-24.40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-6.00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17.00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1.70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-3.00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10.40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14.20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22.40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19.00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-12.7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19.0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10.4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Prerađivačka industrija (stopa rasta)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-18.50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-14.20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-13.00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-20.40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-40.50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-28.10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-20.30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-36.40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-32.80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-34.40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-28.20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-11.50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-11.10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-11.6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-11.1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-25.6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Noćenja u turizmu (stopa rasta)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7.60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5.60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1.60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6.90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2.60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1.80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-8.30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-1.40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2.30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7.30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139.2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4.2</w:t>
            </w:r>
          </w:p>
        </w:tc>
      </w:tr>
      <w:tr w:rsidR="00475BE2" w:rsidRPr="00DC4AD1" w:rsidTr="00A11E17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Promet u maloprodaji (stopa rasta)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3.30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2.10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1.10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4.40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3.50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2.10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2.10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12.10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8.20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6.60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7.80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8.60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0.00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</w:tr>
      <w:tr w:rsidR="00475BE2" w:rsidRPr="00DC4AD1" w:rsidTr="00A11E17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Vrijednost radova u gradjevinarstvu (stopa rasta)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-23.7</w:t>
            </w:r>
          </w:p>
        </w:tc>
        <w:tc>
          <w:tcPr>
            <w:tcW w:w="6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12.0</w:t>
            </w:r>
          </w:p>
        </w:tc>
        <w:tc>
          <w:tcPr>
            <w:tcW w:w="6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-28.2</w:t>
            </w:r>
          </w:p>
        </w:tc>
        <w:tc>
          <w:tcPr>
            <w:tcW w:w="7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5.7</w:t>
            </w:r>
          </w:p>
        </w:tc>
        <w:tc>
          <w:tcPr>
            <w:tcW w:w="7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color w:val="993300"/>
                <w:sz w:val="16"/>
                <w:szCs w:val="16"/>
              </w:rPr>
            </w:pPr>
            <w:r>
              <w:rPr>
                <w:noProof/>
                <w:color w:val="993300"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color w:val="993300"/>
                <w:sz w:val="16"/>
                <w:szCs w:val="16"/>
              </w:rPr>
            </w:pPr>
            <w:r>
              <w:rPr>
                <w:noProof/>
                <w:color w:val="993300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color w:val="993300"/>
                <w:sz w:val="16"/>
                <w:szCs w:val="16"/>
              </w:rPr>
            </w:pPr>
            <w:r>
              <w:rPr>
                <w:noProof/>
                <w:color w:val="993300"/>
                <w:sz w:val="16"/>
                <w:szCs w:val="16"/>
              </w:rPr>
              <w:t>-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INFLACIJA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Indeks potrošačkih cijena (stopa rasta)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5.2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5.2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5.1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2.2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-0.6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2.2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3.2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Harmonizovani indeks potrošačkih cijena (stopa rasta)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5.5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5.0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2.4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2.1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1.5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-0.1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1.5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n/d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Indeks proizvodjačkih cijena (stopa rasta)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1.8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0.9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5.1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5.7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2.3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0.0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2.3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3.8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ZAPOSLENOST I ZARADE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Zaposlenost (broj, kraj perioda)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162,567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173,124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173,024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169,877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168,701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168,589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167,484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167,370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167,379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167,738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170,302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174,369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179,861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10.6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5.1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Broj nezaposlenih (broj, kraj perioda)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29,411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28,686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28,549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28,272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29,540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30,718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31,232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31,890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32,648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32,986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32,624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31,363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30,337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-3.3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3.6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Stopa nezaposlenosti (%)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12.7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12.4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12.3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12.2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12.7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13.2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13.5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13.7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14.1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14.2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14.1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13.5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13.0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-3.4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2.7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3.6</w:t>
            </w:r>
          </w:p>
        </w:tc>
      </w:tr>
      <w:tr w:rsidR="00475BE2" w:rsidRPr="00DC4AD1" w:rsidTr="00A11E17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Stopa nezaposlenosti (ARS) (%)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20.0</w:t>
            </w:r>
          </w:p>
        </w:tc>
        <w:tc>
          <w:tcPr>
            <w:tcW w:w="6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18.8</w:t>
            </w:r>
          </w:p>
        </w:tc>
        <w:tc>
          <w:tcPr>
            <w:tcW w:w="6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20.6</w:t>
            </w:r>
          </w:p>
        </w:tc>
        <w:tc>
          <w:tcPr>
            <w:tcW w:w="7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center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21.5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Oglašena radna mjesta (broj)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4,146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2,651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1,081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725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2,005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2,766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972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583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1,182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2,826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1,719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1,430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-16.8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-65.5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-43.0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Prosječna mjesečna bruto zarada (u €)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722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716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716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721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717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713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741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731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734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723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724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728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730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0.3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1.1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-1.1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Prosječna mjesečna neto zarada (u €)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484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480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480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483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480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478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497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490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485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476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477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480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0.2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-0.6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-2.2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MONETARNI SEKTOR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</w:tr>
      <w:tr w:rsidR="00475BE2" w:rsidRPr="00DC4AD1" w:rsidTr="00A11E17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Ukupni krediti (kumulativ, mil. €)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2,345.2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2,374.7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2,401.4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2,425.3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2,361.5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2,338.1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2,342.0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2,482.8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2,507.6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2,490.7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2,466.7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2,477.6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2,457.5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-0.8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</w:tr>
      <w:tr w:rsidR="00475BE2" w:rsidRPr="00DC4AD1" w:rsidTr="00A11E17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 xml:space="preserve">Ukupni krediti (stopa rasta) 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-3.5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-2.6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-3.5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-1.2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-2.5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-2.5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-0.7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6.3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7.4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6.0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6.0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6.4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-0.8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</w:tr>
      <w:tr w:rsidR="00475BE2" w:rsidRPr="00DC4AD1" w:rsidTr="00A11E17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Nekvalitetni krediti (kumulativ, mil €)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335.4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338.4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342.7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350.5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330.4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329.4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314.8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>
              <w:rPr>
                <w:b/>
                <w:bCs/>
                <w:noProof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</w:tr>
      <w:tr w:rsidR="00475BE2" w:rsidRPr="00DC4AD1" w:rsidTr="00A11E17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Udio nekvalitetnih kredita u ukupnim kreditima (u %)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14.3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14.3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14.3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14.5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13.4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14.1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13.4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>
              <w:rPr>
                <w:b/>
                <w:bCs/>
                <w:noProof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</w:tr>
      <w:tr w:rsidR="00475BE2" w:rsidRPr="00DC4AD1" w:rsidTr="00A11E17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Ukupni depoziti (kumulativ, mil €)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1,843.4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1,916.6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1,954.4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2,001.1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1,965.5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1,982.9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1,980.7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1,969.8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1,990.1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1,999.3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1,951.5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1,974.4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2,009.7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1.8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9.0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</w:tr>
      <w:tr w:rsidR="00475BE2" w:rsidRPr="00DC4AD1" w:rsidTr="00A11E17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Ukupni depoziti (stopa rasta)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0.3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6.6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6.0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8.3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9.0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6.3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7.4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6.0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6.0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6.4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4.8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1.8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9.0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</w:tr>
      <w:tr w:rsidR="00475BE2" w:rsidRPr="00DC4AD1" w:rsidTr="00A11E17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Krediti privredi (kumulativ, u mil €)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975.8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971.5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950.5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941.1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923.6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936.6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930.4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1,013.2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1,019.0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1,026.5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1,029.1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1,027.9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990.5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-3.6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1.5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</w:tr>
      <w:tr w:rsidR="00475BE2" w:rsidRPr="00DC4AD1" w:rsidTr="00A11E17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Krediti domaćinstvima (kumulativ, u mil €)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831.7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827.6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824.6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825.2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821.6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818.1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809.2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857.4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861.1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865.8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872.5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875.1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880.9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0.7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5.9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</w:tr>
      <w:tr w:rsidR="00475BE2" w:rsidRPr="00DC4AD1" w:rsidTr="00A11E17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Depoziti privrede (kumulativ, u mil €)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480.7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527.4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552.1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569.2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549.5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546.4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526.5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507.8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518.7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525.4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489.8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509.8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539.3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5.8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12.2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</w:tr>
      <w:tr w:rsidR="00475BE2" w:rsidRPr="00DC4AD1" w:rsidTr="00A11E17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Lična štednja (kumulativ, u mil €)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1,051.4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1,086.6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1,108.3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1,113.7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1,114.7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1,134.7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1,146.8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1,150.4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1,158.7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1,165.0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1,165.1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1,162.4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1,164.7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0.2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10.8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</w:tr>
      <w:tr w:rsidR="00475BE2" w:rsidRPr="00DC4AD1" w:rsidTr="00A11E17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Kamatna stopa na kredite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9.53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9.54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9.54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9.53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9.50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9,49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9.47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9.44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9.45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9.44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9.44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9.44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</w:tr>
      <w:tr w:rsidR="00475BE2" w:rsidRPr="00DC4AD1" w:rsidTr="00A11E17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Kamatna stopa na depozite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3.27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3.16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3.19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3.16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3.24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3.16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3.14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3.06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EKSTERNI SEKTOR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Izvoz roba (u mil. €)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31.9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31.3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31.8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30.1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26.5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32.4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32.4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28.0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31.3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29.9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36.9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39.4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30.4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-22.9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-4.9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7.3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Uvoz roba (u mil. €)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170.8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177.6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173.4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147.7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158.6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136.6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139.5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110.2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113.9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138.5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162.3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152.1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170.2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11.9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-0.3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-4.5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Spoljnotrgovinski bilans (u mil €)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-138.9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-146.3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-141.6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-117.6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-132.2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-104.3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-107.0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-82.2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-82.7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-108.5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-125.4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-112.7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-139.9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24.1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0.7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-7.6</w:t>
            </w:r>
          </w:p>
        </w:tc>
      </w:tr>
      <w:tr w:rsidR="00475BE2" w:rsidRPr="00DC4AD1" w:rsidTr="00A11E17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Strane direktne investicije (mil.€)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34.4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58.9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18.3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92.7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20.9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77.3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40.1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6.6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19.5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39.5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17.1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29.5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>
              <w:rPr>
                <w:b/>
                <w:bCs/>
                <w:noProof/>
                <w:sz w:val="16"/>
                <w:szCs w:val="16"/>
              </w:rPr>
              <w:t>-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A11E17" w:rsidP="00A11E1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-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MEĐUNARODNO OKRUŽENJE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 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Brent crude oil (USD/barel)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97.6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104.5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114.7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111.9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108.5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108.2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111.3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116.8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110.4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111.1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100.0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100.4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103.0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2.6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5.5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-8.4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Aluminijum (USD/T)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1,885.5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1,876.3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1,843.3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2,064.1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1,974.3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1,948.8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2,086.8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2,037.6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2,053.6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1,911.3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1,861.0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1,832.6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1,814.5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-1.0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-3.8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-7.8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Euribor (12 mjeseci)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1.2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1.2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0.9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0.8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0.7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0.6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0.6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0.5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0.6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0.5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0.5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0.5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0.5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0.0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-0.8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-1.0</w:t>
            </w:r>
          </w:p>
        </w:tc>
      </w:tr>
      <w:tr w:rsidR="00475BE2" w:rsidRPr="00DC4AD1" w:rsidTr="00191F90">
        <w:trPr>
          <w:trHeight w:hRule="exact" w:val="230"/>
        </w:trPr>
        <w:tc>
          <w:tcPr>
            <w:tcW w:w="1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rPr>
                <w:b/>
                <w:bCs/>
                <w:noProof/>
                <w:sz w:val="16"/>
                <w:szCs w:val="16"/>
              </w:rPr>
            </w:pPr>
            <w:r w:rsidRPr="00DC4AD1">
              <w:rPr>
                <w:b/>
                <w:bCs/>
                <w:noProof/>
                <w:sz w:val="16"/>
                <w:szCs w:val="16"/>
              </w:rPr>
              <w:t>Inflacija u Eurozoni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2.4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2.6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2.5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2.2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2.2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2.0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1.8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1.7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1.2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1.4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1.6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0.2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-0.8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29" w:type="dxa"/>
            </w:tcMar>
            <w:vAlign w:val="center"/>
            <w:hideMark/>
          </w:tcPr>
          <w:p w:rsidR="00475BE2" w:rsidRPr="00DC4AD1" w:rsidRDefault="00475BE2">
            <w:pPr>
              <w:jc w:val="right"/>
              <w:rPr>
                <w:noProof/>
                <w:sz w:val="16"/>
                <w:szCs w:val="16"/>
              </w:rPr>
            </w:pPr>
            <w:r w:rsidRPr="00DC4AD1">
              <w:rPr>
                <w:noProof/>
                <w:sz w:val="16"/>
                <w:szCs w:val="16"/>
              </w:rPr>
              <w:t>-1.0</w:t>
            </w:r>
          </w:p>
        </w:tc>
      </w:tr>
    </w:tbl>
    <w:p w:rsidR="0082570B" w:rsidRPr="00DC4AD1" w:rsidRDefault="00475BE2" w:rsidP="00875C4F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  <w:r w:rsidRPr="00DC4AD1">
        <w:rPr>
          <w:i/>
          <w:iCs/>
          <w:noProof/>
          <w:sz w:val="12"/>
          <w:szCs w:val="12"/>
        </w:rPr>
        <w:t xml:space="preserve"> </w:t>
      </w:r>
      <w:r w:rsidR="0082570B" w:rsidRPr="00DC4AD1">
        <w:rPr>
          <w:i/>
          <w:iCs/>
          <w:noProof/>
          <w:sz w:val="12"/>
          <w:szCs w:val="12"/>
        </w:rPr>
        <w:br w:type="page"/>
      </w:r>
    </w:p>
    <w:p w:rsidR="0082570B" w:rsidRPr="00DC4AD1" w:rsidRDefault="0082570B" w:rsidP="003A1150">
      <w:pPr>
        <w:spacing w:after="0" w:line="240" w:lineRule="auto"/>
        <w:jc w:val="both"/>
        <w:rPr>
          <w:i/>
          <w:iCs/>
          <w:noProof/>
          <w:sz w:val="12"/>
          <w:szCs w:val="12"/>
        </w:rPr>
      </w:pPr>
    </w:p>
    <w:p w:rsidR="0082570B" w:rsidRPr="00DC4AD1" w:rsidRDefault="00A419CE" w:rsidP="00A419CE">
      <w:pPr>
        <w:tabs>
          <w:tab w:val="left" w:pos="4230"/>
          <w:tab w:val="center" w:pos="8079"/>
        </w:tabs>
        <w:outlineLvl w:val="0"/>
        <w:rPr>
          <w:noProof/>
          <w:sz w:val="17"/>
          <w:szCs w:val="16"/>
        </w:rPr>
      </w:pPr>
      <w:r w:rsidRPr="00DC4AD1">
        <w:rPr>
          <w:noProof/>
          <w:sz w:val="17"/>
          <w:szCs w:val="16"/>
        </w:rPr>
        <w:tab/>
      </w:r>
      <w:r w:rsidRPr="00DC4AD1">
        <w:rPr>
          <w:noProof/>
          <w:sz w:val="17"/>
          <w:szCs w:val="16"/>
        </w:rPr>
        <w:tab/>
      </w:r>
      <w:r w:rsidR="0082570B" w:rsidRPr="00DC4AD1">
        <w:rPr>
          <w:noProof/>
          <w:sz w:val="17"/>
          <w:szCs w:val="16"/>
        </w:rPr>
        <w:t xml:space="preserve">Tabela 2: </w:t>
      </w:r>
      <w:r w:rsidR="0082570B" w:rsidRPr="00DC4AD1">
        <w:rPr>
          <w:b/>
          <w:bCs/>
          <w:noProof/>
          <w:sz w:val="17"/>
          <w:szCs w:val="16"/>
        </w:rPr>
        <w:t>BUDŽET CRNE GORE</w:t>
      </w:r>
      <w:r w:rsidR="0082570B" w:rsidRPr="00DC4AD1">
        <w:rPr>
          <w:noProof/>
          <w:sz w:val="17"/>
          <w:szCs w:val="16"/>
        </w:rPr>
        <w:t xml:space="preserve"> – </w:t>
      </w:r>
      <w:r w:rsidR="0085673A">
        <w:rPr>
          <w:noProof/>
          <w:sz w:val="17"/>
          <w:szCs w:val="16"/>
        </w:rPr>
        <w:t>j</w:t>
      </w:r>
      <w:r w:rsidR="007C43BE" w:rsidRPr="00DC4AD1">
        <w:rPr>
          <w:noProof/>
          <w:sz w:val="17"/>
          <w:szCs w:val="16"/>
        </w:rPr>
        <w:t>un 2013</w:t>
      </w:r>
      <w:r w:rsidR="0082570B" w:rsidRPr="00DC4AD1">
        <w:rPr>
          <w:noProof/>
          <w:sz w:val="17"/>
          <w:szCs w:val="16"/>
        </w:rPr>
        <w:t>.</w:t>
      </w:r>
    </w:p>
    <w:tbl>
      <w:tblPr>
        <w:tblW w:w="15020" w:type="dxa"/>
        <w:tblInd w:w="103" w:type="dxa"/>
        <w:tblLook w:val="00A0"/>
      </w:tblPr>
      <w:tblGrid>
        <w:gridCol w:w="2140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60"/>
        <w:gridCol w:w="735"/>
        <w:gridCol w:w="771"/>
        <w:gridCol w:w="735"/>
      </w:tblGrid>
      <w:tr w:rsidR="0082570B" w:rsidRPr="00DC4AD1" w:rsidTr="0085673A">
        <w:trPr>
          <w:trHeight w:val="285"/>
        </w:trPr>
        <w:tc>
          <w:tcPr>
            <w:tcW w:w="21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i/>
                <w:iCs/>
                <w:noProof/>
                <w:sz w:val="14"/>
                <w:szCs w:val="14"/>
              </w:rPr>
              <w:t>BUDŽET CRNE GORE</w:t>
            </w:r>
          </w:p>
        </w:tc>
        <w:tc>
          <w:tcPr>
            <w:tcW w:w="4100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2012</w:t>
            </w:r>
          </w:p>
        </w:tc>
        <w:tc>
          <w:tcPr>
            <w:tcW w:w="3440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2013</w:t>
            </w:r>
          </w:p>
        </w:tc>
        <w:tc>
          <w:tcPr>
            <w:tcW w:w="3500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82570B" w:rsidRPr="00DC4AD1" w:rsidRDefault="0082570B" w:rsidP="007C43BE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2013</w:t>
            </w:r>
            <w:r w:rsidR="0085673A">
              <w:rPr>
                <w:rFonts w:cs="Calibri"/>
                <w:noProof/>
                <w:sz w:val="14"/>
                <w:szCs w:val="14"/>
              </w:rPr>
              <w:t xml:space="preserve"> </w:t>
            </w:r>
            <w:r w:rsidRPr="00DC4AD1">
              <w:rPr>
                <w:rFonts w:cs="Calibri"/>
                <w:noProof/>
                <w:sz w:val="14"/>
                <w:szCs w:val="14"/>
              </w:rPr>
              <w:t>-</w:t>
            </w:r>
            <w:r w:rsidR="0085673A">
              <w:rPr>
                <w:rFonts w:cs="Calibri"/>
                <w:noProof/>
                <w:sz w:val="14"/>
                <w:szCs w:val="14"/>
              </w:rPr>
              <w:t xml:space="preserve"> </w:t>
            </w:r>
            <w:r w:rsidRPr="00DC4AD1">
              <w:rPr>
                <w:rFonts w:cs="Calibri"/>
                <w:noProof/>
                <w:sz w:val="14"/>
                <w:szCs w:val="14"/>
              </w:rPr>
              <w:t>plan</w:t>
            </w:r>
          </w:p>
        </w:tc>
        <w:tc>
          <w:tcPr>
            <w:tcW w:w="184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A419CE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Analitika</w:t>
            </w:r>
            <w:r w:rsidR="00A11E17">
              <w:rPr>
                <w:rFonts w:cs="Calibri"/>
                <w:noProof/>
                <w:sz w:val="14"/>
                <w:szCs w:val="14"/>
              </w:rPr>
              <w:t xml:space="preserve"> </w:t>
            </w:r>
            <w:r w:rsidRPr="00DC4AD1">
              <w:rPr>
                <w:rFonts w:cs="Calibri"/>
                <w:noProof/>
                <w:sz w:val="14"/>
                <w:szCs w:val="14"/>
              </w:rPr>
              <w:t>-</w:t>
            </w:r>
            <w:r w:rsidR="00A11E17">
              <w:rPr>
                <w:rFonts w:cs="Calibri"/>
                <w:noProof/>
                <w:sz w:val="14"/>
                <w:szCs w:val="14"/>
              </w:rPr>
              <w:t xml:space="preserve"> </w:t>
            </w:r>
            <w:r w:rsidRPr="00DC4AD1">
              <w:rPr>
                <w:rFonts w:cs="Calibri"/>
                <w:noProof/>
                <w:sz w:val="14"/>
                <w:szCs w:val="14"/>
              </w:rPr>
              <w:t>jun</w:t>
            </w:r>
          </w:p>
        </w:tc>
      </w:tr>
      <w:tr w:rsidR="0082570B" w:rsidRPr="00DC4AD1" w:rsidTr="0085673A">
        <w:trPr>
          <w:trHeight w:val="750"/>
        </w:trPr>
        <w:tc>
          <w:tcPr>
            <w:tcW w:w="21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rPr>
                <w:rFonts w:cs="Calibri"/>
                <w:b/>
                <w:bCs/>
                <w:i/>
                <w:iCs/>
                <w:noProof/>
                <w:sz w:val="14"/>
                <w:szCs w:val="1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VI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VII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VIII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IX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X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XI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XII</w:t>
            </w:r>
          </w:p>
        </w:tc>
        <w:tc>
          <w:tcPr>
            <w:tcW w:w="58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I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II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III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IV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V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VI</w:t>
            </w:r>
          </w:p>
        </w:tc>
        <w:tc>
          <w:tcPr>
            <w:tcW w:w="52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I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II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III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IV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V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VI</w:t>
            </w:r>
          </w:p>
        </w:tc>
        <w:tc>
          <w:tcPr>
            <w:tcW w:w="58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jun 2013/jun 2012(%)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jan-jun 2013/jan-jun 2012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DC4AD1">
              <w:rPr>
                <w:rFonts w:cs="Calibri"/>
                <w:noProof/>
                <w:sz w:val="14"/>
                <w:szCs w:val="14"/>
              </w:rPr>
              <w:t>jun 2013/jun 2013 plan</w:t>
            </w:r>
          </w:p>
        </w:tc>
      </w:tr>
      <w:tr w:rsidR="0082570B" w:rsidRPr="00DC4AD1" w:rsidTr="0085673A">
        <w:trPr>
          <w:trHeight w:val="330"/>
        </w:trPr>
        <w:tc>
          <w:tcPr>
            <w:tcW w:w="2140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IZVORNI PRIHODI, od čega: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95.94</w:t>
            </w:r>
          </w:p>
        </w:tc>
        <w:tc>
          <w:tcPr>
            <w:tcW w:w="58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130.90</w:t>
            </w:r>
          </w:p>
        </w:tc>
        <w:tc>
          <w:tcPr>
            <w:tcW w:w="60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108.52</w:t>
            </w:r>
          </w:p>
        </w:tc>
        <w:tc>
          <w:tcPr>
            <w:tcW w:w="58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95.84</w:t>
            </w:r>
          </w:p>
        </w:tc>
        <w:tc>
          <w:tcPr>
            <w:tcW w:w="58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99.23</w:t>
            </w:r>
          </w:p>
        </w:tc>
        <w:tc>
          <w:tcPr>
            <w:tcW w:w="580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85.31</w:t>
            </w:r>
          </w:p>
        </w:tc>
        <w:tc>
          <w:tcPr>
            <w:tcW w:w="580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126.94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54.76</w:t>
            </w:r>
          </w:p>
        </w:tc>
        <w:tc>
          <w:tcPr>
            <w:tcW w:w="58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75.68</w:t>
            </w:r>
          </w:p>
        </w:tc>
        <w:tc>
          <w:tcPr>
            <w:tcW w:w="58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88.30</w:t>
            </w:r>
          </w:p>
        </w:tc>
        <w:tc>
          <w:tcPr>
            <w:tcW w:w="58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103.87</w:t>
            </w:r>
          </w:p>
        </w:tc>
        <w:tc>
          <w:tcPr>
            <w:tcW w:w="5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93.91</w:t>
            </w:r>
          </w:p>
        </w:tc>
        <w:tc>
          <w:tcPr>
            <w:tcW w:w="600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color w:val="000000"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color w:val="000000"/>
                <w:sz w:val="14"/>
                <w:szCs w:val="14"/>
              </w:rPr>
              <w:t>99.46</w:t>
            </w:r>
          </w:p>
        </w:tc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56.41</w:t>
            </w:r>
          </w:p>
        </w:tc>
        <w:tc>
          <w:tcPr>
            <w:tcW w:w="60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72.07</w:t>
            </w:r>
          </w:p>
        </w:tc>
        <w:tc>
          <w:tcPr>
            <w:tcW w:w="60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82.94</w:t>
            </w:r>
          </w:p>
        </w:tc>
        <w:tc>
          <w:tcPr>
            <w:tcW w:w="5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99.96</w:t>
            </w:r>
          </w:p>
        </w:tc>
        <w:tc>
          <w:tcPr>
            <w:tcW w:w="60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96.47</w:t>
            </w:r>
          </w:p>
        </w:tc>
        <w:tc>
          <w:tcPr>
            <w:tcW w:w="660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100.95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b/>
                <w:i/>
                <w:iCs/>
                <w:noProof/>
                <w:color w:val="000000"/>
                <w:sz w:val="14"/>
                <w:szCs w:val="14"/>
              </w:rPr>
              <w:t>3.68</w:t>
            </w:r>
          </w:p>
        </w:tc>
        <w:tc>
          <w:tcPr>
            <w:tcW w:w="6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b/>
                <w:i/>
                <w:iCs/>
                <w:noProof/>
                <w:color w:val="000000"/>
                <w:sz w:val="14"/>
                <w:szCs w:val="14"/>
              </w:rPr>
              <w:t>8.79</w:t>
            </w:r>
          </w:p>
        </w:tc>
        <w:tc>
          <w:tcPr>
            <w:tcW w:w="640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b/>
                <w:i/>
                <w:iCs/>
                <w:noProof/>
                <w:color w:val="000000"/>
                <w:sz w:val="14"/>
                <w:szCs w:val="14"/>
              </w:rPr>
              <w:t>-1.47</w:t>
            </w:r>
          </w:p>
        </w:tc>
      </w:tr>
      <w:tr w:rsidR="0082570B" w:rsidRPr="00DC4AD1" w:rsidTr="0085673A">
        <w:trPr>
          <w:trHeight w:val="330"/>
        </w:trPr>
        <w:tc>
          <w:tcPr>
            <w:tcW w:w="214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rPr>
                <w:rFonts w:cs="Calibri"/>
                <w:i/>
                <w:iCs/>
                <w:noProof/>
                <w:sz w:val="14"/>
                <w:szCs w:val="14"/>
              </w:rPr>
            </w:pPr>
            <w:r w:rsidRPr="00DC4AD1">
              <w:rPr>
                <w:rFonts w:cs="Calibri"/>
                <w:i/>
                <w:iCs/>
                <w:noProof/>
                <w:sz w:val="14"/>
                <w:szCs w:val="14"/>
              </w:rPr>
              <w:t>Porezi i doprinosi na  zarade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32.63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41.77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48.37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32.88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42.82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35.50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60.40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14.21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34.57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35.60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34.16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36.35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noProof/>
                <w:color w:val="000000"/>
                <w:sz w:val="14"/>
                <w:szCs w:val="14"/>
              </w:rPr>
              <w:t>39.09</w:t>
            </w:r>
          </w:p>
        </w:tc>
        <w:tc>
          <w:tcPr>
            <w:tcW w:w="5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13.05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32.15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35.13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38.49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38.27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36.00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19.80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6.13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8.57</w:t>
            </w:r>
          </w:p>
        </w:tc>
      </w:tr>
      <w:tr w:rsidR="0082570B" w:rsidRPr="00DC4AD1" w:rsidTr="0085673A">
        <w:trPr>
          <w:trHeight w:val="315"/>
        </w:trPr>
        <w:tc>
          <w:tcPr>
            <w:tcW w:w="214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rPr>
                <w:rFonts w:cs="Calibri"/>
                <w:i/>
                <w:iCs/>
                <w:noProof/>
                <w:sz w:val="14"/>
                <w:szCs w:val="14"/>
              </w:rPr>
            </w:pPr>
            <w:r w:rsidRPr="00DC4AD1">
              <w:rPr>
                <w:rFonts w:cs="Calibri"/>
                <w:i/>
                <w:iCs/>
                <w:noProof/>
                <w:sz w:val="14"/>
                <w:szCs w:val="14"/>
              </w:rPr>
              <w:t>Porez na dobit pravnih lica</w:t>
            </w:r>
          </w:p>
        </w:tc>
        <w:tc>
          <w:tcPr>
            <w:tcW w:w="60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3.80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28.54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2.31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3.27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1.54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0.79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1.82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0.50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1.06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5.09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14.80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3.06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noProof/>
                <w:color w:val="000000"/>
                <w:sz w:val="14"/>
                <w:szCs w:val="14"/>
              </w:rPr>
              <w:t>3.64</w:t>
            </w:r>
          </w:p>
        </w:tc>
        <w:tc>
          <w:tcPr>
            <w:tcW w:w="5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0.58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0.52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4.47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12.49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3.69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14"/>
                <w:szCs w:val="14"/>
              </w:rPr>
            </w:pPr>
            <w:r w:rsidRPr="00A11E17">
              <w:rPr>
                <w:rFonts w:ascii="Arial" w:hAnsi="Arial" w:cs="Arial"/>
                <w:noProof/>
                <w:sz w:val="14"/>
                <w:szCs w:val="14"/>
              </w:rPr>
              <w:t>4.27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-4.35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9.36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-14.92</w:t>
            </w:r>
          </w:p>
        </w:tc>
      </w:tr>
      <w:tr w:rsidR="0082570B" w:rsidRPr="00DC4AD1" w:rsidTr="0085673A">
        <w:trPr>
          <w:trHeight w:val="300"/>
        </w:trPr>
        <w:tc>
          <w:tcPr>
            <w:tcW w:w="214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rPr>
                <w:rFonts w:cs="Calibri"/>
                <w:i/>
                <w:iCs/>
                <w:noProof/>
                <w:sz w:val="14"/>
                <w:szCs w:val="14"/>
              </w:rPr>
            </w:pPr>
            <w:r w:rsidRPr="00DC4AD1">
              <w:rPr>
                <w:rFonts w:cs="Calibri"/>
                <w:i/>
                <w:iCs/>
                <w:noProof/>
                <w:sz w:val="14"/>
                <w:szCs w:val="14"/>
              </w:rPr>
              <w:t>Porez na dodatu vrijednost</w:t>
            </w:r>
          </w:p>
        </w:tc>
        <w:tc>
          <w:tcPr>
            <w:tcW w:w="60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37.82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37.35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32.21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33.59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33.88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29.08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25.78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24.86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24.75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29.49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33.76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34.16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noProof/>
                <w:color w:val="000000"/>
                <w:sz w:val="14"/>
                <w:szCs w:val="14"/>
              </w:rPr>
              <w:t>35.87</w:t>
            </w:r>
          </w:p>
        </w:tc>
        <w:tc>
          <w:tcPr>
            <w:tcW w:w="5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22.22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22.35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24.91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29.05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32.49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14"/>
                <w:szCs w:val="14"/>
              </w:rPr>
            </w:pPr>
            <w:r w:rsidRPr="00A11E17">
              <w:rPr>
                <w:rFonts w:ascii="Arial" w:hAnsi="Arial" w:cs="Arial"/>
                <w:noProof/>
                <w:sz w:val="14"/>
                <w:szCs w:val="14"/>
              </w:rPr>
              <w:t>39.64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-5.17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12.34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-9.53</w:t>
            </w:r>
          </w:p>
        </w:tc>
      </w:tr>
      <w:tr w:rsidR="0082570B" w:rsidRPr="00DC4AD1" w:rsidTr="0085673A">
        <w:trPr>
          <w:trHeight w:val="300"/>
        </w:trPr>
        <w:tc>
          <w:tcPr>
            <w:tcW w:w="214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rPr>
                <w:rFonts w:cs="Calibri"/>
                <w:i/>
                <w:iCs/>
                <w:noProof/>
                <w:sz w:val="14"/>
                <w:szCs w:val="14"/>
              </w:rPr>
            </w:pPr>
            <w:r w:rsidRPr="00DC4AD1">
              <w:rPr>
                <w:rFonts w:cs="Calibri"/>
                <w:i/>
                <w:iCs/>
                <w:noProof/>
                <w:sz w:val="14"/>
                <w:szCs w:val="14"/>
              </w:rPr>
              <w:t>Akcize</w:t>
            </w:r>
          </w:p>
        </w:tc>
        <w:tc>
          <w:tcPr>
            <w:tcW w:w="60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14.77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13.19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17.42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19.43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11.83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12.45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17.89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9.26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8.99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10.36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12.32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12.03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noProof/>
                <w:color w:val="000000"/>
                <w:sz w:val="14"/>
                <w:szCs w:val="14"/>
              </w:rPr>
              <w:t>13.03</w:t>
            </w:r>
          </w:p>
        </w:tc>
        <w:tc>
          <w:tcPr>
            <w:tcW w:w="5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13.47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9.37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8.59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9.98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12.53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14"/>
                <w:szCs w:val="14"/>
              </w:rPr>
            </w:pPr>
            <w:r w:rsidRPr="00A11E17">
              <w:rPr>
                <w:rFonts w:ascii="Arial" w:hAnsi="Arial" w:cs="Arial"/>
                <w:noProof/>
                <w:sz w:val="14"/>
                <w:szCs w:val="14"/>
              </w:rPr>
              <w:t>12.21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-11.79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10.76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6.73</w:t>
            </w:r>
          </w:p>
        </w:tc>
      </w:tr>
      <w:tr w:rsidR="0082570B" w:rsidRPr="00DC4AD1" w:rsidTr="0085673A">
        <w:trPr>
          <w:trHeight w:val="315"/>
        </w:trPr>
        <w:tc>
          <w:tcPr>
            <w:tcW w:w="214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rPr>
                <w:rFonts w:cs="Calibri"/>
                <w:i/>
                <w:iCs/>
                <w:noProof/>
                <w:sz w:val="14"/>
                <w:szCs w:val="14"/>
              </w:rPr>
            </w:pPr>
            <w:r w:rsidRPr="00DC4AD1">
              <w:rPr>
                <w:rFonts w:cs="Calibri"/>
                <w:i/>
                <w:iCs/>
                <w:noProof/>
                <w:sz w:val="14"/>
                <w:szCs w:val="14"/>
              </w:rPr>
              <w:t>Porez na medj trgovinu i transak</w:t>
            </w:r>
          </w:p>
        </w:tc>
        <w:tc>
          <w:tcPr>
            <w:tcW w:w="60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2.15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2.36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2.41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1.99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2.27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1.69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1.86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1.10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1.31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1.86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2.09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1.99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noProof/>
                <w:color w:val="000000"/>
                <w:sz w:val="14"/>
                <w:szCs w:val="14"/>
              </w:rPr>
              <w:t>2.00</w:t>
            </w:r>
          </w:p>
        </w:tc>
        <w:tc>
          <w:tcPr>
            <w:tcW w:w="5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2.25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2.43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3.48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3.63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3.49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14"/>
                <w:szCs w:val="14"/>
              </w:rPr>
            </w:pPr>
            <w:r w:rsidRPr="00A11E17">
              <w:rPr>
                <w:rFonts w:ascii="Arial" w:hAnsi="Arial" w:cs="Arial"/>
                <w:noProof/>
                <w:sz w:val="14"/>
                <w:szCs w:val="14"/>
              </w:rPr>
              <w:t>2.31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-7.04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-36.83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-13.43</w:t>
            </w:r>
          </w:p>
        </w:tc>
      </w:tr>
      <w:tr w:rsidR="0082570B" w:rsidRPr="00DC4AD1" w:rsidTr="0085673A">
        <w:trPr>
          <w:trHeight w:val="330"/>
        </w:trPr>
        <w:tc>
          <w:tcPr>
            <w:tcW w:w="214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IZDACI BUDŽETA, od čega :</w:t>
            </w:r>
          </w:p>
        </w:tc>
        <w:tc>
          <w:tcPr>
            <w:tcW w:w="60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99.77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104.38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97.82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117.75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104.11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100.59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170.25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81.04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94.51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104.18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119.45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95.90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925448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000000"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color w:val="000000"/>
                <w:sz w:val="14"/>
                <w:szCs w:val="14"/>
              </w:rPr>
              <w:t>100.48</w:t>
            </w:r>
          </w:p>
        </w:tc>
        <w:tc>
          <w:tcPr>
            <w:tcW w:w="52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106.33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104.02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104.00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104.09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103.99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9254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103.94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925448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noProof/>
                <w:color w:val="000000"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i/>
                <w:iCs/>
                <w:noProof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925448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noProof/>
                <w:color w:val="000000"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i/>
                <w:iCs/>
                <w:noProof/>
                <w:color w:val="000000"/>
                <w:sz w:val="14"/>
                <w:szCs w:val="14"/>
              </w:rPr>
              <w:t>-4.20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925448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noProof/>
                <w:color w:val="000000"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i/>
                <w:iCs/>
                <w:noProof/>
                <w:color w:val="000000"/>
                <w:sz w:val="14"/>
                <w:szCs w:val="14"/>
              </w:rPr>
              <w:t>-3.34</w:t>
            </w:r>
          </w:p>
        </w:tc>
      </w:tr>
      <w:tr w:rsidR="0082570B" w:rsidRPr="00DC4AD1" w:rsidTr="0085673A">
        <w:trPr>
          <w:trHeight w:val="420"/>
        </w:trPr>
        <w:tc>
          <w:tcPr>
            <w:tcW w:w="21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rPr>
                <w:rFonts w:cs="Calibri"/>
                <w:i/>
                <w:iCs/>
                <w:noProof/>
                <w:sz w:val="14"/>
                <w:szCs w:val="14"/>
              </w:rPr>
            </w:pPr>
            <w:r w:rsidRPr="00DC4AD1">
              <w:rPr>
                <w:rFonts w:cs="Calibri"/>
                <w:i/>
                <w:iCs/>
                <w:noProof/>
                <w:sz w:val="14"/>
                <w:szCs w:val="14"/>
              </w:rPr>
              <w:t>Bruto zarade i doprinosi na teret posl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31.22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31.22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31.22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31.22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31.22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31.22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31.22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31.21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32.05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31.21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31.32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31.74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noProof/>
                <w:color w:val="000000"/>
                <w:sz w:val="14"/>
                <w:szCs w:val="14"/>
              </w:rPr>
              <w:t>31.79</w:t>
            </w:r>
          </w:p>
        </w:tc>
        <w:tc>
          <w:tcPr>
            <w:tcW w:w="5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31.00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31.02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31.01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31.01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31.01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14"/>
                <w:szCs w:val="14"/>
              </w:rPr>
            </w:pPr>
            <w:r w:rsidRPr="00A11E17">
              <w:rPr>
                <w:rFonts w:ascii="Arial" w:hAnsi="Arial" w:cs="Arial"/>
                <w:noProof/>
                <w:sz w:val="14"/>
                <w:szCs w:val="14"/>
              </w:rPr>
              <w:t>31.01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1.82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1.06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2.51</w:t>
            </w:r>
          </w:p>
        </w:tc>
      </w:tr>
      <w:tr w:rsidR="0082570B" w:rsidRPr="00DC4AD1" w:rsidTr="0085673A">
        <w:trPr>
          <w:trHeight w:val="330"/>
        </w:trPr>
        <w:tc>
          <w:tcPr>
            <w:tcW w:w="214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rPr>
                <w:rFonts w:cs="Calibri"/>
                <w:i/>
                <w:iCs/>
                <w:noProof/>
                <w:sz w:val="14"/>
                <w:szCs w:val="14"/>
              </w:rPr>
            </w:pPr>
            <w:r w:rsidRPr="00DC4AD1">
              <w:rPr>
                <w:rFonts w:cs="Calibri"/>
                <w:i/>
                <w:iCs/>
                <w:noProof/>
                <w:sz w:val="14"/>
                <w:szCs w:val="14"/>
              </w:rPr>
              <w:t>Rashodi za materijal i usluge</w:t>
            </w:r>
          </w:p>
        </w:tc>
        <w:tc>
          <w:tcPr>
            <w:tcW w:w="60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9.92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15.93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10.26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12.76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12.90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12.12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21.24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3.54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6.34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8.06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6.79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5.56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A419CE">
            <w:pPr>
              <w:spacing w:after="0" w:line="240" w:lineRule="auto"/>
              <w:jc w:val="right"/>
              <w:rPr>
                <w:rFonts w:cs="Calibri"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noProof/>
                <w:color w:val="000000"/>
                <w:sz w:val="14"/>
                <w:szCs w:val="14"/>
              </w:rPr>
              <w:t>5.97</w:t>
            </w:r>
          </w:p>
        </w:tc>
        <w:tc>
          <w:tcPr>
            <w:tcW w:w="5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8.08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6.24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6.23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6.23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6.17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6.17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-39.80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-44.37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-3.21</w:t>
            </w:r>
          </w:p>
        </w:tc>
      </w:tr>
      <w:tr w:rsidR="0082570B" w:rsidRPr="00DC4AD1" w:rsidTr="0085673A">
        <w:trPr>
          <w:trHeight w:val="300"/>
        </w:trPr>
        <w:tc>
          <w:tcPr>
            <w:tcW w:w="214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rPr>
                <w:rFonts w:cs="Calibri"/>
                <w:i/>
                <w:iCs/>
                <w:noProof/>
                <w:sz w:val="14"/>
                <w:szCs w:val="14"/>
              </w:rPr>
            </w:pPr>
            <w:r w:rsidRPr="00DC4AD1">
              <w:rPr>
                <w:rFonts w:cs="Calibri"/>
                <w:i/>
                <w:iCs/>
                <w:noProof/>
                <w:sz w:val="14"/>
                <w:szCs w:val="14"/>
              </w:rPr>
              <w:t>Kamate</w:t>
            </w:r>
          </w:p>
        </w:tc>
        <w:tc>
          <w:tcPr>
            <w:tcW w:w="60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4.94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1.30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2.67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18.25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0.59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0.87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3.77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0.55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0.94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1.88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24.54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0.81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noProof/>
                <w:color w:val="000000"/>
                <w:sz w:val="14"/>
                <w:szCs w:val="14"/>
              </w:rPr>
              <w:t>3.50</w:t>
            </w:r>
          </w:p>
        </w:tc>
        <w:tc>
          <w:tcPr>
            <w:tcW w:w="5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5.87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5.87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5.87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5.87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5.87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5.87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-29.09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9.56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-40.27</w:t>
            </w:r>
          </w:p>
        </w:tc>
      </w:tr>
      <w:tr w:rsidR="0082570B" w:rsidRPr="00DC4AD1" w:rsidTr="0085673A">
        <w:trPr>
          <w:trHeight w:val="300"/>
        </w:trPr>
        <w:tc>
          <w:tcPr>
            <w:tcW w:w="214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rPr>
                <w:rFonts w:cs="Calibri"/>
                <w:i/>
                <w:iCs/>
                <w:noProof/>
                <w:sz w:val="14"/>
                <w:szCs w:val="14"/>
              </w:rPr>
            </w:pPr>
            <w:r w:rsidRPr="00DC4AD1">
              <w:rPr>
                <w:rFonts w:cs="Calibri"/>
                <w:i/>
                <w:iCs/>
                <w:noProof/>
                <w:sz w:val="14"/>
                <w:szCs w:val="14"/>
              </w:rPr>
              <w:t>Transferi za socijalnu zaštitu</w:t>
            </w:r>
          </w:p>
        </w:tc>
        <w:tc>
          <w:tcPr>
            <w:tcW w:w="60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39.07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40.98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39.99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40.35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40.56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40.34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42.46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38.15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42.31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40.50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40.45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39.92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noProof/>
                <w:color w:val="000000"/>
                <w:sz w:val="14"/>
                <w:szCs w:val="14"/>
              </w:rPr>
              <w:t>39.91</w:t>
            </w:r>
          </w:p>
        </w:tc>
        <w:tc>
          <w:tcPr>
            <w:tcW w:w="5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41.49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41.49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41.49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41.49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41.49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41.49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2.15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1.80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-3.80</w:t>
            </w:r>
          </w:p>
        </w:tc>
      </w:tr>
      <w:tr w:rsidR="0082570B" w:rsidRPr="00DC4AD1" w:rsidTr="0085673A">
        <w:trPr>
          <w:trHeight w:val="465"/>
        </w:trPr>
        <w:tc>
          <w:tcPr>
            <w:tcW w:w="214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rPr>
                <w:rFonts w:cs="Calibri"/>
                <w:i/>
                <w:iCs/>
                <w:noProof/>
                <w:sz w:val="14"/>
                <w:szCs w:val="14"/>
              </w:rPr>
            </w:pPr>
            <w:r w:rsidRPr="00DC4AD1">
              <w:rPr>
                <w:rFonts w:cs="Calibri"/>
                <w:i/>
                <w:iCs/>
                <w:noProof/>
                <w:sz w:val="14"/>
                <w:szCs w:val="14"/>
              </w:rPr>
              <w:t>Transferi instit, pojed i NVO sektoru</w:t>
            </w:r>
          </w:p>
        </w:tc>
        <w:tc>
          <w:tcPr>
            <w:tcW w:w="60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2.43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2.32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2.06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2.68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2.97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2.03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6.24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4.77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7.18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8.95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5.88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7.42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noProof/>
                <w:color w:val="000000"/>
                <w:sz w:val="14"/>
                <w:szCs w:val="14"/>
              </w:rPr>
              <w:t>7.06</w:t>
            </w:r>
          </w:p>
        </w:tc>
        <w:tc>
          <w:tcPr>
            <w:tcW w:w="5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8.08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7.62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7.62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7.62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7.62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7.62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190.81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212.39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-7.31</w:t>
            </w:r>
          </w:p>
        </w:tc>
      </w:tr>
      <w:tr w:rsidR="0082570B" w:rsidRPr="00DC4AD1" w:rsidTr="0085673A">
        <w:trPr>
          <w:trHeight w:val="285"/>
        </w:trPr>
        <w:tc>
          <w:tcPr>
            <w:tcW w:w="2140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rPr>
                <w:rFonts w:cs="Calibri"/>
                <w:i/>
                <w:iCs/>
                <w:noProof/>
                <w:sz w:val="14"/>
                <w:szCs w:val="14"/>
              </w:rPr>
            </w:pPr>
            <w:r w:rsidRPr="00DC4AD1">
              <w:rPr>
                <w:rFonts w:cs="Calibri"/>
                <w:i/>
                <w:iCs/>
                <w:noProof/>
                <w:sz w:val="14"/>
                <w:szCs w:val="14"/>
              </w:rPr>
              <w:t>Kapitalni izdaci</w:t>
            </w:r>
          </w:p>
        </w:tc>
        <w:tc>
          <w:tcPr>
            <w:tcW w:w="60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4.48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6.51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8.25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5.01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6.22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6.54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16.78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0.30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2.12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4.87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4.81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4.93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noProof/>
                <w:color w:val="000000"/>
                <w:sz w:val="14"/>
                <w:szCs w:val="14"/>
              </w:rPr>
              <w:t>4.71</w:t>
            </w:r>
          </w:p>
        </w:tc>
        <w:tc>
          <w:tcPr>
            <w:tcW w:w="5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6.13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6.11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6.11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6.19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6.16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0.64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4.96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-4.70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636.33</w:t>
            </w:r>
          </w:p>
        </w:tc>
      </w:tr>
      <w:tr w:rsidR="0082570B" w:rsidRPr="00DC4AD1" w:rsidTr="0085673A">
        <w:trPr>
          <w:trHeight w:val="330"/>
        </w:trPr>
        <w:tc>
          <w:tcPr>
            <w:tcW w:w="214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Suficit / Deficit budžeta</w:t>
            </w:r>
          </w:p>
        </w:tc>
        <w:tc>
          <w:tcPr>
            <w:tcW w:w="60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-3.83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26.52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10.70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-21.91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-4.89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-15.27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-43.31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-26.28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-18.84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-15.88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-15.58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-1.98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color w:val="000000"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color w:val="000000"/>
                <w:sz w:val="14"/>
                <w:szCs w:val="14"/>
              </w:rPr>
              <w:t>-1.01</w:t>
            </w:r>
          </w:p>
        </w:tc>
        <w:tc>
          <w:tcPr>
            <w:tcW w:w="52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82570B" w:rsidRPr="00DC4AD1" w:rsidRDefault="0085673A" w:rsidP="00590B7B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sz w:val="14"/>
                <w:szCs w:val="14"/>
              </w:rPr>
            </w:pPr>
            <w:r>
              <w:rPr>
                <w:rFonts w:cs="Calibri"/>
                <w:b/>
                <w:bCs/>
                <w:noProof/>
                <w:sz w:val="14"/>
                <w:szCs w:val="14"/>
              </w:rPr>
              <w:t>-49.93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-31.95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-21.06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-4.13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-7.52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-2.99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DC4AD1" w:rsidRDefault="0085673A" w:rsidP="00590B7B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noProof/>
                <w:color w:val="000000"/>
                <w:sz w:val="14"/>
                <w:szCs w:val="14"/>
              </w:rPr>
            </w:pPr>
            <w:r>
              <w:rPr>
                <w:rFonts w:cs="Calibri"/>
                <w:b/>
                <w:bCs/>
                <w:i/>
                <w:iCs/>
                <w:noProof/>
                <w:color w:val="000000"/>
                <w:sz w:val="14"/>
                <w:szCs w:val="14"/>
              </w:rPr>
              <w:t>-73,60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noProof/>
                <w:color w:val="000000"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i/>
                <w:iCs/>
                <w:noProof/>
                <w:color w:val="000000"/>
                <w:sz w:val="14"/>
                <w:szCs w:val="14"/>
              </w:rPr>
              <w:t>-46.01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noProof/>
                <w:color w:val="000000"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i/>
                <w:iCs/>
                <w:noProof/>
                <w:color w:val="000000"/>
                <w:sz w:val="14"/>
                <w:szCs w:val="14"/>
              </w:rPr>
              <w:t>-66.16</w:t>
            </w:r>
          </w:p>
        </w:tc>
      </w:tr>
      <w:tr w:rsidR="0082570B" w:rsidRPr="00DC4AD1" w:rsidTr="0085673A">
        <w:trPr>
          <w:trHeight w:val="330"/>
        </w:trPr>
        <w:tc>
          <w:tcPr>
            <w:tcW w:w="2140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rPr>
                <w:rFonts w:cs="Calibri"/>
                <w:i/>
                <w:iCs/>
                <w:noProof/>
                <w:sz w:val="14"/>
                <w:szCs w:val="14"/>
              </w:rPr>
            </w:pPr>
            <w:r w:rsidRPr="00DC4AD1">
              <w:rPr>
                <w:rFonts w:cs="Calibri"/>
                <w:i/>
                <w:iCs/>
                <w:noProof/>
                <w:sz w:val="14"/>
                <w:szCs w:val="14"/>
              </w:rPr>
              <w:t>Primarni deficit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1.11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27.82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13.37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-3.66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-4.30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-14.40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-39.55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-25.73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-17.90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-14.00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8.96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-1.18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noProof/>
                <w:color w:val="000000"/>
                <w:sz w:val="14"/>
                <w:szCs w:val="14"/>
              </w:rPr>
              <w:t>2.49</w:t>
            </w:r>
          </w:p>
        </w:tc>
        <w:tc>
          <w:tcPr>
            <w:tcW w:w="5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-44.06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-26.08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-15.19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1.74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-1.66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2.88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124.54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-59.87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-13.35</w:t>
            </w:r>
          </w:p>
        </w:tc>
      </w:tr>
      <w:tr w:rsidR="0082570B" w:rsidRPr="00DC4AD1" w:rsidTr="0085673A">
        <w:trPr>
          <w:trHeight w:val="330"/>
        </w:trPr>
        <w:tc>
          <w:tcPr>
            <w:tcW w:w="2140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:rsidR="0082570B" w:rsidRPr="00DC4AD1" w:rsidRDefault="0082570B" w:rsidP="00590B7B">
            <w:pPr>
              <w:spacing w:after="0" w:line="240" w:lineRule="auto"/>
              <w:rPr>
                <w:rFonts w:cs="Calibri"/>
                <w:i/>
                <w:iCs/>
                <w:noProof/>
                <w:sz w:val="14"/>
                <w:szCs w:val="14"/>
              </w:rPr>
            </w:pPr>
            <w:r w:rsidRPr="00DC4AD1">
              <w:rPr>
                <w:rFonts w:cs="Calibri"/>
                <w:i/>
                <w:iCs/>
                <w:noProof/>
                <w:sz w:val="14"/>
                <w:szCs w:val="14"/>
              </w:rPr>
              <w:t>Otplata dugova</w:t>
            </w:r>
          </w:p>
        </w:tc>
        <w:tc>
          <w:tcPr>
            <w:tcW w:w="60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18.30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12.53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20.38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11.78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3.93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3.41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12.53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16.06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7.38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6.92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6.29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5.57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noProof/>
                <w:color w:val="000000"/>
                <w:sz w:val="14"/>
                <w:szCs w:val="14"/>
              </w:rPr>
              <w:t>18.47</w:t>
            </w:r>
          </w:p>
        </w:tc>
        <w:tc>
          <w:tcPr>
            <w:tcW w:w="5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7.69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2.82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5.38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8.04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bCs/>
                <w:noProof/>
                <w:sz w:val="14"/>
                <w:szCs w:val="14"/>
              </w:rPr>
            </w:pPr>
            <w:r w:rsidRPr="00A11E17">
              <w:rPr>
                <w:rFonts w:cs="Calibri"/>
                <w:bCs/>
                <w:noProof/>
                <w:sz w:val="14"/>
                <w:szCs w:val="14"/>
              </w:rPr>
              <w:t>5.39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16.83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0.92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-14.40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9.75</w:t>
            </w:r>
          </w:p>
        </w:tc>
      </w:tr>
      <w:tr w:rsidR="0082570B" w:rsidRPr="00DC4AD1" w:rsidTr="0085673A">
        <w:trPr>
          <w:trHeight w:val="330"/>
        </w:trPr>
        <w:tc>
          <w:tcPr>
            <w:tcW w:w="2140" w:type="dxa"/>
            <w:tcBorders>
              <w:top w:val="nil"/>
              <w:left w:val="double" w:sz="4" w:space="0" w:color="auto"/>
              <w:bottom w:val="double" w:sz="6" w:space="0" w:color="auto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rPr>
                <w:rFonts w:cs="Calibri"/>
                <w:b/>
                <w:bCs/>
                <w:noProof/>
                <w:sz w:val="14"/>
                <w:szCs w:val="14"/>
              </w:rPr>
            </w:pPr>
            <w:r w:rsidRPr="00DC4AD1">
              <w:rPr>
                <w:rFonts w:cs="Calibri"/>
                <w:b/>
                <w:bCs/>
                <w:noProof/>
                <w:sz w:val="14"/>
                <w:szCs w:val="14"/>
              </w:rPr>
              <w:t>Državni dug (stanje duga)</w:t>
            </w:r>
          </w:p>
        </w:tc>
        <w:tc>
          <w:tcPr>
            <w:tcW w:w="60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2570B" w:rsidRPr="0085673A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noProof/>
                <w:sz w:val="14"/>
                <w:szCs w:val="14"/>
              </w:rPr>
            </w:pPr>
            <w:r w:rsidRPr="0085673A">
              <w:rPr>
                <w:rFonts w:cs="Calibri"/>
                <w:b/>
                <w:noProof/>
                <w:sz w:val="14"/>
                <w:szCs w:val="14"/>
              </w:rPr>
              <w:t>1629.6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2570B" w:rsidRPr="0085673A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noProof/>
                <w:sz w:val="14"/>
                <w:szCs w:val="14"/>
              </w:rPr>
            </w:pPr>
            <w:r w:rsidRPr="0085673A">
              <w:rPr>
                <w:rFonts w:cs="Calibri"/>
                <w:b/>
                <w:noProof/>
                <w:sz w:val="14"/>
                <w:szCs w:val="14"/>
              </w:rPr>
              <w:t>1718.8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2570B" w:rsidRPr="0085673A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noProof/>
                <w:sz w:val="14"/>
                <w:szCs w:val="14"/>
              </w:rPr>
            </w:pPr>
            <w:r w:rsidRPr="0085673A">
              <w:rPr>
                <w:rFonts w:cs="Calibri"/>
                <w:b/>
                <w:noProof/>
                <w:sz w:val="14"/>
                <w:szCs w:val="14"/>
              </w:rPr>
              <w:t>1703.2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2570B" w:rsidRPr="0085673A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noProof/>
                <w:sz w:val="14"/>
                <w:szCs w:val="14"/>
              </w:rPr>
            </w:pPr>
            <w:r w:rsidRPr="0085673A">
              <w:rPr>
                <w:rFonts w:cs="Calibri"/>
                <w:b/>
                <w:noProof/>
                <w:sz w:val="14"/>
                <w:szCs w:val="14"/>
              </w:rPr>
              <w:t>1707.2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2570B" w:rsidRPr="0085673A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noProof/>
                <w:sz w:val="14"/>
                <w:szCs w:val="14"/>
              </w:rPr>
            </w:pPr>
            <w:r w:rsidRPr="0085673A">
              <w:rPr>
                <w:rFonts w:cs="Calibri"/>
                <w:b/>
                <w:noProof/>
                <w:sz w:val="14"/>
                <w:szCs w:val="14"/>
              </w:rPr>
              <w:t>1709.4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2570B" w:rsidRPr="0085673A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noProof/>
                <w:sz w:val="14"/>
                <w:szCs w:val="14"/>
              </w:rPr>
            </w:pPr>
            <w:r w:rsidRPr="0085673A">
              <w:rPr>
                <w:rFonts w:cs="Calibri"/>
                <w:b/>
                <w:noProof/>
                <w:sz w:val="14"/>
                <w:szCs w:val="14"/>
              </w:rPr>
              <w:t>1700.2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85673A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noProof/>
                <w:sz w:val="14"/>
                <w:szCs w:val="14"/>
              </w:rPr>
            </w:pPr>
            <w:r w:rsidRPr="0085673A">
              <w:rPr>
                <w:rFonts w:cs="Calibri"/>
                <w:b/>
                <w:noProof/>
                <w:sz w:val="14"/>
                <w:szCs w:val="14"/>
              </w:rPr>
              <w:t>1699.5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85673A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noProof/>
                <w:sz w:val="14"/>
                <w:szCs w:val="14"/>
              </w:rPr>
            </w:pPr>
            <w:r w:rsidRPr="0085673A">
              <w:rPr>
                <w:rFonts w:cs="Calibri"/>
                <w:b/>
                <w:noProof/>
                <w:sz w:val="14"/>
                <w:szCs w:val="14"/>
              </w:rPr>
              <w:t>1732.7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85673A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noProof/>
                <w:sz w:val="14"/>
                <w:szCs w:val="14"/>
              </w:rPr>
            </w:pPr>
            <w:r w:rsidRPr="0085673A">
              <w:rPr>
                <w:rFonts w:cs="Calibri"/>
                <w:b/>
                <w:noProof/>
                <w:sz w:val="14"/>
                <w:szCs w:val="14"/>
              </w:rPr>
              <w:t>1732.7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85673A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noProof/>
                <w:sz w:val="14"/>
                <w:szCs w:val="14"/>
              </w:rPr>
            </w:pPr>
            <w:r w:rsidRPr="0085673A">
              <w:rPr>
                <w:rFonts w:cs="Calibri"/>
                <w:b/>
                <w:noProof/>
                <w:sz w:val="14"/>
                <w:szCs w:val="14"/>
              </w:rPr>
              <w:t>1755.7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85673A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noProof/>
                <w:sz w:val="14"/>
                <w:szCs w:val="14"/>
              </w:rPr>
            </w:pPr>
            <w:r w:rsidRPr="0085673A">
              <w:rPr>
                <w:rFonts w:cs="Calibri"/>
                <w:b/>
                <w:noProof/>
                <w:sz w:val="14"/>
                <w:szCs w:val="14"/>
              </w:rPr>
              <w:t>1764.2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85673A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noProof/>
                <w:sz w:val="14"/>
                <w:szCs w:val="14"/>
              </w:rPr>
            </w:pPr>
            <w:r w:rsidRPr="0085673A">
              <w:rPr>
                <w:rFonts w:cs="Calibri"/>
                <w:b/>
                <w:noProof/>
                <w:sz w:val="14"/>
                <w:szCs w:val="14"/>
              </w:rPr>
              <w:t>1767.1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85673A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noProof/>
                <w:color w:val="000000"/>
                <w:sz w:val="14"/>
                <w:szCs w:val="14"/>
              </w:rPr>
            </w:pPr>
            <w:r w:rsidRPr="0085673A">
              <w:rPr>
                <w:rFonts w:cs="Calibri"/>
                <w:b/>
                <w:noProof/>
                <w:color w:val="000000"/>
                <w:sz w:val="14"/>
                <w:szCs w:val="14"/>
              </w:rPr>
              <w:t>1760.9</w:t>
            </w:r>
          </w:p>
        </w:tc>
        <w:tc>
          <w:tcPr>
            <w:tcW w:w="52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82570B" w:rsidRPr="0085673A" w:rsidRDefault="0082570B" w:rsidP="00590B7B">
            <w:pPr>
              <w:spacing w:after="0" w:line="240" w:lineRule="auto"/>
              <w:jc w:val="center"/>
              <w:rPr>
                <w:rFonts w:cs="Calibri"/>
                <w:b/>
                <w:noProof/>
                <w:sz w:val="14"/>
                <w:szCs w:val="14"/>
              </w:rPr>
            </w:pPr>
            <w:r w:rsidRPr="0085673A">
              <w:rPr>
                <w:rFonts w:cs="Calibri"/>
                <w:b/>
                <w:noProof/>
                <w:sz w:val="14"/>
                <w:szCs w:val="14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570B" w:rsidRPr="0085673A" w:rsidRDefault="0082570B" w:rsidP="00590B7B">
            <w:pPr>
              <w:spacing w:after="0" w:line="240" w:lineRule="auto"/>
              <w:jc w:val="center"/>
              <w:rPr>
                <w:rFonts w:cs="Calibri"/>
                <w:b/>
                <w:noProof/>
                <w:sz w:val="14"/>
                <w:szCs w:val="14"/>
              </w:rPr>
            </w:pPr>
            <w:r w:rsidRPr="0085673A">
              <w:rPr>
                <w:rFonts w:cs="Calibri"/>
                <w:b/>
                <w:noProof/>
                <w:sz w:val="14"/>
                <w:szCs w:val="14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570B" w:rsidRPr="0085673A" w:rsidRDefault="0082570B" w:rsidP="00590B7B">
            <w:pPr>
              <w:spacing w:after="0" w:line="240" w:lineRule="auto"/>
              <w:jc w:val="center"/>
              <w:rPr>
                <w:rFonts w:cs="Calibri"/>
                <w:b/>
                <w:noProof/>
                <w:sz w:val="14"/>
                <w:szCs w:val="14"/>
              </w:rPr>
            </w:pPr>
            <w:r w:rsidRPr="0085673A">
              <w:rPr>
                <w:rFonts w:cs="Calibri"/>
                <w:b/>
                <w:noProof/>
                <w:sz w:val="14"/>
                <w:szCs w:val="14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570B" w:rsidRPr="0085673A" w:rsidRDefault="0082570B" w:rsidP="00590B7B">
            <w:pPr>
              <w:spacing w:after="0" w:line="240" w:lineRule="auto"/>
              <w:jc w:val="center"/>
              <w:rPr>
                <w:rFonts w:cs="Calibri"/>
                <w:b/>
                <w:noProof/>
                <w:sz w:val="14"/>
                <w:szCs w:val="14"/>
              </w:rPr>
            </w:pPr>
            <w:r w:rsidRPr="0085673A">
              <w:rPr>
                <w:rFonts w:cs="Calibri"/>
                <w:b/>
                <w:noProof/>
                <w:sz w:val="14"/>
                <w:szCs w:val="14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570B" w:rsidRPr="0085673A" w:rsidRDefault="0082570B" w:rsidP="00590B7B">
            <w:pPr>
              <w:spacing w:after="0" w:line="240" w:lineRule="auto"/>
              <w:jc w:val="center"/>
              <w:rPr>
                <w:rFonts w:cs="Calibri"/>
                <w:b/>
                <w:noProof/>
                <w:sz w:val="14"/>
                <w:szCs w:val="14"/>
              </w:rPr>
            </w:pPr>
            <w:r w:rsidRPr="0085673A">
              <w:rPr>
                <w:rFonts w:cs="Calibri"/>
                <w:b/>
                <w:noProof/>
                <w:sz w:val="14"/>
                <w:szCs w:val="14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82570B" w:rsidRPr="0085673A" w:rsidRDefault="0082570B" w:rsidP="00590B7B">
            <w:pPr>
              <w:spacing w:after="0" w:line="240" w:lineRule="auto"/>
              <w:jc w:val="center"/>
              <w:rPr>
                <w:rFonts w:cs="Calibri"/>
                <w:b/>
                <w:noProof/>
                <w:sz w:val="14"/>
                <w:szCs w:val="14"/>
              </w:rPr>
            </w:pPr>
            <w:r w:rsidRPr="0085673A">
              <w:rPr>
                <w:rFonts w:cs="Calibri"/>
                <w:b/>
                <w:noProof/>
                <w:sz w:val="14"/>
                <w:szCs w:val="14"/>
              </w:rPr>
              <w:t>-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85673A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i/>
                <w:iCs/>
                <w:noProof/>
                <w:color w:val="000000"/>
                <w:sz w:val="14"/>
                <w:szCs w:val="14"/>
              </w:rPr>
            </w:pPr>
            <w:r w:rsidRPr="0085673A">
              <w:rPr>
                <w:rFonts w:cs="Calibri"/>
                <w:b/>
                <w:i/>
                <w:iCs/>
                <w:noProof/>
                <w:color w:val="000000"/>
                <w:sz w:val="14"/>
                <w:szCs w:val="14"/>
              </w:rPr>
              <w:t>8.06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85673A" w:rsidRDefault="0082570B" w:rsidP="00590B7B">
            <w:pPr>
              <w:spacing w:after="0" w:line="240" w:lineRule="auto"/>
              <w:jc w:val="right"/>
              <w:rPr>
                <w:rFonts w:cs="Calibri"/>
                <w:b/>
                <w:i/>
                <w:iCs/>
                <w:noProof/>
                <w:color w:val="000000"/>
                <w:sz w:val="14"/>
                <w:szCs w:val="14"/>
              </w:rPr>
            </w:pPr>
            <w:r w:rsidRPr="0085673A">
              <w:rPr>
                <w:rFonts w:cs="Calibri"/>
                <w:b/>
                <w:i/>
                <w:iCs/>
                <w:noProof/>
                <w:color w:val="000000"/>
                <w:sz w:val="14"/>
                <w:szCs w:val="14"/>
              </w:rPr>
              <w:t>11.24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85673A" w:rsidRDefault="0082570B" w:rsidP="00590B7B">
            <w:pPr>
              <w:spacing w:after="0" w:line="240" w:lineRule="auto"/>
              <w:jc w:val="center"/>
              <w:rPr>
                <w:rFonts w:cs="Calibri"/>
                <w:b/>
                <w:i/>
                <w:iCs/>
                <w:noProof/>
                <w:color w:val="000000"/>
                <w:sz w:val="14"/>
                <w:szCs w:val="14"/>
              </w:rPr>
            </w:pPr>
            <w:r w:rsidRPr="0085673A">
              <w:rPr>
                <w:rFonts w:cs="Calibri"/>
                <w:b/>
                <w:i/>
                <w:iCs/>
                <w:noProof/>
                <w:color w:val="000000"/>
                <w:sz w:val="14"/>
                <w:szCs w:val="14"/>
              </w:rPr>
              <w:t>-</w:t>
            </w:r>
          </w:p>
        </w:tc>
      </w:tr>
      <w:tr w:rsidR="0082570B" w:rsidRPr="00DC4AD1" w:rsidTr="0085673A">
        <w:trPr>
          <w:trHeight w:val="330"/>
        </w:trPr>
        <w:tc>
          <w:tcPr>
            <w:tcW w:w="214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rPr>
                <w:rFonts w:cs="Calibri"/>
                <w:i/>
                <w:iCs/>
                <w:noProof/>
                <w:sz w:val="14"/>
                <w:szCs w:val="14"/>
              </w:rPr>
            </w:pPr>
            <w:r w:rsidRPr="00DC4AD1">
              <w:rPr>
                <w:rFonts w:cs="Calibri"/>
                <w:i/>
                <w:iCs/>
                <w:noProof/>
                <w:sz w:val="14"/>
                <w:szCs w:val="14"/>
              </w:rPr>
              <w:t>Domaći dug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424.1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411.2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395.4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399.6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401.3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393.1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404.5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400.1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396.7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420.3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431.7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436.0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442.7</w:t>
            </w:r>
          </w:p>
        </w:tc>
        <w:tc>
          <w:tcPr>
            <w:tcW w:w="5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-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-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4.39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-1.18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-</w:t>
            </w:r>
          </w:p>
        </w:tc>
      </w:tr>
      <w:tr w:rsidR="0082570B" w:rsidRPr="00DC4AD1" w:rsidTr="0085673A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82570B" w:rsidRPr="00DC4AD1" w:rsidRDefault="0082570B" w:rsidP="00590B7B">
            <w:pPr>
              <w:spacing w:after="0" w:line="240" w:lineRule="auto"/>
              <w:rPr>
                <w:rFonts w:cs="Calibri"/>
                <w:i/>
                <w:iCs/>
                <w:noProof/>
                <w:sz w:val="14"/>
                <w:szCs w:val="14"/>
              </w:rPr>
            </w:pPr>
            <w:r w:rsidRPr="00DC4AD1">
              <w:rPr>
                <w:rFonts w:cs="Calibri"/>
                <w:i/>
                <w:iCs/>
                <w:noProof/>
                <w:sz w:val="14"/>
                <w:szCs w:val="14"/>
              </w:rPr>
              <w:t>Inostrani dug</w:t>
            </w:r>
          </w:p>
        </w:tc>
        <w:tc>
          <w:tcPr>
            <w:tcW w:w="600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1205.5</w:t>
            </w:r>
          </w:p>
        </w:tc>
        <w:tc>
          <w:tcPr>
            <w:tcW w:w="58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1307.6</w:t>
            </w:r>
          </w:p>
        </w:tc>
        <w:tc>
          <w:tcPr>
            <w:tcW w:w="60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1307.8</w:t>
            </w:r>
          </w:p>
        </w:tc>
        <w:tc>
          <w:tcPr>
            <w:tcW w:w="58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1307.6</w:t>
            </w:r>
          </w:p>
        </w:tc>
        <w:tc>
          <w:tcPr>
            <w:tcW w:w="58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1308.1</w:t>
            </w:r>
          </w:p>
        </w:tc>
        <w:tc>
          <w:tcPr>
            <w:tcW w:w="58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1307.1</w:t>
            </w:r>
          </w:p>
        </w:tc>
        <w:tc>
          <w:tcPr>
            <w:tcW w:w="58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1295.0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1332.6</w:t>
            </w:r>
          </w:p>
        </w:tc>
        <w:tc>
          <w:tcPr>
            <w:tcW w:w="58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1336.0</w:t>
            </w:r>
          </w:p>
        </w:tc>
        <w:tc>
          <w:tcPr>
            <w:tcW w:w="58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1335.4</w:t>
            </w:r>
          </w:p>
        </w:tc>
        <w:tc>
          <w:tcPr>
            <w:tcW w:w="58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1332.5</w:t>
            </w:r>
          </w:p>
        </w:tc>
        <w:tc>
          <w:tcPr>
            <w:tcW w:w="5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1331.1</w:t>
            </w:r>
          </w:p>
        </w:tc>
        <w:tc>
          <w:tcPr>
            <w:tcW w:w="60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noProof/>
                <w:color w:val="000000"/>
                <w:sz w:val="14"/>
                <w:szCs w:val="14"/>
              </w:rPr>
              <w:t>1318.2</w:t>
            </w:r>
          </w:p>
        </w:tc>
        <w:tc>
          <w:tcPr>
            <w:tcW w:w="520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noProof/>
                <w:sz w:val="14"/>
                <w:szCs w:val="14"/>
              </w:rPr>
            </w:pPr>
            <w:r w:rsidRPr="00A11E17">
              <w:rPr>
                <w:rFonts w:cs="Calibri"/>
                <w:noProof/>
                <w:sz w:val="14"/>
                <w:szCs w:val="14"/>
              </w:rPr>
              <w:t>-</w:t>
            </w:r>
          </w:p>
        </w:tc>
        <w:tc>
          <w:tcPr>
            <w:tcW w:w="580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9.35</w:t>
            </w:r>
          </w:p>
        </w:tc>
        <w:tc>
          <w:tcPr>
            <w:tcW w:w="6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right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15.85</w:t>
            </w:r>
          </w:p>
        </w:tc>
        <w:tc>
          <w:tcPr>
            <w:tcW w:w="64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82570B" w:rsidRPr="00A11E17" w:rsidRDefault="0082570B" w:rsidP="00590B7B">
            <w:pPr>
              <w:spacing w:after="0" w:line="240" w:lineRule="auto"/>
              <w:jc w:val="center"/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</w:pPr>
            <w:r w:rsidRPr="00A11E17">
              <w:rPr>
                <w:rFonts w:cs="Calibri"/>
                <w:i/>
                <w:iCs/>
                <w:noProof/>
                <w:color w:val="000000"/>
                <w:sz w:val="14"/>
                <w:szCs w:val="14"/>
              </w:rPr>
              <w:t>-</w:t>
            </w:r>
          </w:p>
        </w:tc>
      </w:tr>
    </w:tbl>
    <w:p w:rsidR="0082570B" w:rsidRPr="00DC4AD1" w:rsidRDefault="0082570B" w:rsidP="0002564B">
      <w:pPr>
        <w:outlineLvl w:val="0"/>
        <w:rPr>
          <w:b/>
          <w:i/>
          <w:noProof/>
          <w:sz w:val="14"/>
          <w:szCs w:val="14"/>
        </w:rPr>
      </w:pPr>
    </w:p>
    <w:p w:rsidR="0082570B" w:rsidRPr="00DC4AD1" w:rsidRDefault="0082570B" w:rsidP="0002564B">
      <w:pPr>
        <w:outlineLvl w:val="0"/>
        <w:rPr>
          <w:b/>
          <w:i/>
          <w:noProof/>
          <w:sz w:val="14"/>
          <w:szCs w:val="14"/>
        </w:rPr>
      </w:pPr>
      <w:r w:rsidRPr="00DC4AD1">
        <w:rPr>
          <w:b/>
          <w:i/>
          <w:noProof/>
          <w:sz w:val="14"/>
          <w:szCs w:val="14"/>
        </w:rPr>
        <w:t>Izvor: Ministarstvo finansijaCrne Gore</w:t>
      </w:r>
    </w:p>
    <w:p w:rsidR="0082570B" w:rsidRPr="00DC4AD1" w:rsidRDefault="0082570B" w:rsidP="005025EC">
      <w:pPr>
        <w:jc w:val="both"/>
        <w:rPr>
          <w:rFonts w:cs="Calibri"/>
          <w:bCs/>
          <w:noProof/>
          <w:sz w:val="14"/>
          <w:szCs w:val="14"/>
        </w:rPr>
      </w:pPr>
    </w:p>
    <w:p w:rsidR="0082570B" w:rsidRPr="00DC4AD1" w:rsidRDefault="0082570B" w:rsidP="005025EC">
      <w:pPr>
        <w:ind w:left="-142"/>
        <w:jc w:val="both"/>
        <w:rPr>
          <w:noProof/>
          <w:sz w:val="14"/>
          <w:szCs w:val="14"/>
        </w:rPr>
      </w:pPr>
      <w:r w:rsidRPr="00DC4AD1">
        <w:rPr>
          <w:rFonts w:cs="Calibri"/>
          <w:bCs/>
          <w:noProof/>
          <w:sz w:val="14"/>
          <w:szCs w:val="14"/>
        </w:rPr>
        <w:t>.</w:t>
      </w:r>
    </w:p>
    <w:sectPr w:rsidR="0082570B" w:rsidRPr="00DC4AD1" w:rsidSect="005025EC">
      <w:pgSz w:w="16839" w:h="11907" w:orient="landscape" w:code="9"/>
      <w:pgMar w:top="284" w:right="254" w:bottom="284" w:left="42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6C1" w:rsidRDefault="00BA06C1" w:rsidP="00965FCD">
      <w:pPr>
        <w:spacing w:after="0" w:line="240" w:lineRule="auto"/>
      </w:pPr>
      <w:r>
        <w:separator/>
      </w:r>
    </w:p>
  </w:endnote>
  <w:endnote w:type="continuationSeparator" w:id="1">
    <w:p w:rsidR="00BA06C1" w:rsidRDefault="00BA06C1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6C1" w:rsidRDefault="00BA06C1" w:rsidP="00965FCD">
      <w:pPr>
        <w:spacing w:after="0" w:line="240" w:lineRule="auto"/>
      </w:pPr>
      <w:r>
        <w:separator/>
      </w:r>
    </w:p>
  </w:footnote>
  <w:footnote w:type="continuationSeparator" w:id="1">
    <w:p w:rsidR="00BA06C1" w:rsidRDefault="00BA06C1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097970"/>
    <w:multiLevelType w:val="hybridMultilevel"/>
    <w:tmpl w:val="530A2D48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1692"/>
    <w:rsid w:val="000000CB"/>
    <w:rsid w:val="000010A3"/>
    <w:rsid w:val="00003D78"/>
    <w:rsid w:val="00004B56"/>
    <w:rsid w:val="000147A0"/>
    <w:rsid w:val="00014AAB"/>
    <w:rsid w:val="00014D0B"/>
    <w:rsid w:val="00014E6A"/>
    <w:rsid w:val="00021033"/>
    <w:rsid w:val="000224B4"/>
    <w:rsid w:val="00022789"/>
    <w:rsid w:val="0002564B"/>
    <w:rsid w:val="000263A4"/>
    <w:rsid w:val="00031722"/>
    <w:rsid w:val="000341DE"/>
    <w:rsid w:val="00034923"/>
    <w:rsid w:val="00034D42"/>
    <w:rsid w:val="0003544A"/>
    <w:rsid w:val="000369E1"/>
    <w:rsid w:val="000421A3"/>
    <w:rsid w:val="000449CD"/>
    <w:rsid w:val="00044CB0"/>
    <w:rsid w:val="00045654"/>
    <w:rsid w:val="00046C9E"/>
    <w:rsid w:val="00050EAB"/>
    <w:rsid w:val="00052DC4"/>
    <w:rsid w:val="00054068"/>
    <w:rsid w:val="00055E5C"/>
    <w:rsid w:val="00055F78"/>
    <w:rsid w:val="00056E43"/>
    <w:rsid w:val="000601A4"/>
    <w:rsid w:val="00061391"/>
    <w:rsid w:val="000645F3"/>
    <w:rsid w:val="00067726"/>
    <w:rsid w:val="000734AF"/>
    <w:rsid w:val="00073786"/>
    <w:rsid w:val="00074378"/>
    <w:rsid w:val="000747AC"/>
    <w:rsid w:val="00074C3E"/>
    <w:rsid w:val="0007530C"/>
    <w:rsid w:val="00080AEE"/>
    <w:rsid w:val="000812E2"/>
    <w:rsid w:val="00085B67"/>
    <w:rsid w:val="00090FDD"/>
    <w:rsid w:val="00091154"/>
    <w:rsid w:val="000915D3"/>
    <w:rsid w:val="000917D8"/>
    <w:rsid w:val="000925F7"/>
    <w:rsid w:val="00094311"/>
    <w:rsid w:val="000945C9"/>
    <w:rsid w:val="0009505C"/>
    <w:rsid w:val="0009548F"/>
    <w:rsid w:val="00097E38"/>
    <w:rsid w:val="000A1159"/>
    <w:rsid w:val="000A2350"/>
    <w:rsid w:val="000A2F52"/>
    <w:rsid w:val="000A43CE"/>
    <w:rsid w:val="000A47FF"/>
    <w:rsid w:val="000A4E37"/>
    <w:rsid w:val="000A787A"/>
    <w:rsid w:val="000B1DD7"/>
    <w:rsid w:val="000B502D"/>
    <w:rsid w:val="000B67B1"/>
    <w:rsid w:val="000B7AE2"/>
    <w:rsid w:val="000C06C5"/>
    <w:rsid w:val="000C0B0A"/>
    <w:rsid w:val="000C1965"/>
    <w:rsid w:val="000C36DB"/>
    <w:rsid w:val="000C6818"/>
    <w:rsid w:val="000D0374"/>
    <w:rsid w:val="000D52CF"/>
    <w:rsid w:val="000D5D48"/>
    <w:rsid w:val="000D5ED7"/>
    <w:rsid w:val="000D6DF1"/>
    <w:rsid w:val="000E13EB"/>
    <w:rsid w:val="000E2251"/>
    <w:rsid w:val="000E2351"/>
    <w:rsid w:val="000E3987"/>
    <w:rsid w:val="000E6096"/>
    <w:rsid w:val="000E77A4"/>
    <w:rsid w:val="000F4D73"/>
    <w:rsid w:val="000F5B09"/>
    <w:rsid w:val="000F6C6B"/>
    <w:rsid w:val="000F756E"/>
    <w:rsid w:val="00100371"/>
    <w:rsid w:val="0010339D"/>
    <w:rsid w:val="00107128"/>
    <w:rsid w:val="00112853"/>
    <w:rsid w:val="00114109"/>
    <w:rsid w:val="00115519"/>
    <w:rsid w:val="00116365"/>
    <w:rsid w:val="001164A1"/>
    <w:rsid w:val="00117AB0"/>
    <w:rsid w:val="00120A3A"/>
    <w:rsid w:val="00123CBD"/>
    <w:rsid w:val="00131185"/>
    <w:rsid w:val="001326B7"/>
    <w:rsid w:val="00134816"/>
    <w:rsid w:val="00134A21"/>
    <w:rsid w:val="00134C6C"/>
    <w:rsid w:val="00136E70"/>
    <w:rsid w:val="00144C86"/>
    <w:rsid w:val="0014607D"/>
    <w:rsid w:val="00147278"/>
    <w:rsid w:val="00152E4F"/>
    <w:rsid w:val="001530CE"/>
    <w:rsid w:val="0015322D"/>
    <w:rsid w:val="00154145"/>
    <w:rsid w:val="0015515C"/>
    <w:rsid w:val="00156E33"/>
    <w:rsid w:val="00157601"/>
    <w:rsid w:val="001610BD"/>
    <w:rsid w:val="001613FC"/>
    <w:rsid w:val="001627A3"/>
    <w:rsid w:val="00163041"/>
    <w:rsid w:val="001644C7"/>
    <w:rsid w:val="00165DE6"/>
    <w:rsid w:val="001678F1"/>
    <w:rsid w:val="00170C82"/>
    <w:rsid w:val="00170CCE"/>
    <w:rsid w:val="00172D59"/>
    <w:rsid w:val="001730BE"/>
    <w:rsid w:val="00174836"/>
    <w:rsid w:val="0017540F"/>
    <w:rsid w:val="00181309"/>
    <w:rsid w:val="0018289E"/>
    <w:rsid w:val="0018592D"/>
    <w:rsid w:val="00186BEF"/>
    <w:rsid w:val="00186F09"/>
    <w:rsid w:val="0018794A"/>
    <w:rsid w:val="00187C66"/>
    <w:rsid w:val="00190285"/>
    <w:rsid w:val="00191F90"/>
    <w:rsid w:val="001942BA"/>
    <w:rsid w:val="001A2829"/>
    <w:rsid w:val="001A392F"/>
    <w:rsid w:val="001A594D"/>
    <w:rsid w:val="001A5B99"/>
    <w:rsid w:val="001A65F4"/>
    <w:rsid w:val="001A7319"/>
    <w:rsid w:val="001B3267"/>
    <w:rsid w:val="001C1F7E"/>
    <w:rsid w:val="001C23DD"/>
    <w:rsid w:val="001C264C"/>
    <w:rsid w:val="001C2751"/>
    <w:rsid w:val="001C51EC"/>
    <w:rsid w:val="001C5CE9"/>
    <w:rsid w:val="001C6698"/>
    <w:rsid w:val="001C6750"/>
    <w:rsid w:val="001C70BA"/>
    <w:rsid w:val="001D0A32"/>
    <w:rsid w:val="001D37FD"/>
    <w:rsid w:val="001D4E81"/>
    <w:rsid w:val="001E29D1"/>
    <w:rsid w:val="001E2BC7"/>
    <w:rsid w:val="001E33FE"/>
    <w:rsid w:val="001E4EAE"/>
    <w:rsid w:val="001E5BE3"/>
    <w:rsid w:val="001F1378"/>
    <w:rsid w:val="001F19CC"/>
    <w:rsid w:val="001F2B57"/>
    <w:rsid w:val="001F4C02"/>
    <w:rsid w:val="001F69DD"/>
    <w:rsid w:val="001F7C33"/>
    <w:rsid w:val="002000E5"/>
    <w:rsid w:val="0020246C"/>
    <w:rsid w:val="00203447"/>
    <w:rsid w:val="00205D15"/>
    <w:rsid w:val="00206062"/>
    <w:rsid w:val="00207613"/>
    <w:rsid w:val="00207B53"/>
    <w:rsid w:val="0021042E"/>
    <w:rsid w:val="00212126"/>
    <w:rsid w:val="00212633"/>
    <w:rsid w:val="002135A2"/>
    <w:rsid w:val="0021614C"/>
    <w:rsid w:val="00220834"/>
    <w:rsid w:val="002210E9"/>
    <w:rsid w:val="00223E45"/>
    <w:rsid w:val="002251C3"/>
    <w:rsid w:val="00225F74"/>
    <w:rsid w:val="002263B3"/>
    <w:rsid w:val="0022695C"/>
    <w:rsid w:val="00227682"/>
    <w:rsid w:val="00227D75"/>
    <w:rsid w:val="00230FA2"/>
    <w:rsid w:val="00231268"/>
    <w:rsid w:val="00232A05"/>
    <w:rsid w:val="00234902"/>
    <w:rsid w:val="00236B99"/>
    <w:rsid w:val="00240136"/>
    <w:rsid w:val="002402CA"/>
    <w:rsid w:val="00240CF4"/>
    <w:rsid w:val="002417C5"/>
    <w:rsid w:val="002427AE"/>
    <w:rsid w:val="00243419"/>
    <w:rsid w:val="00245A6C"/>
    <w:rsid w:val="00245B04"/>
    <w:rsid w:val="002503CE"/>
    <w:rsid w:val="0025102C"/>
    <w:rsid w:val="0025137D"/>
    <w:rsid w:val="00252FF6"/>
    <w:rsid w:val="00253ECF"/>
    <w:rsid w:val="00253F71"/>
    <w:rsid w:val="00256550"/>
    <w:rsid w:val="0025757E"/>
    <w:rsid w:val="00257D9D"/>
    <w:rsid w:val="00260EF0"/>
    <w:rsid w:val="00265023"/>
    <w:rsid w:val="002650CF"/>
    <w:rsid w:val="00265406"/>
    <w:rsid w:val="00265A3D"/>
    <w:rsid w:val="00270FD9"/>
    <w:rsid w:val="002717A8"/>
    <w:rsid w:val="002723A7"/>
    <w:rsid w:val="00274EBC"/>
    <w:rsid w:val="00275609"/>
    <w:rsid w:val="00282488"/>
    <w:rsid w:val="00282DBE"/>
    <w:rsid w:val="00283704"/>
    <w:rsid w:val="00294586"/>
    <w:rsid w:val="00296127"/>
    <w:rsid w:val="00297AC4"/>
    <w:rsid w:val="002A046A"/>
    <w:rsid w:val="002A0D49"/>
    <w:rsid w:val="002A10A8"/>
    <w:rsid w:val="002A1B2B"/>
    <w:rsid w:val="002A1DC4"/>
    <w:rsid w:val="002A235B"/>
    <w:rsid w:val="002A2CED"/>
    <w:rsid w:val="002A4910"/>
    <w:rsid w:val="002A68B8"/>
    <w:rsid w:val="002B10AE"/>
    <w:rsid w:val="002B318C"/>
    <w:rsid w:val="002B552A"/>
    <w:rsid w:val="002C1A52"/>
    <w:rsid w:val="002C1FBF"/>
    <w:rsid w:val="002C47B8"/>
    <w:rsid w:val="002C6888"/>
    <w:rsid w:val="002C78FB"/>
    <w:rsid w:val="002D170B"/>
    <w:rsid w:val="002D175D"/>
    <w:rsid w:val="002D2E80"/>
    <w:rsid w:val="002D3B0F"/>
    <w:rsid w:val="002D5865"/>
    <w:rsid w:val="002E6CB0"/>
    <w:rsid w:val="002F184C"/>
    <w:rsid w:val="002F19E7"/>
    <w:rsid w:val="002F323A"/>
    <w:rsid w:val="002F5002"/>
    <w:rsid w:val="002F567B"/>
    <w:rsid w:val="002F6AB2"/>
    <w:rsid w:val="003004B8"/>
    <w:rsid w:val="003022A7"/>
    <w:rsid w:val="00303D85"/>
    <w:rsid w:val="00307F4D"/>
    <w:rsid w:val="0031558E"/>
    <w:rsid w:val="00315B94"/>
    <w:rsid w:val="003217C9"/>
    <w:rsid w:val="00321CA6"/>
    <w:rsid w:val="00327AC3"/>
    <w:rsid w:val="00327BFC"/>
    <w:rsid w:val="00330832"/>
    <w:rsid w:val="00330C13"/>
    <w:rsid w:val="00331520"/>
    <w:rsid w:val="00331C0E"/>
    <w:rsid w:val="00331D9F"/>
    <w:rsid w:val="003324D9"/>
    <w:rsid w:val="0033276A"/>
    <w:rsid w:val="00333C49"/>
    <w:rsid w:val="00337648"/>
    <w:rsid w:val="00340752"/>
    <w:rsid w:val="003409C9"/>
    <w:rsid w:val="00341583"/>
    <w:rsid w:val="00344581"/>
    <w:rsid w:val="0034655C"/>
    <w:rsid w:val="00350CFE"/>
    <w:rsid w:val="0035139C"/>
    <w:rsid w:val="003568F4"/>
    <w:rsid w:val="00357182"/>
    <w:rsid w:val="00357E66"/>
    <w:rsid w:val="00360100"/>
    <w:rsid w:val="00360197"/>
    <w:rsid w:val="003625F1"/>
    <w:rsid w:val="00364D14"/>
    <w:rsid w:val="00365311"/>
    <w:rsid w:val="00365E46"/>
    <w:rsid w:val="00366F41"/>
    <w:rsid w:val="0037726C"/>
    <w:rsid w:val="00377A53"/>
    <w:rsid w:val="003809F3"/>
    <w:rsid w:val="0038117E"/>
    <w:rsid w:val="0038135E"/>
    <w:rsid w:val="003813A6"/>
    <w:rsid w:val="0038259A"/>
    <w:rsid w:val="00382F01"/>
    <w:rsid w:val="00384DC2"/>
    <w:rsid w:val="00387C29"/>
    <w:rsid w:val="00387DAD"/>
    <w:rsid w:val="00390732"/>
    <w:rsid w:val="0039257B"/>
    <w:rsid w:val="0039441A"/>
    <w:rsid w:val="00396D7E"/>
    <w:rsid w:val="00396FDF"/>
    <w:rsid w:val="003A0776"/>
    <w:rsid w:val="003A0C23"/>
    <w:rsid w:val="003A0F73"/>
    <w:rsid w:val="003A1150"/>
    <w:rsid w:val="003A1E5E"/>
    <w:rsid w:val="003A5C77"/>
    <w:rsid w:val="003B1992"/>
    <w:rsid w:val="003B1A29"/>
    <w:rsid w:val="003B1C22"/>
    <w:rsid w:val="003B2900"/>
    <w:rsid w:val="003B3299"/>
    <w:rsid w:val="003B436A"/>
    <w:rsid w:val="003B48D5"/>
    <w:rsid w:val="003B4F8C"/>
    <w:rsid w:val="003B62EC"/>
    <w:rsid w:val="003B6844"/>
    <w:rsid w:val="003C14C9"/>
    <w:rsid w:val="003C15EF"/>
    <w:rsid w:val="003C1D23"/>
    <w:rsid w:val="003C4817"/>
    <w:rsid w:val="003D1EDB"/>
    <w:rsid w:val="003D4359"/>
    <w:rsid w:val="003D4739"/>
    <w:rsid w:val="003D7D58"/>
    <w:rsid w:val="003E0266"/>
    <w:rsid w:val="003E0C4A"/>
    <w:rsid w:val="003E221F"/>
    <w:rsid w:val="003E3296"/>
    <w:rsid w:val="003E3C65"/>
    <w:rsid w:val="003E3F0E"/>
    <w:rsid w:val="003E4749"/>
    <w:rsid w:val="003E4CC0"/>
    <w:rsid w:val="003E51DE"/>
    <w:rsid w:val="003E757E"/>
    <w:rsid w:val="003F0052"/>
    <w:rsid w:val="003F0EA8"/>
    <w:rsid w:val="003F5183"/>
    <w:rsid w:val="003F5A35"/>
    <w:rsid w:val="00400C11"/>
    <w:rsid w:val="004010A8"/>
    <w:rsid w:val="00401DED"/>
    <w:rsid w:val="00404546"/>
    <w:rsid w:val="00406097"/>
    <w:rsid w:val="00406C7B"/>
    <w:rsid w:val="00407FE4"/>
    <w:rsid w:val="0041311D"/>
    <w:rsid w:val="00415784"/>
    <w:rsid w:val="00415806"/>
    <w:rsid w:val="004159BE"/>
    <w:rsid w:val="00417DAC"/>
    <w:rsid w:val="00420CBC"/>
    <w:rsid w:val="00421432"/>
    <w:rsid w:val="00421CD5"/>
    <w:rsid w:val="00425EC2"/>
    <w:rsid w:val="00427696"/>
    <w:rsid w:val="00435D37"/>
    <w:rsid w:val="00436469"/>
    <w:rsid w:val="004379FA"/>
    <w:rsid w:val="0044465C"/>
    <w:rsid w:val="0044550D"/>
    <w:rsid w:val="004471B9"/>
    <w:rsid w:val="00447221"/>
    <w:rsid w:val="00454093"/>
    <w:rsid w:val="00454C7D"/>
    <w:rsid w:val="00455227"/>
    <w:rsid w:val="00461324"/>
    <w:rsid w:val="0046148B"/>
    <w:rsid w:val="004634E4"/>
    <w:rsid w:val="004655E7"/>
    <w:rsid w:val="004725CB"/>
    <w:rsid w:val="0047278D"/>
    <w:rsid w:val="00475763"/>
    <w:rsid w:val="00475BE2"/>
    <w:rsid w:val="00480082"/>
    <w:rsid w:val="004848E8"/>
    <w:rsid w:val="004865CE"/>
    <w:rsid w:val="004868F5"/>
    <w:rsid w:val="00487296"/>
    <w:rsid w:val="004932C1"/>
    <w:rsid w:val="00493B63"/>
    <w:rsid w:val="004940E0"/>
    <w:rsid w:val="00496861"/>
    <w:rsid w:val="004A1113"/>
    <w:rsid w:val="004A382B"/>
    <w:rsid w:val="004A3894"/>
    <w:rsid w:val="004A38D1"/>
    <w:rsid w:val="004A55B1"/>
    <w:rsid w:val="004A56BE"/>
    <w:rsid w:val="004A5717"/>
    <w:rsid w:val="004A62DA"/>
    <w:rsid w:val="004B1C2A"/>
    <w:rsid w:val="004B41B2"/>
    <w:rsid w:val="004B7800"/>
    <w:rsid w:val="004B7883"/>
    <w:rsid w:val="004C0135"/>
    <w:rsid w:val="004C16F3"/>
    <w:rsid w:val="004C373F"/>
    <w:rsid w:val="004C3C31"/>
    <w:rsid w:val="004C659C"/>
    <w:rsid w:val="004D49A0"/>
    <w:rsid w:val="004D4E0F"/>
    <w:rsid w:val="004E7676"/>
    <w:rsid w:val="004F288B"/>
    <w:rsid w:val="004F3817"/>
    <w:rsid w:val="004F50B8"/>
    <w:rsid w:val="004F7808"/>
    <w:rsid w:val="004F7D2D"/>
    <w:rsid w:val="004F7F71"/>
    <w:rsid w:val="005025EC"/>
    <w:rsid w:val="005027D6"/>
    <w:rsid w:val="005070CF"/>
    <w:rsid w:val="005078B9"/>
    <w:rsid w:val="00516264"/>
    <w:rsid w:val="00517175"/>
    <w:rsid w:val="00522282"/>
    <w:rsid w:val="00524587"/>
    <w:rsid w:val="0052531F"/>
    <w:rsid w:val="005253D1"/>
    <w:rsid w:val="005264EC"/>
    <w:rsid w:val="00532B88"/>
    <w:rsid w:val="005331BD"/>
    <w:rsid w:val="005343F8"/>
    <w:rsid w:val="0053502A"/>
    <w:rsid w:val="0053621B"/>
    <w:rsid w:val="00536525"/>
    <w:rsid w:val="0053722D"/>
    <w:rsid w:val="00541131"/>
    <w:rsid w:val="00541D70"/>
    <w:rsid w:val="005429A2"/>
    <w:rsid w:val="00543A1F"/>
    <w:rsid w:val="005468F5"/>
    <w:rsid w:val="00546967"/>
    <w:rsid w:val="00547212"/>
    <w:rsid w:val="00547B34"/>
    <w:rsid w:val="005523CF"/>
    <w:rsid w:val="0055364A"/>
    <w:rsid w:val="00553E61"/>
    <w:rsid w:val="0055409D"/>
    <w:rsid w:val="0055507E"/>
    <w:rsid w:val="00555A5E"/>
    <w:rsid w:val="0055713F"/>
    <w:rsid w:val="00560529"/>
    <w:rsid w:val="00560667"/>
    <w:rsid w:val="00561992"/>
    <w:rsid w:val="00564436"/>
    <w:rsid w:val="005644BB"/>
    <w:rsid w:val="0056509E"/>
    <w:rsid w:val="00565662"/>
    <w:rsid w:val="005700F4"/>
    <w:rsid w:val="00570C9B"/>
    <w:rsid w:val="00570EEF"/>
    <w:rsid w:val="005715D6"/>
    <w:rsid w:val="00571A37"/>
    <w:rsid w:val="0057438A"/>
    <w:rsid w:val="00580172"/>
    <w:rsid w:val="00581749"/>
    <w:rsid w:val="005829D9"/>
    <w:rsid w:val="00583591"/>
    <w:rsid w:val="005852DA"/>
    <w:rsid w:val="00590B7B"/>
    <w:rsid w:val="005916D5"/>
    <w:rsid w:val="00593B25"/>
    <w:rsid w:val="00595DA2"/>
    <w:rsid w:val="005A4AB8"/>
    <w:rsid w:val="005A5064"/>
    <w:rsid w:val="005A5229"/>
    <w:rsid w:val="005B0DB1"/>
    <w:rsid w:val="005B18F4"/>
    <w:rsid w:val="005B25F8"/>
    <w:rsid w:val="005B5CB7"/>
    <w:rsid w:val="005B7040"/>
    <w:rsid w:val="005C19AB"/>
    <w:rsid w:val="005C3915"/>
    <w:rsid w:val="005C4CBE"/>
    <w:rsid w:val="005C4DBD"/>
    <w:rsid w:val="005C5F38"/>
    <w:rsid w:val="005D0E14"/>
    <w:rsid w:val="005D4BC4"/>
    <w:rsid w:val="005D6EEB"/>
    <w:rsid w:val="005D751B"/>
    <w:rsid w:val="005E038B"/>
    <w:rsid w:val="005E150E"/>
    <w:rsid w:val="005E2852"/>
    <w:rsid w:val="005E35C9"/>
    <w:rsid w:val="005E4CD1"/>
    <w:rsid w:val="005E5941"/>
    <w:rsid w:val="005E6D35"/>
    <w:rsid w:val="005F50EA"/>
    <w:rsid w:val="005F568D"/>
    <w:rsid w:val="006006C6"/>
    <w:rsid w:val="006050EA"/>
    <w:rsid w:val="006071F2"/>
    <w:rsid w:val="00607217"/>
    <w:rsid w:val="00607500"/>
    <w:rsid w:val="0061084D"/>
    <w:rsid w:val="006127E9"/>
    <w:rsid w:val="00612F5E"/>
    <w:rsid w:val="00613676"/>
    <w:rsid w:val="006152FB"/>
    <w:rsid w:val="00616B6E"/>
    <w:rsid w:val="00620FA4"/>
    <w:rsid w:val="0062271A"/>
    <w:rsid w:val="00622F10"/>
    <w:rsid w:val="00623BC4"/>
    <w:rsid w:val="00624C12"/>
    <w:rsid w:val="00634B74"/>
    <w:rsid w:val="0063610A"/>
    <w:rsid w:val="00645ED4"/>
    <w:rsid w:val="00647463"/>
    <w:rsid w:val="00647B12"/>
    <w:rsid w:val="006509EE"/>
    <w:rsid w:val="0065108A"/>
    <w:rsid w:val="006534C5"/>
    <w:rsid w:val="00653CF3"/>
    <w:rsid w:val="00654A8A"/>
    <w:rsid w:val="0065775B"/>
    <w:rsid w:val="00657F58"/>
    <w:rsid w:val="00661339"/>
    <w:rsid w:val="00661C7E"/>
    <w:rsid w:val="00663690"/>
    <w:rsid w:val="00664DEB"/>
    <w:rsid w:val="00666EFC"/>
    <w:rsid w:val="00670373"/>
    <w:rsid w:val="00670C6E"/>
    <w:rsid w:val="00671844"/>
    <w:rsid w:val="006723F0"/>
    <w:rsid w:val="00672DCB"/>
    <w:rsid w:val="006751BF"/>
    <w:rsid w:val="006756E9"/>
    <w:rsid w:val="006759B4"/>
    <w:rsid w:val="006760A4"/>
    <w:rsid w:val="00676256"/>
    <w:rsid w:val="00676A4B"/>
    <w:rsid w:val="00681351"/>
    <w:rsid w:val="00681A9E"/>
    <w:rsid w:val="00684902"/>
    <w:rsid w:val="00690A2B"/>
    <w:rsid w:val="00690EA9"/>
    <w:rsid w:val="006910F4"/>
    <w:rsid w:val="00692810"/>
    <w:rsid w:val="0069434B"/>
    <w:rsid w:val="00694445"/>
    <w:rsid w:val="00695141"/>
    <w:rsid w:val="00695AC5"/>
    <w:rsid w:val="006971AF"/>
    <w:rsid w:val="00697A91"/>
    <w:rsid w:val="006A0B4A"/>
    <w:rsid w:val="006A290B"/>
    <w:rsid w:val="006A5DE6"/>
    <w:rsid w:val="006A6C58"/>
    <w:rsid w:val="006B159D"/>
    <w:rsid w:val="006B2866"/>
    <w:rsid w:val="006B3579"/>
    <w:rsid w:val="006B4777"/>
    <w:rsid w:val="006B7725"/>
    <w:rsid w:val="006C15C6"/>
    <w:rsid w:val="006C2906"/>
    <w:rsid w:val="006C3C84"/>
    <w:rsid w:val="006C5F17"/>
    <w:rsid w:val="006C7BA4"/>
    <w:rsid w:val="006C7EA3"/>
    <w:rsid w:val="006D1A57"/>
    <w:rsid w:val="006D3720"/>
    <w:rsid w:val="006D3727"/>
    <w:rsid w:val="006D4A5C"/>
    <w:rsid w:val="006D53D7"/>
    <w:rsid w:val="006D74DB"/>
    <w:rsid w:val="006E11AC"/>
    <w:rsid w:val="006E4746"/>
    <w:rsid w:val="006E4B91"/>
    <w:rsid w:val="006E6751"/>
    <w:rsid w:val="006F1AFE"/>
    <w:rsid w:val="006F2861"/>
    <w:rsid w:val="006F4309"/>
    <w:rsid w:val="006F5E1B"/>
    <w:rsid w:val="006F6B2B"/>
    <w:rsid w:val="006F6D5E"/>
    <w:rsid w:val="00701093"/>
    <w:rsid w:val="007027D1"/>
    <w:rsid w:val="007055C9"/>
    <w:rsid w:val="00710BC7"/>
    <w:rsid w:val="00712271"/>
    <w:rsid w:val="00713AA0"/>
    <w:rsid w:val="00715597"/>
    <w:rsid w:val="00716A7D"/>
    <w:rsid w:val="00716B14"/>
    <w:rsid w:val="00717FE8"/>
    <w:rsid w:val="00721DCD"/>
    <w:rsid w:val="00722A4C"/>
    <w:rsid w:val="00725D07"/>
    <w:rsid w:val="007307C9"/>
    <w:rsid w:val="0073431B"/>
    <w:rsid w:val="00734688"/>
    <w:rsid w:val="00734729"/>
    <w:rsid w:val="00736E76"/>
    <w:rsid w:val="00737DB4"/>
    <w:rsid w:val="007406F2"/>
    <w:rsid w:val="00742C04"/>
    <w:rsid w:val="007452A1"/>
    <w:rsid w:val="00745BCE"/>
    <w:rsid w:val="00746132"/>
    <w:rsid w:val="007469F9"/>
    <w:rsid w:val="007515DA"/>
    <w:rsid w:val="00753C0A"/>
    <w:rsid w:val="00754F86"/>
    <w:rsid w:val="0075551E"/>
    <w:rsid w:val="00756761"/>
    <w:rsid w:val="007579F4"/>
    <w:rsid w:val="00757A6C"/>
    <w:rsid w:val="0076100C"/>
    <w:rsid w:val="00761287"/>
    <w:rsid w:val="0076182F"/>
    <w:rsid w:val="007618B8"/>
    <w:rsid w:val="0076413B"/>
    <w:rsid w:val="00771538"/>
    <w:rsid w:val="007722BC"/>
    <w:rsid w:val="00772A01"/>
    <w:rsid w:val="00772F45"/>
    <w:rsid w:val="00777134"/>
    <w:rsid w:val="00781377"/>
    <w:rsid w:val="00784166"/>
    <w:rsid w:val="0078476D"/>
    <w:rsid w:val="00784BF8"/>
    <w:rsid w:val="00785339"/>
    <w:rsid w:val="00786F50"/>
    <w:rsid w:val="00787E88"/>
    <w:rsid w:val="00791DC2"/>
    <w:rsid w:val="007941BB"/>
    <w:rsid w:val="00794B8C"/>
    <w:rsid w:val="00796ED1"/>
    <w:rsid w:val="00797B66"/>
    <w:rsid w:val="007A1882"/>
    <w:rsid w:val="007A2838"/>
    <w:rsid w:val="007A299E"/>
    <w:rsid w:val="007A33EE"/>
    <w:rsid w:val="007B0888"/>
    <w:rsid w:val="007B41C4"/>
    <w:rsid w:val="007B5A1B"/>
    <w:rsid w:val="007B5C2E"/>
    <w:rsid w:val="007B7DBE"/>
    <w:rsid w:val="007C1EE8"/>
    <w:rsid w:val="007C2107"/>
    <w:rsid w:val="007C2827"/>
    <w:rsid w:val="007C43BE"/>
    <w:rsid w:val="007D0956"/>
    <w:rsid w:val="007D39CD"/>
    <w:rsid w:val="007D410B"/>
    <w:rsid w:val="007D4C9D"/>
    <w:rsid w:val="007D4EE7"/>
    <w:rsid w:val="007D5AB1"/>
    <w:rsid w:val="007E0203"/>
    <w:rsid w:val="007E056C"/>
    <w:rsid w:val="007E081D"/>
    <w:rsid w:val="007E1AB8"/>
    <w:rsid w:val="007E293C"/>
    <w:rsid w:val="007E36EB"/>
    <w:rsid w:val="007E5CC1"/>
    <w:rsid w:val="007E7DDD"/>
    <w:rsid w:val="007F33E9"/>
    <w:rsid w:val="007F388B"/>
    <w:rsid w:val="007F61AF"/>
    <w:rsid w:val="007F775F"/>
    <w:rsid w:val="00802B7F"/>
    <w:rsid w:val="00804F0B"/>
    <w:rsid w:val="00805844"/>
    <w:rsid w:val="00806B4B"/>
    <w:rsid w:val="00810837"/>
    <w:rsid w:val="00810CDD"/>
    <w:rsid w:val="00811332"/>
    <w:rsid w:val="0081184B"/>
    <w:rsid w:val="00811DF5"/>
    <w:rsid w:val="00812E0B"/>
    <w:rsid w:val="00813F13"/>
    <w:rsid w:val="00815A2F"/>
    <w:rsid w:val="00817A6A"/>
    <w:rsid w:val="0082070B"/>
    <w:rsid w:val="00822F67"/>
    <w:rsid w:val="008251C2"/>
    <w:rsid w:val="0082570B"/>
    <w:rsid w:val="0082721B"/>
    <w:rsid w:val="008343BA"/>
    <w:rsid w:val="0083553F"/>
    <w:rsid w:val="00836A00"/>
    <w:rsid w:val="00845320"/>
    <w:rsid w:val="00845675"/>
    <w:rsid w:val="00847B5B"/>
    <w:rsid w:val="00854098"/>
    <w:rsid w:val="0085673A"/>
    <w:rsid w:val="008573C7"/>
    <w:rsid w:val="00857B59"/>
    <w:rsid w:val="00860BDB"/>
    <w:rsid w:val="00861096"/>
    <w:rsid w:val="008617B7"/>
    <w:rsid w:val="00861D85"/>
    <w:rsid w:val="00861F52"/>
    <w:rsid w:val="00864891"/>
    <w:rsid w:val="00864D7E"/>
    <w:rsid w:val="008656F4"/>
    <w:rsid w:val="00871ED5"/>
    <w:rsid w:val="00873808"/>
    <w:rsid w:val="00873FD5"/>
    <w:rsid w:val="00875C4F"/>
    <w:rsid w:val="008770B1"/>
    <w:rsid w:val="00877642"/>
    <w:rsid w:val="00880646"/>
    <w:rsid w:val="00882650"/>
    <w:rsid w:val="00883754"/>
    <w:rsid w:val="008842AB"/>
    <w:rsid w:val="008844C7"/>
    <w:rsid w:val="008855BC"/>
    <w:rsid w:val="00886930"/>
    <w:rsid w:val="0089243B"/>
    <w:rsid w:val="0089368B"/>
    <w:rsid w:val="0089702D"/>
    <w:rsid w:val="008A1B88"/>
    <w:rsid w:val="008A1FE3"/>
    <w:rsid w:val="008A20BC"/>
    <w:rsid w:val="008A30DD"/>
    <w:rsid w:val="008A3BC7"/>
    <w:rsid w:val="008A3F44"/>
    <w:rsid w:val="008A466B"/>
    <w:rsid w:val="008A68EC"/>
    <w:rsid w:val="008A73B0"/>
    <w:rsid w:val="008B285E"/>
    <w:rsid w:val="008B2B3C"/>
    <w:rsid w:val="008B599F"/>
    <w:rsid w:val="008C01EB"/>
    <w:rsid w:val="008C15C8"/>
    <w:rsid w:val="008C2299"/>
    <w:rsid w:val="008C3941"/>
    <w:rsid w:val="008C4151"/>
    <w:rsid w:val="008D0308"/>
    <w:rsid w:val="008D0998"/>
    <w:rsid w:val="008D20A3"/>
    <w:rsid w:val="008D2C8B"/>
    <w:rsid w:val="008D4618"/>
    <w:rsid w:val="008D6E96"/>
    <w:rsid w:val="008D6F6A"/>
    <w:rsid w:val="008D6F78"/>
    <w:rsid w:val="008E0E90"/>
    <w:rsid w:val="008E10D6"/>
    <w:rsid w:val="008E2B58"/>
    <w:rsid w:val="008E3D20"/>
    <w:rsid w:val="008E5EDA"/>
    <w:rsid w:val="008E6D00"/>
    <w:rsid w:val="008E7183"/>
    <w:rsid w:val="008F0415"/>
    <w:rsid w:val="008F195C"/>
    <w:rsid w:val="008F34CB"/>
    <w:rsid w:val="008F3986"/>
    <w:rsid w:val="008F4F59"/>
    <w:rsid w:val="008F7755"/>
    <w:rsid w:val="00902289"/>
    <w:rsid w:val="009022BB"/>
    <w:rsid w:val="009045B3"/>
    <w:rsid w:val="0090493D"/>
    <w:rsid w:val="00904C72"/>
    <w:rsid w:val="00905430"/>
    <w:rsid w:val="00905BF5"/>
    <w:rsid w:val="00905F6A"/>
    <w:rsid w:val="00907FE0"/>
    <w:rsid w:val="00910CBD"/>
    <w:rsid w:val="0091144B"/>
    <w:rsid w:val="009126D6"/>
    <w:rsid w:val="00915576"/>
    <w:rsid w:val="0091631F"/>
    <w:rsid w:val="00916A0F"/>
    <w:rsid w:val="00920528"/>
    <w:rsid w:val="0092368D"/>
    <w:rsid w:val="0092403C"/>
    <w:rsid w:val="0092474C"/>
    <w:rsid w:val="00925448"/>
    <w:rsid w:val="009271A2"/>
    <w:rsid w:val="0093484E"/>
    <w:rsid w:val="00935A48"/>
    <w:rsid w:val="00937C0F"/>
    <w:rsid w:val="00941C71"/>
    <w:rsid w:val="00941E99"/>
    <w:rsid w:val="0094299F"/>
    <w:rsid w:val="009472A1"/>
    <w:rsid w:val="00947E4E"/>
    <w:rsid w:val="00951A56"/>
    <w:rsid w:val="009543FD"/>
    <w:rsid w:val="0095708D"/>
    <w:rsid w:val="009570EC"/>
    <w:rsid w:val="00957325"/>
    <w:rsid w:val="00962341"/>
    <w:rsid w:val="009647DB"/>
    <w:rsid w:val="00965B35"/>
    <w:rsid w:val="00965FCD"/>
    <w:rsid w:val="00966CC3"/>
    <w:rsid w:val="009707F3"/>
    <w:rsid w:val="00970817"/>
    <w:rsid w:val="00972F5D"/>
    <w:rsid w:val="0097377E"/>
    <w:rsid w:val="00974320"/>
    <w:rsid w:val="00974F42"/>
    <w:rsid w:val="0098296F"/>
    <w:rsid w:val="009836D7"/>
    <w:rsid w:val="0098562F"/>
    <w:rsid w:val="009860B5"/>
    <w:rsid w:val="00992B90"/>
    <w:rsid w:val="00994D96"/>
    <w:rsid w:val="009A0736"/>
    <w:rsid w:val="009A1376"/>
    <w:rsid w:val="009A24E1"/>
    <w:rsid w:val="009A4C61"/>
    <w:rsid w:val="009A74A7"/>
    <w:rsid w:val="009A792A"/>
    <w:rsid w:val="009B1C0A"/>
    <w:rsid w:val="009B320B"/>
    <w:rsid w:val="009B5779"/>
    <w:rsid w:val="009B65AF"/>
    <w:rsid w:val="009B6603"/>
    <w:rsid w:val="009C162D"/>
    <w:rsid w:val="009C42D7"/>
    <w:rsid w:val="009C756D"/>
    <w:rsid w:val="009D04AF"/>
    <w:rsid w:val="009D198A"/>
    <w:rsid w:val="009D2F97"/>
    <w:rsid w:val="009D36B4"/>
    <w:rsid w:val="009D3AEA"/>
    <w:rsid w:val="009D3E8D"/>
    <w:rsid w:val="009D64D9"/>
    <w:rsid w:val="009D6D64"/>
    <w:rsid w:val="009D7885"/>
    <w:rsid w:val="009E04A3"/>
    <w:rsid w:val="009E58AC"/>
    <w:rsid w:val="009E5D48"/>
    <w:rsid w:val="009E70C1"/>
    <w:rsid w:val="009E7177"/>
    <w:rsid w:val="009F0EB0"/>
    <w:rsid w:val="009F1090"/>
    <w:rsid w:val="009F18E0"/>
    <w:rsid w:val="009F35DF"/>
    <w:rsid w:val="009F3CF9"/>
    <w:rsid w:val="009F3DA9"/>
    <w:rsid w:val="00A00218"/>
    <w:rsid w:val="00A0035B"/>
    <w:rsid w:val="00A060B3"/>
    <w:rsid w:val="00A06C70"/>
    <w:rsid w:val="00A07539"/>
    <w:rsid w:val="00A119B4"/>
    <w:rsid w:val="00A11CDE"/>
    <w:rsid w:val="00A11E17"/>
    <w:rsid w:val="00A14996"/>
    <w:rsid w:val="00A16685"/>
    <w:rsid w:val="00A17447"/>
    <w:rsid w:val="00A2097F"/>
    <w:rsid w:val="00A22776"/>
    <w:rsid w:val="00A22911"/>
    <w:rsid w:val="00A233F2"/>
    <w:rsid w:val="00A2480A"/>
    <w:rsid w:val="00A25D5F"/>
    <w:rsid w:val="00A33860"/>
    <w:rsid w:val="00A34E49"/>
    <w:rsid w:val="00A34E9D"/>
    <w:rsid w:val="00A35C10"/>
    <w:rsid w:val="00A37526"/>
    <w:rsid w:val="00A419CE"/>
    <w:rsid w:val="00A4482B"/>
    <w:rsid w:val="00A44F75"/>
    <w:rsid w:val="00A4692E"/>
    <w:rsid w:val="00A46C9C"/>
    <w:rsid w:val="00A46DEF"/>
    <w:rsid w:val="00A52BC0"/>
    <w:rsid w:val="00A55764"/>
    <w:rsid w:val="00A559ED"/>
    <w:rsid w:val="00A55AB0"/>
    <w:rsid w:val="00A5642C"/>
    <w:rsid w:val="00A57868"/>
    <w:rsid w:val="00A6220E"/>
    <w:rsid w:val="00A62711"/>
    <w:rsid w:val="00A63167"/>
    <w:rsid w:val="00A66994"/>
    <w:rsid w:val="00A67103"/>
    <w:rsid w:val="00A73828"/>
    <w:rsid w:val="00A74590"/>
    <w:rsid w:val="00A75004"/>
    <w:rsid w:val="00A76BD3"/>
    <w:rsid w:val="00A80523"/>
    <w:rsid w:val="00A81A72"/>
    <w:rsid w:val="00A85320"/>
    <w:rsid w:val="00A85322"/>
    <w:rsid w:val="00A919D2"/>
    <w:rsid w:val="00A92C88"/>
    <w:rsid w:val="00A93193"/>
    <w:rsid w:val="00A94105"/>
    <w:rsid w:val="00A9414F"/>
    <w:rsid w:val="00A94444"/>
    <w:rsid w:val="00A965E6"/>
    <w:rsid w:val="00AA1568"/>
    <w:rsid w:val="00AA4C9B"/>
    <w:rsid w:val="00AA53FC"/>
    <w:rsid w:val="00AA57C2"/>
    <w:rsid w:val="00AB1AAD"/>
    <w:rsid w:val="00AB3700"/>
    <w:rsid w:val="00AB47EB"/>
    <w:rsid w:val="00AB4C24"/>
    <w:rsid w:val="00AB4C79"/>
    <w:rsid w:val="00AC33D0"/>
    <w:rsid w:val="00AC41A8"/>
    <w:rsid w:val="00AC4E44"/>
    <w:rsid w:val="00AC7CE7"/>
    <w:rsid w:val="00AD02E0"/>
    <w:rsid w:val="00AD0474"/>
    <w:rsid w:val="00AD0FC1"/>
    <w:rsid w:val="00AD1B16"/>
    <w:rsid w:val="00AD1CF2"/>
    <w:rsid w:val="00AD677F"/>
    <w:rsid w:val="00AD69AC"/>
    <w:rsid w:val="00AD6C85"/>
    <w:rsid w:val="00AD6E0C"/>
    <w:rsid w:val="00AD725A"/>
    <w:rsid w:val="00AE3B29"/>
    <w:rsid w:val="00AE46D2"/>
    <w:rsid w:val="00AF16EF"/>
    <w:rsid w:val="00AF2A35"/>
    <w:rsid w:val="00AF39C0"/>
    <w:rsid w:val="00AF6471"/>
    <w:rsid w:val="00AF71DC"/>
    <w:rsid w:val="00B022B2"/>
    <w:rsid w:val="00B02D66"/>
    <w:rsid w:val="00B0449D"/>
    <w:rsid w:val="00B063C0"/>
    <w:rsid w:val="00B10371"/>
    <w:rsid w:val="00B12E31"/>
    <w:rsid w:val="00B12FFF"/>
    <w:rsid w:val="00B144B8"/>
    <w:rsid w:val="00B215A7"/>
    <w:rsid w:val="00B2447D"/>
    <w:rsid w:val="00B2654F"/>
    <w:rsid w:val="00B27D61"/>
    <w:rsid w:val="00B30BC0"/>
    <w:rsid w:val="00B36D48"/>
    <w:rsid w:val="00B40133"/>
    <w:rsid w:val="00B41E7A"/>
    <w:rsid w:val="00B46ABF"/>
    <w:rsid w:val="00B47CAB"/>
    <w:rsid w:val="00B50021"/>
    <w:rsid w:val="00B50CF4"/>
    <w:rsid w:val="00B53433"/>
    <w:rsid w:val="00B6394D"/>
    <w:rsid w:val="00B63FBA"/>
    <w:rsid w:val="00B6519A"/>
    <w:rsid w:val="00B663B8"/>
    <w:rsid w:val="00B71665"/>
    <w:rsid w:val="00B71C0B"/>
    <w:rsid w:val="00B74947"/>
    <w:rsid w:val="00B7591E"/>
    <w:rsid w:val="00B81BD0"/>
    <w:rsid w:val="00B82794"/>
    <w:rsid w:val="00B84CCB"/>
    <w:rsid w:val="00B862AF"/>
    <w:rsid w:val="00B90D97"/>
    <w:rsid w:val="00B91241"/>
    <w:rsid w:val="00B92D47"/>
    <w:rsid w:val="00BA06C1"/>
    <w:rsid w:val="00BA0B65"/>
    <w:rsid w:val="00BA1F78"/>
    <w:rsid w:val="00BA6FEF"/>
    <w:rsid w:val="00BB24C2"/>
    <w:rsid w:val="00BB40F6"/>
    <w:rsid w:val="00BB60B2"/>
    <w:rsid w:val="00BB785F"/>
    <w:rsid w:val="00BB7D3F"/>
    <w:rsid w:val="00BC1BBF"/>
    <w:rsid w:val="00BC2E39"/>
    <w:rsid w:val="00BC4BB9"/>
    <w:rsid w:val="00BC6076"/>
    <w:rsid w:val="00BC6E86"/>
    <w:rsid w:val="00BC76FE"/>
    <w:rsid w:val="00BD0C9A"/>
    <w:rsid w:val="00BD30D2"/>
    <w:rsid w:val="00BE2E1E"/>
    <w:rsid w:val="00BE47BD"/>
    <w:rsid w:val="00BE5B52"/>
    <w:rsid w:val="00BE6E6D"/>
    <w:rsid w:val="00BF0ACC"/>
    <w:rsid w:val="00BF1F70"/>
    <w:rsid w:val="00BF2B93"/>
    <w:rsid w:val="00BF301B"/>
    <w:rsid w:val="00BF43FA"/>
    <w:rsid w:val="00BF7150"/>
    <w:rsid w:val="00BF72CE"/>
    <w:rsid w:val="00C00FED"/>
    <w:rsid w:val="00C0135E"/>
    <w:rsid w:val="00C01F4F"/>
    <w:rsid w:val="00C0788A"/>
    <w:rsid w:val="00C131FA"/>
    <w:rsid w:val="00C13F58"/>
    <w:rsid w:val="00C14571"/>
    <w:rsid w:val="00C1491F"/>
    <w:rsid w:val="00C157D1"/>
    <w:rsid w:val="00C20E5A"/>
    <w:rsid w:val="00C22E55"/>
    <w:rsid w:val="00C25367"/>
    <w:rsid w:val="00C26844"/>
    <w:rsid w:val="00C2734A"/>
    <w:rsid w:val="00C321B7"/>
    <w:rsid w:val="00C34184"/>
    <w:rsid w:val="00C34AC1"/>
    <w:rsid w:val="00C35CAA"/>
    <w:rsid w:val="00C37B69"/>
    <w:rsid w:val="00C41BAB"/>
    <w:rsid w:val="00C41D78"/>
    <w:rsid w:val="00C42122"/>
    <w:rsid w:val="00C42838"/>
    <w:rsid w:val="00C4601D"/>
    <w:rsid w:val="00C46235"/>
    <w:rsid w:val="00C47275"/>
    <w:rsid w:val="00C50494"/>
    <w:rsid w:val="00C51BC7"/>
    <w:rsid w:val="00C53A70"/>
    <w:rsid w:val="00C565D2"/>
    <w:rsid w:val="00C576EA"/>
    <w:rsid w:val="00C57CD2"/>
    <w:rsid w:val="00C603DE"/>
    <w:rsid w:val="00C6164F"/>
    <w:rsid w:val="00C62171"/>
    <w:rsid w:val="00C6348A"/>
    <w:rsid w:val="00C6406C"/>
    <w:rsid w:val="00C64636"/>
    <w:rsid w:val="00C652CE"/>
    <w:rsid w:val="00C6630B"/>
    <w:rsid w:val="00C701AF"/>
    <w:rsid w:val="00C72651"/>
    <w:rsid w:val="00C72C89"/>
    <w:rsid w:val="00C74B05"/>
    <w:rsid w:val="00C75F0D"/>
    <w:rsid w:val="00C75F73"/>
    <w:rsid w:val="00C80520"/>
    <w:rsid w:val="00C81007"/>
    <w:rsid w:val="00C85EA2"/>
    <w:rsid w:val="00C86D66"/>
    <w:rsid w:val="00C909BF"/>
    <w:rsid w:val="00C9152B"/>
    <w:rsid w:val="00C93D87"/>
    <w:rsid w:val="00C93DA1"/>
    <w:rsid w:val="00C9626E"/>
    <w:rsid w:val="00CA211C"/>
    <w:rsid w:val="00CA44ED"/>
    <w:rsid w:val="00CA7C68"/>
    <w:rsid w:val="00CB0013"/>
    <w:rsid w:val="00CB04AC"/>
    <w:rsid w:val="00CB0D35"/>
    <w:rsid w:val="00CB2C84"/>
    <w:rsid w:val="00CB311F"/>
    <w:rsid w:val="00CB4560"/>
    <w:rsid w:val="00CB47DE"/>
    <w:rsid w:val="00CB7966"/>
    <w:rsid w:val="00CC16C7"/>
    <w:rsid w:val="00CC199B"/>
    <w:rsid w:val="00CC53C4"/>
    <w:rsid w:val="00CC577F"/>
    <w:rsid w:val="00CC67DD"/>
    <w:rsid w:val="00CC6A54"/>
    <w:rsid w:val="00CD1303"/>
    <w:rsid w:val="00CD16E6"/>
    <w:rsid w:val="00CD3371"/>
    <w:rsid w:val="00CD4B5D"/>
    <w:rsid w:val="00CD68CA"/>
    <w:rsid w:val="00CE518B"/>
    <w:rsid w:val="00CF5FA3"/>
    <w:rsid w:val="00D0131E"/>
    <w:rsid w:val="00D01C27"/>
    <w:rsid w:val="00D0344E"/>
    <w:rsid w:val="00D0409E"/>
    <w:rsid w:val="00D0655B"/>
    <w:rsid w:val="00D06D66"/>
    <w:rsid w:val="00D0711F"/>
    <w:rsid w:val="00D134CD"/>
    <w:rsid w:val="00D17067"/>
    <w:rsid w:val="00D20419"/>
    <w:rsid w:val="00D20CDA"/>
    <w:rsid w:val="00D222E7"/>
    <w:rsid w:val="00D26B12"/>
    <w:rsid w:val="00D26EB8"/>
    <w:rsid w:val="00D31577"/>
    <w:rsid w:val="00D31748"/>
    <w:rsid w:val="00D32131"/>
    <w:rsid w:val="00D322B0"/>
    <w:rsid w:val="00D32FC1"/>
    <w:rsid w:val="00D333BF"/>
    <w:rsid w:val="00D33EDE"/>
    <w:rsid w:val="00D34181"/>
    <w:rsid w:val="00D35983"/>
    <w:rsid w:val="00D3631D"/>
    <w:rsid w:val="00D44ED9"/>
    <w:rsid w:val="00D45256"/>
    <w:rsid w:val="00D47D6A"/>
    <w:rsid w:val="00D50FD4"/>
    <w:rsid w:val="00D51C00"/>
    <w:rsid w:val="00D51E0A"/>
    <w:rsid w:val="00D55775"/>
    <w:rsid w:val="00D564C8"/>
    <w:rsid w:val="00D61692"/>
    <w:rsid w:val="00D64F6E"/>
    <w:rsid w:val="00D710FD"/>
    <w:rsid w:val="00D71690"/>
    <w:rsid w:val="00D733AC"/>
    <w:rsid w:val="00D73AA8"/>
    <w:rsid w:val="00D75F50"/>
    <w:rsid w:val="00D76A94"/>
    <w:rsid w:val="00D7718A"/>
    <w:rsid w:val="00D803C1"/>
    <w:rsid w:val="00D848EE"/>
    <w:rsid w:val="00D85C94"/>
    <w:rsid w:val="00D8651E"/>
    <w:rsid w:val="00D91904"/>
    <w:rsid w:val="00D92C91"/>
    <w:rsid w:val="00D94466"/>
    <w:rsid w:val="00D96B77"/>
    <w:rsid w:val="00DA35C2"/>
    <w:rsid w:val="00DA372E"/>
    <w:rsid w:val="00DB0D61"/>
    <w:rsid w:val="00DB2EE2"/>
    <w:rsid w:val="00DB3E5E"/>
    <w:rsid w:val="00DB55E7"/>
    <w:rsid w:val="00DB7C5D"/>
    <w:rsid w:val="00DC1184"/>
    <w:rsid w:val="00DC3690"/>
    <w:rsid w:val="00DC48C0"/>
    <w:rsid w:val="00DC4AD1"/>
    <w:rsid w:val="00DD230D"/>
    <w:rsid w:val="00DD351E"/>
    <w:rsid w:val="00DD5A8F"/>
    <w:rsid w:val="00DD756A"/>
    <w:rsid w:val="00DE0595"/>
    <w:rsid w:val="00DE1A7C"/>
    <w:rsid w:val="00DE2C31"/>
    <w:rsid w:val="00DE4794"/>
    <w:rsid w:val="00DE495F"/>
    <w:rsid w:val="00DE63E8"/>
    <w:rsid w:val="00DE7609"/>
    <w:rsid w:val="00DF1ED1"/>
    <w:rsid w:val="00DF228E"/>
    <w:rsid w:val="00DF2695"/>
    <w:rsid w:val="00DF27B1"/>
    <w:rsid w:val="00DF2AA3"/>
    <w:rsid w:val="00DF2C31"/>
    <w:rsid w:val="00DF4F9D"/>
    <w:rsid w:val="00DF6B9D"/>
    <w:rsid w:val="00E01F45"/>
    <w:rsid w:val="00E02E82"/>
    <w:rsid w:val="00E03367"/>
    <w:rsid w:val="00E04E50"/>
    <w:rsid w:val="00E05C49"/>
    <w:rsid w:val="00E06855"/>
    <w:rsid w:val="00E143F2"/>
    <w:rsid w:val="00E14901"/>
    <w:rsid w:val="00E20800"/>
    <w:rsid w:val="00E237D9"/>
    <w:rsid w:val="00E249A9"/>
    <w:rsid w:val="00E27F19"/>
    <w:rsid w:val="00E30184"/>
    <w:rsid w:val="00E30F05"/>
    <w:rsid w:val="00E318AD"/>
    <w:rsid w:val="00E32169"/>
    <w:rsid w:val="00E328B1"/>
    <w:rsid w:val="00E35767"/>
    <w:rsid w:val="00E35BCC"/>
    <w:rsid w:val="00E36E18"/>
    <w:rsid w:val="00E37149"/>
    <w:rsid w:val="00E40915"/>
    <w:rsid w:val="00E41355"/>
    <w:rsid w:val="00E42290"/>
    <w:rsid w:val="00E453FC"/>
    <w:rsid w:val="00E456CD"/>
    <w:rsid w:val="00E4745C"/>
    <w:rsid w:val="00E523EF"/>
    <w:rsid w:val="00E565C1"/>
    <w:rsid w:val="00E56648"/>
    <w:rsid w:val="00E56E69"/>
    <w:rsid w:val="00E57695"/>
    <w:rsid w:val="00E57725"/>
    <w:rsid w:val="00E610DC"/>
    <w:rsid w:val="00E64AA5"/>
    <w:rsid w:val="00E64E93"/>
    <w:rsid w:val="00E72541"/>
    <w:rsid w:val="00E72808"/>
    <w:rsid w:val="00E72F93"/>
    <w:rsid w:val="00E734B7"/>
    <w:rsid w:val="00E73E27"/>
    <w:rsid w:val="00E75796"/>
    <w:rsid w:val="00E8093F"/>
    <w:rsid w:val="00E82901"/>
    <w:rsid w:val="00E82C42"/>
    <w:rsid w:val="00E83DA8"/>
    <w:rsid w:val="00E83E92"/>
    <w:rsid w:val="00E842DE"/>
    <w:rsid w:val="00E84A41"/>
    <w:rsid w:val="00E8523D"/>
    <w:rsid w:val="00E87BA7"/>
    <w:rsid w:val="00E91311"/>
    <w:rsid w:val="00E92380"/>
    <w:rsid w:val="00E95A95"/>
    <w:rsid w:val="00EA2FB5"/>
    <w:rsid w:val="00EA43D5"/>
    <w:rsid w:val="00EA5738"/>
    <w:rsid w:val="00EA60A7"/>
    <w:rsid w:val="00EB3658"/>
    <w:rsid w:val="00EB39B5"/>
    <w:rsid w:val="00EB39E1"/>
    <w:rsid w:val="00EB405A"/>
    <w:rsid w:val="00EB568C"/>
    <w:rsid w:val="00EB6068"/>
    <w:rsid w:val="00EB64B9"/>
    <w:rsid w:val="00EB7CD3"/>
    <w:rsid w:val="00EC0C1D"/>
    <w:rsid w:val="00EC0D33"/>
    <w:rsid w:val="00EC3691"/>
    <w:rsid w:val="00EC4680"/>
    <w:rsid w:val="00EC70BD"/>
    <w:rsid w:val="00ED05BC"/>
    <w:rsid w:val="00ED0E4C"/>
    <w:rsid w:val="00ED21BB"/>
    <w:rsid w:val="00ED2422"/>
    <w:rsid w:val="00ED3FE9"/>
    <w:rsid w:val="00ED4AD3"/>
    <w:rsid w:val="00ED4E43"/>
    <w:rsid w:val="00ED66A9"/>
    <w:rsid w:val="00EE0167"/>
    <w:rsid w:val="00EE0860"/>
    <w:rsid w:val="00EE096D"/>
    <w:rsid w:val="00EE2019"/>
    <w:rsid w:val="00EE2426"/>
    <w:rsid w:val="00EE337A"/>
    <w:rsid w:val="00EE4F3A"/>
    <w:rsid w:val="00EE5F9C"/>
    <w:rsid w:val="00EE725A"/>
    <w:rsid w:val="00EE7773"/>
    <w:rsid w:val="00EF0EF4"/>
    <w:rsid w:val="00EF3CD5"/>
    <w:rsid w:val="00EF490F"/>
    <w:rsid w:val="00EF5EA4"/>
    <w:rsid w:val="00EF668F"/>
    <w:rsid w:val="00EF6D1A"/>
    <w:rsid w:val="00EF737D"/>
    <w:rsid w:val="00F00B04"/>
    <w:rsid w:val="00F01200"/>
    <w:rsid w:val="00F03B06"/>
    <w:rsid w:val="00F04386"/>
    <w:rsid w:val="00F04AF5"/>
    <w:rsid w:val="00F064DC"/>
    <w:rsid w:val="00F10750"/>
    <w:rsid w:val="00F1270D"/>
    <w:rsid w:val="00F13EE1"/>
    <w:rsid w:val="00F176FB"/>
    <w:rsid w:val="00F21847"/>
    <w:rsid w:val="00F21D60"/>
    <w:rsid w:val="00F231BA"/>
    <w:rsid w:val="00F24232"/>
    <w:rsid w:val="00F24992"/>
    <w:rsid w:val="00F27924"/>
    <w:rsid w:val="00F3219F"/>
    <w:rsid w:val="00F32E78"/>
    <w:rsid w:val="00F36375"/>
    <w:rsid w:val="00F4195C"/>
    <w:rsid w:val="00F52271"/>
    <w:rsid w:val="00F54342"/>
    <w:rsid w:val="00F550CB"/>
    <w:rsid w:val="00F5720E"/>
    <w:rsid w:val="00F5737B"/>
    <w:rsid w:val="00F619FF"/>
    <w:rsid w:val="00F6365F"/>
    <w:rsid w:val="00F653CD"/>
    <w:rsid w:val="00F65D2D"/>
    <w:rsid w:val="00F67252"/>
    <w:rsid w:val="00F70CC9"/>
    <w:rsid w:val="00F72EE3"/>
    <w:rsid w:val="00F737D1"/>
    <w:rsid w:val="00F74097"/>
    <w:rsid w:val="00F743B0"/>
    <w:rsid w:val="00F81AF7"/>
    <w:rsid w:val="00F81F17"/>
    <w:rsid w:val="00F911BE"/>
    <w:rsid w:val="00F93E6F"/>
    <w:rsid w:val="00F943E3"/>
    <w:rsid w:val="00F94653"/>
    <w:rsid w:val="00F967FC"/>
    <w:rsid w:val="00FA053C"/>
    <w:rsid w:val="00FA1BE2"/>
    <w:rsid w:val="00FA2AA4"/>
    <w:rsid w:val="00FB03D2"/>
    <w:rsid w:val="00FB0828"/>
    <w:rsid w:val="00FB6B92"/>
    <w:rsid w:val="00FB73F7"/>
    <w:rsid w:val="00FC1555"/>
    <w:rsid w:val="00FC2E1D"/>
    <w:rsid w:val="00FC39C8"/>
    <w:rsid w:val="00FC3AFD"/>
    <w:rsid w:val="00FC4259"/>
    <w:rsid w:val="00FD004E"/>
    <w:rsid w:val="00FD0116"/>
    <w:rsid w:val="00FD0297"/>
    <w:rsid w:val="00FD0AB9"/>
    <w:rsid w:val="00FD6D73"/>
    <w:rsid w:val="00FE0243"/>
    <w:rsid w:val="00FE097A"/>
    <w:rsid w:val="00FE28DC"/>
    <w:rsid w:val="00FE3405"/>
    <w:rsid w:val="00FE4291"/>
    <w:rsid w:val="00FE5CB3"/>
    <w:rsid w:val="00FE6153"/>
    <w:rsid w:val="00FE641C"/>
    <w:rsid w:val="00FE6A48"/>
    <w:rsid w:val="00FE7290"/>
    <w:rsid w:val="00FE76FA"/>
    <w:rsid w:val="00FF13A2"/>
    <w:rsid w:val="00FF3DED"/>
    <w:rsid w:val="00FF5BDC"/>
    <w:rsid w:val="00FF5D0A"/>
    <w:rsid w:val="00FF614F"/>
    <w:rsid w:val="00FF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99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b/>
      <w:bCs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9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tko\AppData\Local\Temp\&#352;panija%20Njema&#269;k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analiza%202013\industrija%20i%20turizam-grafici%20za%20analizu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olja.tomanovic\My%20Documents\Dropbox\MINISTARSTVO%20FINANSIJA\SEP\MMI\MMI%202013\MMI_2013_07\mmi-2013%20%20Jun1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C:\Users\Korisnik\Desktop\MMI%20jul\mmi_sirovi%20podaci_2013_06-stanko.xls" TargetMode="External"/><Relationship Id="rId1" Type="http://schemas.openxmlformats.org/officeDocument/2006/relationships/image" Target="../media/image3.jpeg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ratko\Dropbox\MINISTARSTVO%20FINANSIJA%20(1)\SEP\MMI\MMI%202013\MMI_2013_07\mmi-2013%20%20Jun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sz="1050"/>
            </a:pPr>
            <a:r>
              <a:rPr lang="sr-Latn-ME" sz="1050"/>
              <a:t>ESI</a:t>
            </a:r>
            <a:r>
              <a:rPr lang="sr-Latn-ME" sz="1050" baseline="0"/>
              <a:t> po </a:t>
            </a:r>
            <a:r>
              <a:rPr lang="sr-Latn-ME" sz="1000" baseline="0"/>
              <a:t>izabranim</a:t>
            </a:r>
            <a:r>
              <a:rPr lang="sr-Latn-ME" sz="1050" baseline="0"/>
              <a:t> zemljama</a:t>
            </a:r>
            <a:endParaRPr lang="en-US" sz="1050"/>
          </a:p>
        </c:rich>
      </c:tx>
      <c:overlay val="1"/>
    </c:title>
    <c:plotArea>
      <c:layout>
        <c:manualLayout>
          <c:layoutTarget val="inner"/>
          <c:xMode val="edge"/>
          <c:yMode val="edge"/>
          <c:x val="0.21823069804135792"/>
          <c:y val="0.14314928425357873"/>
          <c:w val="0.7100832916116695"/>
          <c:h val="0.75438996505804867"/>
        </c:manualLayout>
      </c:layout>
      <c:barChart>
        <c:barDir val="bar"/>
        <c:grouping val="clustered"/>
        <c:ser>
          <c:idx val="0"/>
          <c:order val="0"/>
          <c:cat>
            <c:strRef>
              <c:f>Sheet2!$B$4:$B$11</c:f>
              <c:strCache>
                <c:ptCount val="8"/>
                <c:pt idx="0">
                  <c:v>Njemačka</c:v>
                </c:pt>
                <c:pt idx="1">
                  <c:v>Danska</c:v>
                </c:pt>
                <c:pt idx="2">
                  <c:v>Španija</c:v>
                </c:pt>
                <c:pt idx="3">
                  <c:v>Austrija</c:v>
                </c:pt>
                <c:pt idx="4">
                  <c:v>Holandija</c:v>
                </c:pt>
                <c:pt idx="5">
                  <c:v>Francuska</c:v>
                </c:pt>
                <c:pt idx="6">
                  <c:v>Italija </c:v>
                </c:pt>
                <c:pt idx="7">
                  <c:v>Kipar</c:v>
                </c:pt>
              </c:strCache>
            </c:strRef>
          </c:cat>
          <c:val>
            <c:numRef>
              <c:f>Sheet2!$C$4:$C$11</c:f>
              <c:numCache>
                <c:formatCode>General</c:formatCode>
                <c:ptCount val="8"/>
                <c:pt idx="0">
                  <c:v>99.8</c:v>
                </c:pt>
                <c:pt idx="1">
                  <c:v>99.3</c:v>
                </c:pt>
                <c:pt idx="2">
                  <c:v>92.3</c:v>
                </c:pt>
                <c:pt idx="3">
                  <c:v>91.1</c:v>
                </c:pt>
                <c:pt idx="4">
                  <c:v>89.5</c:v>
                </c:pt>
                <c:pt idx="5">
                  <c:v>88.7</c:v>
                </c:pt>
                <c:pt idx="6">
                  <c:v>86.6</c:v>
                </c:pt>
                <c:pt idx="7">
                  <c:v>76.3</c:v>
                </c:pt>
              </c:numCache>
            </c:numRef>
          </c:val>
        </c:ser>
        <c:gapWidth val="30"/>
        <c:axId val="123763328"/>
        <c:axId val="123765120"/>
      </c:barChart>
      <c:catAx>
        <c:axId val="123763328"/>
        <c:scaling>
          <c:orientation val="minMax"/>
        </c:scaling>
        <c:axPos val="l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23765120"/>
        <c:crosses val="autoZero"/>
        <c:auto val="1"/>
        <c:lblAlgn val="ctr"/>
        <c:lblOffset val="100"/>
      </c:catAx>
      <c:valAx>
        <c:axId val="123765120"/>
        <c:scaling>
          <c:orientation val="minMax"/>
          <c:max val="100"/>
          <c:min val="60"/>
        </c:scaling>
        <c:axPos val="b"/>
        <c:majorGridlines>
          <c:spPr>
            <a:ln>
              <a:solidFill>
                <a:srgbClr val="4F81BD"/>
              </a:solidFill>
              <a:prstDash val="sysDot"/>
            </a:ln>
          </c:spPr>
        </c:majorGridlines>
        <c:numFmt formatCode="General" sourceLinked="1"/>
        <c:tickLblPos val="nextTo"/>
        <c:spPr>
          <a:ln w="6350">
            <a:solidFill>
              <a:schemeClr val="accent1"/>
            </a:solidFill>
            <a:prstDash val="sysDot"/>
          </a:ln>
        </c:spPr>
        <c:txPr>
          <a:bodyPr/>
          <a:lstStyle/>
          <a:p>
            <a:pPr>
              <a:defRPr sz="800"/>
            </a:pPr>
            <a:endParaRPr lang="en-US"/>
          </a:p>
        </c:txPr>
        <c:crossAx val="123763328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800"/>
            </a:pPr>
            <a:r>
              <a:rPr lang="sr-Latn-ME" sz="800"/>
              <a:t>I</a:t>
            </a:r>
            <a:r>
              <a:rPr lang="en-US" sz="800"/>
              <a:t>ndustrijska proizvodnja,</a:t>
            </a:r>
            <a:r>
              <a:rPr lang="sr-Latn-CS" sz="800"/>
              <a:t> </a:t>
            </a:r>
            <a:r>
              <a:rPr lang="en-US" sz="800"/>
              <a:t>sektori,</a:t>
            </a:r>
            <a:r>
              <a:rPr lang="sr-Latn-CS" sz="800"/>
              <a:t> </a:t>
            </a:r>
            <a:r>
              <a:rPr lang="en-US" sz="800"/>
              <a:t>stope rasta(%)</a:t>
            </a:r>
          </a:p>
        </c:rich>
      </c:tx>
      <c:layout>
        <c:manualLayout>
          <c:xMode val="edge"/>
          <c:yMode val="edge"/>
          <c:x val="0.19200466339381853"/>
          <c:y val="4.2668854722959946E-3"/>
        </c:manualLayout>
      </c:layout>
    </c:title>
    <c:plotArea>
      <c:layout>
        <c:manualLayout>
          <c:layoutTarget val="inner"/>
          <c:xMode val="edge"/>
          <c:yMode val="edge"/>
          <c:x val="9.4360136801081684E-2"/>
          <c:y val="0.18494509043927837"/>
          <c:w val="0.82491529067767799"/>
          <c:h val="0.65455789728682545"/>
        </c:manualLayout>
      </c:layout>
      <c:lineChart>
        <c:grouping val="standard"/>
        <c:ser>
          <c:idx val="0"/>
          <c:order val="0"/>
          <c:tx>
            <c:strRef>
              <c:f>Sheet1!$A$7</c:f>
              <c:strCache>
                <c:ptCount val="1"/>
                <c:pt idx="0">
                  <c:v>prerađivačka i ndustrija</c:v>
                </c:pt>
              </c:strCache>
            </c:strRef>
          </c:tx>
          <c:marker>
            <c:symbol val="none"/>
          </c:marker>
          <c:cat>
            <c:strRef>
              <c:f>Sheet1!$F$5:$R$5</c:f>
              <c:strCache>
                <c:ptCount val="13"/>
                <c:pt idx="0">
                  <c:v>jun</c:v>
                </c:pt>
                <c:pt idx="1">
                  <c:v>jul</c:v>
                </c:pt>
                <c:pt idx="2">
                  <c:v>avg</c:v>
                </c:pt>
                <c:pt idx="3">
                  <c:v>sep</c:v>
                </c:pt>
                <c:pt idx="4">
                  <c:v>okt</c:v>
                </c:pt>
                <c:pt idx="5">
                  <c:v>nov</c:v>
                </c:pt>
                <c:pt idx="6">
                  <c:v>dec</c:v>
                </c:pt>
                <c:pt idx="7">
                  <c:v>2013</c:v>
                </c:pt>
                <c:pt idx="8">
                  <c:v>feb</c:v>
                </c:pt>
                <c:pt idx="9">
                  <c:v>mart</c:v>
                </c:pt>
                <c:pt idx="10">
                  <c:v>apr</c:v>
                </c:pt>
                <c:pt idx="11">
                  <c:v>maj</c:v>
                </c:pt>
                <c:pt idx="12">
                  <c:v>jun</c:v>
                </c:pt>
              </c:strCache>
            </c:strRef>
          </c:cat>
          <c:val>
            <c:numRef>
              <c:f>Sheet1!$F$7:$R$7</c:f>
              <c:numCache>
                <c:formatCode>General</c:formatCode>
                <c:ptCount val="13"/>
                <c:pt idx="0">
                  <c:v>-18.5</c:v>
                </c:pt>
                <c:pt idx="1">
                  <c:v>-14.5</c:v>
                </c:pt>
                <c:pt idx="2">
                  <c:v>-13</c:v>
                </c:pt>
                <c:pt idx="3">
                  <c:v>-20.399999999999999</c:v>
                </c:pt>
                <c:pt idx="4">
                  <c:v>-40.5</c:v>
                </c:pt>
                <c:pt idx="5">
                  <c:v>-28.1</c:v>
                </c:pt>
                <c:pt idx="6">
                  <c:v>-20.3</c:v>
                </c:pt>
                <c:pt idx="7">
                  <c:v>-36.4</c:v>
                </c:pt>
                <c:pt idx="8">
                  <c:v>-32.800000000000004</c:v>
                </c:pt>
                <c:pt idx="9">
                  <c:v>-34.4</c:v>
                </c:pt>
                <c:pt idx="10">
                  <c:v>-28.2</c:v>
                </c:pt>
                <c:pt idx="11">
                  <c:v>-11.5</c:v>
                </c:pt>
                <c:pt idx="12">
                  <c:v>-11.1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Sheet1!$A$8:$C$8</c:f>
              <c:strCache>
                <c:ptCount val="1"/>
                <c:pt idx="0">
                  <c:v>snabd.elekt.energ.,gas.i par.</c:v>
                </c:pt>
              </c:strCache>
            </c:strRef>
          </c:tx>
          <c:marker>
            <c:symbol val="none"/>
          </c:marker>
          <c:cat>
            <c:strRef>
              <c:f>Sheet1!$F$5:$R$5</c:f>
              <c:strCache>
                <c:ptCount val="13"/>
                <c:pt idx="0">
                  <c:v>jun</c:v>
                </c:pt>
                <c:pt idx="1">
                  <c:v>jul</c:v>
                </c:pt>
                <c:pt idx="2">
                  <c:v>avg</c:v>
                </c:pt>
                <c:pt idx="3">
                  <c:v>sep</c:v>
                </c:pt>
                <c:pt idx="4">
                  <c:v>okt</c:v>
                </c:pt>
                <c:pt idx="5">
                  <c:v>nov</c:v>
                </c:pt>
                <c:pt idx="6">
                  <c:v>dec</c:v>
                </c:pt>
                <c:pt idx="7">
                  <c:v>2013</c:v>
                </c:pt>
                <c:pt idx="8">
                  <c:v>feb</c:v>
                </c:pt>
                <c:pt idx="9">
                  <c:v>mart</c:v>
                </c:pt>
                <c:pt idx="10">
                  <c:v>apr</c:v>
                </c:pt>
                <c:pt idx="11">
                  <c:v>maj</c:v>
                </c:pt>
                <c:pt idx="12">
                  <c:v>jun</c:v>
                </c:pt>
              </c:strCache>
            </c:strRef>
          </c:cat>
          <c:val>
            <c:numRef>
              <c:f>Sheet1!$F$8:$R$8</c:f>
              <c:numCache>
                <c:formatCode>General</c:formatCode>
                <c:ptCount val="13"/>
                <c:pt idx="0">
                  <c:v>-14.6</c:v>
                </c:pt>
                <c:pt idx="1">
                  <c:v>31.7</c:v>
                </c:pt>
                <c:pt idx="2">
                  <c:v>23.5</c:v>
                </c:pt>
                <c:pt idx="3">
                  <c:v>-4.0999999999999996</c:v>
                </c:pt>
                <c:pt idx="4">
                  <c:v>4.7</c:v>
                </c:pt>
                <c:pt idx="5">
                  <c:v>60.8</c:v>
                </c:pt>
                <c:pt idx="6">
                  <c:v>100.5</c:v>
                </c:pt>
                <c:pt idx="7">
                  <c:v>58.8</c:v>
                </c:pt>
                <c:pt idx="8">
                  <c:v>40.700000000000003</c:v>
                </c:pt>
                <c:pt idx="9">
                  <c:v>103.1</c:v>
                </c:pt>
                <c:pt idx="10">
                  <c:v>100</c:v>
                </c:pt>
                <c:pt idx="11">
                  <c:v>133.4</c:v>
                </c:pt>
                <c:pt idx="12">
                  <c:v>103.7</c:v>
                </c:pt>
              </c:numCache>
            </c:numRef>
          </c:val>
          <c:smooth val="1"/>
        </c:ser>
        <c:marker val="1"/>
        <c:axId val="130325120"/>
        <c:axId val="130337792"/>
      </c:lineChart>
      <c:catAx>
        <c:axId val="130325120"/>
        <c:scaling>
          <c:orientation val="minMax"/>
        </c:scaling>
        <c:axPos val="b"/>
        <c:majorTickMark val="none"/>
        <c:tickLblPos val="high"/>
        <c:txPr>
          <a:bodyPr/>
          <a:lstStyle/>
          <a:p>
            <a:pPr>
              <a:defRPr lang="sr-Latn-CS" sz="600"/>
            </a:pPr>
            <a:endParaRPr lang="en-US"/>
          </a:p>
        </c:txPr>
        <c:crossAx val="130337792"/>
        <c:crosses val="autoZero"/>
        <c:auto val="1"/>
        <c:lblAlgn val="ctr"/>
        <c:lblOffset val="100"/>
      </c:catAx>
      <c:valAx>
        <c:axId val="130337792"/>
        <c:scaling>
          <c:orientation val="minMax"/>
        </c:scaling>
        <c:axPos val="l"/>
        <c:numFmt formatCode="General" sourceLinked="1"/>
        <c:majorTickMark val="none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1303251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8409700722394221"/>
          <c:y val="0.84702034883720856"/>
          <c:w val="0.63180555555556073"/>
          <c:h val="0.15297965116279225"/>
        </c:manualLayout>
      </c:layout>
      <c:txPr>
        <a:bodyPr/>
        <a:lstStyle/>
        <a:p>
          <a:pPr>
            <a:defRPr lang="sr-Latn-CS" sz="6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/>
            </a:pPr>
            <a:r>
              <a:rPr lang="sr-Latn-ME" sz="1000"/>
              <a:t>I</a:t>
            </a:r>
            <a:r>
              <a:rPr lang="en-US" sz="1000"/>
              <a:t>nflacija</a:t>
            </a:r>
          </a:p>
        </c:rich>
      </c:tx>
    </c:title>
    <c:plotArea>
      <c:layout>
        <c:manualLayout>
          <c:layoutTarget val="inner"/>
          <c:xMode val="edge"/>
          <c:yMode val="edge"/>
          <c:x val="0.1666806333276219"/>
          <c:y val="0.22230077257619493"/>
          <c:w val="0.80155042444057689"/>
          <c:h val="0.43440484369360505"/>
        </c:manualLayout>
      </c:layout>
      <c:lineChart>
        <c:grouping val="standard"/>
        <c:ser>
          <c:idx val="0"/>
          <c:order val="0"/>
          <c:tx>
            <c:strRef>
              <c:f>'Makroekonomski indikatori'!$C$18</c:f>
              <c:strCache>
                <c:ptCount val="1"/>
                <c:pt idx="0">
                  <c:v>Indeks potrošačkih cijena (stopa rasta)</c:v>
                </c:pt>
              </c:strCache>
            </c:strRef>
          </c:tx>
          <c:marker>
            <c:symbol val="none"/>
          </c:marker>
          <c:cat>
            <c:strRef>
              <c:f>'Makroekonomski indikatori'!$U$26:$AG$26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2013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'Makroekonomski indikatori'!$U$18:$AG$18</c:f>
              <c:numCache>
                <c:formatCode>0.0</c:formatCode>
                <c:ptCount val="13"/>
                <c:pt idx="0">
                  <c:v>3.9</c:v>
                </c:pt>
                <c:pt idx="1">
                  <c:v>4.4000000000000004</c:v>
                </c:pt>
                <c:pt idx="2">
                  <c:v>4</c:v>
                </c:pt>
                <c:pt idx="3">
                  <c:v>4.4000000000000004</c:v>
                </c:pt>
                <c:pt idx="4">
                  <c:v>5.2</c:v>
                </c:pt>
                <c:pt idx="5">
                  <c:v>5.2</c:v>
                </c:pt>
                <c:pt idx="6">
                  <c:v>5.0999999999999996</c:v>
                </c:pt>
                <c:pt idx="7">
                  <c:v>4.2</c:v>
                </c:pt>
                <c:pt idx="8">
                  <c:v>3.3</c:v>
                </c:pt>
                <c:pt idx="9">
                  <c:v>3.3</c:v>
                </c:pt>
                <c:pt idx="10">
                  <c:v>3.2</c:v>
                </c:pt>
                <c:pt idx="11">
                  <c:v>3</c:v>
                </c:pt>
                <c:pt idx="12">
                  <c:v>2.2000000000000002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'Makroekonomski indikatori'!$C$19</c:f>
              <c:strCache>
                <c:ptCount val="1"/>
                <c:pt idx="0">
                  <c:v>Harmonizovani indeks potrošačkih cijena (stopa rasta)</c:v>
                </c:pt>
              </c:strCache>
            </c:strRef>
          </c:tx>
          <c:marker>
            <c:symbol val="none"/>
          </c:marker>
          <c:cat>
            <c:strRef>
              <c:f>'Makroekonomski indikatori'!$U$26:$AG$26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2013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'Makroekonomski indikatori'!$U$19:$AG$19</c:f>
              <c:numCache>
                <c:formatCode>#,##0.0</c:formatCode>
                <c:ptCount val="13"/>
                <c:pt idx="0">
                  <c:v>4.4000000000000004</c:v>
                </c:pt>
                <c:pt idx="1">
                  <c:v>4.5999999999999996</c:v>
                </c:pt>
                <c:pt idx="2">
                  <c:v>5</c:v>
                </c:pt>
                <c:pt idx="3">
                  <c:v>4.5999999999999996</c:v>
                </c:pt>
                <c:pt idx="4">
                  <c:v>4.9000000000000004</c:v>
                </c:pt>
                <c:pt idx="5">
                  <c:v>4.8</c:v>
                </c:pt>
                <c:pt idx="6">
                  <c:v>4.4000000000000004</c:v>
                </c:pt>
                <c:pt idx="7">
                  <c:v>3.8</c:v>
                </c:pt>
                <c:pt idx="8">
                  <c:v>3.1</c:v>
                </c:pt>
                <c:pt idx="9">
                  <c:v>3</c:v>
                </c:pt>
                <c:pt idx="10">
                  <c:v>2.4</c:v>
                </c:pt>
                <c:pt idx="11">
                  <c:v>2.1</c:v>
                </c:pt>
                <c:pt idx="12">
                  <c:v>1.5</c:v>
                </c:pt>
              </c:numCache>
            </c:numRef>
          </c:val>
          <c:smooth val="1"/>
        </c:ser>
        <c:marker val="1"/>
        <c:axId val="130585728"/>
        <c:axId val="130588032"/>
      </c:lineChart>
      <c:catAx>
        <c:axId val="13058572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130588032"/>
        <c:crosses val="autoZero"/>
        <c:auto val="1"/>
        <c:lblAlgn val="ctr"/>
        <c:lblOffset val="100"/>
      </c:catAx>
      <c:valAx>
        <c:axId val="130588032"/>
        <c:scaling>
          <c:orientation val="minMax"/>
        </c:scaling>
        <c:axPos val="l"/>
        <c:numFmt formatCode="0.0" sourceLinked="1"/>
        <c:majorTickMark val="none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13058572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7.3903988070802812E-2"/>
          <c:y val="0.79031834307140958"/>
          <c:w val="0.87956980240265414"/>
          <c:h val="0.18218166595089688"/>
        </c:manualLayout>
      </c:layout>
      <c:txPr>
        <a:bodyPr/>
        <a:lstStyle/>
        <a:p>
          <a:pPr>
            <a:defRPr lang="sr-Latn-CS" sz="6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/>
            </a:pPr>
            <a:r>
              <a:rPr lang="en-US" sz="900" b="0"/>
              <a:t>Oglašena radna mjesta</a:t>
            </a:r>
          </a:p>
        </c:rich>
      </c:tx>
      <c:layout>
        <c:manualLayout>
          <c:xMode val="edge"/>
          <c:yMode val="edge"/>
          <c:x val="0.26732106339468603"/>
          <c:y val="5.9792955065166575E-3"/>
        </c:manualLayout>
      </c:layout>
      <c:overlay val="1"/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446969696969699"/>
          <c:y val="2.4320457796852567E-2"/>
          <c:w val="0.97122970726526203"/>
          <c:h val="0.74248927038626611"/>
        </c:manualLayout>
      </c:layout>
      <c:barChart>
        <c:barDir val="col"/>
        <c:grouping val="clustered"/>
        <c:ser>
          <c:idx val="0"/>
          <c:order val="0"/>
          <c:cat>
            <c:strRef>
              <c:f>'Makroekonomski indikatori'!$U$9:$AG$9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2013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'Makroekonomski indikatori'!$U$25:$AG$25</c:f>
              <c:numCache>
                <c:formatCode>#,##0</c:formatCode>
                <c:ptCount val="13"/>
                <c:pt idx="0">
                  <c:v>4146</c:v>
                </c:pt>
                <c:pt idx="1">
                  <c:v>2651</c:v>
                </c:pt>
                <c:pt idx="2">
                  <c:v>1081</c:v>
                </c:pt>
                <c:pt idx="3">
                  <c:v>725</c:v>
                </c:pt>
                <c:pt idx="4">
                  <c:v>2005</c:v>
                </c:pt>
                <c:pt idx="5">
                  <c:v>2766</c:v>
                </c:pt>
                <c:pt idx="6">
                  <c:v>972</c:v>
                </c:pt>
                <c:pt idx="7">
                  <c:v>515</c:v>
                </c:pt>
                <c:pt idx="8">
                  <c:v>583</c:v>
                </c:pt>
                <c:pt idx="9">
                  <c:v>1182</c:v>
                </c:pt>
                <c:pt idx="10">
                  <c:v>2826</c:v>
                </c:pt>
                <c:pt idx="11">
                  <c:v>1719</c:v>
                </c:pt>
                <c:pt idx="12">
                  <c:v>1430</c:v>
                </c:pt>
              </c:numCache>
            </c:numRef>
          </c:val>
        </c:ser>
        <c:gapWidth val="34"/>
        <c:axId val="130806144"/>
        <c:axId val="130808064"/>
      </c:barChart>
      <c:catAx>
        <c:axId val="13080614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30808064"/>
        <c:crosses val="autoZero"/>
        <c:auto val="1"/>
        <c:lblAlgn val="ctr"/>
        <c:lblOffset val="100"/>
      </c:catAx>
      <c:valAx>
        <c:axId val="130808064"/>
        <c:scaling>
          <c:orientation val="minMax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numFmt formatCode="#,##0" sourceLinked="1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130806144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sz="800"/>
            </a:pPr>
            <a:r>
              <a:rPr lang="x-none" sz="800"/>
              <a:t>D</a:t>
            </a:r>
            <a:r>
              <a:rPr lang="en-US" sz="800"/>
              <a:t>RŽAVNI</a:t>
            </a:r>
            <a:r>
              <a:rPr lang="x-none" sz="800"/>
              <a:t> BUDŽET</a:t>
            </a:r>
            <a:endParaRPr lang="en-US" sz="800"/>
          </a:p>
        </c:rich>
      </c:tx>
    </c:title>
    <c:plotArea>
      <c:layout>
        <c:manualLayout>
          <c:layoutTarget val="inner"/>
          <c:xMode val="edge"/>
          <c:yMode val="edge"/>
          <c:x val="0.15749991899225627"/>
          <c:y val="0.1416752454531548"/>
          <c:w val="0.70754916726257666"/>
          <c:h val="0.61043103134696042"/>
        </c:manualLayout>
      </c:layout>
      <c:barChart>
        <c:barDir val="col"/>
        <c:grouping val="clustered"/>
        <c:ser>
          <c:idx val="2"/>
          <c:order val="2"/>
          <c:tx>
            <c:strRef>
              <c:f>'Fiskalni indikatori'!$BA$20</c:f>
              <c:strCache>
                <c:ptCount val="1"/>
                <c:pt idx="0">
                  <c:v>Suficit / Deficit budžeta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pictureOptions>
            <c:pictureFormat val="stretch"/>
          </c:pictureOptions>
          <c:cat>
            <c:strRef>
              <c:f>'Fiskalni indikatori'!$BR$6:$CD$6</c:f>
              <c:strCache>
                <c:ptCount val="1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I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</c:strCache>
            </c:strRef>
          </c:cat>
          <c:val>
            <c:numRef>
              <c:f>'Fiskalni indikatori'!$BS$20:$CE$20</c:f>
              <c:numCache>
                <c:formatCode>0.00,,</c:formatCode>
                <c:ptCount val="13"/>
                <c:pt idx="0">
                  <c:v>-3831705.960833326</c:v>
                </c:pt>
                <c:pt idx="1">
                  <c:v>26517981.229166687</c:v>
                </c:pt>
                <c:pt idx="2">
                  <c:v>10701165.399166685</c:v>
                </c:pt>
                <c:pt idx="3">
                  <c:v>-21905385.890833333</c:v>
                </c:pt>
                <c:pt idx="4">
                  <c:v>-4888498.6208332935</c:v>
                </c:pt>
                <c:pt idx="5">
                  <c:v>-15273751.640833303</c:v>
                </c:pt>
                <c:pt idx="6">
                  <c:v>-43314722.570833333</c:v>
                </c:pt>
                <c:pt idx="7">
                  <c:v>-26278908.770000011</c:v>
                </c:pt>
                <c:pt idx="8">
                  <c:v>-18836037.229999986</c:v>
                </c:pt>
                <c:pt idx="9">
                  <c:v>-15884152.509488434</c:v>
                </c:pt>
                <c:pt idx="10">
                  <c:v>-15582420.719057277</c:v>
                </c:pt>
                <c:pt idx="11">
                  <c:v>-1983273.5502222029</c:v>
                </c:pt>
                <c:pt idx="12">
                  <c:v>-1011696.5290375799</c:v>
                </c:pt>
              </c:numCache>
            </c:numRef>
          </c:val>
        </c:ser>
        <c:gapWidth val="17"/>
        <c:overlap val="-21"/>
        <c:axId val="138858496"/>
        <c:axId val="138828032"/>
      </c:barChart>
      <c:lineChart>
        <c:grouping val="standard"/>
        <c:ser>
          <c:idx val="0"/>
          <c:order val="0"/>
          <c:tx>
            <c:strRef>
              <c:f>'Fiskalni indikatori'!$BA$28</c:f>
              <c:strCache>
                <c:ptCount val="1"/>
                <c:pt idx="0">
                  <c:v>IZVORNI PRIHODI</c:v>
                </c:pt>
              </c:strCache>
            </c:strRef>
          </c:tx>
          <c:spPr>
            <a:ln>
              <a:prstDash val="sysDash"/>
            </a:ln>
          </c:spPr>
          <c:marker>
            <c:symbol val="none"/>
          </c:marker>
          <c:cat>
            <c:strRef>
              <c:f>'Fiskalni indikatori'!$BS$6:$CE$6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'Fiskalni indikatori'!$BS$7:$CE$7</c:f>
              <c:numCache>
                <c:formatCode>0.00,,</c:formatCode>
                <c:ptCount val="13"/>
                <c:pt idx="0">
                  <c:v>95935673.590000004</c:v>
                </c:pt>
                <c:pt idx="1">
                  <c:v>130902818.23</c:v>
                </c:pt>
                <c:pt idx="2">
                  <c:v>108520677.06999999</c:v>
                </c:pt>
                <c:pt idx="3">
                  <c:v>95844316.429999992</c:v>
                </c:pt>
                <c:pt idx="4">
                  <c:v>99225993.690000013</c:v>
                </c:pt>
                <c:pt idx="5">
                  <c:v>85312820.549999997</c:v>
                </c:pt>
                <c:pt idx="6">
                  <c:v>126935629.20000002</c:v>
                </c:pt>
                <c:pt idx="7">
                  <c:v>54756357.980000004</c:v>
                </c:pt>
                <c:pt idx="8">
                  <c:v>75675730.060000002</c:v>
                </c:pt>
                <c:pt idx="9">
                  <c:v>88296245.580000013</c:v>
                </c:pt>
                <c:pt idx="10">
                  <c:v>103870281.62999997</c:v>
                </c:pt>
                <c:pt idx="11">
                  <c:v>93911940.709999993</c:v>
                </c:pt>
                <c:pt idx="12">
                  <c:v>99463336.86999999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'Fiskalni indikatori'!$BA$29</c:f>
              <c:strCache>
                <c:ptCount val="1"/>
                <c:pt idx="0">
                  <c:v>IZDACI BUDŽETA</c:v>
                </c:pt>
              </c:strCache>
            </c:strRef>
          </c:tx>
          <c:spPr>
            <a:ln>
              <a:solidFill>
                <a:schemeClr val="accent2"/>
              </a:solidFill>
            </a:ln>
          </c:spPr>
          <c:marker>
            <c:symbol val="none"/>
          </c:marker>
          <c:cat>
            <c:strRef>
              <c:f>'Fiskalni indikatori'!$BS$6:$CE$6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'Fiskalni indikatori'!$BS$13:$CE$13</c:f>
              <c:numCache>
                <c:formatCode>0.00,,</c:formatCode>
                <c:ptCount val="13"/>
                <c:pt idx="0">
                  <c:v>99767379.550833136</c:v>
                </c:pt>
                <c:pt idx="1">
                  <c:v>104384837.00083317</c:v>
                </c:pt>
                <c:pt idx="2">
                  <c:v>97819511.670833007</c:v>
                </c:pt>
                <c:pt idx="3">
                  <c:v>117749702.32083313</c:v>
                </c:pt>
                <c:pt idx="4">
                  <c:v>104114492.31083331</c:v>
                </c:pt>
                <c:pt idx="5">
                  <c:v>100586572.19083317</c:v>
                </c:pt>
                <c:pt idx="6">
                  <c:v>170250351.77083334</c:v>
                </c:pt>
                <c:pt idx="7">
                  <c:v>81035266.75</c:v>
                </c:pt>
                <c:pt idx="8">
                  <c:v>94511767.289999992</c:v>
                </c:pt>
                <c:pt idx="9">
                  <c:v>104180398.08948864</c:v>
                </c:pt>
                <c:pt idx="10">
                  <c:v>119452702.34905726</c:v>
                </c:pt>
                <c:pt idx="11">
                  <c:v>95895214.260222197</c:v>
                </c:pt>
                <c:pt idx="12">
                  <c:v>100475033.39903758</c:v>
                </c:pt>
              </c:numCache>
            </c:numRef>
          </c:val>
          <c:smooth val="1"/>
        </c:ser>
        <c:marker val="1"/>
        <c:axId val="133225088"/>
        <c:axId val="138826112"/>
      </c:lineChart>
      <c:catAx>
        <c:axId val="133225088"/>
        <c:scaling>
          <c:orientation val="minMax"/>
        </c:scaling>
        <c:axPos val="b"/>
        <c:numFmt formatCode="#,##0.00" sourceLinked="0"/>
        <c:majorTickMark val="none"/>
        <c:tickLblPos val="nextTo"/>
        <c:txPr>
          <a:bodyPr/>
          <a:lstStyle/>
          <a:p>
            <a:pPr>
              <a:defRPr sz="700"/>
            </a:pPr>
            <a:endParaRPr lang="en-US"/>
          </a:p>
        </c:txPr>
        <c:crossAx val="138826112"/>
        <c:crosses val="autoZero"/>
        <c:auto val="1"/>
        <c:lblAlgn val="ctr"/>
        <c:lblOffset val="100"/>
      </c:catAx>
      <c:valAx>
        <c:axId val="138826112"/>
        <c:scaling>
          <c:orientation val="minMax"/>
          <c:min val="0"/>
        </c:scaling>
        <c:axPos val="l"/>
        <c:majorGridlines/>
        <c:numFmt formatCode="0.0,,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en-US"/>
          </a:p>
        </c:txPr>
        <c:crossAx val="133225088"/>
        <c:crosses val="autoZero"/>
        <c:crossBetween val="between"/>
      </c:valAx>
      <c:valAx>
        <c:axId val="138828032"/>
        <c:scaling>
          <c:orientation val="minMax"/>
          <c:max val="100000000"/>
          <c:min val="-70000000"/>
        </c:scaling>
        <c:axPos val="r"/>
        <c:numFmt formatCode="0.0,," sourceLinked="0"/>
        <c:tickLblPos val="nextTo"/>
        <c:spPr>
          <a:noFill/>
        </c:spPr>
        <c:txPr>
          <a:bodyPr rot="0" vert="horz" anchor="ctr" anchorCtr="0"/>
          <a:lstStyle/>
          <a:p>
            <a:pPr>
              <a:defRPr sz="700"/>
            </a:pPr>
            <a:endParaRPr lang="en-US"/>
          </a:p>
        </c:txPr>
        <c:crossAx val="138858496"/>
        <c:crosses val="max"/>
        <c:crossBetween val="between"/>
      </c:valAx>
      <c:catAx>
        <c:axId val="138858496"/>
        <c:scaling>
          <c:orientation val="minMax"/>
        </c:scaling>
        <c:delete val="1"/>
        <c:axPos val="b"/>
        <c:numFmt formatCode="General" sourceLinked="1"/>
        <c:tickLblPos val="none"/>
        <c:crossAx val="138828032"/>
        <c:crosses val="autoZero"/>
        <c:auto val="1"/>
        <c:lblAlgn val="ctr"/>
        <c:lblOffset val="100"/>
      </c:catAx>
    </c:plotArea>
    <c:legend>
      <c:legendPos val="b"/>
      <c:legendEntry>
        <c:idx val="1"/>
        <c:txPr>
          <a:bodyPr/>
          <a:lstStyle/>
          <a:p>
            <a:pPr>
              <a:defRPr sz="800"/>
            </a:pPr>
            <a:endParaRPr lang="en-US"/>
          </a:p>
        </c:txPr>
      </c:legendEntry>
      <c:layout>
        <c:manualLayout>
          <c:xMode val="edge"/>
          <c:yMode val="edge"/>
          <c:x val="0.14817847981531121"/>
          <c:y val="0.82442835718374785"/>
          <c:w val="0.7626945517160677"/>
          <c:h val="0.13977082010932021"/>
        </c:manualLayout>
      </c:layout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</c:chart>
  <c:txPr>
    <a:bodyPr/>
    <a:lstStyle/>
    <a:p>
      <a:pPr>
        <a:defRPr sz="800" baseline="0"/>
      </a:pPr>
      <a:endParaRPr lang="en-US"/>
    </a:p>
  </c:txPr>
  <c:externalData r:id="rId2"/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9449086160806595"/>
          <c:y val="3.121214534314529E-2"/>
          <c:w val="0.68042656379938049"/>
          <c:h val="0.79461829501915704"/>
        </c:manualLayout>
      </c:layout>
      <c:lineChart>
        <c:grouping val="standard"/>
        <c:ser>
          <c:idx val="0"/>
          <c:order val="0"/>
          <c:tx>
            <c:strRef>
              <c:f>'Makroekonomski indikatori'!$C$37</c:f>
              <c:strCache>
                <c:ptCount val="1"/>
                <c:pt idx="0">
                  <c:v>Krediti privredi (kumulativ, u mil €)</c:v>
                </c:pt>
              </c:strCache>
            </c:strRef>
          </c:tx>
          <c:marker>
            <c:symbol val="none"/>
          </c:marker>
          <c:dLbls>
            <c:dLbl>
              <c:idx val="4"/>
              <c:layout>
                <c:manualLayout>
                  <c:x val="-0.24010217113665389"/>
                  <c:y val="3.0303030303030311E-2"/>
                </c:manualLayout>
              </c:layout>
              <c:tx>
                <c:rich>
                  <a:bodyPr/>
                  <a:lstStyle/>
                  <a:p>
                    <a:r>
                      <a:rPr lang="sr-Latn-ME" sz="800"/>
                      <a:t>Krediti privrede</a:t>
                    </a:r>
                    <a:endParaRPr lang="en-US" sz="800"/>
                  </a:p>
                </c:rich>
              </c:tx>
              <c:showVal val="1"/>
            </c:dLbl>
            <c:delete val="1"/>
          </c:dLbls>
          <c:cat>
            <c:strRef>
              <c:f>'Makroekonomski indikatori'!$O$59:$AG$59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2013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'Makroekonomski indikatori'!$U$37:$AG$37</c:f>
              <c:numCache>
                <c:formatCode>#,##0.0,,</c:formatCode>
                <c:ptCount val="13"/>
                <c:pt idx="0">
                  <c:v>975789000</c:v>
                </c:pt>
                <c:pt idx="1">
                  <c:v>971481000</c:v>
                </c:pt>
                <c:pt idx="2">
                  <c:v>950468000</c:v>
                </c:pt>
                <c:pt idx="3">
                  <c:v>941103000</c:v>
                </c:pt>
                <c:pt idx="4">
                  <c:v>923561000</c:v>
                </c:pt>
                <c:pt idx="5">
                  <c:v>936596000</c:v>
                </c:pt>
                <c:pt idx="6">
                  <c:v>930425000</c:v>
                </c:pt>
                <c:pt idx="7">
                  <c:v>1013195000</c:v>
                </c:pt>
                <c:pt idx="8">
                  <c:v>1018996000</c:v>
                </c:pt>
                <c:pt idx="9">
                  <c:v>1026510000</c:v>
                </c:pt>
                <c:pt idx="10">
                  <c:v>1029095000</c:v>
                </c:pt>
                <c:pt idx="11">
                  <c:v>1027926460.6433954</c:v>
                </c:pt>
                <c:pt idx="12">
                  <c:v>990503000</c:v>
                </c:pt>
              </c:numCache>
            </c:numRef>
          </c:val>
          <c:smooth val="1"/>
        </c:ser>
        <c:marker val="1"/>
        <c:axId val="139399552"/>
        <c:axId val="139401472"/>
      </c:lineChart>
      <c:lineChart>
        <c:grouping val="standard"/>
        <c:ser>
          <c:idx val="1"/>
          <c:order val="1"/>
          <c:tx>
            <c:strRef>
              <c:f>'Makroekonomski indikatori'!$C$39</c:f>
              <c:strCache>
                <c:ptCount val="1"/>
                <c:pt idx="0">
                  <c:v>Depoziti privrede (kumulativ, u mil €)</c:v>
                </c:pt>
              </c:strCache>
            </c:strRef>
          </c:tx>
          <c:spPr>
            <a:ln w="28575">
              <a:prstDash val="sysDash"/>
            </a:ln>
          </c:spPr>
          <c:marker>
            <c:symbol val="none"/>
          </c:marker>
          <c:dLbls>
            <c:dLbl>
              <c:idx val="3"/>
              <c:layout>
                <c:manualLayout>
                  <c:x val="3.5759897828863518E-2"/>
                  <c:y val="6.0606060606060622E-2"/>
                </c:manualLayout>
              </c:layout>
              <c:tx>
                <c:rich>
                  <a:bodyPr/>
                  <a:lstStyle/>
                  <a:p>
                    <a:r>
                      <a:rPr lang="sr-Latn-ME" sz="800"/>
                      <a:t>Depoziti</a:t>
                    </a:r>
                    <a:r>
                      <a:rPr lang="sr-Latn-ME" sz="800" baseline="0"/>
                      <a:t> privrede</a:t>
                    </a:r>
                    <a:endParaRPr lang="en-US"/>
                  </a:p>
                </c:rich>
              </c:tx>
              <c:showVal val="1"/>
            </c:dLbl>
            <c:delete val="1"/>
          </c:dLbls>
          <c:cat>
            <c:strRef>
              <c:f>'Makroekonomski indikatori'!$O$59:$AG$59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2013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'Makroekonomski indikatori'!$U$39:$AG$39</c:f>
              <c:numCache>
                <c:formatCode>#,##0.0,,</c:formatCode>
                <c:ptCount val="13"/>
                <c:pt idx="0">
                  <c:v>480662000</c:v>
                </c:pt>
                <c:pt idx="1">
                  <c:v>527383000</c:v>
                </c:pt>
                <c:pt idx="2">
                  <c:v>552080000</c:v>
                </c:pt>
                <c:pt idx="3">
                  <c:v>569228000</c:v>
                </c:pt>
                <c:pt idx="4">
                  <c:v>549548000</c:v>
                </c:pt>
                <c:pt idx="5">
                  <c:v>546428000</c:v>
                </c:pt>
                <c:pt idx="6">
                  <c:v>526525000</c:v>
                </c:pt>
                <c:pt idx="7">
                  <c:v>507787000</c:v>
                </c:pt>
                <c:pt idx="8">
                  <c:v>518687000</c:v>
                </c:pt>
                <c:pt idx="9">
                  <c:v>525396000</c:v>
                </c:pt>
                <c:pt idx="10">
                  <c:v>489805000</c:v>
                </c:pt>
                <c:pt idx="11">
                  <c:v>509806000</c:v>
                </c:pt>
                <c:pt idx="12">
                  <c:v>539330000</c:v>
                </c:pt>
              </c:numCache>
            </c:numRef>
          </c:val>
          <c:smooth val="1"/>
        </c:ser>
        <c:marker val="1"/>
        <c:axId val="139609600"/>
        <c:axId val="139608064"/>
      </c:lineChart>
      <c:catAx>
        <c:axId val="13939955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lang="en-US" sz="800"/>
            </a:pPr>
            <a:endParaRPr lang="en-US"/>
          </a:p>
        </c:txPr>
        <c:crossAx val="139401472"/>
        <c:crosses val="autoZero"/>
        <c:auto val="1"/>
        <c:lblAlgn val="ctr"/>
        <c:lblOffset val="100"/>
        <c:tickLblSkip val="3"/>
      </c:catAx>
      <c:valAx>
        <c:axId val="139401472"/>
        <c:scaling>
          <c:orientation val="minMax"/>
          <c:max val="1100000000"/>
          <c:min val="900000000"/>
        </c:scaling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ot"/>
            </a:ln>
          </c:spPr>
        </c:majorGridlines>
        <c:numFmt formatCode="#,##0.0,," sourceLinked="1"/>
        <c:tickLblPos val="nextTo"/>
        <c:txPr>
          <a:bodyPr/>
          <a:lstStyle/>
          <a:p>
            <a:pPr>
              <a:defRPr lang="en-US" sz="700"/>
            </a:pPr>
            <a:endParaRPr lang="en-US"/>
          </a:p>
        </c:txPr>
        <c:crossAx val="139399552"/>
        <c:crosses val="autoZero"/>
        <c:crossBetween val="between"/>
        <c:majorUnit val="100000000"/>
        <c:minorUnit val="30000000"/>
      </c:valAx>
      <c:valAx>
        <c:axId val="139608064"/>
        <c:scaling>
          <c:orientation val="minMax"/>
          <c:min val="459999999.99999905"/>
        </c:scaling>
        <c:axPos val="r"/>
        <c:numFmt formatCode="#,##0.0,," sourceLinked="1"/>
        <c:tickLblPos val="nextTo"/>
        <c:txPr>
          <a:bodyPr/>
          <a:lstStyle/>
          <a:p>
            <a:pPr>
              <a:defRPr sz="700"/>
            </a:pPr>
            <a:endParaRPr lang="en-US"/>
          </a:p>
        </c:txPr>
        <c:crossAx val="139609600"/>
        <c:crosses val="max"/>
        <c:crossBetween val="between"/>
      </c:valAx>
      <c:catAx>
        <c:axId val="139609600"/>
        <c:scaling>
          <c:orientation val="minMax"/>
        </c:scaling>
        <c:delete val="1"/>
        <c:axPos val="b"/>
        <c:tickLblPos val="none"/>
        <c:crossAx val="139608064"/>
        <c:crosses val="autoZero"/>
        <c:auto val="1"/>
        <c:lblAlgn val="ctr"/>
        <c:lblOffset val="100"/>
      </c:catAx>
    </c:plotArea>
    <c:plotVisOnly val="1"/>
    <c:dispBlanksAs val="gap"/>
  </c:chart>
  <c:spPr>
    <a:ln>
      <a:noFill/>
    </a:ln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0.07724</cdr:x>
      <cdr:y>0</cdr:y>
    </cdr:from>
    <cdr:to>
      <cdr:x>0.29252</cdr:x>
      <cdr:y>0.13782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88086" y="0"/>
          <a:ext cx="524219" cy="3778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x-none" sz="800"/>
            <a:t>Prihod</a:t>
          </a:r>
          <a:r>
            <a:rPr lang="hr-BA" sz="800"/>
            <a:t>/</a:t>
          </a:r>
          <a:r>
            <a:rPr lang="sr-Latn-ME" sz="800"/>
            <a:t>Rash</a:t>
          </a:r>
          <a:endParaRPr lang="x-none" sz="800"/>
        </a:p>
        <a:p xmlns:a="http://schemas.openxmlformats.org/drawingml/2006/main">
          <a:r>
            <a:rPr lang="x-none" sz="800"/>
            <a:t>Rashodi</a:t>
          </a:r>
          <a:endParaRPr lang="en-US" sz="800"/>
        </a:p>
      </cdr:txBody>
    </cdr:sp>
  </cdr:relSizeAnchor>
  <cdr:relSizeAnchor xmlns:cdr="http://schemas.openxmlformats.org/drawingml/2006/chartDrawing">
    <cdr:from>
      <cdr:x>3.54685E-7</cdr:x>
      <cdr:y>0.00408</cdr:y>
    </cdr:from>
    <cdr:to>
      <cdr:x>0.27258</cdr:x>
      <cdr:y>0.18041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" y="13767"/>
          <a:ext cx="768525" cy="59424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0.81512</cdr:x>
      <cdr:y>0.01383</cdr:y>
    </cdr:from>
    <cdr:to>
      <cdr:x>0.93858</cdr:x>
      <cdr:y>0.14712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1886327" y="35750"/>
          <a:ext cx="285706" cy="3444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x-none" sz="800"/>
            <a:t>Suficit/</a:t>
          </a:r>
        </a:p>
        <a:p xmlns:a="http://schemas.openxmlformats.org/drawingml/2006/main">
          <a:r>
            <a:rPr lang="x-none" sz="800"/>
            <a:t>Deficit</a:t>
          </a:r>
        </a:p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0.11824</cdr:x>
      <cdr:y>0.0271</cdr:y>
    </cdr:from>
    <cdr:to>
      <cdr:x>0.45946</cdr:x>
      <cdr:y>0.18041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333375" y="91339"/>
          <a:ext cx="962026" cy="5166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0.06419</cdr:x>
      <cdr:y>0.03344</cdr:y>
    </cdr:from>
    <cdr:to>
      <cdr:x>0.08041</cdr:x>
      <cdr:y>0.04757</cdr:y>
    </cdr:to>
    <cdr:sp macro="" textlink="">
      <cdr:nvSpPr>
        <cdr:cNvPr id="6" name="TextBox 5"/>
        <cdr:cNvSpPr txBox="1"/>
      </cdr:nvSpPr>
      <cdr:spPr>
        <a:xfrm xmlns:a="http://schemas.openxmlformats.org/drawingml/2006/main" flipH="1">
          <a:off x="180975" y="112713"/>
          <a:ext cx="45719" cy="4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0.62069</cdr:x>
      <cdr:y>0.08636</cdr:y>
    </cdr:from>
    <cdr:to>
      <cdr:x>0.91954</cdr:x>
      <cdr:y>0.12727</cdr:y>
    </cdr:to>
    <cdr:sp macro="" textlink="">
      <cdr:nvSpPr>
        <cdr:cNvPr id="3" name="Elbow Connector 2"/>
        <cdr:cNvSpPr/>
      </cdr:nvSpPr>
      <cdr:spPr>
        <a:xfrm xmlns:a="http://schemas.openxmlformats.org/drawingml/2006/main">
          <a:off x="1543050" y="180975"/>
          <a:ext cx="742950" cy="85725"/>
        </a:xfrm>
        <a:prstGeom xmlns:a="http://schemas.openxmlformats.org/drawingml/2006/main" prst="bentConnector3">
          <a:avLst>
            <a:gd name="adj1" fmla="val 50000"/>
          </a:avLst>
        </a:prstGeom>
        <a:ln xmlns:a="http://schemas.openxmlformats.org/drawingml/2006/main" w="3175">
          <a:tailEnd type="arrow" w="sm" len="sm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0.06818</cdr:x>
      <cdr:y>0.66805</cdr:y>
    </cdr:from>
    <cdr:to>
      <cdr:x>0.18561</cdr:x>
      <cdr:y>0.73444</cdr:y>
    </cdr:to>
    <cdr:sp macro="" textlink="">
      <cdr:nvSpPr>
        <cdr:cNvPr id="4" name="Elbow Connector 3"/>
        <cdr:cNvSpPr/>
      </cdr:nvSpPr>
      <cdr:spPr>
        <a:xfrm xmlns:a="http://schemas.openxmlformats.org/drawingml/2006/main" flipH="1" flipV="1">
          <a:off x="171449" y="1533525"/>
          <a:ext cx="295275" cy="152399"/>
        </a:xfrm>
        <a:prstGeom xmlns:a="http://schemas.openxmlformats.org/drawingml/2006/main" prst="bentConnector3">
          <a:avLst>
            <a:gd name="adj1" fmla="val 64103"/>
          </a:avLst>
        </a:prstGeom>
        <a:ln xmlns:a="http://schemas.openxmlformats.org/drawingml/2006/main" w="3175">
          <a:tailEnd type="arrow" w="sm" len="sm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US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2524</Words>
  <Characters>14390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milos.popovic;Iva Radovan</dc:creator>
  <cp:lastModifiedBy>iva.vukovic</cp:lastModifiedBy>
  <cp:revision>2</cp:revision>
  <cp:lastPrinted>2012-11-12T09:08:00Z</cp:lastPrinted>
  <dcterms:created xsi:type="dcterms:W3CDTF">2013-08-06T10:30:00Z</dcterms:created>
  <dcterms:modified xsi:type="dcterms:W3CDTF">2013-08-06T10:30:00Z</dcterms:modified>
</cp:coreProperties>
</file>