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Default="00D67A70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sadrzaj27"/>
      <w:bookmarkStart w:id="1" w:name="_GoBack"/>
      <w:bookmarkEnd w:id="0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V, VI i VII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7411A5" w:rsidRPr="007411A5">
        <w:rPr>
          <w:rFonts w:ascii="Tahoma" w:hAnsi="Tahoma" w:cs="Tahoma"/>
          <w:b/>
          <w:bCs/>
          <w:color w:val="000000"/>
          <w:sz w:val="23"/>
          <w:szCs w:val="23"/>
        </w:rPr>
        <w:t xml:space="preserve">UPRAVNI POSTUPAK, UPRAVNI SPOR I OSNOVI KANCELARIJSKOG </w:t>
      </w:r>
      <w:proofErr w:type="spellStart"/>
      <w:r w:rsidR="007411A5" w:rsidRPr="007411A5">
        <w:rPr>
          <w:rFonts w:ascii="Tahoma" w:hAnsi="Tahoma" w:cs="Tahoma"/>
          <w:b/>
          <w:bCs/>
          <w:color w:val="000000"/>
          <w:sz w:val="23"/>
          <w:szCs w:val="23"/>
        </w:rPr>
        <w:t>POSLOVANjA</w:t>
      </w:r>
      <w:proofErr w:type="spellEnd"/>
    </w:p>
    <w:p w:rsidR="00A7568F" w:rsidRPr="00D67A70" w:rsidRDefault="00A7568F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bookmarkEnd w:id="1"/>
    <w:p w:rsidR="007411A5" w:rsidRDefault="007411A5" w:rsidP="007411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Upravni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funkcija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predmet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stvar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aktivnosti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oblik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garantni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ugovor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korisnika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opšteg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interesa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Izdavanje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uvjerenja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ne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vodi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Prigovor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aktivnosti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odlučivanje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sukobu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Sprovođenje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aktivnosti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mjestu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Ovlašćeno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lice;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njeno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zastupanje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Zainteresovano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lice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zastupnika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Komunikacija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organa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podnošenja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podneska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značaj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javne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razgledanje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obavještavanje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Pozivanje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dostavljanje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obavještavanje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pozivanja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dostavljanja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dostavnica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obavještavanje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Rokovi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određivanje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produženje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rokova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računanja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rokova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Povraćaj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pređašnje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Troškovi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troškova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nagrade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učesnicima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Pokretanje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vođenje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okončanje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pokretanja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činjeničnog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izjašnjavanje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donošenje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Okončanje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slučaju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ćutanja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Dokazna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dokaznih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Shodna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primjena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je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uređen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parnični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pripremni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ispitni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usmena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ljekovi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žalba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prigovor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Poništavanje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poništavanje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poništavanje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nezakonitog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zakonitog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mijenjanje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poništavanje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posljedice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poništavanja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izvršenja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7411A5" w:rsidRDefault="007411A5" w:rsidP="007411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Upravni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spor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Pokretanje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po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tužbi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Ispitivanje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ponavljanje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presuda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7411A5" w:rsidRDefault="007411A5" w:rsidP="007411A5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Kancelarijsko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poslovanje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kancelarijskog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Pojmovi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okviru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kancelarijskog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Prijem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razvrstavanje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evidentiranje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Vođenje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vrste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evidencija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Administrativno-tehnička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Otpremanje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Arhiviranje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čuvanje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arhiviranih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predmeta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A7568F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7411A5"/>
    <w:rsid w:val="008A2B5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A599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2025-10-14T12:04:00Z</dcterms:created>
  <dcterms:modified xsi:type="dcterms:W3CDTF">2025-10-14T12:04:00Z</dcterms:modified>
</cp:coreProperties>
</file>