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F5" w:rsidRPr="00177240" w:rsidRDefault="00F270F5" w:rsidP="0076705F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  <w:b/>
        </w:rPr>
      </w:pPr>
    </w:p>
    <w:p w:rsidR="008921D6" w:rsidRPr="002C1128" w:rsidRDefault="00F270F5" w:rsidP="008921D6">
      <w:pPr>
        <w:tabs>
          <w:tab w:val="left" w:pos="2552"/>
        </w:tabs>
        <w:jc w:val="center"/>
        <w:rPr>
          <w:rFonts w:ascii="Arial" w:hAnsi="Arial" w:cs="Arial"/>
          <w:noProof/>
          <w:color w:val="FF0000"/>
        </w:rPr>
      </w:pPr>
      <w:r w:rsidRPr="00177240">
        <w:rPr>
          <w:rFonts w:ascii="Arial" w:hAnsi="Arial" w:cs="Arial"/>
          <w:b/>
        </w:rPr>
        <w:t xml:space="preserve">         </w:t>
      </w:r>
      <w:r w:rsidR="008921D6" w:rsidRPr="002C1128">
        <w:rPr>
          <w:rFonts w:ascii="Arial" w:hAnsi="Arial" w:cs="Arial"/>
          <w:noProof/>
          <w:color w:val="FF0000"/>
          <w:lang w:val="hr-HR" w:eastAsia="hr-HR"/>
        </w:rPr>
        <w:drawing>
          <wp:inline distT="0" distB="0" distL="0" distR="0">
            <wp:extent cx="2133600" cy="2447925"/>
            <wp:effectExtent l="0" t="0" r="76200" b="85725"/>
            <wp:docPr id="2" name="Picture 2" descr="Description: Description: Description: Slikovni rezultat za grb crne g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Slikovni rezultat za grb crne go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21D6" w:rsidRPr="002C1128" w:rsidRDefault="008921D6" w:rsidP="008921D6">
      <w:pPr>
        <w:jc w:val="center"/>
        <w:rPr>
          <w:rFonts w:ascii="Arial" w:hAnsi="Arial" w:cs="Arial"/>
          <w:noProof/>
          <w:color w:val="FF0000"/>
        </w:rPr>
      </w:pPr>
    </w:p>
    <w:p w:rsidR="008921D6" w:rsidRPr="002C1128" w:rsidRDefault="008921D6" w:rsidP="008921D6">
      <w:pPr>
        <w:jc w:val="center"/>
        <w:rPr>
          <w:rFonts w:ascii="Arial" w:hAnsi="Arial" w:cs="Arial"/>
          <w:noProof/>
          <w:color w:val="FF0000"/>
        </w:rPr>
      </w:pPr>
    </w:p>
    <w:p w:rsidR="008921D6" w:rsidRPr="002C1128" w:rsidRDefault="008921D6" w:rsidP="008921D6">
      <w:pPr>
        <w:jc w:val="center"/>
        <w:rPr>
          <w:rFonts w:ascii="Arial" w:hAnsi="Arial" w:cs="Arial"/>
          <w:noProof/>
          <w:color w:val="FF0000"/>
        </w:rPr>
      </w:pPr>
    </w:p>
    <w:p w:rsidR="008921D6" w:rsidRPr="002C1128" w:rsidRDefault="008921D6" w:rsidP="00BF6D6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sz w:val="28"/>
        </w:rPr>
      </w:pPr>
      <w:r w:rsidRPr="002C1128">
        <w:rPr>
          <w:rFonts w:ascii="Arial" w:hAnsi="Arial" w:cs="Arial"/>
          <w:bCs/>
          <w:sz w:val="28"/>
        </w:rPr>
        <w:t>CRNA GORA</w:t>
      </w:r>
    </w:p>
    <w:p w:rsidR="008921D6" w:rsidRPr="002C1128" w:rsidRDefault="008921D6" w:rsidP="00BF6D6E">
      <w:pPr>
        <w:ind w:firstLine="720"/>
        <w:jc w:val="center"/>
        <w:rPr>
          <w:rFonts w:ascii="Arial" w:hAnsi="Arial" w:cs="Arial"/>
          <w:bCs/>
          <w:sz w:val="28"/>
        </w:rPr>
      </w:pPr>
      <w:r w:rsidRPr="002C1128">
        <w:rPr>
          <w:rFonts w:ascii="Arial" w:hAnsi="Arial" w:cs="Arial"/>
          <w:bCs/>
          <w:sz w:val="28"/>
        </w:rPr>
        <w:t>PORESKA UPRAVA</w:t>
      </w:r>
    </w:p>
    <w:p w:rsidR="008921D6" w:rsidRPr="002C1128" w:rsidRDefault="008921D6" w:rsidP="008921D6">
      <w:pPr>
        <w:jc w:val="center"/>
        <w:rPr>
          <w:rFonts w:ascii="Arial" w:hAnsi="Arial" w:cs="Arial"/>
          <w:b/>
          <w:bCs/>
        </w:rPr>
      </w:pPr>
    </w:p>
    <w:p w:rsidR="008921D6" w:rsidRPr="002C1128" w:rsidRDefault="008921D6" w:rsidP="008921D6">
      <w:pPr>
        <w:jc w:val="center"/>
        <w:rPr>
          <w:rFonts w:ascii="Arial" w:hAnsi="Arial" w:cs="Arial"/>
          <w:b/>
          <w:bCs/>
        </w:rPr>
      </w:pPr>
    </w:p>
    <w:p w:rsidR="008921D6" w:rsidRPr="002C1128" w:rsidRDefault="008921D6" w:rsidP="008921D6">
      <w:pPr>
        <w:jc w:val="center"/>
        <w:rPr>
          <w:rFonts w:ascii="Arial" w:hAnsi="Arial" w:cs="Arial"/>
          <w:b/>
          <w:bCs/>
        </w:rPr>
      </w:pPr>
    </w:p>
    <w:p w:rsidR="008921D6" w:rsidRPr="002C1128" w:rsidRDefault="008921D6" w:rsidP="008921D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543B6" w:rsidRDefault="008921D6" w:rsidP="008921D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40"/>
          <w:szCs w:val="40"/>
        </w:rPr>
      </w:pPr>
      <w:r w:rsidRPr="002C1128">
        <w:rPr>
          <w:rFonts w:ascii="Arial" w:hAnsi="Arial" w:cs="Arial"/>
          <w:bCs/>
          <w:sz w:val="40"/>
          <w:szCs w:val="40"/>
        </w:rPr>
        <w:t xml:space="preserve">GODIŠNJI IZVJEŠTAJ O RADU PORESKE UPRAVE </w:t>
      </w:r>
    </w:p>
    <w:p w:rsidR="008921D6" w:rsidRPr="002C1128" w:rsidRDefault="008921D6" w:rsidP="008921D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40"/>
          <w:szCs w:val="40"/>
        </w:rPr>
      </w:pPr>
      <w:r w:rsidRPr="002C1128">
        <w:rPr>
          <w:rFonts w:ascii="Arial" w:hAnsi="Arial" w:cs="Arial"/>
          <w:bCs/>
          <w:sz w:val="40"/>
          <w:szCs w:val="40"/>
        </w:rPr>
        <w:t xml:space="preserve">ZA </w:t>
      </w:r>
      <w:r w:rsidR="00251581">
        <w:rPr>
          <w:rFonts w:ascii="Arial" w:hAnsi="Arial" w:cs="Arial"/>
          <w:bCs/>
          <w:sz w:val="40"/>
          <w:szCs w:val="40"/>
        </w:rPr>
        <w:t>PERIOD 01.01.-31.</w:t>
      </w:r>
      <w:proofErr w:type="gramStart"/>
      <w:r w:rsidR="00251581">
        <w:rPr>
          <w:rFonts w:ascii="Arial" w:hAnsi="Arial" w:cs="Arial"/>
          <w:bCs/>
          <w:sz w:val="40"/>
          <w:szCs w:val="40"/>
        </w:rPr>
        <w:t>12</w:t>
      </w:r>
      <w:r w:rsidR="001543B6">
        <w:rPr>
          <w:rFonts w:ascii="Arial" w:hAnsi="Arial" w:cs="Arial"/>
          <w:bCs/>
          <w:sz w:val="40"/>
          <w:szCs w:val="40"/>
        </w:rPr>
        <w:t>.2024.GODINE</w:t>
      </w:r>
      <w:proofErr w:type="gramEnd"/>
    </w:p>
    <w:p w:rsidR="008921D6" w:rsidRPr="002C1128" w:rsidRDefault="008921D6" w:rsidP="008921D6">
      <w:pPr>
        <w:jc w:val="center"/>
        <w:rPr>
          <w:rFonts w:ascii="Arial" w:hAnsi="Arial" w:cs="Arial"/>
          <w:b/>
        </w:rPr>
      </w:pPr>
    </w:p>
    <w:p w:rsidR="008921D6" w:rsidRPr="002C1128" w:rsidRDefault="008921D6" w:rsidP="008921D6">
      <w:pPr>
        <w:jc w:val="center"/>
        <w:rPr>
          <w:rFonts w:ascii="Arial" w:hAnsi="Arial" w:cs="Arial"/>
          <w:b/>
        </w:rPr>
      </w:pPr>
    </w:p>
    <w:p w:rsidR="008921D6" w:rsidRPr="002C1128" w:rsidRDefault="008921D6" w:rsidP="008921D6">
      <w:pPr>
        <w:jc w:val="center"/>
        <w:rPr>
          <w:rFonts w:ascii="Arial" w:hAnsi="Arial" w:cs="Arial"/>
          <w:b/>
        </w:rPr>
      </w:pPr>
    </w:p>
    <w:p w:rsidR="008921D6" w:rsidRPr="002C1128" w:rsidRDefault="008921D6" w:rsidP="008921D6">
      <w:pPr>
        <w:jc w:val="center"/>
        <w:rPr>
          <w:rFonts w:ascii="Arial" w:hAnsi="Arial" w:cs="Arial"/>
          <w:b/>
        </w:rPr>
      </w:pPr>
    </w:p>
    <w:p w:rsidR="001543B6" w:rsidRDefault="001543B6" w:rsidP="008921D6">
      <w:pPr>
        <w:jc w:val="center"/>
        <w:rPr>
          <w:rFonts w:ascii="Arial" w:hAnsi="Arial" w:cs="Arial"/>
          <w:b/>
        </w:rPr>
      </w:pPr>
    </w:p>
    <w:p w:rsidR="008921D6" w:rsidRPr="002C1128" w:rsidRDefault="001543B6" w:rsidP="008921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Podgorica, </w:t>
      </w:r>
      <w:proofErr w:type="spellStart"/>
      <w:r w:rsidR="00ED62D0">
        <w:rPr>
          <w:rFonts w:ascii="Arial" w:hAnsi="Arial" w:cs="Arial"/>
        </w:rPr>
        <w:t>januar</w:t>
      </w:r>
      <w:proofErr w:type="spellEnd"/>
      <w:r w:rsidR="00ED62D0">
        <w:rPr>
          <w:rFonts w:ascii="Arial" w:hAnsi="Arial" w:cs="Arial"/>
        </w:rPr>
        <w:t xml:space="preserve"> 2025</w:t>
      </w:r>
      <w:r w:rsidR="008921D6" w:rsidRPr="002C1128">
        <w:rPr>
          <w:rFonts w:ascii="Arial" w:hAnsi="Arial" w:cs="Arial"/>
        </w:rPr>
        <w:t xml:space="preserve">. </w:t>
      </w:r>
      <w:proofErr w:type="spellStart"/>
      <w:r w:rsidR="008921D6" w:rsidRPr="002C1128">
        <w:rPr>
          <w:rFonts w:ascii="Arial" w:hAnsi="Arial" w:cs="Arial"/>
        </w:rPr>
        <w:t>godine</w:t>
      </w:r>
      <w:proofErr w:type="spellEnd"/>
    </w:p>
    <w:p w:rsidR="008921D6" w:rsidRDefault="008921D6" w:rsidP="008921D6">
      <w:pPr>
        <w:rPr>
          <w:rFonts w:ascii="Arial" w:eastAsia="Calibri" w:hAnsi="Arial" w:cs="Arial"/>
        </w:rPr>
      </w:pPr>
    </w:p>
    <w:p w:rsidR="007D5700" w:rsidRPr="007D5700" w:rsidRDefault="002C287B" w:rsidP="00B8168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lang w:val="hr-HR"/>
        </w:rPr>
      </w:pPr>
      <w:r w:rsidRPr="00B81684">
        <w:rPr>
          <w:rFonts w:ascii="Arial Narrow" w:hAnsi="Arial Narrow" w:cs="Arial"/>
          <w:b/>
          <w:i/>
          <w:sz w:val="24"/>
          <w:szCs w:val="24"/>
          <w:lang w:val="sl-SI"/>
        </w:rPr>
        <w:t>UVOD</w:t>
      </w:r>
      <w:r w:rsidR="00F270F5" w:rsidRPr="00B81684">
        <w:rPr>
          <w:rFonts w:ascii="Arial Narrow" w:hAnsi="Arial Narrow" w:cs="Arial"/>
          <w:b/>
          <w:i/>
          <w:sz w:val="24"/>
          <w:szCs w:val="24"/>
          <w:lang w:val="sl-SI"/>
        </w:rPr>
        <w:t xml:space="preserve">   </w:t>
      </w:r>
      <w:r w:rsidR="00F270F5" w:rsidRPr="007D5700">
        <w:rPr>
          <w:rFonts w:ascii="Arial Narrow" w:hAnsi="Arial Narrow" w:cs="Arial"/>
          <w:i/>
          <w:lang w:val="sl-SI"/>
        </w:rPr>
        <w:t xml:space="preserve">     </w:t>
      </w:r>
      <w:r w:rsidR="00F270F5" w:rsidRPr="007D5700">
        <w:rPr>
          <w:rFonts w:ascii="Arial" w:hAnsi="Arial" w:cs="Arial"/>
          <w:b/>
          <w:i/>
          <w:lang w:val="sl-SI"/>
        </w:rPr>
        <w:t xml:space="preserve">    </w:t>
      </w:r>
    </w:p>
    <w:p w:rsidR="00F270F5" w:rsidRPr="007D5700" w:rsidRDefault="00F270F5" w:rsidP="007D5700">
      <w:pPr>
        <w:pStyle w:val="ListParagraph"/>
        <w:spacing w:line="300" w:lineRule="exact"/>
        <w:jc w:val="both"/>
        <w:rPr>
          <w:rFonts w:ascii="Arial" w:hAnsi="Arial" w:cs="Arial"/>
          <w:b/>
          <w:bCs/>
          <w:lang w:val="hr-HR"/>
        </w:rPr>
      </w:pPr>
      <w:r w:rsidRPr="007D5700">
        <w:rPr>
          <w:rFonts w:ascii="Arial" w:hAnsi="Arial" w:cs="Arial"/>
          <w:b/>
          <w:i/>
          <w:lang w:val="sl-SI"/>
        </w:rPr>
        <w:t xml:space="preserve">                                              </w:t>
      </w:r>
    </w:p>
    <w:p w:rsidR="00F270F5" w:rsidRPr="00E80B13" w:rsidRDefault="00F270F5" w:rsidP="006240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80B13">
        <w:rPr>
          <w:rFonts w:ascii="Arial" w:hAnsi="Arial" w:cs="Arial"/>
          <w:sz w:val="20"/>
          <w:szCs w:val="20"/>
        </w:rPr>
        <w:t>Uredbom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80B13">
        <w:rPr>
          <w:rFonts w:ascii="Arial" w:hAnsi="Arial" w:cs="Arial"/>
          <w:sz w:val="20"/>
          <w:szCs w:val="20"/>
        </w:rPr>
        <w:t>organizaciji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i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načinu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rada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državne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uprave</w:t>
      </w:r>
      <w:proofErr w:type="spellEnd"/>
      <w:r w:rsidRPr="00E80B13">
        <w:rPr>
          <w:rFonts w:ascii="Arial" w:hAnsi="Arial" w:cs="Arial"/>
          <w:sz w:val="20"/>
          <w:szCs w:val="20"/>
        </w:rPr>
        <w:t>, od 15.1</w:t>
      </w:r>
      <w:r w:rsidR="006579F7" w:rsidRPr="00E80B13">
        <w:rPr>
          <w:rFonts w:ascii="Arial" w:hAnsi="Arial" w:cs="Arial"/>
          <w:sz w:val="20"/>
          <w:szCs w:val="20"/>
        </w:rPr>
        <w:t xml:space="preserve">2.2023.god, </w:t>
      </w:r>
      <w:proofErr w:type="spellStart"/>
      <w:r w:rsidR="006579F7" w:rsidRPr="00E80B13">
        <w:rPr>
          <w:rFonts w:ascii="Arial" w:hAnsi="Arial" w:cs="Arial"/>
          <w:sz w:val="20"/>
          <w:szCs w:val="20"/>
        </w:rPr>
        <w:t>razdvojena</w:t>
      </w:r>
      <w:proofErr w:type="spellEnd"/>
      <w:r w:rsidR="006579F7" w:rsidRPr="00E80B1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6579F7" w:rsidRPr="00E80B13">
        <w:rPr>
          <w:rFonts w:ascii="Arial" w:hAnsi="Arial" w:cs="Arial"/>
          <w:sz w:val="20"/>
          <w:szCs w:val="20"/>
        </w:rPr>
        <w:t>Uprava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prihoda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i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carina </w:t>
      </w:r>
      <w:proofErr w:type="spellStart"/>
      <w:r w:rsidRPr="00E80B13">
        <w:rPr>
          <w:rFonts w:ascii="Arial" w:hAnsi="Arial" w:cs="Arial"/>
          <w:sz w:val="20"/>
          <w:szCs w:val="20"/>
        </w:rPr>
        <w:t>na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dvije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odvojene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uprave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E80B13">
        <w:rPr>
          <w:rFonts w:ascii="Arial" w:hAnsi="Arial" w:cs="Arial"/>
          <w:sz w:val="20"/>
          <w:szCs w:val="20"/>
        </w:rPr>
        <w:t>Poresku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upravu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i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Upravu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carina (</w:t>
      </w:r>
      <w:proofErr w:type="spellStart"/>
      <w:proofErr w:type="gramStart"/>
      <w:r w:rsidRPr="00E80B13">
        <w:rPr>
          <w:rFonts w:ascii="Arial" w:hAnsi="Arial" w:cs="Arial"/>
          <w:sz w:val="20"/>
          <w:szCs w:val="20"/>
        </w:rPr>
        <w:t>Sl.list</w:t>
      </w:r>
      <w:proofErr w:type="spellEnd"/>
      <w:proofErr w:type="gramEnd"/>
      <w:r w:rsidRPr="00E80B13">
        <w:rPr>
          <w:rFonts w:ascii="Arial" w:hAnsi="Arial" w:cs="Arial"/>
          <w:sz w:val="20"/>
          <w:szCs w:val="20"/>
        </w:rPr>
        <w:t xml:space="preserve"> br. </w:t>
      </w:r>
      <w:r w:rsidRPr="00E80B13">
        <w:rPr>
          <w:sz w:val="20"/>
          <w:szCs w:val="20"/>
        </w:rPr>
        <w:t>113/23</w:t>
      </w:r>
      <w:r w:rsidRPr="00E80B13">
        <w:rPr>
          <w:rFonts w:ascii="Arial" w:hAnsi="Arial" w:cs="Arial"/>
          <w:sz w:val="20"/>
          <w:szCs w:val="20"/>
        </w:rPr>
        <w:t xml:space="preserve">). </w:t>
      </w:r>
    </w:p>
    <w:p w:rsidR="00F270F5" w:rsidRPr="00E80B13" w:rsidRDefault="00F270F5" w:rsidP="0062403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80B13">
        <w:rPr>
          <w:rFonts w:ascii="Arial" w:hAnsi="Arial" w:cs="Arial"/>
          <w:sz w:val="20"/>
          <w:szCs w:val="20"/>
        </w:rPr>
        <w:t>Imajući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80B13">
        <w:rPr>
          <w:rFonts w:ascii="Arial" w:hAnsi="Arial" w:cs="Arial"/>
          <w:sz w:val="20"/>
          <w:szCs w:val="20"/>
        </w:rPr>
        <w:t>vidu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misi</w:t>
      </w:r>
      <w:r w:rsidR="00627F97">
        <w:rPr>
          <w:rFonts w:ascii="Arial" w:hAnsi="Arial" w:cs="Arial"/>
          <w:sz w:val="20"/>
          <w:szCs w:val="20"/>
        </w:rPr>
        <w:t>ju</w:t>
      </w:r>
      <w:proofErr w:type="spellEnd"/>
      <w:r w:rsidR="00627F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7F97">
        <w:rPr>
          <w:rFonts w:ascii="Arial" w:hAnsi="Arial" w:cs="Arial"/>
          <w:sz w:val="20"/>
          <w:szCs w:val="20"/>
        </w:rPr>
        <w:t>koja</w:t>
      </w:r>
      <w:proofErr w:type="spellEnd"/>
      <w:r w:rsidR="00627F9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627F97">
        <w:rPr>
          <w:rFonts w:ascii="Arial" w:hAnsi="Arial" w:cs="Arial"/>
          <w:sz w:val="20"/>
          <w:szCs w:val="20"/>
        </w:rPr>
        <w:t>može</w:t>
      </w:r>
      <w:proofErr w:type="spellEnd"/>
      <w:r w:rsidR="00627F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7F97">
        <w:rPr>
          <w:rFonts w:ascii="Arial" w:hAnsi="Arial" w:cs="Arial"/>
          <w:sz w:val="20"/>
          <w:szCs w:val="20"/>
        </w:rPr>
        <w:t>definisati</w:t>
      </w:r>
      <w:proofErr w:type="spellEnd"/>
      <w:r w:rsidR="00627F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7F97">
        <w:rPr>
          <w:rFonts w:ascii="Arial" w:hAnsi="Arial" w:cs="Arial"/>
          <w:sz w:val="20"/>
          <w:szCs w:val="20"/>
        </w:rPr>
        <w:t>kao</w:t>
      </w:r>
      <w:proofErr w:type="spellEnd"/>
      <w:r w:rsidR="00627F97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E80B13">
        <w:rPr>
          <w:rFonts w:ascii="Arial" w:hAnsi="Arial" w:cs="Arial"/>
          <w:sz w:val="20"/>
          <w:szCs w:val="20"/>
        </w:rPr>
        <w:t>Obezbijediti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efikasnu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naplatu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prihoda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0B13">
        <w:rPr>
          <w:rFonts w:ascii="Arial" w:hAnsi="Arial" w:cs="Arial"/>
          <w:sz w:val="20"/>
          <w:szCs w:val="20"/>
        </w:rPr>
        <w:t>uz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korišćenje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jednostavnih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0B13">
        <w:rPr>
          <w:rFonts w:ascii="Arial" w:hAnsi="Arial" w:cs="Arial"/>
          <w:sz w:val="20"/>
          <w:szCs w:val="20"/>
        </w:rPr>
        <w:t>pravičnih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i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efektivnih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postupaka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E80B13">
        <w:rPr>
          <w:rFonts w:ascii="Arial" w:hAnsi="Arial" w:cs="Arial"/>
          <w:sz w:val="20"/>
          <w:szCs w:val="20"/>
        </w:rPr>
        <w:t>cilju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doprinosa</w:t>
      </w:r>
      <w:proofErr w:type="spellEnd"/>
      <w:r w:rsidR="00627F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7F97">
        <w:rPr>
          <w:rFonts w:ascii="Arial" w:hAnsi="Arial" w:cs="Arial"/>
          <w:sz w:val="20"/>
          <w:szCs w:val="20"/>
        </w:rPr>
        <w:t>opštem</w:t>
      </w:r>
      <w:proofErr w:type="spellEnd"/>
      <w:r w:rsidR="00627F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7F97">
        <w:rPr>
          <w:rFonts w:ascii="Arial" w:hAnsi="Arial" w:cs="Arial"/>
          <w:sz w:val="20"/>
          <w:szCs w:val="20"/>
        </w:rPr>
        <w:t>dobru</w:t>
      </w:r>
      <w:proofErr w:type="spellEnd"/>
      <w:r w:rsidR="00627F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7F97">
        <w:rPr>
          <w:rFonts w:ascii="Arial" w:hAnsi="Arial" w:cs="Arial"/>
          <w:sz w:val="20"/>
          <w:szCs w:val="20"/>
        </w:rPr>
        <w:t>građana</w:t>
      </w:r>
      <w:proofErr w:type="spellEnd"/>
      <w:r w:rsidR="00627F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7F97">
        <w:rPr>
          <w:rFonts w:ascii="Arial" w:hAnsi="Arial" w:cs="Arial"/>
          <w:sz w:val="20"/>
          <w:szCs w:val="20"/>
        </w:rPr>
        <w:t>Crne</w:t>
      </w:r>
      <w:proofErr w:type="spellEnd"/>
      <w:r w:rsidR="00627F97">
        <w:rPr>
          <w:rFonts w:ascii="Arial" w:hAnsi="Arial" w:cs="Arial"/>
          <w:sz w:val="20"/>
          <w:szCs w:val="20"/>
        </w:rPr>
        <w:t xml:space="preserve"> Gore”</w:t>
      </w:r>
      <w:r w:rsidR="00E10324">
        <w:rPr>
          <w:rFonts w:ascii="Arial" w:hAnsi="Arial" w:cs="Arial"/>
          <w:sz w:val="20"/>
          <w:szCs w:val="20"/>
        </w:rPr>
        <w:t xml:space="preserve">, a </w:t>
      </w:r>
      <w:proofErr w:type="spellStart"/>
      <w:r w:rsidR="00E10324">
        <w:rPr>
          <w:rFonts w:ascii="Arial" w:hAnsi="Arial" w:cs="Arial"/>
          <w:sz w:val="20"/>
          <w:szCs w:val="20"/>
        </w:rPr>
        <w:t>polazeći</w:t>
      </w:r>
      <w:proofErr w:type="spellEnd"/>
      <w:r w:rsidR="00E103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0324">
        <w:rPr>
          <w:rFonts w:ascii="Arial" w:hAnsi="Arial" w:cs="Arial"/>
          <w:sz w:val="20"/>
          <w:szCs w:val="20"/>
        </w:rPr>
        <w:t>od</w:t>
      </w:r>
      <w:proofErr w:type="spellEnd"/>
      <w:r w:rsidR="00E103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D6F">
        <w:rPr>
          <w:rFonts w:ascii="Arial" w:hAnsi="Arial" w:cs="Arial"/>
          <w:sz w:val="20"/>
          <w:szCs w:val="20"/>
        </w:rPr>
        <w:t>Zakona</w:t>
      </w:r>
      <w:proofErr w:type="spellEnd"/>
      <w:r w:rsidR="00D85D6F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D85D6F">
        <w:rPr>
          <w:rFonts w:ascii="Arial" w:hAnsi="Arial" w:cs="Arial"/>
          <w:sz w:val="20"/>
          <w:szCs w:val="20"/>
        </w:rPr>
        <w:t>drža</w:t>
      </w:r>
      <w:r w:rsidR="00DC2DF8">
        <w:rPr>
          <w:rFonts w:ascii="Arial" w:hAnsi="Arial" w:cs="Arial"/>
          <w:sz w:val="20"/>
          <w:szCs w:val="20"/>
        </w:rPr>
        <w:t>vnoj</w:t>
      </w:r>
      <w:proofErr w:type="spellEnd"/>
      <w:r w:rsidR="00DC2D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2DF8">
        <w:rPr>
          <w:rFonts w:ascii="Arial" w:hAnsi="Arial" w:cs="Arial"/>
          <w:sz w:val="20"/>
          <w:szCs w:val="20"/>
        </w:rPr>
        <w:t>upravi</w:t>
      </w:r>
      <w:proofErr w:type="spellEnd"/>
      <w:r w:rsidR="00DC2DF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C2DF8">
        <w:rPr>
          <w:rFonts w:ascii="Arial" w:hAnsi="Arial" w:cs="Arial"/>
          <w:sz w:val="20"/>
          <w:szCs w:val="20"/>
        </w:rPr>
        <w:t>član</w:t>
      </w:r>
      <w:proofErr w:type="spellEnd"/>
      <w:r w:rsidR="00DC2DF8">
        <w:rPr>
          <w:rFonts w:ascii="Arial" w:hAnsi="Arial" w:cs="Arial"/>
          <w:sz w:val="20"/>
          <w:szCs w:val="20"/>
        </w:rPr>
        <w:t xml:space="preserve"> 74 u </w:t>
      </w:r>
      <w:proofErr w:type="spellStart"/>
      <w:r w:rsidR="00DC2DF8">
        <w:rPr>
          <w:rFonts w:ascii="Arial" w:hAnsi="Arial" w:cs="Arial"/>
          <w:sz w:val="20"/>
          <w:szCs w:val="20"/>
        </w:rPr>
        <w:t>kome</w:t>
      </w:r>
      <w:proofErr w:type="spellEnd"/>
      <w:r w:rsidR="00DC2DF8">
        <w:rPr>
          <w:rFonts w:ascii="Arial" w:hAnsi="Arial" w:cs="Arial"/>
          <w:sz w:val="20"/>
          <w:szCs w:val="20"/>
        </w:rPr>
        <w:t xml:space="preserve"> je o</w:t>
      </w:r>
      <w:r w:rsidR="00D85D6F">
        <w:rPr>
          <w:rFonts w:ascii="Arial" w:hAnsi="Arial" w:cs="Arial"/>
          <w:sz w:val="20"/>
          <w:szCs w:val="20"/>
        </w:rPr>
        <w:t xml:space="preserve">rgan </w:t>
      </w:r>
      <w:proofErr w:type="spellStart"/>
      <w:r w:rsidR="00D85D6F">
        <w:rPr>
          <w:rFonts w:ascii="Arial" w:hAnsi="Arial" w:cs="Arial"/>
          <w:sz w:val="20"/>
          <w:szCs w:val="20"/>
        </w:rPr>
        <w:t>uprave</w:t>
      </w:r>
      <w:proofErr w:type="spellEnd"/>
      <w:r w:rsidR="00D85D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D6F">
        <w:rPr>
          <w:rFonts w:ascii="Arial" w:hAnsi="Arial" w:cs="Arial"/>
          <w:sz w:val="20"/>
          <w:szCs w:val="20"/>
        </w:rPr>
        <w:t>dužan</w:t>
      </w:r>
      <w:proofErr w:type="spellEnd"/>
      <w:r w:rsidR="00D85D6F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D85D6F">
        <w:rPr>
          <w:rFonts w:ascii="Arial" w:hAnsi="Arial" w:cs="Arial"/>
          <w:sz w:val="20"/>
          <w:szCs w:val="20"/>
        </w:rPr>
        <w:t>podnese</w:t>
      </w:r>
      <w:proofErr w:type="spellEnd"/>
      <w:r w:rsidR="00D85D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D6F">
        <w:rPr>
          <w:rFonts w:ascii="Arial" w:hAnsi="Arial" w:cs="Arial"/>
          <w:sz w:val="20"/>
          <w:szCs w:val="20"/>
        </w:rPr>
        <w:t>Izvještaj</w:t>
      </w:r>
      <w:proofErr w:type="spellEnd"/>
      <w:r w:rsidR="00D85D6F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D85D6F">
        <w:rPr>
          <w:rFonts w:ascii="Arial" w:hAnsi="Arial" w:cs="Arial"/>
          <w:sz w:val="20"/>
          <w:szCs w:val="20"/>
        </w:rPr>
        <w:t>radu</w:t>
      </w:r>
      <w:proofErr w:type="spellEnd"/>
      <w:r w:rsidR="00D85D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D6F">
        <w:rPr>
          <w:rFonts w:ascii="Arial" w:hAnsi="Arial" w:cs="Arial"/>
          <w:sz w:val="20"/>
          <w:szCs w:val="20"/>
        </w:rPr>
        <w:t>jednom</w:t>
      </w:r>
      <w:proofErr w:type="spellEnd"/>
      <w:r w:rsidR="00D85D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D6F">
        <w:rPr>
          <w:rFonts w:ascii="Arial" w:hAnsi="Arial" w:cs="Arial"/>
          <w:sz w:val="20"/>
          <w:szCs w:val="20"/>
        </w:rPr>
        <w:t>godišnje</w:t>
      </w:r>
      <w:proofErr w:type="spellEnd"/>
      <w:r w:rsidR="00D85D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D6F" w:rsidRPr="00D85D6F">
        <w:rPr>
          <w:rFonts w:ascii="Arial" w:hAnsi="Arial" w:cs="Arial"/>
          <w:sz w:val="20"/>
          <w:szCs w:val="20"/>
        </w:rPr>
        <w:t>i</w:t>
      </w:r>
      <w:proofErr w:type="spellEnd"/>
      <w:r w:rsidR="00D85D6F" w:rsidRPr="00D85D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D6F" w:rsidRPr="00D85D6F">
        <w:rPr>
          <w:rFonts w:ascii="Arial" w:hAnsi="Arial" w:cs="Arial"/>
          <w:sz w:val="20"/>
          <w:szCs w:val="20"/>
        </w:rPr>
        <w:t>stanju</w:t>
      </w:r>
      <w:proofErr w:type="spellEnd"/>
      <w:r w:rsidR="00D85D6F" w:rsidRPr="00D85D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D85D6F" w:rsidRPr="00D85D6F">
        <w:rPr>
          <w:rFonts w:ascii="Arial" w:hAnsi="Arial" w:cs="Arial"/>
          <w:sz w:val="20"/>
          <w:szCs w:val="20"/>
        </w:rPr>
        <w:t>oblastima</w:t>
      </w:r>
      <w:proofErr w:type="spellEnd"/>
      <w:r w:rsidR="00D85D6F" w:rsidRPr="00D85D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D6F" w:rsidRPr="00D85D6F">
        <w:rPr>
          <w:rFonts w:ascii="Arial" w:hAnsi="Arial" w:cs="Arial"/>
          <w:sz w:val="20"/>
          <w:szCs w:val="20"/>
        </w:rPr>
        <w:t>za</w:t>
      </w:r>
      <w:proofErr w:type="spellEnd"/>
      <w:r w:rsidR="00D85D6F" w:rsidRPr="00D85D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D6F" w:rsidRPr="00D85D6F">
        <w:rPr>
          <w:rFonts w:ascii="Arial" w:hAnsi="Arial" w:cs="Arial"/>
          <w:sz w:val="20"/>
          <w:szCs w:val="20"/>
        </w:rPr>
        <w:t>koje</w:t>
      </w:r>
      <w:proofErr w:type="spellEnd"/>
      <w:r w:rsidR="00D85D6F" w:rsidRPr="00D85D6F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D85D6F" w:rsidRPr="00D85D6F">
        <w:rPr>
          <w:rFonts w:ascii="Arial" w:hAnsi="Arial" w:cs="Arial"/>
          <w:sz w:val="20"/>
          <w:szCs w:val="20"/>
        </w:rPr>
        <w:t>osnovan</w:t>
      </w:r>
      <w:proofErr w:type="spellEnd"/>
      <w:r w:rsidR="00BA364E">
        <w:rPr>
          <w:rFonts w:ascii="Arial" w:hAnsi="Arial" w:cs="Arial"/>
          <w:sz w:val="20"/>
          <w:szCs w:val="20"/>
        </w:rPr>
        <w:t>,</w:t>
      </w:r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prezentuju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80B13">
        <w:rPr>
          <w:rFonts w:ascii="Arial" w:hAnsi="Arial" w:cs="Arial"/>
          <w:sz w:val="20"/>
          <w:szCs w:val="20"/>
        </w:rPr>
        <w:t>kvantitativni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i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kvalit</w:t>
      </w:r>
      <w:r w:rsidR="0039258C" w:rsidRPr="00E80B13">
        <w:rPr>
          <w:rFonts w:ascii="Arial" w:hAnsi="Arial" w:cs="Arial"/>
          <w:sz w:val="20"/>
          <w:szCs w:val="20"/>
        </w:rPr>
        <w:t>ativni</w:t>
      </w:r>
      <w:proofErr w:type="spellEnd"/>
      <w:r w:rsidR="0039258C"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258C" w:rsidRPr="00E80B13">
        <w:rPr>
          <w:rFonts w:ascii="Arial" w:hAnsi="Arial" w:cs="Arial"/>
          <w:sz w:val="20"/>
          <w:szCs w:val="20"/>
        </w:rPr>
        <w:t>pokazatelji</w:t>
      </w:r>
      <w:proofErr w:type="spellEnd"/>
      <w:r w:rsidR="0039258C"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258C" w:rsidRPr="00E80B13">
        <w:rPr>
          <w:rFonts w:ascii="Arial" w:hAnsi="Arial" w:cs="Arial"/>
          <w:sz w:val="20"/>
          <w:szCs w:val="20"/>
        </w:rPr>
        <w:t>poslovanja</w:t>
      </w:r>
      <w:proofErr w:type="spellEnd"/>
      <w:r w:rsidR="0039258C"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258C" w:rsidRPr="00E80B13">
        <w:rPr>
          <w:rFonts w:ascii="Arial" w:hAnsi="Arial" w:cs="Arial"/>
          <w:sz w:val="20"/>
          <w:szCs w:val="20"/>
        </w:rPr>
        <w:t>za</w:t>
      </w:r>
      <w:proofErr w:type="spellEnd"/>
      <w:r w:rsidR="0039258C" w:rsidRPr="00E80B13">
        <w:rPr>
          <w:rFonts w:ascii="Arial" w:hAnsi="Arial" w:cs="Arial"/>
          <w:sz w:val="20"/>
          <w:szCs w:val="20"/>
        </w:rPr>
        <w:t xml:space="preserve"> period 01.01.-3</w:t>
      </w:r>
      <w:r w:rsidR="008C5176" w:rsidRPr="00E80B13">
        <w:rPr>
          <w:rFonts w:ascii="Arial" w:hAnsi="Arial" w:cs="Arial"/>
          <w:sz w:val="20"/>
          <w:szCs w:val="20"/>
        </w:rPr>
        <w:t>1.12</w:t>
      </w:r>
      <w:r w:rsidR="0039258C" w:rsidRPr="00E80B13">
        <w:rPr>
          <w:rFonts w:ascii="Arial" w:hAnsi="Arial" w:cs="Arial"/>
          <w:sz w:val="20"/>
          <w:szCs w:val="20"/>
        </w:rPr>
        <w:t xml:space="preserve">.2024. </w:t>
      </w:r>
      <w:proofErr w:type="spellStart"/>
      <w:r w:rsidR="0039258C" w:rsidRPr="00E80B13">
        <w:rPr>
          <w:rFonts w:ascii="Arial" w:hAnsi="Arial" w:cs="Arial"/>
          <w:sz w:val="20"/>
          <w:szCs w:val="20"/>
        </w:rPr>
        <w:t>godine</w:t>
      </w:r>
      <w:proofErr w:type="spellEnd"/>
      <w:r w:rsidR="00AE502F">
        <w:rPr>
          <w:rFonts w:ascii="Arial" w:hAnsi="Arial" w:cs="Arial"/>
          <w:sz w:val="20"/>
          <w:szCs w:val="20"/>
        </w:rPr>
        <w:t>.</w:t>
      </w:r>
    </w:p>
    <w:p w:rsidR="00F270F5" w:rsidRPr="00E80B13" w:rsidRDefault="00AE0549" w:rsidP="00AE0549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iCs/>
          <w:sz w:val="20"/>
          <w:szCs w:val="20"/>
          <w:lang w:val="sl-SI"/>
        </w:rPr>
      </w:pPr>
      <w:r w:rsidRPr="00E80B13">
        <w:rPr>
          <w:rFonts w:ascii="Arial" w:hAnsi="Arial" w:cs="Arial"/>
          <w:b/>
          <w:sz w:val="20"/>
          <w:szCs w:val="20"/>
          <w:lang w:val="sl-SI"/>
        </w:rPr>
        <w:t>Tabela 1</w:t>
      </w:r>
      <w:r w:rsidRPr="00E80B13">
        <w:rPr>
          <w:rFonts w:ascii="Arial" w:hAnsi="Arial" w:cs="Arial"/>
          <w:bCs/>
          <w:iCs/>
          <w:sz w:val="20"/>
          <w:szCs w:val="20"/>
          <w:lang w:val="sl-SI"/>
        </w:rPr>
        <w:t>:</w:t>
      </w:r>
      <w:r w:rsidR="00F270F5" w:rsidRPr="00E80B13">
        <w:rPr>
          <w:rFonts w:ascii="Arial" w:hAnsi="Arial" w:cs="Arial"/>
          <w:bCs/>
          <w:iCs/>
          <w:sz w:val="20"/>
          <w:szCs w:val="20"/>
          <w:lang w:val="sl-SI"/>
        </w:rPr>
        <w:t xml:space="preserve"> Plan bruto naplate Poreske uprave za 2024.godinu </w:t>
      </w:r>
    </w:p>
    <w:tbl>
      <w:tblPr>
        <w:tblW w:w="7513" w:type="dxa"/>
        <w:tblInd w:w="108" w:type="dxa"/>
        <w:tblLook w:val="04A0" w:firstRow="1" w:lastRow="0" w:firstColumn="1" w:lastColumn="0" w:noHBand="0" w:noVBand="1"/>
      </w:tblPr>
      <w:tblGrid>
        <w:gridCol w:w="2820"/>
        <w:gridCol w:w="2567"/>
        <w:gridCol w:w="2126"/>
      </w:tblGrid>
      <w:tr w:rsidR="00F270F5" w:rsidRPr="00E80B13" w:rsidTr="00FD5E97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VRSTA PRIHODA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ind w:right="-319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Ostvarena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bruto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naplata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u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ind w:right="-319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Plan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bruto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naplate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u 2024</w:t>
            </w:r>
          </w:p>
        </w:tc>
      </w:tr>
      <w:tr w:rsidR="00F270F5" w:rsidRPr="00E80B13" w:rsidTr="003D1CC4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 1.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Porez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na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dobit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pravnih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lica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152.620.711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164.651.056</w:t>
            </w:r>
          </w:p>
        </w:tc>
      </w:tr>
      <w:tr w:rsidR="00F270F5" w:rsidRPr="00E80B13" w:rsidTr="003D1CC4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 2.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Porez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na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dohodak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građana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170.634.852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184.994.831</w:t>
            </w:r>
          </w:p>
        </w:tc>
      </w:tr>
      <w:tr w:rsidR="00F270F5" w:rsidRPr="00E80B13" w:rsidTr="003D1CC4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 3.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Porez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na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dodatu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vrijednost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400.783.783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467.411.304</w:t>
            </w:r>
          </w:p>
        </w:tc>
      </w:tr>
      <w:tr w:rsidR="00F270F5" w:rsidRPr="00E80B13" w:rsidTr="003D1CC4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 4.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Koncesije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59.934.467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68.562.114</w:t>
            </w:r>
          </w:p>
        </w:tc>
      </w:tr>
      <w:tr w:rsidR="00F270F5" w:rsidRPr="00E80B13" w:rsidTr="003D1CC4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 5.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Porez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na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promet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nepokretnosti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31.643.301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6.328.660</w:t>
            </w:r>
          </w:p>
        </w:tc>
      </w:tr>
      <w:tr w:rsidR="00F270F5" w:rsidRPr="00E80B13" w:rsidTr="003D1CC4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 6.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Ostali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poreski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22.632.858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22.632.858</w:t>
            </w:r>
          </w:p>
        </w:tc>
      </w:tr>
      <w:tr w:rsidR="00F270F5" w:rsidRPr="00E80B13" w:rsidTr="00FD5E97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         U K U P N O   P O R E Z I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838.249.973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914.580.823</w:t>
            </w:r>
          </w:p>
        </w:tc>
      </w:tr>
      <w:tr w:rsidR="00F270F5" w:rsidRPr="00E80B13" w:rsidTr="003D1CC4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  7.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Doprinosi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za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PIO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530.946.080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562.183.576</w:t>
            </w:r>
          </w:p>
        </w:tc>
      </w:tr>
      <w:tr w:rsidR="00F270F5" w:rsidRPr="00E80B13" w:rsidTr="003D1CC4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  8.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Doprinosi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za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zdravstvo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7.249.340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3.174.905</w:t>
            </w:r>
          </w:p>
        </w:tc>
      </w:tr>
      <w:tr w:rsidR="00F270F5" w:rsidRPr="00E80B13" w:rsidTr="003D1CC4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  9.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Doprinosi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za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nezaposlene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37.628.197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37.357.069</w:t>
            </w:r>
          </w:p>
        </w:tc>
      </w:tr>
      <w:tr w:rsidR="00F270F5" w:rsidRPr="00E80B13" w:rsidTr="003D1CC4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  10.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Ostali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doprinosi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- fond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4.818.467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4.993.170</w:t>
            </w:r>
          </w:p>
        </w:tc>
      </w:tr>
      <w:tr w:rsidR="00F270F5" w:rsidRPr="00E80B13" w:rsidTr="00FD5E97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  U K U P N O   D O P R I N O S I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580.642.084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607.708.720</w:t>
            </w:r>
          </w:p>
        </w:tc>
      </w:tr>
      <w:tr w:rsidR="00F270F5" w:rsidRPr="00E80B13" w:rsidTr="003D1CC4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  11.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Posebne</w:t>
            </w:r>
            <w:proofErr w:type="spellEnd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takse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11.359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sz w:val="20"/>
                <w:szCs w:val="20"/>
              </w:rPr>
              <w:t>9.996</w:t>
            </w:r>
          </w:p>
        </w:tc>
      </w:tr>
      <w:tr w:rsidR="00F270F5" w:rsidRPr="00E80B13" w:rsidTr="00FD5E97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PORESKI PRIHODI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1.418.903.416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80B1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1.522.299.539</w:t>
            </w:r>
          </w:p>
        </w:tc>
      </w:tr>
    </w:tbl>
    <w:p w:rsidR="00D007E4" w:rsidRPr="00E80B13" w:rsidRDefault="00D007E4" w:rsidP="0076705F">
      <w:p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bCs/>
          <w:iCs/>
          <w:sz w:val="20"/>
          <w:szCs w:val="20"/>
          <w:lang w:val="sl-SI"/>
        </w:rPr>
      </w:pPr>
    </w:p>
    <w:p w:rsidR="00D007E4" w:rsidRPr="00E80B13" w:rsidRDefault="00D007E4" w:rsidP="00D007E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80B13">
        <w:rPr>
          <w:rFonts w:ascii="Arial" w:hAnsi="Arial" w:cs="Arial"/>
          <w:sz w:val="20"/>
          <w:szCs w:val="20"/>
        </w:rPr>
        <w:t>Poreskoj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upravi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80B13">
        <w:rPr>
          <w:rFonts w:ascii="Arial" w:hAnsi="Arial" w:cs="Arial"/>
          <w:sz w:val="20"/>
          <w:szCs w:val="20"/>
        </w:rPr>
        <w:t>Budžetom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Crne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Gore </w:t>
      </w:r>
      <w:proofErr w:type="spellStart"/>
      <w:r w:rsidRPr="00E80B13">
        <w:rPr>
          <w:rFonts w:ascii="Arial" w:hAnsi="Arial" w:cs="Arial"/>
          <w:sz w:val="20"/>
          <w:szCs w:val="20"/>
        </w:rPr>
        <w:t>za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2024. </w:t>
      </w:r>
      <w:proofErr w:type="spellStart"/>
      <w:r w:rsidRPr="00E80B13">
        <w:rPr>
          <w:rFonts w:ascii="Arial" w:hAnsi="Arial" w:cs="Arial"/>
          <w:sz w:val="20"/>
          <w:szCs w:val="20"/>
        </w:rPr>
        <w:t>godinu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opredijeljen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iznos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od 10.459.565,47 </w:t>
      </w:r>
      <w:proofErr w:type="spellStart"/>
      <w:r w:rsidRPr="00E80B13">
        <w:rPr>
          <w:rFonts w:ascii="Arial" w:hAnsi="Arial" w:cs="Arial"/>
          <w:sz w:val="20"/>
          <w:szCs w:val="20"/>
        </w:rPr>
        <w:t>eura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82278E" w:rsidRPr="00E80B13">
        <w:rPr>
          <w:rFonts w:ascii="Arial" w:hAnsi="Arial" w:cs="Arial"/>
          <w:sz w:val="20"/>
          <w:szCs w:val="20"/>
        </w:rPr>
        <w:t>Za</w:t>
      </w:r>
      <w:proofErr w:type="spellEnd"/>
      <w:r w:rsidR="0082278E" w:rsidRPr="00E80B13">
        <w:rPr>
          <w:rFonts w:ascii="Arial" w:hAnsi="Arial" w:cs="Arial"/>
          <w:sz w:val="20"/>
          <w:szCs w:val="20"/>
        </w:rPr>
        <w:t xml:space="preserve"> period </w:t>
      </w:r>
      <w:proofErr w:type="spellStart"/>
      <w:r w:rsidR="0082278E" w:rsidRPr="00E80B13">
        <w:rPr>
          <w:rFonts w:ascii="Arial" w:hAnsi="Arial" w:cs="Arial"/>
          <w:sz w:val="20"/>
          <w:szCs w:val="20"/>
        </w:rPr>
        <w:t>od</w:t>
      </w:r>
      <w:proofErr w:type="spellEnd"/>
      <w:r w:rsidR="0082278E" w:rsidRPr="00E80B13">
        <w:rPr>
          <w:rFonts w:ascii="Arial" w:hAnsi="Arial" w:cs="Arial"/>
          <w:sz w:val="20"/>
          <w:szCs w:val="20"/>
        </w:rPr>
        <w:t xml:space="preserve"> 01.</w:t>
      </w:r>
      <w:proofErr w:type="gramStart"/>
      <w:r w:rsidR="0082278E" w:rsidRPr="00E80B13">
        <w:rPr>
          <w:rFonts w:ascii="Arial" w:hAnsi="Arial" w:cs="Arial"/>
          <w:sz w:val="20"/>
          <w:szCs w:val="20"/>
        </w:rPr>
        <w:t>01.2024.</w:t>
      </w:r>
      <w:r w:rsidRPr="00E80B13">
        <w:rPr>
          <w:rFonts w:ascii="Arial" w:hAnsi="Arial" w:cs="Arial"/>
          <w:sz w:val="20"/>
          <w:szCs w:val="20"/>
        </w:rPr>
        <w:t>do</w:t>
      </w:r>
      <w:proofErr w:type="gramEnd"/>
      <w:r w:rsidRPr="00E80B13">
        <w:rPr>
          <w:rFonts w:ascii="Arial" w:hAnsi="Arial" w:cs="Arial"/>
          <w:sz w:val="20"/>
          <w:szCs w:val="20"/>
        </w:rPr>
        <w:t xml:space="preserve"> 31.12.2024. </w:t>
      </w:r>
      <w:proofErr w:type="spellStart"/>
      <w:r w:rsidRPr="00E80B13">
        <w:rPr>
          <w:rFonts w:ascii="Arial" w:hAnsi="Arial" w:cs="Arial"/>
          <w:sz w:val="20"/>
          <w:szCs w:val="20"/>
        </w:rPr>
        <w:t>go</w:t>
      </w:r>
      <w:r w:rsidR="005F5C89" w:rsidRPr="00E80B13">
        <w:rPr>
          <w:rFonts w:ascii="Arial" w:hAnsi="Arial" w:cs="Arial"/>
          <w:sz w:val="20"/>
          <w:szCs w:val="20"/>
        </w:rPr>
        <w:t>dine</w:t>
      </w:r>
      <w:proofErr w:type="spellEnd"/>
      <w:r w:rsidR="005F5C89"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5C89" w:rsidRPr="00E80B13">
        <w:rPr>
          <w:rFonts w:ascii="Arial" w:hAnsi="Arial" w:cs="Arial"/>
          <w:sz w:val="20"/>
          <w:szCs w:val="20"/>
        </w:rPr>
        <w:t>sa</w:t>
      </w:r>
      <w:proofErr w:type="spellEnd"/>
      <w:r w:rsidR="005F5C89"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5C89" w:rsidRPr="00E80B13">
        <w:rPr>
          <w:rFonts w:ascii="Arial" w:hAnsi="Arial" w:cs="Arial"/>
          <w:sz w:val="20"/>
          <w:szCs w:val="20"/>
        </w:rPr>
        <w:t>pozicija</w:t>
      </w:r>
      <w:proofErr w:type="spellEnd"/>
      <w:r w:rsidR="005F5C89" w:rsidRPr="00E80B13">
        <w:rPr>
          <w:rFonts w:ascii="Arial" w:hAnsi="Arial" w:cs="Arial"/>
          <w:sz w:val="20"/>
          <w:szCs w:val="20"/>
        </w:rPr>
        <w:t xml:space="preserve"> Poreske </w:t>
      </w:r>
      <w:proofErr w:type="spellStart"/>
      <w:r w:rsidR="005F5C89" w:rsidRPr="00E80B13">
        <w:rPr>
          <w:rFonts w:ascii="Arial" w:hAnsi="Arial" w:cs="Arial"/>
          <w:sz w:val="20"/>
          <w:szCs w:val="20"/>
        </w:rPr>
        <w:t>uprave</w:t>
      </w:r>
      <w:proofErr w:type="spellEnd"/>
      <w:r w:rsidR="005F5C89" w:rsidRPr="00E80B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0B13">
        <w:rPr>
          <w:rFonts w:ascii="Arial" w:hAnsi="Arial" w:cs="Arial"/>
          <w:sz w:val="20"/>
          <w:szCs w:val="20"/>
        </w:rPr>
        <w:t>opredijeljenih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Budžetom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Crne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Gore </w:t>
      </w:r>
      <w:proofErr w:type="spellStart"/>
      <w:r w:rsidRPr="00E80B13">
        <w:rPr>
          <w:rFonts w:ascii="Arial" w:hAnsi="Arial" w:cs="Arial"/>
          <w:sz w:val="20"/>
          <w:szCs w:val="20"/>
        </w:rPr>
        <w:t>za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2024. </w:t>
      </w:r>
      <w:proofErr w:type="spellStart"/>
      <w:r w:rsidR="00AC5A46">
        <w:rPr>
          <w:rFonts w:ascii="Arial" w:hAnsi="Arial" w:cs="Arial"/>
          <w:sz w:val="20"/>
          <w:szCs w:val="20"/>
        </w:rPr>
        <w:t>g</w:t>
      </w:r>
      <w:r w:rsidRPr="00E80B13">
        <w:rPr>
          <w:rFonts w:ascii="Arial" w:hAnsi="Arial" w:cs="Arial"/>
          <w:sz w:val="20"/>
          <w:szCs w:val="20"/>
        </w:rPr>
        <w:t>odinu</w:t>
      </w:r>
      <w:proofErr w:type="spellEnd"/>
      <w:r w:rsidR="005F5C89" w:rsidRPr="00E80B13">
        <w:rPr>
          <w:rFonts w:ascii="Arial" w:hAnsi="Arial" w:cs="Arial"/>
          <w:sz w:val="20"/>
          <w:szCs w:val="20"/>
        </w:rPr>
        <w:t>,</w:t>
      </w:r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za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izmirenje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svih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obaveza</w:t>
      </w:r>
      <w:proofErr w:type="spellEnd"/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utrošen</w:t>
      </w:r>
      <w:proofErr w:type="spellEnd"/>
      <w:r w:rsidR="00AC5A4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C5A46">
        <w:rPr>
          <w:rFonts w:ascii="Arial" w:hAnsi="Arial" w:cs="Arial"/>
          <w:sz w:val="20"/>
          <w:szCs w:val="20"/>
        </w:rPr>
        <w:t xml:space="preserve">je </w:t>
      </w:r>
      <w:r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</w:rPr>
        <w:t>iznos</w:t>
      </w:r>
      <w:proofErr w:type="spellEnd"/>
      <w:proofErr w:type="gramEnd"/>
      <w:r w:rsidRPr="00E80B13">
        <w:rPr>
          <w:rFonts w:ascii="Arial" w:hAnsi="Arial" w:cs="Arial"/>
          <w:sz w:val="20"/>
          <w:szCs w:val="20"/>
        </w:rPr>
        <w:t xml:space="preserve"> od  10.549.737,04 </w:t>
      </w:r>
      <w:proofErr w:type="spellStart"/>
      <w:r w:rsidRPr="00E80B13">
        <w:rPr>
          <w:rFonts w:ascii="Arial" w:hAnsi="Arial" w:cs="Arial"/>
          <w:sz w:val="20"/>
          <w:szCs w:val="20"/>
        </w:rPr>
        <w:t>eura</w:t>
      </w:r>
      <w:proofErr w:type="spellEnd"/>
      <w:r w:rsidRPr="00E80B13">
        <w:rPr>
          <w:rFonts w:ascii="Arial" w:hAnsi="Arial" w:cs="Arial"/>
          <w:sz w:val="20"/>
          <w:szCs w:val="20"/>
        </w:rPr>
        <w:t>.</w:t>
      </w:r>
    </w:p>
    <w:p w:rsidR="00D007E4" w:rsidRPr="00E80B13" w:rsidRDefault="00D007E4" w:rsidP="00D007E4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iCs/>
          <w:sz w:val="20"/>
          <w:szCs w:val="20"/>
          <w:lang w:val="sl-SI"/>
        </w:rPr>
      </w:pPr>
    </w:p>
    <w:p w:rsidR="000B0F5F" w:rsidRPr="00E80B13" w:rsidRDefault="000B0F5F" w:rsidP="0076705F">
      <w:pPr>
        <w:jc w:val="both"/>
        <w:rPr>
          <w:rFonts w:ascii="Arial" w:hAnsi="Arial" w:cs="Arial"/>
          <w:sz w:val="20"/>
          <w:szCs w:val="20"/>
        </w:rPr>
      </w:pPr>
    </w:p>
    <w:p w:rsidR="009C31AA" w:rsidRPr="00E80B13" w:rsidRDefault="009C31AA" w:rsidP="0076705F">
      <w:pPr>
        <w:jc w:val="both"/>
        <w:rPr>
          <w:rFonts w:ascii="Arial" w:hAnsi="Arial" w:cs="Arial"/>
          <w:sz w:val="20"/>
          <w:szCs w:val="20"/>
        </w:rPr>
      </w:pPr>
    </w:p>
    <w:p w:rsidR="009C31AA" w:rsidRPr="00E80B13" w:rsidRDefault="009C31AA" w:rsidP="0076705F">
      <w:pPr>
        <w:jc w:val="both"/>
        <w:rPr>
          <w:rFonts w:ascii="Arial" w:hAnsi="Arial" w:cs="Arial"/>
          <w:sz w:val="20"/>
          <w:szCs w:val="20"/>
        </w:rPr>
      </w:pPr>
    </w:p>
    <w:p w:rsidR="009C31AA" w:rsidRPr="00E80B13" w:rsidRDefault="009C31AA" w:rsidP="0076705F">
      <w:pPr>
        <w:jc w:val="both"/>
        <w:rPr>
          <w:rFonts w:ascii="Arial" w:hAnsi="Arial" w:cs="Arial"/>
          <w:sz w:val="20"/>
          <w:szCs w:val="20"/>
        </w:rPr>
      </w:pPr>
    </w:p>
    <w:p w:rsidR="009C31AA" w:rsidRPr="00E80B13" w:rsidRDefault="009C31AA" w:rsidP="0076705F">
      <w:pPr>
        <w:jc w:val="both"/>
        <w:rPr>
          <w:rFonts w:ascii="Arial" w:hAnsi="Arial" w:cs="Arial"/>
          <w:sz w:val="20"/>
          <w:szCs w:val="20"/>
        </w:rPr>
      </w:pPr>
    </w:p>
    <w:p w:rsidR="0082278E" w:rsidRPr="00E80B13" w:rsidRDefault="0082278E" w:rsidP="0076705F">
      <w:pPr>
        <w:jc w:val="both"/>
        <w:rPr>
          <w:rFonts w:ascii="Arial" w:hAnsi="Arial" w:cs="Arial"/>
          <w:sz w:val="20"/>
          <w:szCs w:val="20"/>
        </w:rPr>
      </w:pPr>
    </w:p>
    <w:p w:rsidR="009C31AA" w:rsidRPr="00E80B13" w:rsidRDefault="009C31AA" w:rsidP="0076705F">
      <w:pPr>
        <w:jc w:val="both"/>
        <w:rPr>
          <w:rFonts w:ascii="Arial" w:hAnsi="Arial" w:cs="Arial"/>
          <w:sz w:val="20"/>
          <w:szCs w:val="20"/>
        </w:rPr>
      </w:pPr>
    </w:p>
    <w:p w:rsidR="00F270F5" w:rsidRPr="00B81684" w:rsidRDefault="00F270F5" w:rsidP="00281D4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i/>
          <w:sz w:val="24"/>
          <w:szCs w:val="24"/>
          <w:lang w:val="sl-SI"/>
        </w:rPr>
      </w:pPr>
      <w:r w:rsidRPr="00B81684">
        <w:rPr>
          <w:rFonts w:ascii="Arial Narrow" w:hAnsi="Arial Narrow" w:cs="Arial"/>
          <w:b/>
          <w:i/>
          <w:sz w:val="24"/>
          <w:szCs w:val="24"/>
          <w:lang w:val="sl-SI"/>
        </w:rPr>
        <w:lastRenderedPageBreak/>
        <w:t>USLUGE PORESKIM OBVEZNICIMA-transparentnost Poreske uprave</w:t>
      </w:r>
    </w:p>
    <w:p w:rsidR="00F270F5" w:rsidRPr="00E80B13" w:rsidRDefault="00F270F5" w:rsidP="0076705F">
      <w:pPr>
        <w:spacing w:after="0" w:line="240" w:lineRule="auto"/>
        <w:ind w:left="360"/>
        <w:jc w:val="both"/>
        <w:rPr>
          <w:rFonts w:ascii="Arial Narrow" w:hAnsi="Arial Narrow" w:cs="Arial"/>
          <w:i/>
          <w:sz w:val="20"/>
          <w:szCs w:val="20"/>
          <w:lang w:val="sl-SI"/>
        </w:rPr>
      </w:pPr>
    </w:p>
    <w:p w:rsidR="00F270F5" w:rsidRPr="00E80B13" w:rsidRDefault="00F270F5" w:rsidP="0076705F">
      <w:pPr>
        <w:spacing w:after="0" w:line="240" w:lineRule="auto"/>
        <w:ind w:left="360"/>
        <w:jc w:val="both"/>
        <w:rPr>
          <w:rFonts w:ascii="Arial Narrow" w:hAnsi="Arial Narrow" w:cs="Arial"/>
          <w:i/>
          <w:sz w:val="20"/>
          <w:szCs w:val="20"/>
          <w:lang w:val="sl-SI"/>
        </w:rPr>
      </w:pPr>
    </w:p>
    <w:p w:rsidR="002D0DA2" w:rsidRPr="00E80B13" w:rsidRDefault="00F270F5" w:rsidP="00971555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E80B13">
        <w:rPr>
          <w:rFonts w:ascii="Arial" w:eastAsia="Calibri" w:hAnsi="Arial" w:cs="Arial"/>
          <w:sz w:val="20"/>
          <w:szCs w:val="20"/>
          <w:lang w:val="sl-SI"/>
        </w:rPr>
        <w:t>Obaveza Poreske uprave je da ostvari što veći budžetski prihod i da kroz svoje nadležnosti uspostavi što bolju fiskalnu disciplinu. U tom smislu jedan od strateških ciljeva Poreske uprave je adekvatna edukacija i pružanje brze i kvalitetne usluge svim poreskim obveznicima i građanima.</w:t>
      </w:r>
    </w:p>
    <w:p w:rsidR="00071CD8" w:rsidRPr="00E80B13" w:rsidRDefault="001B37E0" w:rsidP="00071CD8">
      <w:pPr>
        <w:pStyle w:val="BodyText"/>
        <w:tabs>
          <w:tab w:val="left" w:pos="0"/>
        </w:tabs>
        <w:jc w:val="both"/>
        <w:rPr>
          <w:rFonts w:ascii="Arial" w:eastAsiaTheme="minorHAnsi" w:hAnsi="Arial" w:cs="Arial"/>
          <w:sz w:val="20"/>
          <w:szCs w:val="20"/>
          <w:lang w:val="sl-SI"/>
        </w:rPr>
      </w:pPr>
      <w:r w:rsidRPr="00E80B13">
        <w:rPr>
          <w:rFonts w:ascii="Arial" w:eastAsiaTheme="minorHAnsi" w:hAnsi="Arial" w:cs="Arial"/>
          <w:sz w:val="20"/>
          <w:szCs w:val="20"/>
          <w:lang w:val="sl-SI"/>
        </w:rPr>
        <w:t>Putem call</w:t>
      </w:r>
      <w:r w:rsidR="00FF6FAC"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-centra tokom 2024. godine dato je 4654 odgovora. Rezidentima je odgovoreno na 3728 pitanja, pri čemu se 2551 odgovora odnosilo na pravna lica, dok je fizičkim licima dato 1177 </w:t>
      </w:r>
      <w:r w:rsidRPr="00E80B13">
        <w:rPr>
          <w:rFonts w:ascii="Arial" w:eastAsiaTheme="minorHAnsi" w:hAnsi="Arial" w:cs="Arial"/>
          <w:sz w:val="20"/>
          <w:szCs w:val="20"/>
          <w:lang w:val="sl-SI"/>
        </w:rPr>
        <w:t>odgovora</w:t>
      </w:r>
      <w:r w:rsidR="00FF6FAC" w:rsidRPr="00E80B13">
        <w:rPr>
          <w:rFonts w:ascii="Arial" w:eastAsiaTheme="minorHAnsi" w:hAnsi="Arial" w:cs="Arial"/>
          <w:sz w:val="20"/>
          <w:szCs w:val="20"/>
          <w:lang w:val="sl-SI"/>
        </w:rPr>
        <w:t>. Nerezidentima je dato 926 odgovora</w:t>
      </w:r>
      <w:r w:rsidR="00071CD8"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. </w:t>
      </w:r>
    </w:p>
    <w:p w:rsidR="003D1CC4" w:rsidRPr="00E80B13" w:rsidRDefault="003D1CC4" w:rsidP="00971555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E80B13">
        <w:rPr>
          <w:rFonts w:ascii="Arial" w:eastAsia="Calibri" w:hAnsi="Arial" w:cs="Arial"/>
          <w:sz w:val="20"/>
          <w:szCs w:val="20"/>
          <w:lang w:val="sl-SI"/>
        </w:rPr>
        <w:t>Tokom izvještajnog period</w:t>
      </w:r>
      <w:r w:rsidR="006662CA" w:rsidRPr="00E80B13">
        <w:rPr>
          <w:rFonts w:ascii="Arial" w:eastAsia="Calibri" w:hAnsi="Arial" w:cs="Arial"/>
          <w:sz w:val="20"/>
          <w:szCs w:val="20"/>
          <w:lang w:val="sl-SI"/>
        </w:rPr>
        <w:t>a najčešće postavljana pitanja za</w:t>
      </w:r>
      <w:r w:rsidRPr="00E80B13">
        <w:rPr>
          <w:rFonts w:ascii="Arial" w:eastAsia="Calibri" w:hAnsi="Arial" w:cs="Arial"/>
          <w:sz w:val="20"/>
          <w:szCs w:val="20"/>
          <w:lang w:val="sl-SI"/>
        </w:rPr>
        <w:t xml:space="preserve"> oblast PDV odnosila su</w:t>
      </w:r>
      <w:r w:rsidR="00071CD8" w:rsidRPr="00E80B13">
        <w:rPr>
          <w:rFonts w:ascii="Arial" w:eastAsia="Calibri" w:hAnsi="Arial" w:cs="Arial"/>
          <w:sz w:val="20"/>
          <w:szCs w:val="20"/>
          <w:lang w:val="sl-SI"/>
        </w:rPr>
        <w:t xml:space="preserve"> se na početak primjene odredbi</w:t>
      </w:r>
      <w:r w:rsidRPr="00E80B13">
        <w:rPr>
          <w:rFonts w:ascii="Arial" w:eastAsia="Calibri" w:hAnsi="Arial" w:cs="Arial"/>
          <w:sz w:val="20"/>
          <w:szCs w:val="20"/>
          <w:lang w:val="sl-SI"/>
        </w:rPr>
        <w:t xml:space="preserve"> Zakona</w:t>
      </w:r>
      <w:r w:rsidR="00974145">
        <w:rPr>
          <w:rFonts w:ascii="Arial" w:eastAsia="Calibri" w:hAnsi="Arial" w:cs="Arial"/>
          <w:sz w:val="20"/>
          <w:szCs w:val="20"/>
          <w:lang w:val="sl-SI"/>
        </w:rPr>
        <w:t xml:space="preserve"> o porezu na dodatu vrijednost </w:t>
      </w:r>
      <w:r w:rsidRPr="00E80B13">
        <w:rPr>
          <w:rFonts w:ascii="Arial" w:eastAsia="Calibri" w:hAnsi="Arial" w:cs="Arial"/>
          <w:sz w:val="20"/>
          <w:szCs w:val="20"/>
          <w:lang w:val="sl-SI"/>
        </w:rPr>
        <w:t xml:space="preserve"> kojima se mijenja stopa po kojoj se oporezuje promet usluga usluživanja i pripremanja hrane i pića u ugostiteljskim objektima.</w:t>
      </w:r>
    </w:p>
    <w:p w:rsidR="00013951" w:rsidRPr="00E80B13" w:rsidRDefault="003D1CC4" w:rsidP="00971555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E80B13">
        <w:rPr>
          <w:rFonts w:ascii="Arial" w:eastAsia="Calibri" w:hAnsi="Arial" w:cs="Arial"/>
          <w:sz w:val="20"/>
          <w:szCs w:val="20"/>
          <w:lang w:val="sl-SI"/>
        </w:rPr>
        <w:t>Kada je u pitanju oblast oporezivanja dohotka, poreski obveznici najčešće su se obraćali pitanjima vezanim za poreski tretman pojedinačnih vrsta primanja, kao što su naknade za članstvo u upravnim odborima i različitim komisijama, te poreski tretman prihoda po osnovu ugovora o djelu, poreski tretman dopunskog rada, kao i drugih primanja.</w:t>
      </w:r>
    </w:p>
    <w:p w:rsidR="00013951" w:rsidRPr="00E80B13" w:rsidRDefault="00013951" w:rsidP="00971555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Latn-ME"/>
        </w:rPr>
      </w:pPr>
      <w:r w:rsidRPr="00E80B13">
        <w:rPr>
          <w:rFonts w:ascii="Arial" w:eastAsia="Calibri" w:hAnsi="Arial" w:cs="Arial"/>
          <w:sz w:val="20"/>
          <w:szCs w:val="20"/>
          <w:lang w:val="sl-SI"/>
        </w:rPr>
        <w:t>Takođe, poreski obveznici su se tokom izvještajnog perioda interesovali za izmjene poreskih propisa kroz program “Evropa sad 2”, momenat početka primjene istih, očekivane efekt</w:t>
      </w:r>
      <w:r w:rsidR="00037281" w:rsidRPr="00E80B13">
        <w:rPr>
          <w:rFonts w:ascii="Arial" w:eastAsia="Calibri" w:hAnsi="Arial" w:cs="Arial"/>
          <w:sz w:val="20"/>
          <w:szCs w:val="20"/>
          <w:lang w:val="sl-SI"/>
        </w:rPr>
        <w:t>e na način obračuna zarada i slično.</w:t>
      </w:r>
    </w:p>
    <w:p w:rsidR="00071CD8" w:rsidRPr="00E80B13" w:rsidRDefault="00071CD8" w:rsidP="00071CD8">
      <w:pPr>
        <w:pStyle w:val="BodyText"/>
        <w:tabs>
          <w:tab w:val="left" w:pos="0"/>
        </w:tabs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E80B13">
        <w:rPr>
          <w:rFonts w:ascii="Arial" w:eastAsia="Calibri" w:hAnsi="Arial" w:cs="Arial"/>
          <w:sz w:val="20"/>
          <w:szCs w:val="20"/>
          <w:lang w:val="sl-SI"/>
        </w:rPr>
        <w:t>Za potrebe sprovođenja projekta elektronske fiskalizacije organizovana</w:t>
      </w:r>
      <w:r w:rsidR="00F42BB3" w:rsidRPr="00E80B13">
        <w:rPr>
          <w:rFonts w:ascii="Arial" w:eastAsia="Calibri" w:hAnsi="Arial" w:cs="Arial"/>
          <w:sz w:val="20"/>
          <w:szCs w:val="20"/>
          <w:lang w:val="sl-SI"/>
        </w:rPr>
        <w:t xml:space="preserve"> je</w:t>
      </w:r>
      <w:r w:rsidRPr="00E80B13">
        <w:rPr>
          <w:rFonts w:ascii="Arial" w:eastAsia="Calibri" w:hAnsi="Arial" w:cs="Arial"/>
          <w:sz w:val="20"/>
          <w:szCs w:val="20"/>
          <w:lang w:val="sl-SI"/>
        </w:rPr>
        <w:t xml:space="preserve"> podrška poreskim obveznicima putem namjenske e-mail adrese za komunikaciju </w:t>
      </w:r>
      <w:r w:rsidR="00340EBA">
        <w:fldChar w:fldCharType="begin"/>
      </w:r>
      <w:r w:rsidR="00340EBA">
        <w:instrText xml:space="preserve"> HYPERLINK "mailto:Efiskalizacija@tax.gov.me" </w:instrText>
      </w:r>
      <w:r w:rsidR="00340EBA">
        <w:fldChar w:fldCharType="separate"/>
      </w:r>
      <w:r w:rsidRPr="00E80B13">
        <w:rPr>
          <w:rFonts w:ascii="Arial" w:eastAsia="Calibri" w:hAnsi="Arial" w:cs="Arial"/>
          <w:sz w:val="20"/>
          <w:szCs w:val="20"/>
          <w:lang w:val="sl-SI"/>
        </w:rPr>
        <w:t>Efiskalizacija@tax.gov.me</w:t>
      </w:r>
      <w:r w:rsidR="00340EBA">
        <w:rPr>
          <w:rFonts w:ascii="Arial" w:eastAsia="Calibri" w:hAnsi="Arial" w:cs="Arial"/>
          <w:sz w:val="20"/>
          <w:szCs w:val="20"/>
          <w:lang w:val="sl-SI"/>
        </w:rPr>
        <w:fldChar w:fldCharType="end"/>
      </w:r>
      <w:r w:rsidRPr="00E80B13">
        <w:rPr>
          <w:rFonts w:ascii="Arial" w:eastAsia="Calibri" w:hAnsi="Arial" w:cs="Arial"/>
          <w:sz w:val="20"/>
          <w:szCs w:val="20"/>
          <w:lang w:val="sl-SI"/>
        </w:rPr>
        <w:t>, kao jedne od aktivnosti predviđenih shodno Komunikativnom planu donijetom za promociju proj</w:t>
      </w:r>
      <w:r w:rsidR="00037281" w:rsidRPr="00E80B13">
        <w:rPr>
          <w:rFonts w:ascii="Arial" w:eastAsia="Calibri" w:hAnsi="Arial" w:cs="Arial"/>
          <w:sz w:val="20"/>
          <w:szCs w:val="20"/>
          <w:lang w:val="sl-SI"/>
        </w:rPr>
        <w:t>ekta elektronske fiskalizacije</w:t>
      </w:r>
      <w:r w:rsidR="00F42BB3" w:rsidRPr="00E80B13">
        <w:rPr>
          <w:rFonts w:ascii="Arial" w:eastAsia="Calibri" w:hAnsi="Arial" w:cs="Arial"/>
          <w:sz w:val="20"/>
          <w:szCs w:val="20"/>
          <w:lang w:val="sl-SI"/>
        </w:rPr>
        <w:t xml:space="preserve">. </w:t>
      </w:r>
    </w:p>
    <w:p w:rsidR="00071CD8" w:rsidRPr="00E80B13" w:rsidRDefault="00071CD8" w:rsidP="00071CD8">
      <w:pPr>
        <w:pStyle w:val="BodyText"/>
        <w:tabs>
          <w:tab w:val="left" w:pos="0"/>
        </w:tabs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E80B13">
        <w:rPr>
          <w:rFonts w:ascii="Arial" w:eastAsia="Calibri" w:hAnsi="Arial" w:cs="Arial"/>
          <w:sz w:val="20"/>
          <w:szCs w:val="20"/>
          <w:lang w:val="sl-SI"/>
        </w:rPr>
        <w:t xml:space="preserve">Kroz platformu “Budi odgovoran” tokom </w:t>
      </w:r>
      <w:r w:rsidR="00862C57" w:rsidRPr="00E80B13">
        <w:rPr>
          <w:rFonts w:ascii="Arial" w:eastAsia="Calibri" w:hAnsi="Arial" w:cs="Arial"/>
          <w:sz w:val="20"/>
          <w:szCs w:val="20"/>
          <w:lang w:val="sl-SI"/>
        </w:rPr>
        <w:t xml:space="preserve">izvještajnog perioda </w:t>
      </w:r>
      <w:r w:rsidRPr="00E80B13">
        <w:rPr>
          <w:rFonts w:ascii="Arial" w:eastAsia="Calibri" w:hAnsi="Arial" w:cs="Arial"/>
          <w:sz w:val="20"/>
          <w:szCs w:val="20"/>
          <w:lang w:val="sl-SI"/>
        </w:rPr>
        <w:t xml:space="preserve">evidentirano je </w:t>
      </w:r>
      <w:r w:rsidR="000651E4" w:rsidRPr="00E80B13">
        <w:rPr>
          <w:rFonts w:ascii="Arial" w:eastAsia="Calibri" w:hAnsi="Arial" w:cs="Arial"/>
          <w:sz w:val="20"/>
          <w:szCs w:val="20"/>
          <w:lang w:val="sl-SI"/>
        </w:rPr>
        <w:t>776</w:t>
      </w:r>
      <w:r w:rsidRPr="00E80B13">
        <w:rPr>
          <w:rFonts w:ascii="Arial" w:eastAsia="Calibri" w:hAnsi="Arial" w:cs="Arial"/>
          <w:sz w:val="20"/>
          <w:szCs w:val="20"/>
          <w:lang w:val="sl-SI"/>
        </w:rPr>
        <w:t xml:space="preserve"> prijava nepravilnosti koje su procesuirane prema nadležnim filijalama za inspekcijski nadzor u područnim jedinicama.</w:t>
      </w:r>
    </w:p>
    <w:p w:rsidR="00071CD8" w:rsidRPr="00E80B13" w:rsidRDefault="00071CD8" w:rsidP="00071CD8">
      <w:pPr>
        <w:pStyle w:val="BodyText"/>
        <w:tabs>
          <w:tab w:val="left" w:pos="0"/>
        </w:tabs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E80B13">
        <w:rPr>
          <w:rFonts w:ascii="Arial" w:eastAsia="Calibri" w:hAnsi="Arial" w:cs="Arial"/>
          <w:sz w:val="20"/>
          <w:szCs w:val="20"/>
          <w:lang w:val="sl-SI"/>
        </w:rPr>
        <w:t xml:space="preserve">Takođe, </w:t>
      </w:r>
      <w:r w:rsidR="006662CA" w:rsidRPr="00E80B13">
        <w:rPr>
          <w:rFonts w:ascii="Arial" w:eastAsia="Calibri" w:hAnsi="Arial" w:cs="Arial"/>
          <w:sz w:val="20"/>
          <w:szCs w:val="20"/>
          <w:lang w:val="sl-SI"/>
        </w:rPr>
        <w:t>putem</w:t>
      </w:r>
      <w:r w:rsidRPr="00E80B13">
        <w:rPr>
          <w:rFonts w:ascii="Arial" w:eastAsia="Calibri" w:hAnsi="Arial" w:cs="Arial"/>
          <w:sz w:val="20"/>
          <w:szCs w:val="20"/>
          <w:lang w:val="sl-SI"/>
        </w:rPr>
        <w:t xml:space="preserve"> zvanične e-mail adrese Poreske uprave </w:t>
      </w:r>
      <w:r w:rsidR="00340EBA">
        <w:fldChar w:fldCharType="begin"/>
      </w:r>
      <w:r w:rsidR="00340EBA">
        <w:instrText xml:space="preserve"> HYPERLINK "mailto:upravaprihoda@tax.gov.me" </w:instrText>
      </w:r>
      <w:r w:rsidR="00340EBA">
        <w:fldChar w:fldCharType="separate"/>
      </w:r>
      <w:r w:rsidRPr="00E80B13">
        <w:rPr>
          <w:rFonts w:ascii="Arial" w:eastAsia="Calibri" w:hAnsi="Arial" w:cs="Arial"/>
          <w:sz w:val="20"/>
          <w:szCs w:val="20"/>
          <w:lang w:val="sl-SI"/>
        </w:rPr>
        <w:t>poreskauprava@tax.gov.me</w:t>
      </w:r>
      <w:r w:rsidR="00340EBA">
        <w:rPr>
          <w:rFonts w:ascii="Arial" w:eastAsia="Calibri" w:hAnsi="Arial" w:cs="Arial"/>
          <w:sz w:val="20"/>
          <w:szCs w:val="20"/>
          <w:lang w:val="sl-SI"/>
        </w:rPr>
        <w:fldChar w:fldCharType="end"/>
      </w:r>
      <w:r w:rsidRPr="00E80B13">
        <w:rPr>
          <w:rFonts w:ascii="Arial" w:eastAsia="Calibri" w:hAnsi="Arial" w:cs="Arial"/>
          <w:sz w:val="20"/>
          <w:szCs w:val="20"/>
          <w:lang w:val="sl-SI"/>
        </w:rPr>
        <w:t xml:space="preserve"> tokom </w:t>
      </w:r>
      <w:r w:rsidR="003A0C3E" w:rsidRPr="00E80B13">
        <w:rPr>
          <w:rFonts w:ascii="Arial" w:eastAsia="Calibri" w:hAnsi="Arial" w:cs="Arial"/>
          <w:sz w:val="20"/>
          <w:szCs w:val="20"/>
          <w:lang w:val="sl-SI"/>
        </w:rPr>
        <w:t xml:space="preserve">izvještajnog perioda </w:t>
      </w:r>
      <w:r w:rsidRPr="00E80B13">
        <w:rPr>
          <w:rFonts w:ascii="Arial" w:eastAsia="Calibri" w:hAnsi="Arial" w:cs="Arial"/>
          <w:sz w:val="20"/>
          <w:szCs w:val="20"/>
          <w:lang w:val="sl-SI"/>
        </w:rPr>
        <w:t xml:space="preserve">procesuirano je </w:t>
      </w:r>
      <w:r w:rsidR="003A0C3E" w:rsidRPr="00E80B13">
        <w:rPr>
          <w:rFonts w:ascii="Arial" w:eastAsia="Calibri" w:hAnsi="Arial" w:cs="Arial"/>
          <w:sz w:val="20"/>
          <w:szCs w:val="20"/>
          <w:lang w:val="sl-SI"/>
        </w:rPr>
        <w:t>1784</w:t>
      </w:r>
      <w:r w:rsidRPr="00E80B13">
        <w:rPr>
          <w:rFonts w:ascii="Arial" w:eastAsia="Calibri" w:hAnsi="Arial" w:cs="Arial"/>
          <w:sz w:val="20"/>
          <w:szCs w:val="20"/>
          <w:lang w:val="sl-SI"/>
        </w:rPr>
        <w:t xml:space="preserve"> zahtjeva upućen</w:t>
      </w:r>
      <w:r w:rsidR="00C92A7A" w:rsidRPr="00E80B13">
        <w:rPr>
          <w:rFonts w:ascii="Arial" w:eastAsia="Calibri" w:hAnsi="Arial" w:cs="Arial"/>
          <w:sz w:val="20"/>
          <w:szCs w:val="20"/>
          <w:lang w:val="sl-SI"/>
        </w:rPr>
        <w:t>ih</w:t>
      </w:r>
      <w:r w:rsidRPr="00E80B13">
        <w:rPr>
          <w:rFonts w:ascii="Arial" w:eastAsia="Calibri" w:hAnsi="Arial" w:cs="Arial"/>
          <w:sz w:val="20"/>
          <w:szCs w:val="20"/>
          <w:lang w:val="sl-SI"/>
        </w:rPr>
        <w:t xml:space="preserve"> Upravi, a u vezi sa zahtjevima za tumačenje poreskih propisa, slobodan pristup informacijama i ostalim uslugama poreskim obveznicima.</w:t>
      </w:r>
    </w:p>
    <w:p w:rsidR="00B85D16" w:rsidRPr="00E80B13" w:rsidRDefault="00E10FBE" w:rsidP="005F34EC">
      <w:pPr>
        <w:spacing w:line="240" w:lineRule="auto"/>
        <w:jc w:val="both"/>
        <w:rPr>
          <w:rFonts w:ascii="Arial" w:eastAsia="Times New Roman" w:hAnsi="Arial" w:cs="Arial"/>
          <w:lang w:val="en-GB"/>
        </w:rPr>
      </w:pPr>
      <w:r w:rsidRPr="00E80B13">
        <w:rPr>
          <w:rFonts w:ascii="Arial" w:eastAsia="Calibri" w:hAnsi="Arial" w:cs="Arial"/>
          <w:sz w:val="20"/>
          <w:szCs w:val="20"/>
          <w:lang w:val="sl-SI"/>
        </w:rPr>
        <w:t>Preuzete</w:t>
      </w:r>
      <w:r w:rsidR="00071CD8" w:rsidRPr="00E80B13">
        <w:rPr>
          <w:rFonts w:ascii="Arial" w:eastAsia="Calibri" w:hAnsi="Arial" w:cs="Arial"/>
          <w:sz w:val="20"/>
          <w:szCs w:val="20"/>
          <w:lang w:val="sl-SI"/>
        </w:rPr>
        <w:t xml:space="preserve"> su</w:t>
      </w:r>
      <w:r w:rsidRPr="00E80B13">
        <w:rPr>
          <w:rFonts w:ascii="Arial" w:eastAsia="Calibri" w:hAnsi="Arial" w:cs="Arial"/>
          <w:sz w:val="20"/>
          <w:szCs w:val="20"/>
          <w:lang w:val="sl-SI"/>
        </w:rPr>
        <w:t xml:space="preserve"> i</w:t>
      </w:r>
      <w:r w:rsidR="00071CD8" w:rsidRPr="00E80B13">
        <w:rPr>
          <w:rFonts w:ascii="Arial" w:eastAsia="Calibri" w:hAnsi="Arial" w:cs="Arial"/>
          <w:sz w:val="20"/>
          <w:szCs w:val="20"/>
          <w:lang w:val="sl-SI"/>
        </w:rPr>
        <w:t xml:space="preserve"> aktivnosti vezane za postupke javnih nabavki, imajući u vidu da je naručiocima u sistemu javnih nabavki omogućeno da, preko Elektronske platforme javnih nabavki (CEJN), izvrše provjeru ispunjenosti obaveznih uslova za učešće privrednih subjekata u postupcima javnih nabavki koji se odnose na izmirivanje obaveza po osnovu poreza i doprinosa. </w:t>
      </w:r>
      <w:r w:rsidR="00F90FE9" w:rsidRPr="00E80B13">
        <w:rPr>
          <w:rFonts w:ascii="Arial" w:eastAsia="Calibri" w:hAnsi="Arial" w:cs="Arial"/>
          <w:sz w:val="20"/>
          <w:szCs w:val="20"/>
          <w:lang w:val="sl-SI"/>
        </w:rPr>
        <w:t xml:space="preserve">Po tom osnovu tokom 2024. godine procesuirano je 3536 CEJN postupaka, po kojima je upućeno 5874 zahtjeva za dostavu podataka, te </w:t>
      </w:r>
      <w:r w:rsidR="00245042">
        <w:rPr>
          <w:rFonts w:ascii="Arial" w:eastAsia="Calibri" w:hAnsi="Arial" w:cs="Arial"/>
          <w:sz w:val="20"/>
          <w:szCs w:val="20"/>
          <w:lang w:val="sl-SI"/>
        </w:rPr>
        <w:t>poslato 5388 uvjerenja pristiglih</w:t>
      </w:r>
      <w:r w:rsidR="00F90FE9" w:rsidRPr="00E80B13">
        <w:rPr>
          <w:rFonts w:ascii="Arial" w:eastAsia="Calibri" w:hAnsi="Arial" w:cs="Arial"/>
          <w:sz w:val="20"/>
          <w:szCs w:val="20"/>
          <w:lang w:val="sl-SI"/>
        </w:rPr>
        <w:t xml:space="preserve"> od strane područnih jedinica.</w:t>
      </w:r>
    </w:p>
    <w:p w:rsidR="00071CD8" w:rsidRPr="00E80B13" w:rsidRDefault="00071CD8" w:rsidP="00071CD8">
      <w:pPr>
        <w:pStyle w:val="BodyText"/>
        <w:tabs>
          <w:tab w:val="left" w:pos="0"/>
        </w:tabs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E80B13">
        <w:rPr>
          <w:rFonts w:ascii="Arial" w:eastAsia="Calibri" w:hAnsi="Arial" w:cs="Arial"/>
          <w:sz w:val="20"/>
          <w:szCs w:val="20"/>
          <w:lang w:val="sl-SI"/>
        </w:rPr>
        <w:t xml:space="preserve">U izvještajnom periodu realizovane </w:t>
      </w:r>
      <w:r w:rsidR="008C0DFF">
        <w:rPr>
          <w:rFonts w:ascii="Arial" w:eastAsia="Calibri" w:hAnsi="Arial" w:cs="Arial"/>
          <w:sz w:val="20"/>
          <w:szCs w:val="20"/>
          <w:lang w:val="sl-SI"/>
        </w:rPr>
        <w:t xml:space="preserve">su aktivnosti u okviru projekta </w:t>
      </w:r>
      <w:r w:rsidRPr="00E80B13">
        <w:rPr>
          <w:rFonts w:ascii="Arial" w:eastAsia="Calibri" w:hAnsi="Arial" w:cs="Arial"/>
          <w:sz w:val="20"/>
          <w:szCs w:val="20"/>
          <w:lang w:val="sl-SI"/>
        </w:rPr>
        <w:t xml:space="preserve">“Edukacija učenika osnovnih i srednjih škola o porezima </w:t>
      </w:r>
      <w:r w:rsidR="001B0100" w:rsidRPr="00E80B13">
        <w:rPr>
          <w:rFonts w:ascii="Arial" w:eastAsia="Calibri" w:hAnsi="Arial" w:cs="Arial"/>
          <w:sz w:val="20"/>
          <w:szCs w:val="20"/>
          <w:lang w:val="sl-SI"/>
        </w:rPr>
        <w:t>i poreskom sistemu Crne Gore”,</w:t>
      </w:r>
      <w:r w:rsidRPr="00E80B13">
        <w:rPr>
          <w:rFonts w:ascii="Arial" w:eastAsia="Calibri" w:hAnsi="Arial" w:cs="Arial"/>
          <w:sz w:val="20"/>
          <w:szCs w:val="20"/>
          <w:lang w:val="sl-SI"/>
        </w:rPr>
        <w:t xml:space="preserve"> organizovani su susreti sa đacima završnih razreda u više crnogorskih gradova</w:t>
      </w:r>
      <w:r w:rsidR="001B0100" w:rsidRPr="00E80B13">
        <w:rPr>
          <w:rFonts w:ascii="Arial" w:eastAsia="Calibri" w:hAnsi="Arial" w:cs="Arial"/>
          <w:sz w:val="20"/>
          <w:szCs w:val="20"/>
          <w:lang w:val="sl-SI"/>
        </w:rPr>
        <w:t>.</w:t>
      </w:r>
    </w:p>
    <w:p w:rsidR="00071CD8" w:rsidRPr="00E80B13" w:rsidRDefault="00071CD8" w:rsidP="00071CD8">
      <w:pPr>
        <w:pStyle w:val="BodyText"/>
        <w:tabs>
          <w:tab w:val="left" w:pos="0"/>
        </w:tabs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E80B13">
        <w:rPr>
          <w:rFonts w:ascii="Arial" w:eastAsia="Calibri" w:hAnsi="Arial" w:cs="Arial"/>
          <w:sz w:val="20"/>
          <w:szCs w:val="20"/>
          <w:lang w:val="sl-SI"/>
        </w:rPr>
        <w:t>U okviru priprema za ljetnju turističku sezonu u maju je realizovana edukativna kampanja “Poreski karavan”, koja se od 2016. godine organizuje u saradnji sa Unijom poslodavaca i Privrednom komorom, a tribine su organizovane u pet crnogorskih opština, i to:</w:t>
      </w:r>
      <w:r w:rsidR="00742FC8" w:rsidRPr="00E80B13">
        <w:rPr>
          <w:rFonts w:ascii="Arial" w:eastAsia="Calibri" w:hAnsi="Arial" w:cs="Arial"/>
          <w:sz w:val="20"/>
          <w:szCs w:val="20"/>
          <w:lang w:val="sl-SI"/>
        </w:rPr>
        <w:t xml:space="preserve"> </w:t>
      </w:r>
      <w:r w:rsidRPr="00E80B13">
        <w:rPr>
          <w:rFonts w:ascii="Arial" w:eastAsia="Calibri" w:hAnsi="Arial" w:cs="Arial"/>
          <w:sz w:val="20"/>
          <w:szCs w:val="20"/>
          <w:lang w:val="sl-SI"/>
        </w:rPr>
        <w:t>Bar, Budva, Herceg Novi, Žabljak i Plužin</w:t>
      </w:r>
      <w:r w:rsidR="001B0100" w:rsidRPr="00E80B13">
        <w:rPr>
          <w:rFonts w:ascii="Arial" w:eastAsia="Calibri" w:hAnsi="Arial" w:cs="Arial"/>
          <w:sz w:val="20"/>
          <w:szCs w:val="20"/>
          <w:lang w:val="sl-SI"/>
        </w:rPr>
        <w:t>e</w:t>
      </w:r>
      <w:r w:rsidRPr="00E80B13">
        <w:rPr>
          <w:rFonts w:ascii="Arial" w:eastAsia="Calibri" w:hAnsi="Arial" w:cs="Arial"/>
          <w:sz w:val="20"/>
          <w:szCs w:val="20"/>
          <w:lang w:val="sl-SI"/>
        </w:rPr>
        <w:t>.</w:t>
      </w:r>
    </w:p>
    <w:p w:rsidR="00071CD8" w:rsidRPr="00E80B13" w:rsidRDefault="00071CD8" w:rsidP="00071CD8">
      <w:pPr>
        <w:pStyle w:val="BodyText"/>
        <w:tabs>
          <w:tab w:val="left" w:pos="0"/>
        </w:tabs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E80B13">
        <w:rPr>
          <w:rFonts w:ascii="Arial" w:eastAsia="Calibri" w:hAnsi="Arial" w:cs="Arial"/>
          <w:sz w:val="20"/>
          <w:szCs w:val="20"/>
          <w:lang w:val="sl-SI"/>
        </w:rPr>
        <w:t>Takođe, izrađen je i Informator za ljetnju turističku sezonu u kojem su obuhvaćene najvažnije informacije za poreske obveznike - preduzetnike i fizička lica koja sezonski obavljaju djelatnost ili se bave izdavanjem smještaja u turističke svrhe.</w:t>
      </w:r>
    </w:p>
    <w:p w:rsidR="00D4130F" w:rsidRPr="00E80B13" w:rsidRDefault="00D4130F" w:rsidP="0076705F">
      <w:pPr>
        <w:pStyle w:val="BodyText"/>
        <w:jc w:val="both"/>
        <w:rPr>
          <w:rFonts w:ascii="Arial" w:eastAsia="Calibri" w:hAnsi="Arial" w:cs="Arial"/>
          <w:sz w:val="20"/>
          <w:szCs w:val="20"/>
          <w:lang w:val="sl-SI"/>
        </w:rPr>
      </w:pPr>
    </w:p>
    <w:p w:rsidR="00E13958" w:rsidRPr="00E80B13" w:rsidRDefault="00E13958" w:rsidP="0076705F">
      <w:pPr>
        <w:pStyle w:val="BodyText"/>
        <w:jc w:val="both"/>
        <w:rPr>
          <w:rFonts w:ascii="Arial" w:eastAsia="Calibri" w:hAnsi="Arial" w:cs="Arial"/>
          <w:sz w:val="20"/>
          <w:szCs w:val="20"/>
          <w:lang w:val="sl-SI"/>
        </w:rPr>
      </w:pPr>
    </w:p>
    <w:p w:rsidR="008467ED" w:rsidRPr="00E80B13" w:rsidRDefault="008467ED" w:rsidP="0076705F">
      <w:pPr>
        <w:pStyle w:val="BodyText"/>
        <w:jc w:val="both"/>
        <w:rPr>
          <w:rFonts w:ascii="Arial" w:eastAsia="Calibri" w:hAnsi="Arial" w:cs="Arial"/>
          <w:sz w:val="20"/>
          <w:szCs w:val="20"/>
          <w:lang w:val="sl-SI"/>
        </w:rPr>
      </w:pPr>
    </w:p>
    <w:p w:rsidR="00BF708F" w:rsidRDefault="00F270F5" w:rsidP="009A5B2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i/>
          <w:sz w:val="24"/>
          <w:szCs w:val="24"/>
          <w:lang w:val="sl-SI"/>
        </w:rPr>
      </w:pPr>
      <w:r w:rsidRPr="009A5B2D">
        <w:rPr>
          <w:rFonts w:ascii="Arial Narrow" w:hAnsi="Arial Narrow" w:cs="Arial"/>
          <w:b/>
          <w:i/>
          <w:sz w:val="24"/>
          <w:szCs w:val="24"/>
          <w:lang w:val="sl-SI"/>
        </w:rPr>
        <w:lastRenderedPageBreak/>
        <w:t>Registracija</w:t>
      </w:r>
      <w:r w:rsidR="00BF708F" w:rsidRPr="009A5B2D">
        <w:rPr>
          <w:rFonts w:ascii="Arial Narrow" w:hAnsi="Arial Narrow" w:cs="Arial"/>
          <w:b/>
          <w:i/>
          <w:sz w:val="24"/>
          <w:szCs w:val="24"/>
          <w:lang w:val="sl-SI"/>
        </w:rPr>
        <w:t xml:space="preserve">  </w:t>
      </w:r>
    </w:p>
    <w:p w:rsidR="00281D4C" w:rsidRPr="009A5B2D" w:rsidRDefault="00281D4C" w:rsidP="00281D4C">
      <w:pPr>
        <w:spacing w:after="0" w:line="240" w:lineRule="auto"/>
        <w:ind w:left="284"/>
        <w:jc w:val="both"/>
        <w:rPr>
          <w:rFonts w:ascii="Arial Narrow" w:hAnsi="Arial Narrow" w:cs="Arial"/>
          <w:b/>
          <w:i/>
          <w:sz w:val="24"/>
          <w:szCs w:val="24"/>
          <w:lang w:val="sl-SI"/>
        </w:rPr>
      </w:pPr>
    </w:p>
    <w:tbl>
      <w:tblPr>
        <w:tblW w:w="8852" w:type="dxa"/>
        <w:tblInd w:w="93" w:type="dxa"/>
        <w:tblLook w:val="04A0" w:firstRow="1" w:lastRow="0" w:firstColumn="1" w:lastColumn="0" w:noHBand="0" w:noVBand="1"/>
      </w:tblPr>
      <w:tblGrid>
        <w:gridCol w:w="8852"/>
      </w:tblGrid>
      <w:tr w:rsidR="00BF708F" w:rsidRPr="00E80B13" w:rsidTr="00E84572">
        <w:trPr>
          <w:trHeight w:val="205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08F" w:rsidRPr="00E80B13" w:rsidRDefault="00BF708F" w:rsidP="00641D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U toku analiziranog perioda 2024. godine po osnovu opšte registracije registrovano </w:t>
            </w:r>
            <w:r w:rsidR="00CE38CC"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9183 poreska obveznika od </w:t>
            </w:r>
            <w:r w:rsidR="00772600" w:rsidRPr="00E80B13">
              <w:rPr>
                <w:rFonts w:ascii="Arial" w:hAnsi="Arial" w:cs="Arial"/>
                <w:sz w:val="20"/>
                <w:szCs w:val="20"/>
                <w:lang w:val="sl-SI"/>
              </w:rPr>
              <w:t>kojih</w:t>
            </w:r>
            <w:r w:rsidR="00CE38CC"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 je registrovano 884</w:t>
            </w:r>
            <w:r w:rsidR="001913ED"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 preduzetnika, a pravnih lica</w:t>
            </w:r>
            <w:r w:rsidR="00CE38CC"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 8299.</w:t>
            </w:r>
          </w:p>
          <w:p w:rsidR="00BF708F" w:rsidRPr="00E80B13" w:rsidRDefault="00BF708F" w:rsidP="00641D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Po osnovu PDV registracije registrovano je </w:t>
            </w:r>
            <w:r w:rsidR="00CE38CC"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5463 poreska obveznika za PDV, od </w:t>
            </w:r>
            <w:r w:rsidR="00526C00" w:rsidRPr="00E80B13">
              <w:rPr>
                <w:rFonts w:ascii="Arial" w:hAnsi="Arial" w:cs="Arial"/>
                <w:sz w:val="20"/>
                <w:szCs w:val="20"/>
                <w:lang w:val="sl-SI"/>
              </w:rPr>
              <w:t>kojih</w:t>
            </w:r>
            <w:r w:rsidR="00CE38CC"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 je registrovano 214 preduzetnika i 5249 pravnih lica</w:t>
            </w:r>
            <w:r w:rsidR="00A21994" w:rsidRPr="00E80B13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  <w:p w:rsidR="00BF708F" w:rsidRPr="00E80B13" w:rsidRDefault="00BF708F" w:rsidP="00641D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BF708F" w:rsidRPr="00E80B13" w:rsidRDefault="00BF708F" w:rsidP="00641D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Takođe, u istom periodu </w:t>
            </w:r>
            <w:r w:rsidR="00641DA5" w:rsidRPr="00E80B13">
              <w:rPr>
                <w:rFonts w:ascii="Arial" w:hAnsi="Arial" w:cs="Arial"/>
                <w:sz w:val="20"/>
                <w:szCs w:val="20"/>
                <w:lang w:val="sl-SI"/>
              </w:rPr>
              <w:t>u</w:t>
            </w:r>
            <w:r w:rsidR="00A21994" w:rsidRPr="00E80B13">
              <w:rPr>
                <w:rFonts w:ascii="Arial" w:hAnsi="Arial" w:cs="Arial"/>
                <w:sz w:val="20"/>
                <w:szCs w:val="20"/>
                <w:lang w:val="sl-SI"/>
              </w:rPr>
              <w:t>kupan broj poreskih obveznika kojima je prestala registracija je 4192 (3528 pravnih lica i 664 preduzetnika</w:t>
            </w: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). Donešeno je i </w:t>
            </w:r>
            <w:r w:rsidR="00A21994" w:rsidRPr="00E80B13">
              <w:rPr>
                <w:rFonts w:ascii="Arial" w:hAnsi="Arial" w:cs="Arial"/>
                <w:sz w:val="20"/>
                <w:szCs w:val="20"/>
                <w:lang w:val="sl-SI"/>
              </w:rPr>
              <w:t>79 rješenja o prestanku PDV registracije (25 rješenja za  pravna lica i 54 rješenja za preduzetnike)</w:t>
            </w: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  <w:p w:rsidR="00BF708F" w:rsidRPr="00E80B13" w:rsidRDefault="00BF708F" w:rsidP="00641DA5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val="sl-SI"/>
              </w:rPr>
            </w:pPr>
          </w:p>
          <w:p w:rsidR="00BF708F" w:rsidRPr="00E80B13" w:rsidRDefault="00BF708F" w:rsidP="00641D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Na osnovu </w:t>
            </w:r>
            <w:r w:rsidR="00583038" w:rsidRPr="00E80B13">
              <w:rPr>
                <w:rFonts w:ascii="Arial" w:hAnsi="Arial" w:cs="Arial"/>
                <w:sz w:val="20"/>
                <w:szCs w:val="20"/>
                <w:lang w:val="sl-SI"/>
              </w:rPr>
              <w:t>podnijetih zahtjeva izdato je 189</w:t>
            </w: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 po</w:t>
            </w:r>
            <w:r w:rsidR="000D0DDB" w:rsidRPr="00E80B13">
              <w:rPr>
                <w:rFonts w:ascii="Arial" w:hAnsi="Arial" w:cs="Arial"/>
                <w:sz w:val="20"/>
                <w:szCs w:val="20"/>
                <w:lang w:val="sl-SI"/>
              </w:rPr>
              <w:t>reskih  identifikacionih kartica</w:t>
            </w: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 osoblju konzulata i </w:t>
            </w:r>
          </w:p>
        </w:tc>
      </w:tr>
      <w:tr w:rsidR="00BF708F" w:rsidRPr="00E80B13" w:rsidTr="00E84572">
        <w:trPr>
          <w:trHeight w:val="205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08F" w:rsidRPr="00E80B13" w:rsidRDefault="00BF708F" w:rsidP="00641D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>međunarodnih organizacija koje imaju diplomatski status, a vezano za oslobađanja od plaćanja PDV-a, odnosno akcize.</w:t>
            </w:r>
          </w:p>
          <w:p w:rsidR="00BF708F" w:rsidRPr="00E80B13" w:rsidRDefault="00BF708F" w:rsidP="00641D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BF708F" w:rsidRPr="00E80B13" w:rsidRDefault="00BF708F" w:rsidP="00641D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U Centralnom registru privrednih </w:t>
            </w:r>
            <w:r w:rsidR="00583038" w:rsidRPr="00E80B13">
              <w:rPr>
                <w:rFonts w:ascii="Arial" w:hAnsi="Arial" w:cs="Arial"/>
                <w:sz w:val="20"/>
                <w:szCs w:val="20"/>
                <w:lang w:val="sl-SI"/>
              </w:rPr>
              <w:t>subjekata za period od 01.01.-31.12</w:t>
            </w: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>.2024.</w:t>
            </w:r>
            <w:r w:rsidR="00C50144"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 registrovano je </w:t>
            </w:r>
            <w:r w:rsidR="00583038" w:rsidRPr="00E80B13">
              <w:rPr>
                <w:rFonts w:ascii="Arial" w:hAnsi="Arial" w:cs="Arial"/>
                <w:sz w:val="20"/>
                <w:szCs w:val="20"/>
                <w:lang w:val="sl-SI"/>
              </w:rPr>
              <w:t>31271</w:t>
            </w:r>
            <w:r w:rsidR="00C50144"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 privrednih subjekata</w:t>
            </w: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, od čega se </w:t>
            </w:r>
            <w:r w:rsidR="00583038" w:rsidRPr="00E80B13">
              <w:rPr>
                <w:rFonts w:ascii="Arial" w:hAnsi="Arial" w:cs="Arial"/>
                <w:sz w:val="20"/>
                <w:szCs w:val="20"/>
                <w:lang w:val="sl-SI"/>
              </w:rPr>
              <w:t>11579</w:t>
            </w: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 odnosilo na promjene, a </w:t>
            </w:r>
            <w:r w:rsidR="00583038" w:rsidRPr="00E80B13">
              <w:rPr>
                <w:rFonts w:ascii="Arial" w:hAnsi="Arial" w:cs="Arial"/>
                <w:sz w:val="20"/>
                <w:szCs w:val="20"/>
                <w:lang w:val="sl-SI"/>
              </w:rPr>
              <w:t>5135</w:t>
            </w: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 na prestanak registracije.</w:t>
            </w:r>
          </w:p>
          <w:p w:rsidR="00BF708F" w:rsidRPr="00E80B13" w:rsidRDefault="00BF708F" w:rsidP="00641D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BF708F" w:rsidRPr="00E80B13" w:rsidRDefault="00BF708F" w:rsidP="00641D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U posmatranom periodu registrovano je </w:t>
            </w:r>
            <w:r w:rsidR="00CD24B8" w:rsidRPr="00E80B13">
              <w:rPr>
                <w:rFonts w:ascii="Arial" w:hAnsi="Arial" w:cs="Arial"/>
                <w:sz w:val="20"/>
                <w:szCs w:val="20"/>
                <w:lang w:val="sl-SI"/>
              </w:rPr>
              <w:t>22834</w:t>
            </w: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 xml:space="preserve"> stvarnih vlasnika.</w:t>
            </w:r>
          </w:p>
          <w:p w:rsidR="00BF708F" w:rsidRPr="00E80B13" w:rsidRDefault="00BF708F" w:rsidP="00641D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BF708F" w:rsidRPr="00E80B13" w:rsidTr="00E84572">
        <w:trPr>
          <w:trHeight w:val="205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08F" w:rsidRPr="00E80B13" w:rsidRDefault="00BF708F" w:rsidP="00CF2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BF708F" w:rsidRPr="00E37C3D" w:rsidTr="00E84572">
        <w:trPr>
          <w:trHeight w:val="55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08F" w:rsidRPr="00E37C3D" w:rsidRDefault="00BF708F" w:rsidP="00E8457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/>
                <w:sz w:val="24"/>
                <w:szCs w:val="24"/>
                <w:lang w:val="sl-SI"/>
              </w:rPr>
            </w:pPr>
          </w:p>
        </w:tc>
      </w:tr>
    </w:tbl>
    <w:p w:rsidR="00FF7209" w:rsidRPr="00E37C3D" w:rsidRDefault="00FF7209" w:rsidP="00E37C3D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lang w:val="sl-SI"/>
        </w:rPr>
      </w:pPr>
    </w:p>
    <w:p w:rsidR="00F270F5" w:rsidRPr="00E37C3D" w:rsidRDefault="00F270F5" w:rsidP="00E37C3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i/>
          <w:sz w:val="24"/>
          <w:szCs w:val="24"/>
          <w:lang w:val="sl-SI"/>
        </w:rPr>
      </w:pPr>
      <w:r w:rsidRPr="00E37C3D">
        <w:rPr>
          <w:rFonts w:ascii="Arial Narrow" w:hAnsi="Arial Narrow" w:cs="Arial"/>
          <w:b/>
          <w:i/>
          <w:sz w:val="24"/>
          <w:szCs w:val="24"/>
          <w:lang w:val="sl-SI"/>
        </w:rPr>
        <w:t>FINANSIJSKI POKAZATELJI – NAPLATA PORESKIH POTRAŽIVANJA</w:t>
      </w:r>
    </w:p>
    <w:p w:rsidR="00F270F5" w:rsidRPr="00E80B13" w:rsidRDefault="00F270F5" w:rsidP="0076705F">
      <w:pPr>
        <w:spacing w:after="0" w:line="240" w:lineRule="auto"/>
        <w:ind w:right="425" w:firstLine="708"/>
        <w:jc w:val="both"/>
        <w:rPr>
          <w:rFonts w:ascii="Arial" w:hAnsi="Arial" w:cs="Arial"/>
          <w:sz w:val="20"/>
          <w:szCs w:val="20"/>
          <w:lang w:val="sl-SI"/>
        </w:rPr>
      </w:pPr>
    </w:p>
    <w:p w:rsidR="00F270F5" w:rsidRPr="00E80B13" w:rsidRDefault="00F270F5" w:rsidP="007008D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Ostvarenje efikasne i efektivne naplate prihoda, kroz razvoj i primjenu odgovarajućih propisa, sistema i postupaka obračunavanja i naplate poreskog duga, kao i pripremanje za njihovo upravljanje u skladu sa zahtjevima EU, predstavlja jedan od prioriteta u radu Poreske uprave. Na taj način se značajno doprinosi uvećanju ukupnih budžetskih prihoda, uz primjenu snažnih mjera fiskalne politike.</w:t>
      </w:r>
    </w:p>
    <w:p w:rsidR="00F270F5" w:rsidRPr="00E80B13" w:rsidRDefault="00F270F5" w:rsidP="0076705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sl-SI"/>
        </w:rPr>
      </w:pPr>
    </w:p>
    <w:p w:rsidR="00F270F5" w:rsidRPr="00E80B13" w:rsidRDefault="00F270F5" w:rsidP="007008DE">
      <w:pPr>
        <w:spacing w:after="0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 xml:space="preserve">Cjelokupne aktivnosti svih funkcionalnih cjelina Poreske uprave, usmjerene su na ostvarenje njene misije - efikasne naplate javnih prihoda uz jednostavan poreski postupak, pravilnu primjenu </w:t>
      </w:r>
      <w:r w:rsidR="00AE0549" w:rsidRPr="00E80B13">
        <w:rPr>
          <w:rFonts w:ascii="Arial" w:hAnsi="Arial" w:cs="Arial"/>
          <w:sz w:val="20"/>
          <w:szCs w:val="20"/>
          <w:lang w:val="sl-SI"/>
        </w:rPr>
        <w:t>poreskih propisa, niske troškove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 naplate poreskih obaveza i dobru saradnju s poreskim obveznicima. </w:t>
      </w:r>
    </w:p>
    <w:p w:rsidR="007008DE" w:rsidRPr="00E80B13" w:rsidRDefault="007008DE" w:rsidP="007008DE">
      <w:pPr>
        <w:spacing w:after="0"/>
        <w:jc w:val="both"/>
        <w:rPr>
          <w:rFonts w:ascii="Arial" w:hAnsi="Arial" w:cs="Arial"/>
          <w:sz w:val="20"/>
          <w:szCs w:val="20"/>
          <w:lang w:val="sl-SI"/>
        </w:rPr>
      </w:pPr>
    </w:p>
    <w:p w:rsidR="00A23E8F" w:rsidRPr="00E80B13" w:rsidRDefault="00A23E8F" w:rsidP="007008D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 xml:space="preserve">Ukupna bruto naplata poreza, doprinosa za obavezno socijalno osiguranje i drugih budžetskih prihoda, za </w:t>
      </w:r>
      <w:r w:rsidR="00AE0549" w:rsidRPr="00E80B13">
        <w:rPr>
          <w:rFonts w:ascii="Arial" w:hAnsi="Arial" w:cs="Arial"/>
          <w:sz w:val="20"/>
          <w:szCs w:val="20"/>
          <w:lang w:val="sl-SI"/>
        </w:rPr>
        <w:t xml:space="preserve">period </w:t>
      </w:r>
      <w:r w:rsidR="00A722C5" w:rsidRPr="00E80B13">
        <w:rPr>
          <w:rFonts w:ascii="Arial" w:hAnsi="Arial" w:cs="Arial"/>
          <w:sz w:val="20"/>
          <w:szCs w:val="20"/>
          <w:lang w:val="sl-SI"/>
        </w:rPr>
        <w:t>01.01.-31.12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. 2024. godine iznosi </w:t>
      </w:r>
      <w:r w:rsidR="00A722C5" w:rsidRPr="00E80B13">
        <w:rPr>
          <w:rFonts w:ascii="Arial" w:hAnsi="Arial" w:cs="Arial"/>
          <w:sz w:val="20"/>
          <w:szCs w:val="20"/>
          <w:lang w:val="sl-SI"/>
        </w:rPr>
        <w:t>1.607.704.020,63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€. </w:t>
      </w:r>
    </w:p>
    <w:p w:rsidR="007008DE" w:rsidRPr="00E80B13" w:rsidRDefault="007008DE" w:rsidP="007008D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A23E8F" w:rsidRPr="00E80B13" w:rsidRDefault="00A23E8F" w:rsidP="007008D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Ukupna bruto naplata za period 01.01.-3</w:t>
      </w:r>
      <w:r w:rsidR="00DC3ED2" w:rsidRPr="00E80B13">
        <w:rPr>
          <w:rFonts w:ascii="Arial" w:hAnsi="Arial" w:cs="Arial"/>
          <w:sz w:val="20"/>
          <w:szCs w:val="20"/>
          <w:lang w:val="sl-SI"/>
        </w:rPr>
        <w:t xml:space="preserve">1.12. 2024. godine viša je za 188,7 miliona € u odnosu na </w:t>
      </w:r>
      <w:r w:rsidR="00AF3DBD" w:rsidRPr="00E80B13">
        <w:rPr>
          <w:rFonts w:ascii="Arial" w:hAnsi="Arial" w:cs="Arial"/>
          <w:sz w:val="20"/>
          <w:szCs w:val="20"/>
          <w:lang w:val="sl-SI"/>
        </w:rPr>
        <w:t>isti period prošle godine</w:t>
      </w:r>
      <w:r w:rsidRPr="00E80B13">
        <w:rPr>
          <w:rFonts w:ascii="Arial" w:hAnsi="Arial" w:cs="Arial"/>
          <w:sz w:val="20"/>
          <w:szCs w:val="20"/>
          <w:lang w:val="sl-SI"/>
        </w:rPr>
        <w:t>,</w:t>
      </w:r>
      <w:r w:rsidR="00DC3ED2" w:rsidRPr="00E80B13">
        <w:rPr>
          <w:rFonts w:ascii="Arial" w:hAnsi="Arial" w:cs="Arial"/>
          <w:sz w:val="20"/>
          <w:szCs w:val="20"/>
          <w:lang w:val="sl-SI"/>
        </w:rPr>
        <w:t xml:space="preserve"> a u odnosu na PLAN za 2024.g</w:t>
      </w:r>
      <w:r w:rsidR="00742FC8" w:rsidRPr="00E80B13">
        <w:rPr>
          <w:rFonts w:ascii="Arial" w:hAnsi="Arial" w:cs="Arial"/>
          <w:sz w:val="20"/>
          <w:szCs w:val="20"/>
          <w:lang w:val="sl-SI"/>
        </w:rPr>
        <w:t>odinu</w:t>
      </w:r>
      <w:r w:rsidR="00DC3ED2" w:rsidRPr="00E80B13">
        <w:rPr>
          <w:rFonts w:ascii="Arial" w:hAnsi="Arial" w:cs="Arial"/>
          <w:sz w:val="20"/>
          <w:szCs w:val="20"/>
          <w:lang w:val="sl-SI"/>
        </w:rPr>
        <w:t xml:space="preserve"> viša je za 85,4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 miliona €.</w:t>
      </w:r>
    </w:p>
    <w:p w:rsidR="007008DE" w:rsidRPr="00E80B13" w:rsidRDefault="007008DE" w:rsidP="007008D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A23E8F" w:rsidRPr="00E80B13" w:rsidRDefault="00A23E8F" w:rsidP="007008D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Index ukupne bruto naplate poreza i doprinosa za pe</w:t>
      </w:r>
      <w:r w:rsidR="00917611" w:rsidRPr="00E80B13">
        <w:rPr>
          <w:rFonts w:ascii="Arial" w:hAnsi="Arial" w:cs="Arial"/>
          <w:sz w:val="20"/>
          <w:szCs w:val="20"/>
          <w:lang w:val="sl-SI"/>
        </w:rPr>
        <w:t>riod 01.01.-31.12</w:t>
      </w:r>
      <w:r w:rsidRPr="00E80B13">
        <w:rPr>
          <w:rFonts w:ascii="Arial" w:hAnsi="Arial" w:cs="Arial"/>
          <w:sz w:val="20"/>
          <w:szCs w:val="20"/>
          <w:lang w:val="sl-SI"/>
        </w:rPr>
        <w:t>.2024.</w:t>
      </w:r>
      <w:r w:rsidR="00917611" w:rsidRPr="00E80B13">
        <w:rPr>
          <w:rFonts w:ascii="Arial" w:hAnsi="Arial" w:cs="Arial"/>
          <w:sz w:val="20"/>
          <w:szCs w:val="20"/>
          <w:lang w:val="sl-SI"/>
        </w:rPr>
        <w:t>g. u odnosu na PLAN za 2024.</w:t>
      </w:r>
      <w:r w:rsidR="00742FC8" w:rsidRPr="00E80B13">
        <w:rPr>
          <w:rFonts w:ascii="Arial" w:hAnsi="Arial" w:cs="Arial"/>
          <w:sz w:val="20"/>
          <w:szCs w:val="20"/>
          <w:lang w:val="sl-SI"/>
        </w:rPr>
        <w:t xml:space="preserve">godinu </w:t>
      </w:r>
      <w:r w:rsidR="00917611" w:rsidRPr="00E80B13">
        <w:rPr>
          <w:rFonts w:ascii="Arial" w:hAnsi="Arial" w:cs="Arial"/>
          <w:sz w:val="20"/>
          <w:szCs w:val="20"/>
          <w:lang w:val="sl-SI"/>
        </w:rPr>
        <w:t xml:space="preserve"> je 10</w:t>
      </w:r>
      <w:r w:rsidRPr="00E80B13">
        <w:rPr>
          <w:rFonts w:ascii="Arial" w:hAnsi="Arial" w:cs="Arial"/>
          <w:sz w:val="20"/>
          <w:szCs w:val="20"/>
          <w:lang w:val="sl-SI"/>
        </w:rPr>
        <w:t>6%, a u odnosu na is</w:t>
      </w:r>
      <w:r w:rsidR="00917611" w:rsidRPr="00E80B13">
        <w:rPr>
          <w:rFonts w:ascii="Arial" w:hAnsi="Arial" w:cs="Arial"/>
          <w:sz w:val="20"/>
          <w:szCs w:val="20"/>
          <w:lang w:val="sl-SI"/>
        </w:rPr>
        <w:t>ti period prethodne godine je 13</w:t>
      </w:r>
      <w:r w:rsidRPr="00E80B13">
        <w:rPr>
          <w:rFonts w:ascii="Arial" w:hAnsi="Arial" w:cs="Arial"/>
          <w:sz w:val="20"/>
          <w:szCs w:val="20"/>
          <w:lang w:val="sl-SI"/>
        </w:rPr>
        <w:t>%.</w:t>
      </w:r>
    </w:p>
    <w:p w:rsidR="00770A03" w:rsidRDefault="00770A03" w:rsidP="007B4FFF">
      <w:pPr>
        <w:tabs>
          <w:tab w:val="left" w:pos="8931"/>
        </w:tabs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A23E8F" w:rsidRPr="00E80B13" w:rsidRDefault="004D18E6" w:rsidP="007B4FFF">
      <w:pPr>
        <w:tabs>
          <w:tab w:val="left" w:pos="8931"/>
        </w:tabs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b/>
          <w:sz w:val="20"/>
          <w:szCs w:val="20"/>
          <w:lang w:val="sl-SI"/>
        </w:rPr>
        <w:t>Tabela 2</w:t>
      </w:r>
      <w:r w:rsidRPr="00E80B13">
        <w:rPr>
          <w:rFonts w:ascii="Arial" w:hAnsi="Arial" w:cs="Arial"/>
          <w:sz w:val="20"/>
          <w:szCs w:val="20"/>
          <w:lang w:val="sl-SI"/>
        </w:rPr>
        <w:t>: P</w:t>
      </w:r>
      <w:r w:rsidR="007B4FFF" w:rsidRPr="00E80B13">
        <w:rPr>
          <w:rFonts w:ascii="Arial" w:hAnsi="Arial" w:cs="Arial"/>
          <w:sz w:val="20"/>
          <w:szCs w:val="20"/>
          <w:lang w:val="sl-SI"/>
        </w:rPr>
        <w:t xml:space="preserve">regled  bruto naplate prihoda 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za period </w:t>
      </w:r>
      <w:r w:rsidR="00D535BE" w:rsidRPr="00E80B13">
        <w:rPr>
          <w:rFonts w:ascii="Arial" w:hAnsi="Arial" w:cs="Arial"/>
          <w:sz w:val="20"/>
          <w:szCs w:val="20"/>
          <w:lang w:val="sl-SI"/>
        </w:rPr>
        <w:t xml:space="preserve"> 01.01.-31.12</w:t>
      </w:r>
      <w:r w:rsidR="0034531F" w:rsidRPr="00E80B13">
        <w:rPr>
          <w:rFonts w:ascii="Arial" w:hAnsi="Arial" w:cs="Arial"/>
          <w:sz w:val="20"/>
          <w:szCs w:val="20"/>
          <w:lang w:val="sl-SI"/>
        </w:rPr>
        <w:t>.</w:t>
      </w:r>
      <w:r w:rsidR="007B4FFF" w:rsidRPr="00E80B13">
        <w:rPr>
          <w:rFonts w:ascii="Arial" w:hAnsi="Arial" w:cs="Arial"/>
          <w:sz w:val="20"/>
          <w:szCs w:val="20"/>
          <w:lang w:val="sl-SI"/>
        </w:rPr>
        <w:t>2024.godine</w:t>
      </w:r>
    </w:p>
    <w:tbl>
      <w:tblPr>
        <w:tblW w:w="7772" w:type="dxa"/>
        <w:tblLook w:val="04A0" w:firstRow="1" w:lastRow="0" w:firstColumn="1" w:lastColumn="0" w:noHBand="0" w:noVBand="1"/>
      </w:tblPr>
      <w:tblGrid>
        <w:gridCol w:w="2777"/>
        <w:gridCol w:w="2565"/>
        <w:gridCol w:w="2430"/>
      </w:tblGrid>
      <w:tr w:rsidR="00291761" w:rsidRPr="00E80B13" w:rsidTr="00ED2792">
        <w:trPr>
          <w:trHeight w:val="244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291761" w:rsidRPr="00E80B13" w:rsidRDefault="00291761" w:rsidP="00291761">
            <w:pPr>
              <w:tabs>
                <w:tab w:val="left" w:pos="8931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OLE_LINK1"/>
            <w:r w:rsidRPr="00E80B13">
              <w:rPr>
                <w:rFonts w:ascii="Arial" w:hAnsi="Arial" w:cs="Arial"/>
                <w:bCs/>
                <w:sz w:val="20"/>
                <w:szCs w:val="20"/>
              </w:rPr>
              <w:t>Plan</w:t>
            </w:r>
          </w:p>
          <w:p w:rsidR="00291761" w:rsidRPr="00E80B13" w:rsidRDefault="00D535BE" w:rsidP="00291761">
            <w:pPr>
              <w:tabs>
                <w:tab w:val="left" w:pos="8931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80B13">
              <w:rPr>
                <w:rFonts w:ascii="Arial" w:hAnsi="Arial" w:cs="Arial"/>
                <w:bCs/>
                <w:sz w:val="20"/>
                <w:szCs w:val="20"/>
              </w:rPr>
              <w:t>01.01.-31.12</w:t>
            </w:r>
            <w:r w:rsidR="00291761" w:rsidRPr="00E80B13">
              <w:rPr>
                <w:rFonts w:ascii="Arial" w:hAnsi="Arial" w:cs="Arial"/>
                <w:bCs/>
                <w:sz w:val="20"/>
                <w:szCs w:val="20"/>
              </w:rPr>
              <w:t>. 2024.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291761" w:rsidRPr="00E80B13" w:rsidRDefault="00291761" w:rsidP="00291761">
            <w:pPr>
              <w:tabs>
                <w:tab w:val="left" w:pos="8931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80B13">
              <w:rPr>
                <w:rFonts w:ascii="Arial" w:hAnsi="Arial" w:cs="Arial"/>
                <w:bCs/>
                <w:sz w:val="20"/>
                <w:szCs w:val="20"/>
              </w:rPr>
              <w:t>Ostvarena</w:t>
            </w:r>
            <w:proofErr w:type="spellEnd"/>
            <w:r w:rsidRPr="00E80B1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hAnsi="Arial" w:cs="Arial"/>
                <w:bCs/>
                <w:sz w:val="20"/>
                <w:szCs w:val="20"/>
              </w:rPr>
              <w:t>naplata</w:t>
            </w:r>
            <w:proofErr w:type="spellEnd"/>
          </w:p>
          <w:p w:rsidR="00291761" w:rsidRPr="00E80B13" w:rsidRDefault="00D535BE" w:rsidP="00291761">
            <w:pPr>
              <w:tabs>
                <w:tab w:val="left" w:pos="8931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80B13">
              <w:rPr>
                <w:rFonts w:ascii="Arial" w:hAnsi="Arial" w:cs="Arial"/>
                <w:bCs/>
                <w:sz w:val="20"/>
                <w:szCs w:val="20"/>
              </w:rPr>
              <w:t>01.01.-31.12. 2023.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291761" w:rsidRPr="00E80B13" w:rsidRDefault="00291761" w:rsidP="00291761">
            <w:pPr>
              <w:tabs>
                <w:tab w:val="left" w:pos="8931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80B13">
              <w:rPr>
                <w:rFonts w:ascii="Arial" w:hAnsi="Arial" w:cs="Arial"/>
                <w:bCs/>
                <w:sz w:val="20"/>
                <w:szCs w:val="20"/>
              </w:rPr>
              <w:t>Ostvarena</w:t>
            </w:r>
            <w:proofErr w:type="spellEnd"/>
            <w:r w:rsidRPr="00E80B1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hAnsi="Arial" w:cs="Arial"/>
                <w:bCs/>
                <w:sz w:val="20"/>
                <w:szCs w:val="20"/>
              </w:rPr>
              <w:t>naplata</w:t>
            </w:r>
            <w:proofErr w:type="spellEnd"/>
          </w:p>
          <w:p w:rsidR="00291761" w:rsidRPr="00E80B13" w:rsidRDefault="00D535BE" w:rsidP="00291761">
            <w:pPr>
              <w:tabs>
                <w:tab w:val="left" w:pos="8931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80B13">
              <w:rPr>
                <w:rFonts w:ascii="Arial" w:hAnsi="Arial" w:cs="Arial"/>
                <w:bCs/>
                <w:sz w:val="20"/>
                <w:szCs w:val="20"/>
              </w:rPr>
              <w:t>01.01.-31.12. 2024.</w:t>
            </w:r>
          </w:p>
        </w:tc>
      </w:tr>
      <w:tr w:rsidR="00291761" w:rsidRPr="00E80B13" w:rsidTr="00ED2792">
        <w:trPr>
          <w:trHeight w:val="164"/>
        </w:trPr>
        <w:tc>
          <w:tcPr>
            <w:tcW w:w="27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91761" w:rsidRPr="00E80B13" w:rsidRDefault="00D535BE" w:rsidP="00291761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80B1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1.522.299.539,22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91761" w:rsidRPr="00E80B13" w:rsidRDefault="00D535BE" w:rsidP="00291761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80B1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1.418.961.332,92.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1761" w:rsidRPr="00E80B13" w:rsidRDefault="00D535BE" w:rsidP="00291761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80B1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1.607.704.020,63</w:t>
            </w:r>
          </w:p>
        </w:tc>
      </w:tr>
      <w:bookmarkEnd w:id="0"/>
    </w:tbl>
    <w:p w:rsidR="00291761" w:rsidRPr="00E80B13" w:rsidRDefault="00291761" w:rsidP="007B4FFF">
      <w:pPr>
        <w:tabs>
          <w:tab w:val="left" w:pos="8931"/>
        </w:tabs>
        <w:jc w:val="both"/>
        <w:rPr>
          <w:rFonts w:ascii="Arial" w:hAnsi="Arial" w:cs="Arial"/>
          <w:sz w:val="20"/>
          <w:szCs w:val="20"/>
          <w:lang w:val="sl-SI"/>
        </w:rPr>
      </w:pPr>
    </w:p>
    <w:p w:rsidR="005F5917" w:rsidRPr="00E80B13" w:rsidRDefault="005F5917" w:rsidP="005F5917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79355C" w:rsidRPr="00E80B13" w:rsidRDefault="0079355C" w:rsidP="005F5917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lastRenderedPageBreak/>
        <w:t xml:space="preserve">U strukturi poreskih prihoda za </w:t>
      </w:r>
      <w:r w:rsidR="005F5917" w:rsidRPr="00E80B13">
        <w:rPr>
          <w:rFonts w:ascii="Arial" w:hAnsi="Arial" w:cs="Arial"/>
          <w:sz w:val="20"/>
          <w:szCs w:val="20"/>
          <w:lang w:val="sl-SI"/>
        </w:rPr>
        <w:t>posmatrani period</w:t>
      </w:r>
      <w:r w:rsidR="001C757E" w:rsidRPr="00E80B13">
        <w:rPr>
          <w:rFonts w:ascii="Arial" w:hAnsi="Arial" w:cs="Arial"/>
          <w:sz w:val="20"/>
          <w:szCs w:val="20"/>
          <w:lang w:val="sl-SI"/>
        </w:rPr>
        <w:t xml:space="preserve"> 2024. godine </w:t>
      </w:r>
      <w:r w:rsidR="00CE7DE1" w:rsidRPr="00E80B13">
        <w:rPr>
          <w:rFonts w:ascii="Arial" w:hAnsi="Arial" w:cs="Arial"/>
          <w:sz w:val="20"/>
          <w:szCs w:val="20"/>
          <w:lang w:val="sl-SI"/>
        </w:rPr>
        <w:t>1,6 milijarde</w:t>
      </w:r>
      <w:r w:rsidR="001C757E" w:rsidRPr="00E80B13">
        <w:rPr>
          <w:rFonts w:ascii="Arial" w:hAnsi="Arial" w:cs="Arial"/>
          <w:sz w:val="20"/>
          <w:szCs w:val="20"/>
          <w:lang w:val="sl-SI"/>
        </w:rPr>
        <w:t xml:space="preserve"> €</w:t>
      </w:r>
      <w:r w:rsidR="00391D1C">
        <w:rPr>
          <w:rFonts w:ascii="Arial" w:hAnsi="Arial" w:cs="Arial"/>
          <w:sz w:val="20"/>
          <w:szCs w:val="20"/>
          <w:lang w:val="sl-SI"/>
        </w:rPr>
        <w:t>,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 pojedine vrste prihoda imaju sljedeće učešće:</w:t>
      </w:r>
    </w:p>
    <w:p w:rsidR="00E274A9" w:rsidRPr="00E47EF2" w:rsidRDefault="00CE7DE1" w:rsidP="00E47EF2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E47EF2">
        <w:rPr>
          <w:rFonts w:ascii="Arial" w:hAnsi="Arial" w:cs="Arial"/>
          <w:sz w:val="20"/>
          <w:szCs w:val="20"/>
          <w:lang w:val="sl-SI"/>
        </w:rPr>
        <w:t>porezi učestvuju sa 63</w:t>
      </w:r>
      <w:r w:rsidR="0079355C" w:rsidRPr="00E47EF2">
        <w:rPr>
          <w:rFonts w:ascii="Arial" w:hAnsi="Arial" w:cs="Arial"/>
          <w:sz w:val="20"/>
          <w:szCs w:val="20"/>
          <w:lang w:val="sl-SI"/>
        </w:rPr>
        <w:t xml:space="preserve">% u iznosu od </w:t>
      </w:r>
      <w:r w:rsidRPr="00E47EF2">
        <w:rPr>
          <w:rFonts w:ascii="Arial" w:hAnsi="Arial" w:cs="Arial"/>
          <w:sz w:val="20"/>
          <w:szCs w:val="20"/>
          <w:lang w:val="sl-SI"/>
        </w:rPr>
        <w:t xml:space="preserve">1 milijarde </w:t>
      </w:r>
      <w:r w:rsidR="0079355C" w:rsidRPr="00E47EF2">
        <w:rPr>
          <w:rFonts w:ascii="Arial" w:hAnsi="Arial" w:cs="Arial"/>
          <w:sz w:val="20"/>
          <w:szCs w:val="20"/>
          <w:lang w:val="sl-SI"/>
        </w:rPr>
        <w:t>€ (porez na dodatu vrijednost, porez na dobit   pravnih lica, porez na dohodak fizičkih lica, porez na promet nepokretnosti, naknade (naknada za korišćenje šuma, naknada za korišćenje voda i dr.)), takse;</w:t>
      </w:r>
    </w:p>
    <w:p w:rsidR="009B6DFD" w:rsidRPr="00E274A9" w:rsidRDefault="0079355C" w:rsidP="00E274A9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E274A9">
        <w:rPr>
          <w:rFonts w:ascii="Arial" w:hAnsi="Arial" w:cs="Arial"/>
          <w:sz w:val="20"/>
          <w:szCs w:val="20"/>
          <w:lang w:val="sl-SI"/>
        </w:rPr>
        <w:t>doprinosi za obavezno socijalno osiguranje učestvuju sa 3</w:t>
      </w:r>
      <w:r w:rsidR="00CE7DE1" w:rsidRPr="00E274A9">
        <w:rPr>
          <w:rFonts w:ascii="Arial" w:hAnsi="Arial" w:cs="Arial"/>
          <w:sz w:val="20"/>
          <w:szCs w:val="20"/>
          <w:lang w:val="sl-SI"/>
        </w:rPr>
        <w:t>7</w:t>
      </w:r>
      <w:r w:rsidRPr="00E274A9">
        <w:rPr>
          <w:rFonts w:ascii="Arial" w:hAnsi="Arial" w:cs="Arial"/>
          <w:sz w:val="20"/>
          <w:szCs w:val="20"/>
          <w:lang w:val="sl-SI"/>
        </w:rPr>
        <w:t xml:space="preserve">%, u iznosu od </w:t>
      </w:r>
      <w:r w:rsidR="00CE7DE1" w:rsidRPr="00E274A9">
        <w:rPr>
          <w:rFonts w:ascii="Arial" w:hAnsi="Arial" w:cs="Arial"/>
          <w:sz w:val="20"/>
          <w:szCs w:val="20"/>
          <w:lang w:val="sl-SI"/>
        </w:rPr>
        <w:t>591</w:t>
      </w:r>
      <w:r w:rsidRPr="00E274A9">
        <w:rPr>
          <w:rFonts w:ascii="Arial" w:hAnsi="Arial" w:cs="Arial"/>
          <w:sz w:val="20"/>
          <w:szCs w:val="20"/>
          <w:lang w:val="sl-SI"/>
        </w:rPr>
        <w:t xml:space="preserve"> miliona € (za penzijsko i invalidsko osiguranje, osiguranje od nezaposlenosti).</w:t>
      </w:r>
    </w:p>
    <w:p w:rsidR="00E274A9" w:rsidRPr="00E274A9" w:rsidRDefault="00E274A9" w:rsidP="00E274A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sl-SI"/>
        </w:rPr>
      </w:pPr>
    </w:p>
    <w:p w:rsidR="00660A94" w:rsidRPr="00E80B13" w:rsidRDefault="00660A94" w:rsidP="00660A9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 xml:space="preserve">Prema strukturi naplaćenih prihoda, ostvarena je naplata poreza na dodatu vrijednost sa iznosom od  479 miliona €, što je </w:t>
      </w:r>
      <w:r w:rsidR="00805F02" w:rsidRPr="00E80B13">
        <w:rPr>
          <w:rFonts w:ascii="Arial" w:hAnsi="Arial" w:cs="Arial"/>
          <w:sz w:val="20"/>
          <w:szCs w:val="20"/>
          <w:lang w:val="sl-SI"/>
        </w:rPr>
        <w:t xml:space="preserve">u </w:t>
      </w:r>
      <w:r w:rsidRPr="00E80B13">
        <w:rPr>
          <w:rFonts w:ascii="Arial" w:hAnsi="Arial" w:cs="Arial"/>
          <w:sz w:val="20"/>
          <w:szCs w:val="20"/>
          <w:lang w:val="sl-SI"/>
        </w:rPr>
        <w:t>odnosu na planirani iznos više za 12 miliona € (ili 3%) a u odnosu na prošlu godinu više za 79 miliona €  (ili 20%).</w:t>
      </w:r>
    </w:p>
    <w:p w:rsidR="00660A94" w:rsidRPr="00E80B13" w:rsidRDefault="00660A94" w:rsidP="00660A9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660A94" w:rsidRPr="00E80B13" w:rsidRDefault="00660A94" w:rsidP="00660A94">
      <w:pPr>
        <w:spacing w:after="0" w:line="254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Prihodi od poreza na dobit pravnih lica</w:t>
      </w:r>
      <w:r w:rsidR="0013721E" w:rsidRPr="00E80B13">
        <w:rPr>
          <w:rFonts w:ascii="Arial" w:hAnsi="Arial" w:cs="Arial"/>
          <w:sz w:val="20"/>
          <w:szCs w:val="20"/>
          <w:lang w:val="sl-SI"/>
        </w:rPr>
        <w:t>,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 za period </w:t>
      </w:r>
      <w:r w:rsidR="0013721E" w:rsidRPr="00E80B13">
        <w:rPr>
          <w:rFonts w:ascii="Arial" w:hAnsi="Arial" w:cs="Arial"/>
          <w:sz w:val="20"/>
          <w:szCs w:val="20"/>
          <w:lang w:val="sl-SI"/>
        </w:rPr>
        <w:t>01.01.-31.12.</w:t>
      </w:r>
      <w:r w:rsidRPr="00E80B13">
        <w:rPr>
          <w:rFonts w:ascii="Arial" w:hAnsi="Arial" w:cs="Arial"/>
          <w:sz w:val="20"/>
          <w:szCs w:val="20"/>
          <w:lang w:val="sl-SI"/>
        </w:rPr>
        <w:t>2024. godine</w:t>
      </w:r>
      <w:r w:rsidR="0013721E" w:rsidRPr="00E80B13">
        <w:rPr>
          <w:rFonts w:ascii="Arial" w:hAnsi="Arial" w:cs="Arial"/>
          <w:sz w:val="20"/>
          <w:szCs w:val="20"/>
          <w:lang w:val="sl-SI"/>
        </w:rPr>
        <w:t>,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 ostvareni su u iznosu od 214 miliona € i u odnosu na isti period prethodne godine (koji je iznosio 152,6 mil</w:t>
      </w:r>
      <w:r w:rsidR="000D005D" w:rsidRPr="00E80B13">
        <w:rPr>
          <w:rFonts w:ascii="Arial" w:hAnsi="Arial" w:cs="Arial"/>
          <w:sz w:val="20"/>
          <w:szCs w:val="20"/>
          <w:lang w:val="sl-SI"/>
        </w:rPr>
        <w:t>iona € ) veći  su za 40% ili 62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 miliona €. U odnosu na plan ovi prihodi su veći za 50 miliona € ili 30%.</w:t>
      </w:r>
    </w:p>
    <w:p w:rsidR="00660A94" w:rsidRPr="00E80B13" w:rsidRDefault="00660A94" w:rsidP="00660A94">
      <w:pPr>
        <w:spacing w:after="0" w:line="254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660A94" w:rsidRPr="00E80B13" w:rsidRDefault="00660A94" w:rsidP="00660A94">
      <w:pPr>
        <w:spacing w:after="0" w:line="254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 xml:space="preserve">Prihodi od poreza na dohodak </w:t>
      </w:r>
      <w:r w:rsidR="0013721E" w:rsidRPr="00E80B13">
        <w:rPr>
          <w:rFonts w:ascii="Arial" w:hAnsi="Arial" w:cs="Arial"/>
          <w:sz w:val="20"/>
          <w:szCs w:val="20"/>
          <w:lang w:val="sl-SI"/>
        </w:rPr>
        <w:t>građ</w:t>
      </w:r>
      <w:r w:rsidRPr="00E80B13">
        <w:rPr>
          <w:rFonts w:ascii="Arial" w:hAnsi="Arial" w:cs="Arial"/>
          <w:sz w:val="20"/>
          <w:szCs w:val="20"/>
          <w:lang w:val="sl-SI"/>
        </w:rPr>
        <w:t>ana iznose 217 miliona € i u odnosu na prethodnu godinu (koji su iznosili 171 miliona €) veći su za 27% ili 46 miliona €. U odnosu na plan</w:t>
      </w:r>
      <w:r w:rsidR="0013721E" w:rsidRPr="00E80B13">
        <w:rPr>
          <w:rFonts w:ascii="Arial" w:hAnsi="Arial" w:cs="Arial"/>
          <w:sz w:val="20"/>
          <w:szCs w:val="20"/>
          <w:lang w:val="sl-SI"/>
        </w:rPr>
        <w:t>,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 ovi prihodi su veći za 32 milion</w:t>
      </w:r>
      <w:r w:rsidR="0013721E" w:rsidRPr="00E80B13">
        <w:rPr>
          <w:rFonts w:ascii="Arial" w:hAnsi="Arial" w:cs="Arial"/>
          <w:sz w:val="20"/>
          <w:szCs w:val="20"/>
          <w:lang w:val="sl-SI"/>
        </w:rPr>
        <w:t>a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 € ili 17%.</w:t>
      </w:r>
    </w:p>
    <w:p w:rsidR="00660A94" w:rsidRPr="00E80B13" w:rsidRDefault="00660A94" w:rsidP="00660A94">
      <w:pPr>
        <w:spacing w:after="0" w:line="254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U strukturi ostvarenih prihoda po ovom osnovu na:</w:t>
      </w:r>
    </w:p>
    <w:p w:rsidR="00660A94" w:rsidRPr="00E274A9" w:rsidRDefault="00660A94" w:rsidP="00E274A9">
      <w:pPr>
        <w:pStyle w:val="ListParagraph"/>
        <w:numPr>
          <w:ilvl w:val="0"/>
          <w:numId w:val="28"/>
        </w:numPr>
        <w:spacing w:line="254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274A9">
        <w:rPr>
          <w:rFonts w:ascii="Arial" w:hAnsi="Arial" w:cs="Arial"/>
          <w:sz w:val="20"/>
          <w:szCs w:val="20"/>
          <w:lang w:val="sl-SI"/>
        </w:rPr>
        <w:t xml:space="preserve">lična primanja se odnosi 162,7 miliona € (75%), </w:t>
      </w:r>
    </w:p>
    <w:p w:rsidR="00660A94" w:rsidRPr="00E274A9" w:rsidRDefault="00660A94" w:rsidP="00E274A9">
      <w:pPr>
        <w:pStyle w:val="ListParagraph"/>
        <w:numPr>
          <w:ilvl w:val="0"/>
          <w:numId w:val="28"/>
        </w:numPr>
        <w:spacing w:line="254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274A9">
        <w:rPr>
          <w:rFonts w:ascii="Arial" w:hAnsi="Arial" w:cs="Arial"/>
          <w:sz w:val="20"/>
          <w:szCs w:val="20"/>
          <w:lang w:val="sl-SI"/>
        </w:rPr>
        <w:t xml:space="preserve">samostalnu djelatnost 3,5 miliona € (1,6%), </w:t>
      </w:r>
    </w:p>
    <w:p w:rsidR="00660A94" w:rsidRPr="00E274A9" w:rsidRDefault="00660A94" w:rsidP="00E274A9">
      <w:pPr>
        <w:pStyle w:val="ListParagraph"/>
        <w:numPr>
          <w:ilvl w:val="0"/>
          <w:numId w:val="28"/>
        </w:numPr>
        <w:spacing w:line="254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274A9">
        <w:rPr>
          <w:rFonts w:ascii="Arial" w:hAnsi="Arial" w:cs="Arial"/>
          <w:sz w:val="20"/>
          <w:szCs w:val="20"/>
          <w:lang w:val="sl-SI"/>
        </w:rPr>
        <w:t xml:space="preserve">imovinu i imovinska prava 13 miliona € (6%), </w:t>
      </w:r>
    </w:p>
    <w:p w:rsidR="00660A94" w:rsidRPr="00E274A9" w:rsidRDefault="00660A94" w:rsidP="00E274A9">
      <w:pPr>
        <w:pStyle w:val="ListParagraph"/>
        <w:numPr>
          <w:ilvl w:val="0"/>
          <w:numId w:val="28"/>
        </w:numPr>
        <w:spacing w:line="254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274A9">
        <w:rPr>
          <w:rFonts w:ascii="Arial" w:hAnsi="Arial" w:cs="Arial"/>
          <w:sz w:val="20"/>
          <w:szCs w:val="20"/>
          <w:lang w:val="sl-SI"/>
        </w:rPr>
        <w:t>kapital</w:t>
      </w:r>
      <w:r w:rsidR="0085592C" w:rsidRPr="00E274A9">
        <w:rPr>
          <w:rFonts w:ascii="Arial" w:hAnsi="Arial" w:cs="Arial"/>
          <w:sz w:val="20"/>
          <w:szCs w:val="20"/>
          <w:lang w:val="sl-SI"/>
        </w:rPr>
        <w:t xml:space="preserve"> i kapitalne dobitke</w:t>
      </w:r>
      <w:r w:rsidRPr="00E274A9">
        <w:rPr>
          <w:rFonts w:ascii="Arial" w:hAnsi="Arial" w:cs="Arial"/>
          <w:sz w:val="20"/>
          <w:szCs w:val="20"/>
          <w:lang w:val="sl-SI"/>
        </w:rPr>
        <w:t xml:space="preserve"> 22,3 miliona € (10,3%) i </w:t>
      </w:r>
    </w:p>
    <w:p w:rsidR="00660A94" w:rsidRPr="00E274A9" w:rsidRDefault="00660A94" w:rsidP="00E274A9">
      <w:pPr>
        <w:pStyle w:val="ListParagraph"/>
        <w:numPr>
          <w:ilvl w:val="0"/>
          <w:numId w:val="28"/>
        </w:numPr>
        <w:spacing w:line="254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274A9">
        <w:rPr>
          <w:rFonts w:ascii="Arial" w:hAnsi="Arial" w:cs="Arial"/>
          <w:sz w:val="20"/>
          <w:szCs w:val="20"/>
          <w:lang w:val="sl-SI"/>
        </w:rPr>
        <w:t>porez na dohodak fizičkih lica po godišnjioj prijavi 15,5 miliona € (7%).</w:t>
      </w:r>
    </w:p>
    <w:p w:rsidR="00660A94" w:rsidRPr="00E80B13" w:rsidRDefault="00660A94" w:rsidP="00660A94">
      <w:pPr>
        <w:spacing w:after="0" w:line="254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660A94" w:rsidRPr="00E80B13" w:rsidRDefault="00660A94" w:rsidP="00660A94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Naplata poreza na promet nepokretnosti iznosila je 15,8 miliona €</w:t>
      </w:r>
      <w:r w:rsidR="0085592C" w:rsidRPr="00E80B13">
        <w:rPr>
          <w:rFonts w:ascii="Arial" w:hAnsi="Arial" w:cs="Arial"/>
          <w:sz w:val="20"/>
          <w:szCs w:val="20"/>
          <w:lang w:val="sl-SI"/>
        </w:rPr>
        <w:t xml:space="preserve">, 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što je u odnosu na prošlu godinu manje  za 16 miliona € ili 50%, dok je u odnosu na plan naplata povećana za 9 miliona € ili 149%. </w:t>
      </w:r>
    </w:p>
    <w:p w:rsidR="00660A94" w:rsidRPr="00E80B13" w:rsidRDefault="00660A94" w:rsidP="00660A94">
      <w:pPr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</w:p>
    <w:p w:rsidR="00951014" w:rsidRPr="00E80B13" w:rsidRDefault="00951014" w:rsidP="00951014">
      <w:pPr>
        <w:spacing w:after="0" w:line="254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Kod koncesionih naknada naplaćeno je 65 miliona € i to je više za 5,3 miliona € (ili 9%) u odnosu na prošlu godiinu, a manje za 3,2 miliona € (ili 5%) u odnosu na planirani iznos.</w:t>
      </w:r>
    </w:p>
    <w:p w:rsidR="00951014" w:rsidRPr="00E80B13" w:rsidRDefault="00951014" w:rsidP="00951014">
      <w:pPr>
        <w:spacing w:after="0" w:line="254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951014" w:rsidRPr="00E80B13" w:rsidRDefault="00951014" w:rsidP="00951014">
      <w:pPr>
        <w:spacing w:after="0" w:line="254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 xml:space="preserve">Naplata doprinosa za </w:t>
      </w:r>
      <w:r w:rsidR="0085592C" w:rsidRPr="00E80B13">
        <w:rPr>
          <w:rFonts w:ascii="Arial" w:hAnsi="Arial" w:cs="Arial"/>
          <w:sz w:val="20"/>
          <w:szCs w:val="20"/>
          <w:lang w:val="sl-SI"/>
        </w:rPr>
        <w:t>p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eriod </w:t>
      </w:r>
      <w:r w:rsidR="0085592C" w:rsidRPr="00E80B13">
        <w:rPr>
          <w:rFonts w:ascii="Arial" w:hAnsi="Arial" w:cs="Arial"/>
          <w:sz w:val="20"/>
          <w:szCs w:val="20"/>
          <w:lang w:val="sl-SI"/>
        </w:rPr>
        <w:t xml:space="preserve">od 01.01.-31.12.2024. godine 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iznosi 591 miliona € što je za 10 miliona € (ili 2%) više od naplate u istom periodu prošle godine. U odnosu na planirani prihod za </w:t>
      </w:r>
      <w:r w:rsidR="0085592C" w:rsidRPr="00E80B13">
        <w:rPr>
          <w:rFonts w:ascii="Arial" w:hAnsi="Arial" w:cs="Arial"/>
          <w:sz w:val="20"/>
          <w:szCs w:val="20"/>
          <w:lang w:val="sl-SI"/>
        </w:rPr>
        <w:t>posmatrani period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 2024. godine naplata doprinosa je bila niža za 17 miliona €, ili za 3%.</w:t>
      </w:r>
    </w:p>
    <w:p w:rsidR="007F4F5F" w:rsidRPr="00E80B13" w:rsidRDefault="007F4F5F" w:rsidP="006410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140876" w:rsidRPr="00E80B13" w:rsidRDefault="00140876" w:rsidP="006410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b/>
          <w:sz w:val="20"/>
          <w:szCs w:val="20"/>
          <w:lang w:val="sl-SI"/>
        </w:rPr>
        <w:t>Tabela 3: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 Pregled ostvarenja b</w:t>
      </w:r>
      <w:r w:rsidR="00B43D0F" w:rsidRPr="00E80B13">
        <w:rPr>
          <w:rFonts w:ascii="Arial" w:hAnsi="Arial" w:cs="Arial"/>
          <w:sz w:val="20"/>
          <w:szCs w:val="20"/>
          <w:lang w:val="sl-SI"/>
        </w:rPr>
        <w:t>ruto naplate za period 01.01- 31.12</w:t>
      </w:r>
      <w:r w:rsidRPr="00E80B13">
        <w:rPr>
          <w:rFonts w:ascii="Arial" w:hAnsi="Arial" w:cs="Arial"/>
          <w:sz w:val="20"/>
          <w:szCs w:val="20"/>
          <w:lang w:val="sl-SI"/>
        </w:rPr>
        <w:t>.2024.g. u odnosu na uporedni period 2023.g</w:t>
      </w:r>
    </w:p>
    <w:p w:rsidR="00140876" w:rsidRPr="00E80B13" w:rsidRDefault="00140876" w:rsidP="006410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8634" w:type="dxa"/>
        <w:tblInd w:w="93" w:type="dxa"/>
        <w:tblLook w:val="04A0" w:firstRow="1" w:lastRow="0" w:firstColumn="1" w:lastColumn="0" w:noHBand="0" w:noVBand="1"/>
      </w:tblPr>
      <w:tblGrid>
        <w:gridCol w:w="2628"/>
        <w:gridCol w:w="1771"/>
        <w:gridCol w:w="2162"/>
        <w:gridCol w:w="1132"/>
        <w:gridCol w:w="1122"/>
      </w:tblGrid>
      <w:tr w:rsidR="00677452" w:rsidRPr="00E80B13" w:rsidTr="00444483">
        <w:trPr>
          <w:trHeight w:val="511"/>
        </w:trPr>
        <w:tc>
          <w:tcPr>
            <w:tcW w:w="2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77452" w:rsidRPr="00E80B13" w:rsidRDefault="005939F8" w:rsidP="00834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Vrsta</w:t>
            </w:r>
            <w:proofErr w:type="spellEnd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poreza</w:t>
            </w:r>
            <w:proofErr w:type="spellEnd"/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:rsidR="00677452" w:rsidRPr="00E80B13" w:rsidRDefault="005939F8" w:rsidP="00F76E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Ostvarena</w:t>
            </w:r>
            <w:proofErr w:type="spellEnd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naplata</w:t>
            </w:r>
            <w:proofErr w:type="spellEnd"/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:rsidR="00677452" w:rsidRPr="00E80B13" w:rsidRDefault="005939F8" w:rsidP="00F76E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Ostvarena</w:t>
            </w:r>
            <w:proofErr w:type="spellEnd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naplata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677452" w:rsidRPr="00E80B13" w:rsidRDefault="005939F8" w:rsidP="00F76E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Stopa</w:t>
            </w:r>
            <w:proofErr w:type="spellEnd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rasta</w:t>
            </w:r>
            <w:proofErr w:type="spellEnd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:rsidR="00677452" w:rsidRPr="00E80B13" w:rsidRDefault="005939F8" w:rsidP="00F76E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Učešće</w:t>
            </w:r>
            <w:proofErr w:type="spellEnd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ukupnim</w:t>
            </w:r>
            <w:proofErr w:type="spellEnd"/>
          </w:p>
        </w:tc>
      </w:tr>
      <w:tr w:rsidR="00677452" w:rsidRPr="00E80B13" w:rsidTr="00444483">
        <w:trPr>
          <w:trHeight w:val="526"/>
        </w:trPr>
        <w:tc>
          <w:tcPr>
            <w:tcW w:w="2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77452" w:rsidRPr="00E80B13" w:rsidRDefault="00677452" w:rsidP="00834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hideMark/>
          </w:tcPr>
          <w:p w:rsidR="00677452" w:rsidRPr="00E80B13" w:rsidRDefault="00677452" w:rsidP="00F76E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01-01.-31.12.23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hideMark/>
          </w:tcPr>
          <w:p w:rsidR="00677452" w:rsidRPr="00E80B13" w:rsidRDefault="00677452" w:rsidP="00F76E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01-01.-31.12</w:t>
            </w:r>
            <w:r w:rsidR="005939F8"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677452" w:rsidRPr="00E80B13" w:rsidRDefault="00677452" w:rsidP="00F76E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:rsidR="00677452" w:rsidRPr="00E80B13" w:rsidRDefault="00F76EA7" w:rsidP="00F76E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poreskim</w:t>
            </w:r>
            <w:proofErr w:type="spellEnd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prihodima</w:t>
            </w:r>
            <w:proofErr w:type="spellEnd"/>
          </w:p>
        </w:tc>
      </w:tr>
      <w:tr w:rsidR="00677452" w:rsidRPr="00E80B13" w:rsidTr="00444483">
        <w:trPr>
          <w:trHeight w:val="331"/>
        </w:trPr>
        <w:tc>
          <w:tcPr>
            <w:tcW w:w="2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F76E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F76E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F76E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F76E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4=3/2*100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F76E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677452" w:rsidRPr="00E80B13" w:rsidTr="00444483">
        <w:trPr>
          <w:trHeight w:val="331"/>
        </w:trPr>
        <w:tc>
          <w:tcPr>
            <w:tcW w:w="2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452" w:rsidRPr="00E80B13" w:rsidRDefault="00677452" w:rsidP="00F76E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1.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Porez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dobit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pravnih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lica</w:t>
            </w:r>
            <w:proofErr w:type="spellEnd"/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152.621.034,64</w:t>
            </w: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214.278.061,98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40,40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13,33</w:t>
            </w:r>
          </w:p>
        </w:tc>
      </w:tr>
      <w:tr w:rsidR="00677452" w:rsidRPr="00E80B13" w:rsidTr="00444483">
        <w:trPr>
          <w:trHeight w:val="331"/>
        </w:trPr>
        <w:tc>
          <w:tcPr>
            <w:tcW w:w="2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452" w:rsidRPr="00E80B13" w:rsidRDefault="00677452" w:rsidP="00F76E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2.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Porez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dohodak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građana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170.634.852,18</w:t>
            </w: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217.097.519,24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27,23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13,50</w:t>
            </w:r>
          </w:p>
        </w:tc>
      </w:tr>
      <w:tr w:rsidR="00677452" w:rsidRPr="00E80B13" w:rsidTr="00444483">
        <w:trPr>
          <w:trHeight w:val="331"/>
        </w:trPr>
        <w:tc>
          <w:tcPr>
            <w:tcW w:w="2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7452" w:rsidRPr="00E80B13" w:rsidRDefault="00677452" w:rsidP="00F76E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3.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Porez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dodatu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vrijednost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400.816.341,13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479.453.312,71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19,62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29,82</w:t>
            </w:r>
          </w:p>
        </w:tc>
      </w:tr>
      <w:tr w:rsidR="00677452" w:rsidRPr="00E80B13" w:rsidTr="00444483">
        <w:trPr>
          <w:trHeight w:val="331"/>
        </w:trPr>
        <w:tc>
          <w:tcPr>
            <w:tcW w:w="2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452" w:rsidRPr="00E80B13" w:rsidRDefault="00677452" w:rsidP="00F76E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4.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Koncesije</w:t>
            </w:r>
            <w:proofErr w:type="spellEnd"/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59.953.738,99</w:t>
            </w: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65.317.719,97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8,95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4,06</w:t>
            </w:r>
          </w:p>
        </w:tc>
      </w:tr>
      <w:tr w:rsidR="00677452" w:rsidRPr="00E80B13" w:rsidTr="00444483">
        <w:trPr>
          <w:trHeight w:val="331"/>
        </w:trPr>
        <w:tc>
          <w:tcPr>
            <w:tcW w:w="2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7452" w:rsidRPr="00E80B13" w:rsidRDefault="00677452" w:rsidP="00F76E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lastRenderedPageBreak/>
              <w:t xml:space="preserve">5.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Porez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promet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527C0C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 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nepokretnosti</w:t>
            </w:r>
            <w:proofErr w:type="spellEnd"/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31.643.944,10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15.778.776,83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-50,14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0,98</w:t>
            </w:r>
          </w:p>
        </w:tc>
      </w:tr>
      <w:tr w:rsidR="00677452" w:rsidRPr="00E80B13" w:rsidTr="00444483">
        <w:trPr>
          <w:trHeight w:val="331"/>
        </w:trPr>
        <w:tc>
          <w:tcPr>
            <w:tcW w:w="2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7452" w:rsidRPr="00E80B13" w:rsidRDefault="00677452" w:rsidP="00F76E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6.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Ostali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prihodi</w:t>
            </w:r>
            <w:proofErr w:type="spellEnd"/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22.644.858,38</w:t>
            </w: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25.060.248,54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10,67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1,56</w:t>
            </w:r>
          </w:p>
        </w:tc>
      </w:tr>
      <w:tr w:rsidR="00677452" w:rsidRPr="00E80B13" w:rsidTr="00444483">
        <w:trPr>
          <w:trHeight w:val="331"/>
        </w:trPr>
        <w:tc>
          <w:tcPr>
            <w:tcW w:w="2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25507" w:rsidRDefault="00677452" w:rsidP="0044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hr-HR"/>
              </w:rPr>
              <w:t>U K U P N O</w:t>
            </w:r>
          </w:p>
          <w:p w:rsidR="00677452" w:rsidRPr="00E80B13" w:rsidRDefault="00677452" w:rsidP="0044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hr-HR"/>
              </w:rPr>
              <w:t>P O R E Z I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838.314.769,42</w:t>
            </w: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1.016.985.639,27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21,31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63,26</w:t>
            </w:r>
          </w:p>
        </w:tc>
      </w:tr>
      <w:tr w:rsidR="00677452" w:rsidRPr="00E80B13" w:rsidTr="00444483">
        <w:trPr>
          <w:trHeight w:val="530"/>
        </w:trPr>
        <w:tc>
          <w:tcPr>
            <w:tcW w:w="2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F76E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7.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Prihodi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fonda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PIO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530.950.354,36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538.330.463,28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1,39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33,48</w:t>
            </w:r>
          </w:p>
        </w:tc>
      </w:tr>
      <w:tr w:rsidR="00677452" w:rsidRPr="00E80B13" w:rsidTr="00444483">
        <w:trPr>
          <w:trHeight w:val="331"/>
        </w:trPr>
        <w:tc>
          <w:tcPr>
            <w:tcW w:w="2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F76E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8.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Prihodi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fonda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za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zdrav.osig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7.249.545,25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5.669.698,31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-21,79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0,35</w:t>
            </w:r>
          </w:p>
        </w:tc>
      </w:tr>
      <w:tr w:rsidR="00677452" w:rsidRPr="00E80B13" w:rsidTr="00444483">
        <w:trPr>
          <w:trHeight w:val="331"/>
        </w:trPr>
        <w:tc>
          <w:tcPr>
            <w:tcW w:w="2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F76E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9.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Prihodi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zavoda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za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zapošlj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Crne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Gore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37.628.197,00</w:t>
            </w: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41.394.307,98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10,01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2,57</w:t>
            </w:r>
          </w:p>
        </w:tc>
      </w:tr>
      <w:tr w:rsidR="00677452" w:rsidRPr="00E80B13" w:rsidTr="00444483">
        <w:trPr>
          <w:trHeight w:val="331"/>
        </w:trPr>
        <w:tc>
          <w:tcPr>
            <w:tcW w:w="2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F76EA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10.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Prihodi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fonda</w:t>
            </w:r>
            <w:proofErr w:type="spellEnd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hr-HR"/>
              </w:rPr>
              <w:t>rada</w:t>
            </w:r>
            <w:proofErr w:type="spellEnd"/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4.818.466,89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  <w:t>5.323.911,79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10,49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0,33</w:t>
            </w:r>
          </w:p>
        </w:tc>
      </w:tr>
      <w:tr w:rsidR="00677452" w:rsidRPr="00E80B13" w:rsidTr="00444483">
        <w:trPr>
          <w:trHeight w:val="331"/>
        </w:trPr>
        <w:tc>
          <w:tcPr>
            <w:tcW w:w="2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725507" w:rsidRDefault="00677452" w:rsidP="0044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hr-HR"/>
              </w:rPr>
              <w:t>U K U P N O</w:t>
            </w:r>
          </w:p>
          <w:p w:rsidR="00677452" w:rsidRPr="00E80B13" w:rsidRDefault="00677452" w:rsidP="00444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hr-HR"/>
              </w:rPr>
              <w:t>D O P R I N O S I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580.646.563,50</w:t>
            </w: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590.718.381,36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1,73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36,74</w:t>
            </w:r>
          </w:p>
        </w:tc>
      </w:tr>
      <w:tr w:rsidR="00677452" w:rsidRPr="00E80B13" w:rsidTr="00444483">
        <w:trPr>
          <w:trHeight w:val="737"/>
        </w:trPr>
        <w:tc>
          <w:tcPr>
            <w:tcW w:w="2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bottom"/>
            <w:hideMark/>
          </w:tcPr>
          <w:p w:rsidR="00677452" w:rsidRPr="00E80B13" w:rsidRDefault="00677452" w:rsidP="00F76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hr-HR"/>
              </w:rPr>
              <w:t>SVE UKUPNO (</w:t>
            </w:r>
            <w:proofErr w:type="spellStart"/>
            <w:r w:rsidRPr="00E80B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hr-HR"/>
              </w:rPr>
              <w:t>porezi+doprinosi</w:t>
            </w:r>
            <w:proofErr w:type="spellEnd"/>
            <w:r w:rsidRPr="00E80B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1.418.961.332,92</w:t>
            </w: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1.607.704.020,63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13,30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77452" w:rsidRPr="00E80B13" w:rsidRDefault="00677452" w:rsidP="008575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E80B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</w:tbl>
    <w:p w:rsidR="00E226F2" w:rsidRPr="00E80B13" w:rsidRDefault="00E226F2" w:rsidP="0076705F">
      <w:pPr>
        <w:pStyle w:val="BodyText"/>
        <w:jc w:val="both"/>
        <w:rPr>
          <w:rFonts w:ascii="Arial" w:hAnsi="Arial" w:cs="Arial"/>
          <w:b/>
          <w:sz w:val="20"/>
          <w:szCs w:val="20"/>
          <w:lang w:eastAsia="en-GB"/>
        </w:rPr>
      </w:pPr>
    </w:p>
    <w:tbl>
      <w:tblPr>
        <w:tblW w:w="12794" w:type="dxa"/>
        <w:tblInd w:w="108" w:type="dxa"/>
        <w:tblLook w:val="04A0" w:firstRow="1" w:lastRow="0" w:firstColumn="1" w:lastColumn="0" w:noHBand="0" w:noVBand="1"/>
      </w:tblPr>
      <w:tblGrid>
        <w:gridCol w:w="10152"/>
        <w:gridCol w:w="1382"/>
        <w:gridCol w:w="1260"/>
      </w:tblGrid>
      <w:tr w:rsidR="00F270F5" w:rsidRPr="00E80B13" w:rsidTr="002C2840">
        <w:trPr>
          <w:trHeight w:val="300"/>
        </w:trPr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99F" w:rsidRPr="00E80B13" w:rsidRDefault="001F299F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ED109D" w:rsidRPr="00E80B13" w:rsidRDefault="00ED109D" w:rsidP="00792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Veliki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poreski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obveznici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izvješt</w:t>
            </w:r>
            <w:r w:rsidR="006D78DE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ajnom</w:t>
            </w:r>
            <w:proofErr w:type="spellEnd"/>
            <w:r w:rsidR="006D78DE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D78DE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periodu</w:t>
            </w:r>
            <w:proofErr w:type="spellEnd"/>
            <w:r w:rsidR="006D78DE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9B44CB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od </w:t>
            </w:r>
            <w:r w:rsidR="006D78DE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01.01.-31</w:t>
            </w:r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006D78DE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</w:t>
            </w:r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2024.</w:t>
            </w:r>
            <w:r w:rsidR="00523CA3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godine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učestvuju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ukupnoj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naplati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</w:t>
            </w:r>
            <w:r w:rsidR="00523CA3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vnih</w:t>
            </w:r>
            <w:proofErr w:type="spellEnd"/>
            <w:r w:rsidR="00523CA3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23CA3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prihoda</w:t>
            </w:r>
            <w:proofErr w:type="spellEnd"/>
            <w:r w:rsidR="00523CA3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23CA3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</w:t>
            </w:r>
            <w:proofErr w:type="spellEnd"/>
            <w:r w:rsidR="00523CA3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23CA3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nivou</w:t>
            </w:r>
            <w:proofErr w:type="spellEnd"/>
            <w:r w:rsidR="00523CA3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523CA3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  </w:t>
            </w:r>
            <w:proofErr w:type="spellStart"/>
            <w:r w:rsidR="00523CA3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cca</w:t>
            </w:r>
            <w:proofErr w:type="spellEnd"/>
            <w:proofErr w:type="gramEnd"/>
            <w:r w:rsidR="00523CA3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37</w:t>
            </w:r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%. </w:t>
            </w:r>
          </w:p>
          <w:p w:rsidR="00ED109D" w:rsidRPr="00E80B13" w:rsidRDefault="00ED109D" w:rsidP="00792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765C4" w:rsidRPr="00E80B13" w:rsidRDefault="008765C4" w:rsidP="00792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D5E9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Tabela</w:t>
            </w:r>
            <w:proofErr w:type="spellEnd"/>
            <w:r w:rsidRPr="00FD5E9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="00AB1D32" w:rsidRPr="00FD5E9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</w:t>
            </w:r>
            <w:r w:rsidR="00AB1D32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="00AB1D32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Bruto</w:t>
            </w:r>
            <w:proofErr w:type="spellEnd"/>
            <w:r w:rsidR="00AB1D32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B1D32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naplata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527AC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VPO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</w:t>
            </w:r>
            <w:r w:rsidR="006C54A6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rsti</w:t>
            </w:r>
            <w:proofErr w:type="spellEnd"/>
            <w:r w:rsidR="006C54A6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C54A6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poreza</w:t>
            </w:r>
            <w:proofErr w:type="spellEnd"/>
            <w:r w:rsidR="006C54A6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C54A6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za</w:t>
            </w:r>
            <w:proofErr w:type="spellEnd"/>
            <w:r w:rsidR="006C54A6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period 01.01.- 31.</w:t>
            </w:r>
            <w:proofErr w:type="gramStart"/>
            <w:r w:rsidR="006C54A6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.2024.god</w:t>
            </w:r>
            <w:r w:rsidR="000C7FC2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ine</w:t>
            </w:r>
            <w:proofErr w:type="gramEnd"/>
            <w:r w:rsidR="000C7FC2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C7FC2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</w:t>
            </w:r>
            <w:proofErr w:type="spellEnd"/>
            <w:r w:rsidR="000C7FC2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C7FC2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uporednim</w:t>
            </w:r>
            <w:proofErr w:type="spellEnd"/>
            <w:r w:rsidR="000C7FC2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C7FC2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periodima</w:t>
            </w:r>
            <w:proofErr w:type="spellEnd"/>
            <w:r w:rsidR="000C7FC2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C7FC2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</w:t>
            </w:r>
            <w:proofErr w:type="spellEnd"/>
            <w:r w:rsidR="000C7FC2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C7FC2"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</w:t>
            </w:r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stog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perioda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prethodne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godine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EC1CB2" w:rsidRPr="00E80B13" w:rsidRDefault="00EC1CB2" w:rsidP="00792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tbl>
            <w:tblPr>
              <w:tblW w:w="9931" w:type="dxa"/>
              <w:tblLook w:val="04A0" w:firstRow="1" w:lastRow="0" w:firstColumn="1" w:lastColumn="0" w:noHBand="0" w:noVBand="1"/>
            </w:tblPr>
            <w:tblGrid>
              <w:gridCol w:w="997"/>
              <w:gridCol w:w="1727"/>
              <w:gridCol w:w="1701"/>
              <w:gridCol w:w="1586"/>
              <w:gridCol w:w="1426"/>
              <w:gridCol w:w="1842"/>
              <w:gridCol w:w="652"/>
            </w:tblGrid>
            <w:tr w:rsidR="006C54A6" w:rsidRPr="00E80B13" w:rsidTr="005D341F">
              <w:trPr>
                <w:trHeight w:val="631"/>
              </w:trPr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5D341F" w:rsidRPr="00E80B13" w:rsidRDefault="005D341F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</w:p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VRSTA POREZA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NAPLATA   ZA VPO ZA I-XII/ 2023(268)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OSTVARENJE  NAPLATE KOD VPO </w:t>
                  </w:r>
                  <w:proofErr w:type="spellStart"/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za</w:t>
                  </w:r>
                  <w:proofErr w:type="spellEnd"/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 I-XII/ 2024 (270)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5D341F" w:rsidRPr="00E80B13" w:rsidRDefault="005D341F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</w:p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Apsolutni</w:t>
                  </w:r>
                  <w:proofErr w:type="spellEnd"/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 </w:t>
                  </w:r>
                  <w:proofErr w:type="spellStart"/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iznos</w:t>
                  </w:r>
                  <w:proofErr w:type="spellEnd"/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              I-XII(2024-2023)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INDEX                     I-XII(2024/2023)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5D341F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UČEŠĆE VPO U UKUPNOJ NAPLATI UPRAVE PRIHODA        </w:t>
                  </w:r>
                </w:p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  I-XII / 2023</w:t>
                  </w:r>
                </w:p>
              </w:tc>
              <w:tc>
                <w:tcPr>
                  <w:tcW w:w="751" w:type="dxa"/>
                  <w:vAlign w:val="center"/>
                </w:tcPr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C54A6" w:rsidRPr="00E80B13" w:rsidTr="00F76EA7">
              <w:trPr>
                <w:trHeight w:val="430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</w:p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PDV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178.190.372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191.629.081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10.560.948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107,54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39,97%</w:t>
                  </w:r>
                </w:p>
              </w:tc>
              <w:tc>
                <w:tcPr>
                  <w:tcW w:w="751" w:type="dxa"/>
                  <w:vAlign w:val="center"/>
                </w:tcPr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C54A6" w:rsidRPr="00E80B13" w:rsidTr="00F76EA7">
              <w:trPr>
                <w:trHeight w:val="407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</w:p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IOPPD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205.851.466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222.361.568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16.510.102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108,02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27,53%</w:t>
                  </w:r>
                </w:p>
              </w:tc>
              <w:tc>
                <w:tcPr>
                  <w:tcW w:w="751" w:type="dxa"/>
                  <w:vAlign w:val="center"/>
                </w:tcPr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C54A6" w:rsidRPr="00E80B13" w:rsidTr="00F76EA7">
              <w:trPr>
                <w:trHeight w:val="414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</w:p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P/DOBIT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83.278.798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125.626.669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41.037.003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150,85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58,63%</w:t>
                  </w:r>
                </w:p>
              </w:tc>
              <w:tc>
                <w:tcPr>
                  <w:tcW w:w="751" w:type="dxa"/>
                  <w:vAlign w:val="center"/>
                </w:tcPr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C54A6" w:rsidRPr="00E80B13" w:rsidTr="00F76EA7">
              <w:trPr>
                <w:trHeight w:val="420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</w:p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OSTALO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38.044.998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52.316.114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14.271.116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137,51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49,28%</w:t>
                  </w:r>
                </w:p>
              </w:tc>
              <w:tc>
                <w:tcPr>
                  <w:tcW w:w="751" w:type="dxa"/>
                  <w:vAlign w:val="center"/>
                </w:tcPr>
                <w:p w:rsidR="006C54A6" w:rsidRPr="00E80B13" w:rsidRDefault="006C54A6" w:rsidP="006C54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C54A6" w:rsidRPr="00E80B13" w:rsidTr="005D341F">
              <w:trPr>
                <w:gridAfter w:val="1"/>
                <w:wAfter w:w="751" w:type="dxa"/>
                <w:trHeight w:val="420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:rsidR="006C54A6" w:rsidRPr="00E80B13" w:rsidRDefault="009B44CB" w:rsidP="009B44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n-GB"/>
                    </w:rPr>
                    <w:t>UKUPNO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505.365.634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591.182.214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74.263.112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116,98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</w:tcPr>
                <w:p w:rsidR="006C54A6" w:rsidRPr="00E80B13" w:rsidRDefault="006C54A6" w:rsidP="006C54A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E80B13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36,77%</w:t>
                  </w:r>
                </w:p>
              </w:tc>
            </w:tr>
          </w:tbl>
          <w:p w:rsidR="00F04EEE" w:rsidRPr="00E80B13" w:rsidRDefault="00F04EEE" w:rsidP="00792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C71BD6" w:rsidRPr="00E80B13" w:rsidRDefault="00C71BD6" w:rsidP="002C28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F5" w:rsidRPr="00E80B13" w:rsidRDefault="00F270F5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D97BEA" w:rsidRPr="00E80B13" w:rsidRDefault="00D97BEA" w:rsidP="00542C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Iz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gore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navedenih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podataka</w:t>
      </w:r>
      <w:proofErr w:type="spellEnd"/>
      <w:r w:rsidR="006B4D72" w:rsidRPr="00E80B13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evidentan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je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porast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ukupne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naplate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VPO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za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period 01.01.-31.12. 2024.godine u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odnosu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na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isti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period 2023.godine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za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cca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17</w:t>
      </w:r>
      <w:r w:rsidR="00542C58" w:rsidRPr="00E80B13">
        <w:rPr>
          <w:rFonts w:ascii="Arial" w:eastAsia="Times New Roman" w:hAnsi="Arial" w:cs="Arial"/>
          <w:sz w:val="20"/>
          <w:szCs w:val="20"/>
          <w:lang w:eastAsia="en-GB"/>
        </w:rPr>
        <w:t>%.</w:t>
      </w:r>
    </w:p>
    <w:p w:rsidR="00F270F5" w:rsidRPr="00E80B13" w:rsidRDefault="00F270F5" w:rsidP="007670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F270F5" w:rsidRPr="00E80B13" w:rsidRDefault="008722BF" w:rsidP="00BA4661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Ukupno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poresko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potraživanje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za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27 VPO</w:t>
      </w:r>
      <w:r w:rsidR="00527C0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CC2BBD" w:rsidRPr="00E80B13">
        <w:rPr>
          <w:rFonts w:ascii="Arial" w:eastAsia="Times New Roman" w:hAnsi="Arial" w:cs="Arial"/>
          <w:sz w:val="20"/>
          <w:szCs w:val="20"/>
          <w:lang w:eastAsia="en-GB"/>
        </w:rPr>
        <w:t>(</w:t>
      </w:r>
      <w:proofErr w:type="spellStart"/>
      <w:r w:rsidR="00CC2BBD" w:rsidRPr="00E80B13">
        <w:rPr>
          <w:rFonts w:ascii="Arial" w:eastAsia="Times New Roman" w:hAnsi="Arial" w:cs="Arial"/>
          <w:sz w:val="20"/>
          <w:szCs w:val="20"/>
          <w:lang w:eastAsia="en-GB"/>
        </w:rPr>
        <w:t>koji</w:t>
      </w:r>
      <w:proofErr w:type="spellEnd"/>
      <w:r w:rsidR="00CC2BBD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CC2BBD" w:rsidRPr="00E80B13">
        <w:rPr>
          <w:rFonts w:ascii="Arial" w:eastAsia="Times New Roman" w:hAnsi="Arial" w:cs="Arial"/>
          <w:sz w:val="20"/>
          <w:szCs w:val="20"/>
          <w:lang w:eastAsia="en-GB"/>
        </w:rPr>
        <w:t>su</w:t>
      </w:r>
      <w:proofErr w:type="spellEnd"/>
      <w:r w:rsidR="00CC2BBD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u </w:t>
      </w:r>
      <w:proofErr w:type="spellStart"/>
      <w:r w:rsidR="00CC2BBD" w:rsidRPr="00E80B13">
        <w:rPr>
          <w:rFonts w:ascii="Arial" w:eastAsia="Times New Roman" w:hAnsi="Arial" w:cs="Arial"/>
          <w:sz w:val="20"/>
          <w:szCs w:val="20"/>
          <w:lang w:eastAsia="en-GB"/>
        </w:rPr>
        <w:t>reprogramu</w:t>
      </w:r>
      <w:proofErr w:type="spellEnd"/>
      <w:r w:rsidR="00CC2BBD" w:rsidRPr="00E80B13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iznosilo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je </w:t>
      </w:r>
      <w:r w:rsidR="00D97BEA" w:rsidRPr="00E80B13">
        <w:rPr>
          <w:rFonts w:ascii="Arial" w:eastAsia="Times New Roman" w:hAnsi="Arial" w:cs="Arial"/>
          <w:sz w:val="20"/>
          <w:szCs w:val="20"/>
          <w:lang w:eastAsia="en-GB"/>
        </w:rPr>
        <w:t>23.082.999,01</w:t>
      </w:r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€. </w:t>
      </w:r>
      <w:proofErr w:type="spellStart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>Kod</w:t>
      </w:r>
      <w:proofErr w:type="spellEnd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>šest</w:t>
      </w:r>
      <w:proofErr w:type="spellEnd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VPO je </w:t>
      </w:r>
      <w:proofErr w:type="spellStart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>obaveza</w:t>
      </w:r>
      <w:proofErr w:type="spellEnd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>po</w:t>
      </w:r>
      <w:proofErr w:type="spellEnd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>reprogramu</w:t>
      </w:r>
      <w:proofErr w:type="spellEnd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>izmirena</w:t>
      </w:r>
      <w:proofErr w:type="spellEnd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u </w:t>
      </w:r>
      <w:proofErr w:type="spellStart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>cjelosti</w:t>
      </w:r>
      <w:proofErr w:type="spellEnd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>na</w:t>
      </w:r>
      <w:proofErr w:type="spellEnd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>iznos</w:t>
      </w:r>
      <w:proofErr w:type="spellEnd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>ukupnog</w:t>
      </w:r>
      <w:proofErr w:type="spellEnd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>reprogramiranog</w:t>
      </w:r>
      <w:proofErr w:type="spellEnd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>iznosa</w:t>
      </w:r>
      <w:proofErr w:type="spellEnd"/>
      <w:r w:rsidR="006D78D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od 1.659.513,77€.</w:t>
      </w:r>
    </w:p>
    <w:p w:rsidR="00BA7ECD" w:rsidRPr="00E80B13" w:rsidRDefault="007B7750" w:rsidP="00BA73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U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period</w:t>
      </w:r>
      <w:r w:rsidR="00E972B4" w:rsidRPr="00E80B13">
        <w:rPr>
          <w:rFonts w:ascii="Arial" w:eastAsia="Times New Roman" w:hAnsi="Arial" w:cs="Arial"/>
          <w:sz w:val="20"/>
          <w:szCs w:val="20"/>
          <w:lang w:eastAsia="en-GB"/>
        </w:rPr>
        <w:t>u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od 01.01.-31.12.2024.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godine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po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dostavljenim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rješenjima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o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otvorenim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stečajnim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postupcima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od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strane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Privrednog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suda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gdje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je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stečajni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postupak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pokrenuo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sam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poreski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obveznik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ili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neko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drugo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lice,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podnešeno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je 328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prijava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potraživanja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po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osnovu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potraživanja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od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strane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Poreske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uprave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u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ukupnom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>iznosu</w:t>
      </w:r>
      <w:proofErr w:type="spellEnd"/>
      <w:r w:rsidR="00BA73E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od 19.399.537,75</w:t>
      </w:r>
      <w:r w:rsidR="00E972B4" w:rsidRPr="00E80B13">
        <w:rPr>
          <w:rFonts w:ascii="Arial" w:eastAsia="Times New Roman" w:hAnsi="Arial" w:cs="Arial"/>
          <w:sz w:val="20"/>
          <w:szCs w:val="20"/>
          <w:lang w:eastAsia="en-GB"/>
        </w:rPr>
        <w:t>€.</w:t>
      </w:r>
    </w:p>
    <w:p w:rsidR="008E7310" w:rsidRPr="00E80B13" w:rsidRDefault="008E7310" w:rsidP="00BA73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C25BBF" w:rsidRPr="00E37C3D" w:rsidRDefault="00C25BBF" w:rsidP="00E37C3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i/>
          <w:sz w:val="24"/>
          <w:szCs w:val="24"/>
          <w:lang w:val="sl-SI"/>
        </w:rPr>
      </w:pPr>
      <w:r w:rsidRPr="00E37C3D">
        <w:rPr>
          <w:rFonts w:ascii="Arial Narrow" w:hAnsi="Arial Narrow" w:cs="Arial"/>
          <w:b/>
          <w:i/>
          <w:sz w:val="24"/>
          <w:szCs w:val="24"/>
          <w:lang w:val="sl-SI"/>
        </w:rPr>
        <w:lastRenderedPageBreak/>
        <w:t>Poreski dug</w:t>
      </w:r>
    </w:p>
    <w:p w:rsidR="00C25BBF" w:rsidRPr="00E80B13" w:rsidRDefault="00C25BBF" w:rsidP="0076705F">
      <w:pPr>
        <w:pStyle w:val="ListParagraph"/>
        <w:jc w:val="both"/>
        <w:rPr>
          <w:rFonts w:ascii="Arial" w:hAnsi="Arial" w:cs="Arial"/>
          <w:sz w:val="20"/>
          <w:szCs w:val="20"/>
          <w:lang w:eastAsia="en-GB"/>
        </w:rPr>
      </w:pPr>
    </w:p>
    <w:p w:rsidR="00624216" w:rsidRPr="00E80B13" w:rsidRDefault="00265DDA" w:rsidP="005678A5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0B13">
        <w:rPr>
          <w:rFonts w:ascii="Arial" w:hAnsi="Arial" w:cs="Arial"/>
        </w:rPr>
        <w:t xml:space="preserve">U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cilju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efikasnijeg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praćenja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kretanja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poreskog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duga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i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preduzimanja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mjera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u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pravcu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smanjenja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istog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821E35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u </w:t>
      </w:r>
      <w:proofErr w:type="spellStart"/>
      <w:r w:rsidR="00821E35" w:rsidRPr="00E80B13">
        <w:rPr>
          <w:rFonts w:ascii="Arial" w:eastAsia="Times New Roman" w:hAnsi="Arial" w:cs="Arial"/>
          <w:sz w:val="20"/>
          <w:szCs w:val="20"/>
          <w:lang w:eastAsia="en-GB"/>
        </w:rPr>
        <w:t>kontinuitetu</w:t>
      </w:r>
      <w:proofErr w:type="spellEnd"/>
      <w:r w:rsidR="00821E35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se</w:t>
      </w:r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radi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izvještaj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o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stanju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i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kretanju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duga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Zadnji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izvještaj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je </w:t>
      </w:r>
      <w:proofErr w:type="spellStart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>odrađen</w:t>
      </w:r>
      <w:proofErr w:type="spellEnd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>sa</w:t>
      </w:r>
      <w:proofErr w:type="spellEnd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>presjekom</w:t>
      </w:r>
      <w:proofErr w:type="spellEnd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>na</w:t>
      </w:r>
      <w:proofErr w:type="spellEnd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31.12</w:t>
      </w:r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.2024.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godine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Analiza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obuhvata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i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odvajanje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strukture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duga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po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poreskim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oblicima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Ukupan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procijenjeni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dug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iznosi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>664.943.521,12</w:t>
      </w:r>
      <w:proofErr w:type="gram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€ ,</w:t>
      </w:r>
      <w:proofErr w:type="gram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od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čega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je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osnovni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dug u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iznosu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od </w:t>
      </w:r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>402.986.284,13</w:t>
      </w:r>
      <w:r w:rsidRPr="00E80B13">
        <w:rPr>
          <w:rFonts w:ascii="Arial" w:eastAsia="Times New Roman" w:hAnsi="Arial" w:cs="Arial"/>
          <w:sz w:val="20"/>
          <w:szCs w:val="20"/>
          <w:lang w:eastAsia="en-GB"/>
        </w:rPr>
        <w:t>€</w:t>
      </w:r>
      <w:r w:rsidR="0060340A" w:rsidRPr="00E80B13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a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kamata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je </w:t>
      </w:r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>261.957.236,99</w:t>
      </w:r>
      <w:r w:rsidRPr="00E80B13">
        <w:rPr>
          <w:rFonts w:ascii="Arial" w:eastAsia="Times New Roman" w:hAnsi="Arial" w:cs="Arial"/>
          <w:sz w:val="20"/>
          <w:szCs w:val="20"/>
          <w:lang w:eastAsia="en-GB"/>
        </w:rPr>
        <w:t>€</w:t>
      </w:r>
      <w:r w:rsidR="006516EE" w:rsidRPr="00E80B13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624216" w:rsidRPr="00E80B13" w:rsidRDefault="00360194" w:rsidP="00624216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0B13">
        <w:rPr>
          <w:rFonts w:ascii="Arial" w:hAnsi="Arial" w:cs="Arial"/>
          <w:b/>
          <w:sz w:val="20"/>
          <w:szCs w:val="20"/>
          <w:lang w:val="sl-SI"/>
        </w:rPr>
        <w:t>Tabela 5:</w:t>
      </w:r>
      <w:r w:rsidR="00927AC1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Izvještaj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o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kretanju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stanj</w:t>
      </w:r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>a</w:t>
      </w:r>
      <w:proofErr w:type="spellEnd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>duga</w:t>
      </w:r>
      <w:proofErr w:type="spellEnd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>sa</w:t>
      </w:r>
      <w:proofErr w:type="spellEnd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>presjekom</w:t>
      </w:r>
      <w:proofErr w:type="spellEnd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>na</w:t>
      </w:r>
      <w:proofErr w:type="spellEnd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>dan</w:t>
      </w:r>
      <w:proofErr w:type="spellEnd"/>
      <w:r w:rsidR="003845E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31.12</w:t>
      </w:r>
      <w:r w:rsidRPr="00E80B13">
        <w:rPr>
          <w:rFonts w:ascii="Arial" w:eastAsia="Times New Roman" w:hAnsi="Arial" w:cs="Arial"/>
          <w:sz w:val="20"/>
          <w:szCs w:val="20"/>
          <w:lang w:eastAsia="en-GB"/>
        </w:rPr>
        <w:t>.2024.</w:t>
      </w:r>
      <w:r w:rsidR="00221AB3">
        <w:rPr>
          <w:rFonts w:ascii="Arial" w:eastAsia="Times New Roman" w:hAnsi="Arial" w:cs="Arial"/>
          <w:sz w:val="20"/>
          <w:szCs w:val="20"/>
          <w:lang w:eastAsia="en-GB"/>
        </w:rPr>
        <w:t>godine</w:t>
      </w:r>
    </w:p>
    <w:tbl>
      <w:tblPr>
        <w:tblW w:w="9241" w:type="dxa"/>
        <w:tblLook w:val="04A0" w:firstRow="1" w:lastRow="0" w:firstColumn="1" w:lastColumn="0" w:noHBand="0" w:noVBand="1"/>
      </w:tblPr>
      <w:tblGrid>
        <w:gridCol w:w="3791"/>
        <w:gridCol w:w="2093"/>
        <w:gridCol w:w="1622"/>
        <w:gridCol w:w="1735"/>
      </w:tblGrid>
      <w:tr w:rsidR="00AD1A30" w:rsidRPr="00AD1A30" w:rsidTr="00AD1A30">
        <w:trPr>
          <w:trHeight w:val="28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Vrste prihoda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Ukupan dug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Osnovni dug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Kamata</w:t>
            </w:r>
          </w:p>
        </w:tc>
      </w:tr>
      <w:tr w:rsidR="00AD1A30" w:rsidRPr="00AD1A30" w:rsidTr="00AD1A30">
        <w:trPr>
          <w:trHeight w:val="282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Koncesije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8.187.041,84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5.085.911,38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3.101.130,46</w:t>
            </w:r>
          </w:p>
        </w:tc>
      </w:tr>
      <w:tr w:rsidR="00AD1A30" w:rsidRPr="00AD1A30" w:rsidTr="00AD1A30">
        <w:trPr>
          <w:trHeight w:val="282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6.236.668,85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4.675.613,54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1.561.055,31</w:t>
            </w:r>
          </w:p>
        </w:tc>
      </w:tr>
      <w:tr w:rsidR="00AD1A30" w:rsidRPr="00AD1A30" w:rsidTr="00AD1A30">
        <w:trPr>
          <w:trHeight w:val="282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Porez na dobit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88.411.779,41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55.522.747,78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32.889.031,63</w:t>
            </w:r>
          </w:p>
        </w:tc>
      </w:tr>
      <w:tr w:rsidR="00AD1A30" w:rsidRPr="00AD1A30" w:rsidTr="00AD1A30">
        <w:trPr>
          <w:trHeight w:val="282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Porez na dodatu vrijednost PDV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132.673.145,16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85.047.210,07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47.625.935,09</w:t>
            </w:r>
          </w:p>
        </w:tc>
      </w:tr>
      <w:tr w:rsidR="00AD1A30" w:rsidRPr="00AD1A30" w:rsidTr="00AD1A30">
        <w:trPr>
          <w:trHeight w:val="282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Porez na promet nepokretnosti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57.056.953,84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27.113.357,12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29.943.596,72</w:t>
            </w:r>
          </w:p>
        </w:tc>
      </w:tr>
      <w:tr w:rsidR="00AD1A30" w:rsidRPr="00AD1A30" w:rsidTr="00AD1A30">
        <w:trPr>
          <w:trHeight w:val="282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Porezi i doprinosi na dohodak fizičkih lica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372.377.932,02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225.541.444,24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146.836.487,78</w:t>
            </w:r>
          </w:p>
        </w:tc>
      </w:tr>
      <w:tr w:rsidR="00AD1A30" w:rsidRPr="00AD1A30" w:rsidTr="00AD1A30">
        <w:trPr>
          <w:trHeight w:val="282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Ukupno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664.943.521,12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402.986.284,13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D1A30" w:rsidRPr="00AD1A30" w:rsidRDefault="00AD1A30" w:rsidP="00AD1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AD1A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261.957.236,99</w:t>
            </w:r>
          </w:p>
        </w:tc>
      </w:tr>
    </w:tbl>
    <w:p w:rsidR="00C25BBF" w:rsidRPr="00E80B13" w:rsidRDefault="00C25BBF" w:rsidP="00E70718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624216" w:rsidRPr="00E80B13" w:rsidRDefault="006516EE" w:rsidP="00523CA3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U </w:t>
      </w:r>
      <w:proofErr w:type="spellStart"/>
      <w:r w:rsidR="009D3AC0" w:rsidRPr="00E80B13">
        <w:rPr>
          <w:rFonts w:ascii="Arial" w:eastAsia="Times New Roman" w:hAnsi="Arial" w:cs="Arial"/>
          <w:sz w:val="20"/>
          <w:szCs w:val="20"/>
          <w:lang w:eastAsia="en-GB"/>
        </w:rPr>
        <w:t>period</w:t>
      </w:r>
      <w:r w:rsidR="009F42C3" w:rsidRPr="00E80B13">
        <w:rPr>
          <w:rFonts w:ascii="Arial" w:eastAsia="Times New Roman" w:hAnsi="Arial" w:cs="Arial"/>
          <w:sz w:val="20"/>
          <w:szCs w:val="20"/>
          <w:lang w:eastAsia="en-GB"/>
        </w:rPr>
        <w:t>u</w:t>
      </w:r>
      <w:proofErr w:type="spellEnd"/>
      <w:r w:rsidR="009D3AC0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od 01.01.-31.12.</w:t>
      </w:r>
      <w:r w:rsidRPr="00E80B13"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="007139F2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024. </w:t>
      </w:r>
      <w:proofErr w:type="spellStart"/>
      <w:proofErr w:type="gramStart"/>
      <w:r w:rsidR="009D3AC0" w:rsidRPr="00E80B13">
        <w:rPr>
          <w:rFonts w:ascii="Arial" w:eastAsia="Times New Roman" w:hAnsi="Arial" w:cs="Arial"/>
          <w:sz w:val="20"/>
          <w:szCs w:val="20"/>
          <w:lang w:eastAsia="en-GB"/>
        </w:rPr>
        <w:t>godine</w:t>
      </w:r>
      <w:proofErr w:type="spellEnd"/>
      <w:r w:rsidR="009F42C3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8194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7139F2" w:rsidRPr="00E80B13">
        <w:rPr>
          <w:rFonts w:ascii="Arial" w:eastAsia="Times New Roman" w:hAnsi="Arial" w:cs="Arial"/>
          <w:sz w:val="20"/>
          <w:szCs w:val="20"/>
          <w:lang w:eastAsia="en-GB"/>
        </w:rPr>
        <w:t>doneš</w:t>
      </w:r>
      <w:r w:rsidR="0008194E" w:rsidRPr="00E80B13">
        <w:rPr>
          <w:rFonts w:ascii="Arial" w:eastAsia="Times New Roman" w:hAnsi="Arial" w:cs="Arial"/>
          <w:sz w:val="20"/>
          <w:szCs w:val="20"/>
          <w:lang w:eastAsia="en-GB"/>
        </w:rPr>
        <w:t>eno</w:t>
      </w:r>
      <w:proofErr w:type="spellEnd"/>
      <w:proofErr w:type="gramEnd"/>
      <w:r w:rsidR="0008194E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9F42C3" w:rsidRPr="00E80B13">
        <w:rPr>
          <w:rFonts w:ascii="Arial" w:eastAsia="Times New Roman" w:hAnsi="Arial" w:cs="Arial"/>
          <w:sz w:val="20"/>
          <w:szCs w:val="20"/>
          <w:lang w:eastAsia="en-GB"/>
        </w:rPr>
        <w:t>je</w:t>
      </w:r>
      <w:r w:rsidR="00935E86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520 </w:t>
      </w:r>
      <w:proofErr w:type="spellStart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>rješenja</w:t>
      </w:r>
      <w:proofErr w:type="spellEnd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o </w:t>
      </w:r>
      <w:proofErr w:type="spellStart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>uspostavljanj</w:t>
      </w:r>
      <w:r w:rsidR="009F42C3" w:rsidRPr="00E80B13">
        <w:rPr>
          <w:rFonts w:ascii="Arial" w:eastAsia="Times New Roman" w:hAnsi="Arial" w:cs="Arial"/>
          <w:sz w:val="20"/>
          <w:szCs w:val="20"/>
          <w:lang w:eastAsia="en-GB"/>
        </w:rPr>
        <w:t>u</w:t>
      </w:r>
      <w:proofErr w:type="spellEnd"/>
      <w:r w:rsidR="009F42C3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9F42C3" w:rsidRPr="00E80B13">
        <w:rPr>
          <w:rFonts w:ascii="Arial" w:eastAsia="Times New Roman" w:hAnsi="Arial" w:cs="Arial"/>
          <w:sz w:val="20"/>
          <w:szCs w:val="20"/>
          <w:lang w:eastAsia="en-GB"/>
        </w:rPr>
        <w:t>hipoteka-zaloga</w:t>
      </w:r>
      <w:proofErr w:type="spellEnd"/>
      <w:r w:rsidR="009F42C3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9F42C3" w:rsidRPr="00E80B13">
        <w:rPr>
          <w:rFonts w:ascii="Arial" w:eastAsia="Times New Roman" w:hAnsi="Arial" w:cs="Arial"/>
          <w:sz w:val="20"/>
          <w:szCs w:val="20"/>
          <w:lang w:eastAsia="en-GB"/>
        </w:rPr>
        <w:t>radi</w:t>
      </w:r>
      <w:proofErr w:type="spellEnd"/>
      <w:r w:rsidR="009F42C3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9F42C3" w:rsidRPr="00E80B13">
        <w:rPr>
          <w:rFonts w:ascii="Arial" w:eastAsia="Times New Roman" w:hAnsi="Arial" w:cs="Arial"/>
          <w:sz w:val="20"/>
          <w:szCs w:val="20"/>
          <w:lang w:eastAsia="en-GB"/>
        </w:rPr>
        <w:t>obezbjeđ</w:t>
      </w:r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>enja</w:t>
      </w:r>
      <w:proofErr w:type="spellEnd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>poreskog</w:t>
      </w:r>
      <w:proofErr w:type="spellEnd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>duga</w:t>
      </w:r>
      <w:proofErr w:type="spellEnd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u </w:t>
      </w:r>
      <w:proofErr w:type="spellStart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>ukupnom</w:t>
      </w:r>
      <w:proofErr w:type="spellEnd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>iznosu</w:t>
      </w:r>
      <w:proofErr w:type="spellEnd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od 10.267.435,92 € </w:t>
      </w:r>
      <w:proofErr w:type="spellStart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>i</w:t>
      </w:r>
      <w:proofErr w:type="spellEnd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to </w:t>
      </w:r>
      <w:proofErr w:type="spellStart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>osnovnog</w:t>
      </w:r>
      <w:proofErr w:type="spellEnd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>duga</w:t>
      </w:r>
      <w:proofErr w:type="spellEnd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u </w:t>
      </w:r>
      <w:proofErr w:type="spellStart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>iznosu</w:t>
      </w:r>
      <w:proofErr w:type="spellEnd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od 7.547.553,83 </w:t>
      </w:r>
      <w:proofErr w:type="spellStart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>eura</w:t>
      </w:r>
      <w:proofErr w:type="spellEnd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>i</w:t>
      </w:r>
      <w:proofErr w:type="spellEnd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>kamate</w:t>
      </w:r>
      <w:proofErr w:type="spellEnd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u </w:t>
      </w:r>
      <w:proofErr w:type="spellStart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>iznosu</w:t>
      </w:r>
      <w:proofErr w:type="spellEnd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od  2.719.882 </w:t>
      </w:r>
      <w:proofErr w:type="spellStart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>eura</w:t>
      </w:r>
      <w:proofErr w:type="spellEnd"/>
      <w:r w:rsidR="00EB6C12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B7AC9" w:rsidRPr="00E80B13">
        <w:rPr>
          <w:rFonts w:ascii="Arial" w:eastAsia="Times New Roman" w:hAnsi="Arial" w:cs="Arial"/>
          <w:sz w:val="20"/>
          <w:szCs w:val="20"/>
          <w:lang w:eastAsia="en-GB"/>
        </w:rPr>
        <w:t>€.</w:t>
      </w:r>
    </w:p>
    <w:p w:rsidR="00624216" w:rsidRDefault="00E01C3C" w:rsidP="00F335EA">
      <w:pPr>
        <w:spacing w:after="200" w:line="276" w:lineRule="auto"/>
        <w:ind w:left="-284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b/>
          <w:sz w:val="20"/>
          <w:szCs w:val="20"/>
          <w:lang w:val="sl-SI"/>
        </w:rPr>
        <w:t xml:space="preserve">Tabela </w:t>
      </w:r>
      <w:r w:rsidR="00C17FF9" w:rsidRPr="00E80B13">
        <w:rPr>
          <w:rFonts w:ascii="Arial" w:hAnsi="Arial" w:cs="Arial"/>
          <w:b/>
          <w:sz w:val="20"/>
          <w:szCs w:val="20"/>
          <w:lang w:val="sl-SI"/>
        </w:rPr>
        <w:t>6:</w:t>
      </w:r>
      <w:r w:rsidR="00C17FF9" w:rsidRPr="00E80B13">
        <w:rPr>
          <w:rFonts w:ascii="Arial" w:hAnsi="Arial" w:cs="Arial"/>
          <w:sz w:val="20"/>
          <w:szCs w:val="20"/>
          <w:lang w:val="sl-SI"/>
        </w:rPr>
        <w:t xml:space="preserve"> Uspostavljene mjere prinudne naplate hipoteke-zaloge na imovini poreskih dužnika</w:t>
      </w:r>
    </w:p>
    <w:p w:rsidR="00A3051F" w:rsidRDefault="0021775F" w:rsidP="001C134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21775F">
        <w:rPr>
          <w:noProof/>
          <w:lang w:val="hr-HR" w:eastAsia="hr-HR"/>
        </w:rPr>
        <w:drawing>
          <wp:inline distT="0" distB="0" distL="0" distR="0">
            <wp:extent cx="6071286" cy="2837815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28" cy="284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34A" w:rsidRDefault="00AF35E4" w:rsidP="001C134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U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periodu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116FD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od </w:t>
      </w:r>
      <w:r w:rsidRPr="00E80B13">
        <w:rPr>
          <w:rFonts w:ascii="Arial" w:eastAsia="Times New Roman" w:hAnsi="Arial" w:cs="Arial"/>
          <w:sz w:val="20"/>
          <w:szCs w:val="20"/>
          <w:lang w:eastAsia="en-GB"/>
        </w:rPr>
        <w:t>01.01.2024 - 31.12</w:t>
      </w:r>
      <w:r w:rsidR="00E334E4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.2024. </w:t>
      </w:r>
      <w:proofErr w:type="spellStart"/>
      <w:r w:rsidR="00E334E4" w:rsidRPr="00E80B13">
        <w:rPr>
          <w:rFonts w:ascii="Arial" w:eastAsia="Times New Roman" w:hAnsi="Arial" w:cs="Arial"/>
          <w:sz w:val="20"/>
          <w:szCs w:val="20"/>
          <w:lang w:eastAsia="en-GB"/>
        </w:rPr>
        <w:t>godine</w:t>
      </w:r>
      <w:proofErr w:type="spellEnd"/>
      <w:r w:rsidR="00E334E4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F57989" w:rsidRPr="00E80B13">
        <w:rPr>
          <w:rFonts w:ascii="Arial" w:eastAsia="Times New Roman" w:hAnsi="Arial" w:cs="Arial"/>
          <w:sz w:val="20"/>
          <w:szCs w:val="20"/>
          <w:lang w:eastAsia="en-GB"/>
        </w:rPr>
        <w:t>odrađen</w:t>
      </w:r>
      <w:proofErr w:type="spellEnd"/>
      <w:r w:rsidR="00F57989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je </w:t>
      </w:r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2.383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povraćaj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proofErr w:type="gram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i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preusmjer</w:t>
      </w:r>
      <w:proofErr w:type="spellEnd"/>
      <w:proofErr w:type="gram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F57989" w:rsidRPr="00E80B13">
        <w:rPr>
          <w:rFonts w:ascii="Arial" w:eastAsia="Times New Roman" w:hAnsi="Arial" w:cs="Arial"/>
          <w:sz w:val="20"/>
          <w:szCs w:val="20"/>
          <w:lang w:eastAsia="en-GB"/>
        </w:rPr>
        <w:t>po</w:t>
      </w:r>
      <w:proofErr w:type="spellEnd"/>
      <w:r w:rsidR="00F57989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F57989" w:rsidRPr="00E80B13">
        <w:rPr>
          <w:rFonts w:ascii="Arial" w:eastAsia="Times New Roman" w:hAnsi="Arial" w:cs="Arial"/>
          <w:sz w:val="20"/>
          <w:szCs w:val="20"/>
          <w:lang w:eastAsia="en-GB"/>
        </w:rPr>
        <w:t>specifikacijama</w:t>
      </w:r>
      <w:proofErr w:type="spellEnd"/>
      <w:r w:rsidR="00F57989" w:rsidRPr="00E80B13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F57989" w:rsidRPr="00E80B13" w:rsidRDefault="00F57989" w:rsidP="001C134A">
      <w:pPr>
        <w:spacing w:after="200"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Za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D76FB8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period </w:t>
      </w:r>
      <w:r w:rsidR="002116FD" w:rsidRPr="00E80B13">
        <w:rPr>
          <w:rFonts w:ascii="Arial" w:eastAsia="Times New Roman" w:hAnsi="Arial" w:cs="Arial"/>
          <w:sz w:val="20"/>
          <w:szCs w:val="20"/>
          <w:lang w:eastAsia="en-GB"/>
        </w:rPr>
        <w:t>01.01.2024-31.</w:t>
      </w:r>
      <w:proofErr w:type="gramStart"/>
      <w:r w:rsidR="002116FD" w:rsidRPr="00E80B13">
        <w:rPr>
          <w:rFonts w:ascii="Arial" w:eastAsia="Times New Roman" w:hAnsi="Arial" w:cs="Arial"/>
          <w:sz w:val="20"/>
          <w:szCs w:val="20"/>
          <w:lang w:eastAsia="en-GB"/>
        </w:rPr>
        <w:t>12</w:t>
      </w:r>
      <w:r w:rsidR="009F39AD" w:rsidRPr="00E80B13">
        <w:rPr>
          <w:rFonts w:ascii="Arial" w:eastAsia="Times New Roman" w:hAnsi="Arial" w:cs="Arial"/>
          <w:sz w:val="20"/>
          <w:szCs w:val="20"/>
          <w:lang w:eastAsia="en-GB"/>
        </w:rPr>
        <w:t>.2024</w:t>
      </w:r>
      <w:r w:rsidRPr="00E80B13">
        <w:rPr>
          <w:rFonts w:ascii="Arial" w:eastAsia="Times New Roman" w:hAnsi="Arial" w:cs="Arial"/>
          <w:sz w:val="20"/>
          <w:szCs w:val="20"/>
          <w:lang w:eastAsia="en-GB"/>
        </w:rPr>
        <w:t>.godine</w:t>
      </w:r>
      <w:proofErr w:type="gram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iznos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povraćaja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novčanih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sredstava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poreskim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obveznicima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iznosi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F35E4" w:rsidRPr="00E80B13">
        <w:rPr>
          <w:rFonts w:ascii="Arial" w:eastAsia="Times New Roman" w:hAnsi="Arial" w:cs="Arial"/>
          <w:sz w:val="20"/>
          <w:szCs w:val="20"/>
          <w:lang w:eastAsia="en-GB"/>
        </w:rPr>
        <w:t>101.737.282,55</w:t>
      </w:r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€, od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čega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se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samo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na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PDV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odnosi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F35E4" w:rsidRPr="00E80B13">
        <w:rPr>
          <w:rFonts w:ascii="Arial" w:eastAsia="Times New Roman" w:hAnsi="Arial" w:cs="Arial"/>
          <w:sz w:val="20"/>
          <w:szCs w:val="20"/>
          <w:lang w:eastAsia="en-GB"/>
        </w:rPr>
        <w:t>97.858.183,48</w:t>
      </w:r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€ </w:t>
      </w:r>
      <w:proofErr w:type="spellStart"/>
      <w:r w:rsidR="00AF35E4" w:rsidRPr="00E80B13">
        <w:rPr>
          <w:rFonts w:ascii="Arial" w:eastAsia="Times New Roman" w:hAnsi="Arial" w:cs="Arial"/>
          <w:sz w:val="20"/>
          <w:szCs w:val="20"/>
          <w:lang w:eastAsia="en-GB"/>
        </w:rPr>
        <w:t>ili</w:t>
      </w:r>
      <w:proofErr w:type="spellEnd"/>
      <w:r w:rsidR="00AF35E4"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96</w:t>
      </w:r>
      <w:r w:rsidRPr="00E80B13">
        <w:rPr>
          <w:rFonts w:ascii="Arial" w:eastAsia="Times New Roman" w:hAnsi="Arial" w:cs="Arial"/>
          <w:sz w:val="20"/>
          <w:szCs w:val="20"/>
          <w:lang w:eastAsia="en-GB"/>
        </w:rPr>
        <w:t>%.</w:t>
      </w:r>
    </w:p>
    <w:p w:rsidR="00A10222" w:rsidRPr="00FC7EBD" w:rsidRDefault="00F57989" w:rsidP="00FC7EBD">
      <w:pPr>
        <w:pStyle w:val="BodyText"/>
        <w:jc w:val="both"/>
        <w:rPr>
          <w:rFonts w:ascii="Arial" w:hAnsi="Arial" w:cs="Arial"/>
          <w:sz w:val="20"/>
          <w:szCs w:val="20"/>
          <w:lang w:eastAsia="en-GB"/>
        </w:rPr>
      </w:pPr>
      <w:proofErr w:type="spellStart"/>
      <w:r w:rsidRPr="00E80B13">
        <w:rPr>
          <w:rFonts w:ascii="Arial" w:hAnsi="Arial" w:cs="Arial"/>
          <w:sz w:val="20"/>
          <w:szCs w:val="20"/>
          <w:lang w:eastAsia="en-GB"/>
        </w:rPr>
        <w:lastRenderedPageBreak/>
        <w:t>Nakon</w:t>
      </w:r>
      <w:proofErr w:type="spellEnd"/>
      <w:r w:rsidRPr="00E80B13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  <w:lang w:eastAsia="en-GB"/>
        </w:rPr>
        <w:t>umanjenja</w:t>
      </w:r>
      <w:proofErr w:type="spellEnd"/>
      <w:r w:rsidRPr="00E80B13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  <w:lang w:eastAsia="en-GB"/>
        </w:rPr>
        <w:t>bruto</w:t>
      </w:r>
      <w:proofErr w:type="spellEnd"/>
      <w:r w:rsidRPr="00E80B13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  <w:lang w:eastAsia="en-GB"/>
        </w:rPr>
        <w:t>naplate</w:t>
      </w:r>
      <w:proofErr w:type="spellEnd"/>
      <w:r w:rsidRPr="00E80B13">
        <w:rPr>
          <w:rFonts w:ascii="Arial" w:hAnsi="Arial" w:cs="Arial"/>
          <w:sz w:val="20"/>
          <w:szCs w:val="20"/>
          <w:lang w:eastAsia="en-GB"/>
        </w:rPr>
        <w:t xml:space="preserve">, </w:t>
      </w:r>
      <w:proofErr w:type="spellStart"/>
      <w:r w:rsidRPr="00E80B13">
        <w:rPr>
          <w:rFonts w:ascii="Arial" w:hAnsi="Arial" w:cs="Arial"/>
          <w:sz w:val="20"/>
          <w:szCs w:val="20"/>
          <w:lang w:eastAsia="en-GB"/>
        </w:rPr>
        <w:t>za</w:t>
      </w:r>
      <w:proofErr w:type="spellEnd"/>
      <w:r w:rsidRPr="00E80B13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  <w:lang w:eastAsia="en-GB"/>
        </w:rPr>
        <w:t>iznose</w:t>
      </w:r>
      <w:proofErr w:type="spellEnd"/>
      <w:r w:rsidRPr="00E80B13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  <w:lang w:eastAsia="en-GB"/>
        </w:rPr>
        <w:t>povraćaja</w:t>
      </w:r>
      <w:proofErr w:type="spellEnd"/>
      <w:r w:rsidRPr="00E80B13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  <w:lang w:eastAsia="en-GB"/>
        </w:rPr>
        <w:t>i</w:t>
      </w:r>
      <w:proofErr w:type="spellEnd"/>
      <w:r w:rsidRPr="00E80B13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  <w:lang w:eastAsia="en-GB"/>
        </w:rPr>
        <w:t>preusmjera</w:t>
      </w:r>
      <w:proofErr w:type="spellEnd"/>
      <w:r w:rsidRPr="00E80B13">
        <w:rPr>
          <w:rFonts w:ascii="Arial" w:hAnsi="Arial" w:cs="Arial"/>
          <w:sz w:val="20"/>
          <w:szCs w:val="20"/>
          <w:lang w:eastAsia="en-GB"/>
        </w:rPr>
        <w:t xml:space="preserve">, </w:t>
      </w:r>
      <w:proofErr w:type="spellStart"/>
      <w:r w:rsidRPr="00E80B13">
        <w:rPr>
          <w:rFonts w:ascii="Arial" w:hAnsi="Arial" w:cs="Arial"/>
          <w:sz w:val="20"/>
          <w:szCs w:val="20"/>
          <w:lang w:eastAsia="en-GB"/>
        </w:rPr>
        <w:t>dobija</w:t>
      </w:r>
      <w:proofErr w:type="spellEnd"/>
      <w:r w:rsidRPr="00E80B13">
        <w:rPr>
          <w:rFonts w:ascii="Arial" w:hAnsi="Arial" w:cs="Arial"/>
          <w:sz w:val="20"/>
          <w:szCs w:val="20"/>
          <w:lang w:eastAsia="en-GB"/>
        </w:rPr>
        <w:t xml:space="preserve"> se </w:t>
      </w:r>
      <w:proofErr w:type="spellStart"/>
      <w:r w:rsidRPr="00E80B13">
        <w:rPr>
          <w:rFonts w:ascii="Arial" w:hAnsi="Arial" w:cs="Arial"/>
          <w:sz w:val="20"/>
          <w:szCs w:val="20"/>
          <w:lang w:eastAsia="en-GB"/>
        </w:rPr>
        <w:t>ostvarena</w:t>
      </w:r>
      <w:proofErr w:type="spellEnd"/>
      <w:r w:rsidRPr="00E80B13">
        <w:rPr>
          <w:rFonts w:ascii="Arial" w:hAnsi="Arial" w:cs="Arial"/>
          <w:sz w:val="20"/>
          <w:szCs w:val="20"/>
          <w:lang w:eastAsia="en-GB"/>
        </w:rPr>
        <w:t xml:space="preserve"> NETO </w:t>
      </w:r>
      <w:proofErr w:type="spellStart"/>
      <w:r w:rsidRPr="00E80B13">
        <w:rPr>
          <w:rFonts w:ascii="Arial" w:hAnsi="Arial" w:cs="Arial"/>
          <w:sz w:val="20"/>
          <w:szCs w:val="20"/>
          <w:lang w:eastAsia="en-GB"/>
        </w:rPr>
        <w:t>naplata</w:t>
      </w:r>
      <w:proofErr w:type="spellEnd"/>
      <w:r w:rsidRPr="00E80B13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proofErr w:type="gramStart"/>
      <w:r w:rsidRPr="00E80B13">
        <w:rPr>
          <w:rFonts w:ascii="Arial" w:hAnsi="Arial" w:cs="Arial"/>
          <w:sz w:val="20"/>
          <w:szCs w:val="20"/>
          <w:lang w:eastAsia="en-GB"/>
        </w:rPr>
        <w:t>za</w:t>
      </w:r>
      <w:proofErr w:type="spellEnd"/>
      <w:r w:rsidRPr="00E80B13">
        <w:rPr>
          <w:rFonts w:ascii="Arial" w:hAnsi="Arial" w:cs="Arial"/>
          <w:sz w:val="20"/>
          <w:szCs w:val="20"/>
          <w:lang w:eastAsia="en-GB"/>
        </w:rPr>
        <w:t xml:space="preserve">  </w:t>
      </w:r>
      <w:proofErr w:type="spellStart"/>
      <w:r w:rsidR="002116FD" w:rsidRPr="00E80B13">
        <w:rPr>
          <w:rFonts w:ascii="Arial" w:hAnsi="Arial" w:cs="Arial"/>
          <w:sz w:val="20"/>
          <w:szCs w:val="20"/>
          <w:lang w:eastAsia="en-GB"/>
        </w:rPr>
        <w:t>posmatrani</w:t>
      </w:r>
      <w:proofErr w:type="spellEnd"/>
      <w:proofErr w:type="gramEnd"/>
      <w:r w:rsidR="002116FD" w:rsidRPr="00E80B13">
        <w:rPr>
          <w:rFonts w:ascii="Arial" w:hAnsi="Arial" w:cs="Arial"/>
          <w:sz w:val="20"/>
          <w:szCs w:val="20"/>
          <w:lang w:eastAsia="en-GB"/>
        </w:rPr>
        <w:t xml:space="preserve"> period 2024.</w:t>
      </w:r>
      <w:r w:rsidRPr="00E80B13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hAnsi="Arial" w:cs="Arial"/>
          <w:sz w:val="20"/>
          <w:szCs w:val="20"/>
          <w:lang w:eastAsia="en-GB"/>
        </w:rPr>
        <w:t>godine</w:t>
      </w:r>
      <w:proofErr w:type="spellEnd"/>
      <w:r w:rsidRPr="00E80B13">
        <w:rPr>
          <w:rFonts w:ascii="Arial" w:hAnsi="Arial" w:cs="Arial"/>
          <w:sz w:val="20"/>
          <w:szCs w:val="20"/>
          <w:lang w:eastAsia="en-GB"/>
        </w:rPr>
        <w:t xml:space="preserve"> u </w:t>
      </w:r>
      <w:proofErr w:type="spellStart"/>
      <w:r w:rsidRPr="00E80B13">
        <w:rPr>
          <w:rFonts w:ascii="Arial" w:hAnsi="Arial" w:cs="Arial"/>
          <w:sz w:val="20"/>
          <w:szCs w:val="20"/>
          <w:lang w:eastAsia="en-GB"/>
        </w:rPr>
        <w:t>iznosu</w:t>
      </w:r>
      <w:proofErr w:type="spellEnd"/>
      <w:r w:rsidRPr="00E80B13">
        <w:rPr>
          <w:rFonts w:ascii="Arial" w:hAnsi="Arial" w:cs="Arial"/>
          <w:sz w:val="20"/>
          <w:szCs w:val="20"/>
          <w:lang w:eastAsia="en-GB"/>
        </w:rPr>
        <w:t xml:space="preserve"> od </w:t>
      </w:r>
      <w:r w:rsidR="00AF35E4" w:rsidRPr="00E80B13">
        <w:rPr>
          <w:rFonts w:ascii="Arial" w:hAnsi="Arial" w:cs="Arial"/>
          <w:sz w:val="20"/>
          <w:szCs w:val="20"/>
          <w:lang w:eastAsia="en-GB"/>
        </w:rPr>
        <w:t>1.505.966.738,08</w:t>
      </w:r>
      <w:r w:rsidRPr="00E80B13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gramStart"/>
      <w:r w:rsidRPr="00E80B13">
        <w:rPr>
          <w:rFonts w:ascii="Arial" w:hAnsi="Arial" w:cs="Arial"/>
          <w:sz w:val="20"/>
          <w:szCs w:val="20"/>
          <w:lang w:eastAsia="en-GB"/>
        </w:rPr>
        <w:t>€ .</w:t>
      </w:r>
      <w:proofErr w:type="gramEnd"/>
    </w:p>
    <w:p w:rsidR="00624216" w:rsidRPr="00E80B13" w:rsidRDefault="00624216" w:rsidP="00F57989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  <w:lang w:val="sl-SI"/>
        </w:rPr>
      </w:pPr>
    </w:p>
    <w:p w:rsidR="00A10222" w:rsidRPr="00E80B13" w:rsidRDefault="00A10222" w:rsidP="0076705F">
      <w:pPr>
        <w:spacing w:after="0" w:line="240" w:lineRule="auto"/>
        <w:ind w:left="360"/>
        <w:jc w:val="both"/>
        <w:rPr>
          <w:rFonts w:ascii="Arial Narrow" w:hAnsi="Arial Narrow" w:cs="Arial"/>
          <w:i/>
          <w:sz w:val="20"/>
          <w:szCs w:val="20"/>
          <w:lang w:val="sl-SI"/>
        </w:rPr>
      </w:pPr>
    </w:p>
    <w:p w:rsidR="00F270F5" w:rsidRPr="00E37C3D" w:rsidRDefault="00F270F5" w:rsidP="00E37C3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i/>
          <w:sz w:val="24"/>
          <w:szCs w:val="24"/>
          <w:lang w:val="sl-SI"/>
        </w:rPr>
      </w:pPr>
      <w:r w:rsidRPr="00E37C3D">
        <w:rPr>
          <w:rFonts w:ascii="Arial Narrow" w:hAnsi="Arial Narrow" w:cs="Arial"/>
          <w:b/>
          <w:i/>
          <w:sz w:val="24"/>
          <w:szCs w:val="24"/>
          <w:lang w:val="sl-SI"/>
        </w:rPr>
        <w:t>PORESKA INSPEKCIJA</w:t>
      </w:r>
    </w:p>
    <w:p w:rsidR="00F270F5" w:rsidRPr="00E80B13" w:rsidRDefault="00F270F5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F270F5" w:rsidRPr="00E80B13" w:rsidRDefault="00F270F5" w:rsidP="007670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U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izvještajnom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periodu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u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Poreskoj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upravi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radilo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 se </w:t>
      </w:r>
      <w:proofErr w:type="spellStart"/>
      <w:r w:rsidRPr="00E80B13">
        <w:rPr>
          <w:rFonts w:ascii="Arial" w:eastAsia="Times New Roman" w:hAnsi="Arial" w:cs="Arial"/>
          <w:sz w:val="20"/>
          <w:szCs w:val="20"/>
          <w:lang w:eastAsia="en-GB"/>
        </w:rPr>
        <w:t>na</w:t>
      </w:r>
      <w:proofErr w:type="spellEnd"/>
      <w:r w:rsidRPr="00E80B13">
        <w:rPr>
          <w:rFonts w:ascii="Arial" w:eastAsia="Times New Roman" w:hAnsi="Arial" w:cs="Arial"/>
          <w:sz w:val="20"/>
          <w:szCs w:val="20"/>
          <w:lang w:eastAsia="en-GB"/>
        </w:rPr>
        <w:t xml:space="preserve">: </w:t>
      </w:r>
    </w:p>
    <w:p w:rsidR="00F270F5" w:rsidRPr="00E80B13" w:rsidRDefault="00F270F5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F270F5" w:rsidRPr="00E80B13" w:rsidRDefault="00F270F5" w:rsidP="0076705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kontroli na suzbijanju sive ekonomije;</w:t>
      </w:r>
    </w:p>
    <w:p w:rsidR="00F270F5" w:rsidRPr="00E80B13" w:rsidRDefault="00F270F5" w:rsidP="0076705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kontroli tačnosti prijavljivanja, obračunavanja i plaćanja poreskih obaveza;</w:t>
      </w:r>
    </w:p>
    <w:p w:rsidR="00F270F5" w:rsidRPr="00E80B13" w:rsidRDefault="00F270F5" w:rsidP="0076705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kontroli legalnosti zapošljavanja radne snage, kao i tačnosti obračunavanja i plaćanja poreza na dohodak fizičkih lica i doprinosa za obavezno socijalno osiguranje;</w:t>
      </w:r>
    </w:p>
    <w:p w:rsidR="00F270F5" w:rsidRPr="00E80B13" w:rsidRDefault="00F270F5" w:rsidP="0076705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kontroli tačnosti vođenja poslovne evidencije;</w:t>
      </w:r>
    </w:p>
    <w:p w:rsidR="00F270F5" w:rsidRPr="00E80B13" w:rsidRDefault="00F270F5" w:rsidP="0076705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provjeri osnovanosti zahtjeva za povra</w:t>
      </w:r>
      <w:r w:rsidR="00846E6E" w:rsidRPr="00E80B13">
        <w:rPr>
          <w:rFonts w:ascii="Arial" w:hAnsi="Arial" w:cs="Arial"/>
          <w:sz w:val="20"/>
          <w:szCs w:val="20"/>
          <w:lang w:val="sl-SI"/>
        </w:rPr>
        <w:t>ćaj poreza na dodatu vrijednost</w:t>
      </w:r>
      <w:r w:rsidRPr="00E80B13">
        <w:rPr>
          <w:rFonts w:ascii="Arial" w:hAnsi="Arial" w:cs="Arial"/>
          <w:sz w:val="20"/>
          <w:szCs w:val="20"/>
          <w:lang w:val="sl-SI"/>
        </w:rPr>
        <w:t>;</w:t>
      </w:r>
    </w:p>
    <w:p w:rsidR="00F270F5" w:rsidRPr="00E80B13" w:rsidRDefault="00F270F5" w:rsidP="0076705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provjeri opšte poreske registracije, evidentiranja prometa, uplate pazara, blagovremenosti i pravilnosti podnošenja PDV prijava, provjera prijavljivanja  zaposlenih lica i predaja IOPPD obrazaca, plaćanje svih poreza i drugih dažbina;</w:t>
      </w:r>
    </w:p>
    <w:p w:rsidR="00CC3C56" w:rsidRPr="00E80B13" w:rsidRDefault="00935E86" w:rsidP="00CC3C56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k</w:t>
      </w:r>
      <w:r w:rsidR="00240C85" w:rsidRPr="00E80B13">
        <w:rPr>
          <w:rFonts w:ascii="Arial" w:hAnsi="Arial" w:cs="Arial"/>
          <w:sz w:val="20"/>
          <w:szCs w:val="20"/>
          <w:lang w:val="sl-SI"/>
        </w:rPr>
        <w:t>ontrola</w:t>
      </w:r>
      <w:r w:rsidR="00FA7880" w:rsidRPr="00E80B13">
        <w:rPr>
          <w:rFonts w:ascii="Arial" w:hAnsi="Arial" w:cs="Arial"/>
          <w:sz w:val="20"/>
          <w:szCs w:val="20"/>
          <w:lang w:val="sl-SI"/>
        </w:rPr>
        <w:t xml:space="preserve"> poreskih obveznika koji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 obavljaju  sezonsku djelatnost</w:t>
      </w:r>
      <w:r w:rsidR="00FA7880" w:rsidRPr="00E80B13">
        <w:rPr>
          <w:rFonts w:ascii="Arial" w:hAnsi="Arial" w:cs="Arial"/>
          <w:sz w:val="20"/>
          <w:szCs w:val="20"/>
          <w:lang w:val="sl-SI"/>
        </w:rPr>
        <w:t>.</w:t>
      </w:r>
    </w:p>
    <w:p w:rsidR="00CC3C56" w:rsidRPr="00E80B13" w:rsidRDefault="00CC3C56" w:rsidP="00CC3C5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</w:p>
    <w:p w:rsidR="00684550" w:rsidRPr="00E80B13" w:rsidRDefault="00CC3C56" w:rsidP="009545B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U periodu 01.01</w:t>
      </w:r>
      <w:r w:rsidR="00935E86" w:rsidRPr="00E80B13">
        <w:rPr>
          <w:rFonts w:ascii="Arial" w:hAnsi="Arial" w:cs="Arial"/>
          <w:sz w:val="20"/>
          <w:szCs w:val="20"/>
          <w:lang w:val="sl-SI"/>
        </w:rPr>
        <w:t>.</w:t>
      </w:r>
      <w:r w:rsidRPr="00E80B13">
        <w:rPr>
          <w:rFonts w:ascii="Arial" w:hAnsi="Arial" w:cs="Arial"/>
          <w:sz w:val="20"/>
          <w:szCs w:val="20"/>
          <w:lang w:val="sl-SI"/>
        </w:rPr>
        <w:t>-</w:t>
      </w:r>
      <w:r w:rsidR="00521704" w:rsidRPr="00E80B13">
        <w:rPr>
          <w:rFonts w:ascii="Arial" w:hAnsi="Arial" w:cs="Arial"/>
          <w:sz w:val="20"/>
          <w:szCs w:val="20"/>
          <w:lang w:val="sl-SI"/>
        </w:rPr>
        <w:t>31.12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.2024.godine, poreski inspektori su izvršili  </w:t>
      </w:r>
      <w:r w:rsidR="00521704" w:rsidRPr="00E80B13">
        <w:rPr>
          <w:rFonts w:ascii="Arial" w:hAnsi="Arial" w:cs="Arial"/>
          <w:sz w:val="20"/>
          <w:szCs w:val="20"/>
          <w:lang w:val="sl-SI"/>
        </w:rPr>
        <w:t>5.273 kontrolu (639</w:t>
      </w:r>
      <w:r w:rsidR="00527C0C">
        <w:rPr>
          <w:rFonts w:ascii="Arial" w:hAnsi="Arial" w:cs="Arial"/>
          <w:sz w:val="20"/>
          <w:szCs w:val="20"/>
          <w:lang w:val="sl-SI"/>
        </w:rPr>
        <w:t xml:space="preserve"> </w:t>
      </w:r>
      <w:r w:rsidR="00521704" w:rsidRPr="00E80B13">
        <w:rPr>
          <w:rFonts w:ascii="Arial" w:hAnsi="Arial" w:cs="Arial"/>
          <w:sz w:val="20"/>
          <w:szCs w:val="20"/>
          <w:lang w:val="sl-SI"/>
        </w:rPr>
        <w:t>- potpunih i 4.634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 - djelimičnih kontrola).</w:t>
      </w:r>
    </w:p>
    <w:p w:rsidR="0089039A" w:rsidRPr="00E80B13" w:rsidRDefault="0089039A" w:rsidP="009545B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</w:p>
    <w:p w:rsidR="00F804C2" w:rsidRPr="00E80B13" w:rsidRDefault="0089039A" w:rsidP="0076705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b/>
          <w:sz w:val="20"/>
          <w:szCs w:val="20"/>
          <w:lang w:val="sl-SI"/>
        </w:rPr>
        <w:t>Tabela 7</w:t>
      </w:r>
      <w:r w:rsidRPr="00E80B13">
        <w:rPr>
          <w:rFonts w:ascii="Arial" w:hAnsi="Arial" w:cs="Arial"/>
          <w:sz w:val="20"/>
          <w:szCs w:val="20"/>
          <w:lang w:val="sl-SI"/>
        </w:rPr>
        <w:t>: B</w:t>
      </w:r>
      <w:r w:rsidR="00521704" w:rsidRPr="00E80B13">
        <w:rPr>
          <w:rFonts w:ascii="Arial" w:hAnsi="Arial" w:cs="Arial"/>
          <w:sz w:val="20"/>
          <w:szCs w:val="20"/>
          <w:lang w:val="sl-SI"/>
        </w:rPr>
        <w:t>roj kontrola za period 01.01.-31.12</w:t>
      </w:r>
      <w:r w:rsidRPr="00E80B13">
        <w:rPr>
          <w:rFonts w:ascii="Arial" w:hAnsi="Arial" w:cs="Arial"/>
          <w:sz w:val="20"/>
          <w:szCs w:val="20"/>
          <w:lang w:val="sl-SI"/>
        </w:rPr>
        <w:t>.2024.</w:t>
      </w:r>
      <w:r w:rsidR="00221AB3">
        <w:rPr>
          <w:rFonts w:ascii="Arial" w:hAnsi="Arial" w:cs="Arial"/>
          <w:sz w:val="20"/>
          <w:szCs w:val="20"/>
          <w:lang w:val="sl-SI"/>
        </w:rPr>
        <w:t>godine</w:t>
      </w:r>
    </w:p>
    <w:p w:rsidR="0089039A" w:rsidRPr="00E80B13" w:rsidRDefault="0089039A" w:rsidP="0076705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7088" w:type="dxa"/>
        <w:tblInd w:w="-5" w:type="dxa"/>
        <w:tblLook w:val="04A0" w:firstRow="1" w:lastRow="0" w:firstColumn="1" w:lastColumn="0" w:noHBand="0" w:noVBand="1"/>
      </w:tblPr>
      <w:tblGrid>
        <w:gridCol w:w="4900"/>
        <w:gridCol w:w="2188"/>
      </w:tblGrid>
      <w:tr w:rsidR="00F804C2" w:rsidRPr="00E80B13" w:rsidTr="001330BA">
        <w:trPr>
          <w:trHeight w:val="2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804C2" w:rsidRPr="00E80B13" w:rsidRDefault="00F804C2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804C2" w:rsidRPr="00E80B13" w:rsidRDefault="0089039A" w:rsidP="001330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BROJ KONTROLA  </w:t>
            </w:r>
          </w:p>
        </w:tc>
      </w:tr>
      <w:tr w:rsidR="00F804C2" w:rsidRPr="00E80B13" w:rsidTr="001330B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804C2" w:rsidRPr="00E80B13" w:rsidRDefault="00F804C2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80B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Broj</w:t>
            </w:r>
            <w:proofErr w:type="spellEnd"/>
            <w:r w:rsidRPr="00E80B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potpunih</w:t>
            </w:r>
            <w:proofErr w:type="spellEnd"/>
            <w:r w:rsidRPr="00E80B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kontrola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804C2" w:rsidRPr="00E80B13" w:rsidRDefault="00521704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639</w:t>
            </w:r>
          </w:p>
        </w:tc>
      </w:tr>
      <w:tr w:rsidR="00F804C2" w:rsidRPr="00E80B13" w:rsidTr="001330BA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C2" w:rsidRPr="00E80B13" w:rsidRDefault="00F804C2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Broj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djelimičnih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kontrola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po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zahtjevima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za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povraćaj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obrač.poreza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doprinosa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...)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C2" w:rsidRPr="00E80B13" w:rsidRDefault="00521704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384</w:t>
            </w:r>
          </w:p>
        </w:tc>
      </w:tr>
      <w:tr w:rsidR="00F804C2" w:rsidRPr="00E80B13" w:rsidTr="001330BA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C2" w:rsidRPr="00E80B13" w:rsidRDefault="00F804C2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Broj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djelimičnih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kontrola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opšta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poreska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registracija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evidentiranje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prometa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uplate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pazara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..)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C2" w:rsidRPr="00E80B13" w:rsidRDefault="00521704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4.250</w:t>
            </w:r>
          </w:p>
        </w:tc>
      </w:tr>
      <w:tr w:rsidR="00521704" w:rsidRPr="00E80B13" w:rsidTr="001330BA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704" w:rsidRPr="00E80B13" w:rsidRDefault="00521704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proofErr w:type="spellStart"/>
            <w:r w:rsidRPr="00E80B1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Ukupan</w:t>
            </w:r>
            <w:proofErr w:type="spellEnd"/>
            <w:r w:rsidRPr="00E80B1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broj</w:t>
            </w:r>
            <w:proofErr w:type="spellEnd"/>
            <w:r w:rsidRPr="00E80B1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djelimičnih</w:t>
            </w:r>
            <w:proofErr w:type="spellEnd"/>
            <w:r w:rsidRPr="00E80B1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kontrola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704" w:rsidRPr="00E80B13" w:rsidRDefault="00521704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4.634</w:t>
            </w:r>
          </w:p>
        </w:tc>
      </w:tr>
      <w:tr w:rsidR="00F804C2" w:rsidRPr="00E80B13" w:rsidTr="000820E9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804C2" w:rsidRPr="00E80B13" w:rsidRDefault="00F804C2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UKUPAN BROJ IZVRŠENIH KONTROLA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804C2" w:rsidRPr="00E80B13" w:rsidRDefault="00521704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5.273</w:t>
            </w:r>
          </w:p>
        </w:tc>
      </w:tr>
    </w:tbl>
    <w:p w:rsidR="00624216" w:rsidRPr="00E80B13" w:rsidRDefault="00624216" w:rsidP="007D00D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</w:p>
    <w:p w:rsidR="00222D82" w:rsidRPr="00E80B13" w:rsidRDefault="00222D82" w:rsidP="00222D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U postupku inspekcijskog nadzora  u period</w:t>
      </w:r>
      <w:r w:rsidR="00846E6E" w:rsidRPr="00E80B13">
        <w:rPr>
          <w:rFonts w:ascii="Arial" w:hAnsi="Arial" w:cs="Arial"/>
          <w:sz w:val="20"/>
          <w:szCs w:val="20"/>
          <w:lang w:val="sl-SI"/>
        </w:rPr>
        <w:t>u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 od 01.01.-31.12.2024.</w:t>
      </w:r>
      <w:r w:rsidR="00846E6E" w:rsidRPr="00E80B13">
        <w:rPr>
          <w:rFonts w:ascii="Arial" w:hAnsi="Arial" w:cs="Arial"/>
          <w:sz w:val="20"/>
          <w:szCs w:val="20"/>
          <w:lang w:val="sl-SI"/>
        </w:rPr>
        <w:t xml:space="preserve"> 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godine utvrđene su korekcije po poreskim oblicima u ukupnom iznosu od 64.438.853,56€. Finansijski efekti po osnovu utvrđenih korekcija iznose 11.462.121,74€, od čega je u postupku inspekcijskog nadzora naplaćeno 3.371.679,73€, dok su korekcije koje se odnose na smanjenje gubitka utvrđene u iznosu od 2.636.127,86€. </w:t>
      </w:r>
    </w:p>
    <w:p w:rsidR="00A528CC" w:rsidRPr="00E80B13" w:rsidRDefault="00A528CC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F804C2" w:rsidRPr="00E80B13" w:rsidRDefault="001330BA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b/>
          <w:sz w:val="20"/>
          <w:szCs w:val="20"/>
          <w:lang w:val="sl-SI"/>
        </w:rPr>
        <w:t>Tabela 8</w:t>
      </w:r>
      <w:r w:rsidRPr="00E80B13">
        <w:rPr>
          <w:rFonts w:ascii="Arial" w:hAnsi="Arial" w:cs="Arial"/>
          <w:sz w:val="20"/>
          <w:szCs w:val="20"/>
          <w:lang w:val="sl-SI"/>
        </w:rPr>
        <w:t>: Utvrđe</w:t>
      </w:r>
      <w:r w:rsidR="00571CA3" w:rsidRPr="00E80B13">
        <w:rPr>
          <w:rFonts w:ascii="Arial" w:hAnsi="Arial" w:cs="Arial"/>
          <w:sz w:val="20"/>
          <w:szCs w:val="20"/>
          <w:lang w:val="sl-SI"/>
        </w:rPr>
        <w:t>ne korekcije za period 01.01.-31.12</w:t>
      </w:r>
      <w:r w:rsidRPr="00E80B13">
        <w:rPr>
          <w:rFonts w:ascii="Arial" w:hAnsi="Arial" w:cs="Arial"/>
          <w:sz w:val="20"/>
          <w:szCs w:val="20"/>
          <w:lang w:val="sl-SI"/>
        </w:rPr>
        <w:t>.2024.godine</w:t>
      </w:r>
    </w:p>
    <w:p w:rsidR="001330BA" w:rsidRPr="00E80B13" w:rsidRDefault="001330BA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7088" w:type="dxa"/>
        <w:tblInd w:w="-5" w:type="dxa"/>
        <w:tblLook w:val="04A0" w:firstRow="1" w:lastRow="0" w:firstColumn="1" w:lastColumn="0" w:noHBand="0" w:noVBand="1"/>
      </w:tblPr>
      <w:tblGrid>
        <w:gridCol w:w="4900"/>
        <w:gridCol w:w="2188"/>
      </w:tblGrid>
      <w:tr w:rsidR="00F804C2" w:rsidRPr="00E80B13" w:rsidTr="001330BA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04C2" w:rsidRPr="005E2A70" w:rsidRDefault="00F804C2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5E2A70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Poreski</w:t>
            </w:r>
            <w:proofErr w:type="spellEnd"/>
            <w:r w:rsidRPr="005E2A70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A70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oblici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04C2" w:rsidRPr="005E2A70" w:rsidRDefault="001330BA" w:rsidP="001330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5E2A70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Utvrđene</w:t>
            </w:r>
            <w:proofErr w:type="spellEnd"/>
            <w:r w:rsidRPr="005E2A70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A70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korekcije</w:t>
            </w:r>
            <w:proofErr w:type="spellEnd"/>
            <w:r w:rsidR="00F804C2" w:rsidRPr="005E2A70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804C2" w:rsidRPr="00E80B13" w:rsidTr="001330BA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C2" w:rsidRPr="005E2A70" w:rsidRDefault="00F804C2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 w:rsidRPr="005E2A7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 xml:space="preserve"> PDV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C2" w:rsidRPr="005E2A70" w:rsidRDefault="00571CA3" w:rsidP="00E92D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 w:rsidRPr="005E2A70">
              <w:rPr>
                <w:rFonts w:ascii="Arial" w:hAnsi="Arial" w:cs="Arial"/>
                <w:b/>
                <w:sz w:val="20"/>
                <w:szCs w:val="20"/>
              </w:rPr>
              <w:t>57.337.989,61</w:t>
            </w:r>
          </w:p>
        </w:tc>
      </w:tr>
      <w:tr w:rsidR="00F804C2" w:rsidRPr="00E80B13" w:rsidTr="001330BA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C2" w:rsidRPr="005E2A70" w:rsidRDefault="00F804C2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5E2A7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Porez</w:t>
            </w:r>
            <w:proofErr w:type="spellEnd"/>
            <w:r w:rsidRPr="005E2A7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A7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na</w:t>
            </w:r>
            <w:proofErr w:type="spellEnd"/>
            <w:r w:rsidRPr="005E2A7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A7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dobit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C2" w:rsidRPr="005E2A70" w:rsidRDefault="00571CA3" w:rsidP="00E92D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 w:rsidRPr="005E2A70">
              <w:rPr>
                <w:rFonts w:ascii="Arial" w:hAnsi="Arial" w:cs="Arial"/>
                <w:b/>
                <w:sz w:val="20"/>
                <w:szCs w:val="20"/>
              </w:rPr>
              <w:t>2.555.721,59</w:t>
            </w:r>
          </w:p>
        </w:tc>
      </w:tr>
      <w:tr w:rsidR="00F804C2" w:rsidRPr="00E80B13" w:rsidTr="001330BA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C2" w:rsidRPr="005E2A70" w:rsidRDefault="00F804C2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5E2A7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Porez</w:t>
            </w:r>
            <w:proofErr w:type="spellEnd"/>
            <w:r w:rsidRPr="005E2A7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A7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na</w:t>
            </w:r>
            <w:proofErr w:type="spellEnd"/>
            <w:r w:rsidRPr="005E2A7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A7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dohodak</w:t>
            </w:r>
            <w:proofErr w:type="spellEnd"/>
            <w:r w:rsidRPr="005E2A7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5E2A7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doprinosi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C2" w:rsidRPr="005E2A70" w:rsidRDefault="00571CA3" w:rsidP="00571C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 w:rsidRPr="005E2A70">
              <w:rPr>
                <w:rFonts w:ascii="Arial" w:hAnsi="Arial" w:cs="Arial"/>
                <w:b/>
                <w:sz w:val="20"/>
                <w:szCs w:val="20"/>
              </w:rPr>
              <w:t>3.281.079,82</w:t>
            </w:r>
          </w:p>
        </w:tc>
      </w:tr>
      <w:tr w:rsidR="00F804C2" w:rsidRPr="00E80B13" w:rsidTr="001330BA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C2" w:rsidRPr="005E2A70" w:rsidRDefault="00F804C2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5E2A7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Ostalo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C2" w:rsidRPr="005E2A70" w:rsidRDefault="00571CA3" w:rsidP="00E92D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 w:rsidRPr="005E2A70">
              <w:rPr>
                <w:rFonts w:ascii="Arial" w:hAnsi="Arial" w:cs="Arial"/>
                <w:b/>
                <w:sz w:val="20"/>
                <w:szCs w:val="20"/>
              </w:rPr>
              <w:t>1.264.066,22</w:t>
            </w:r>
          </w:p>
        </w:tc>
      </w:tr>
      <w:tr w:rsidR="00F804C2" w:rsidRPr="00E80B13" w:rsidTr="000820E9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F804C2" w:rsidRPr="005E2A70" w:rsidRDefault="00F804C2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5E2A70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804C2" w:rsidRPr="005E2A70" w:rsidRDefault="00571CA3" w:rsidP="00E92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5E2A70">
              <w:rPr>
                <w:rFonts w:ascii="Arial" w:hAnsi="Arial" w:cs="Arial"/>
                <w:b/>
                <w:bCs/>
                <w:sz w:val="20"/>
                <w:szCs w:val="20"/>
              </w:rPr>
              <w:t>64.438.853,56</w:t>
            </w:r>
          </w:p>
        </w:tc>
      </w:tr>
    </w:tbl>
    <w:p w:rsidR="00F804C2" w:rsidRPr="00E80B13" w:rsidRDefault="00F804C2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624216" w:rsidRPr="00E80B13" w:rsidRDefault="00624216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F270F5" w:rsidRPr="00E80B13" w:rsidRDefault="00F270F5" w:rsidP="0076705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3B150B" w:rsidRPr="00E80B13" w:rsidRDefault="00F507AF" w:rsidP="00F507A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 xml:space="preserve">U izvještajnom periodu, izvršene su </w:t>
      </w:r>
      <w:r w:rsidR="003B150B" w:rsidRPr="00E80B13">
        <w:rPr>
          <w:rFonts w:ascii="Arial" w:hAnsi="Arial" w:cs="Arial"/>
          <w:sz w:val="20"/>
          <w:szCs w:val="20"/>
          <w:lang w:val="sl-SI"/>
        </w:rPr>
        <w:t>367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 kontr</w:t>
      </w:r>
      <w:r w:rsidR="00527C0C">
        <w:rPr>
          <w:rFonts w:ascii="Arial" w:hAnsi="Arial" w:cs="Arial"/>
          <w:sz w:val="20"/>
          <w:szCs w:val="20"/>
          <w:lang w:val="sl-SI"/>
        </w:rPr>
        <w:t>ole poreskih obveznika po podneš</w:t>
      </w:r>
      <w:r w:rsidRPr="00E80B13">
        <w:rPr>
          <w:rFonts w:ascii="Arial" w:hAnsi="Arial" w:cs="Arial"/>
          <w:sz w:val="20"/>
          <w:szCs w:val="20"/>
          <w:lang w:val="sl-SI"/>
        </w:rPr>
        <w:t>enim zahtjevima za povraćaj PDV kredita (</w:t>
      </w:r>
      <w:r w:rsidR="003B150B" w:rsidRPr="00E80B13">
        <w:rPr>
          <w:rFonts w:ascii="Arial" w:hAnsi="Arial" w:cs="Arial"/>
          <w:sz w:val="20"/>
          <w:szCs w:val="20"/>
          <w:lang w:val="sl-SI"/>
        </w:rPr>
        <w:t>351 potpunih i 16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 djelimičnih kontrola), u ukupnom iznosu od </w:t>
      </w:r>
      <w:r w:rsidR="003B150B" w:rsidRPr="00E80B13">
        <w:rPr>
          <w:rFonts w:ascii="Arial" w:hAnsi="Arial" w:cs="Arial"/>
          <w:sz w:val="20"/>
          <w:szCs w:val="20"/>
          <w:lang w:val="sl-SI"/>
        </w:rPr>
        <w:t>46.019.566,59</w:t>
      </w:r>
      <w:r w:rsidRPr="00E80B13">
        <w:rPr>
          <w:rFonts w:ascii="Arial" w:hAnsi="Arial" w:cs="Arial"/>
          <w:sz w:val="20"/>
          <w:szCs w:val="20"/>
          <w:lang w:val="sl-SI"/>
        </w:rPr>
        <w:t>€.</w:t>
      </w:r>
    </w:p>
    <w:p w:rsidR="00F507AF" w:rsidRPr="00E80B13" w:rsidRDefault="00F507AF" w:rsidP="0079349D">
      <w:pPr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 xml:space="preserve"> U postupku inspekcijskog nadzora utvrđena je korekcija PDV kredita u ukupnom iznosu od </w:t>
      </w:r>
      <w:r w:rsidR="003B150B" w:rsidRPr="00E80B13">
        <w:rPr>
          <w:rFonts w:ascii="Arial" w:hAnsi="Arial" w:cs="Arial"/>
          <w:sz w:val="20"/>
          <w:szCs w:val="20"/>
          <w:lang w:val="sl-SI"/>
        </w:rPr>
        <w:t>8.575.363,11€, dok je osnovanost PDV kredita utvrđena u iznosu od 37.444.203,48€. Učešće neosnovanog PDV kredita u ukupno t</w:t>
      </w:r>
      <w:r w:rsidR="00846E6E" w:rsidRPr="00E80B13">
        <w:rPr>
          <w:rFonts w:ascii="Arial" w:hAnsi="Arial" w:cs="Arial"/>
          <w:sz w:val="20"/>
          <w:szCs w:val="20"/>
          <w:lang w:val="sl-SI"/>
        </w:rPr>
        <w:t xml:space="preserve">raženom  PDV kreditu  iznosi  </w:t>
      </w:r>
      <w:r w:rsidR="003B150B" w:rsidRPr="00E80B13">
        <w:rPr>
          <w:rFonts w:ascii="Arial" w:hAnsi="Arial" w:cs="Arial"/>
          <w:sz w:val="20"/>
          <w:szCs w:val="20"/>
          <w:lang w:val="sl-SI"/>
        </w:rPr>
        <w:t>18,63%.</w:t>
      </w:r>
    </w:p>
    <w:p w:rsidR="00FB2D09" w:rsidRPr="00E80B13" w:rsidRDefault="00FB2D09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6B595C" w:rsidRPr="00E80B13" w:rsidRDefault="001C638B" w:rsidP="0025053A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 xml:space="preserve">U </w:t>
      </w:r>
      <w:r w:rsidR="0025053A" w:rsidRPr="00E80B13">
        <w:rPr>
          <w:rFonts w:ascii="Arial" w:hAnsi="Arial" w:cs="Arial"/>
          <w:sz w:val="20"/>
          <w:szCs w:val="20"/>
          <w:lang w:val="sl-SI"/>
        </w:rPr>
        <w:t>O</w:t>
      </w:r>
      <w:r w:rsidRPr="00E80B13">
        <w:rPr>
          <w:rFonts w:ascii="Arial" w:hAnsi="Arial" w:cs="Arial"/>
          <w:sz w:val="20"/>
          <w:szCs w:val="20"/>
          <w:lang w:val="sl-SI"/>
        </w:rPr>
        <w:t>d</w:t>
      </w:r>
      <w:r w:rsidR="0025053A" w:rsidRPr="00E80B13">
        <w:rPr>
          <w:rFonts w:ascii="Arial" w:hAnsi="Arial" w:cs="Arial"/>
          <w:sz w:val="20"/>
          <w:szCs w:val="20"/>
          <w:lang w:val="sl-SI"/>
        </w:rPr>
        <w:t>s</w:t>
      </w:r>
      <w:r w:rsidRPr="00E80B13">
        <w:rPr>
          <w:rFonts w:ascii="Arial" w:hAnsi="Arial" w:cs="Arial"/>
          <w:sz w:val="20"/>
          <w:szCs w:val="20"/>
          <w:lang w:val="sl-SI"/>
        </w:rPr>
        <w:t>jeku za</w:t>
      </w:r>
      <w:r w:rsidR="0025053A" w:rsidRPr="00E80B13">
        <w:rPr>
          <w:rFonts w:ascii="Arial" w:hAnsi="Arial" w:cs="Arial"/>
          <w:sz w:val="20"/>
          <w:szCs w:val="20"/>
          <w:lang w:val="sl-SI"/>
        </w:rPr>
        <w:t xml:space="preserve"> praćenje sprovođenja upravnog i prekršajnog postupka se sa posebnom </w:t>
      </w:r>
      <w:r w:rsidR="002709FB" w:rsidRPr="00E80B13">
        <w:rPr>
          <w:rFonts w:ascii="Arial" w:hAnsi="Arial" w:cs="Arial"/>
          <w:sz w:val="20"/>
          <w:szCs w:val="20"/>
          <w:lang w:val="sl-SI"/>
        </w:rPr>
        <w:t xml:space="preserve">pažnjom vodi </w:t>
      </w:r>
      <w:r w:rsidRPr="00E80B13">
        <w:rPr>
          <w:rFonts w:ascii="Arial" w:hAnsi="Arial" w:cs="Arial"/>
          <w:sz w:val="20"/>
          <w:szCs w:val="20"/>
          <w:lang w:val="sl-SI"/>
        </w:rPr>
        <w:t>evidencija kontrolnih markica koja je detaljnije pred</w:t>
      </w:r>
      <w:r w:rsidR="0025053A" w:rsidRPr="00E80B13">
        <w:rPr>
          <w:rFonts w:ascii="Arial" w:hAnsi="Arial" w:cs="Arial"/>
          <w:sz w:val="20"/>
          <w:szCs w:val="20"/>
          <w:lang w:val="sl-SI"/>
        </w:rPr>
        <w:t>s</w:t>
      </w:r>
      <w:r w:rsidRPr="00E80B13">
        <w:rPr>
          <w:rFonts w:ascii="Arial" w:hAnsi="Arial" w:cs="Arial"/>
          <w:sz w:val="20"/>
          <w:szCs w:val="20"/>
          <w:lang w:val="sl-SI"/>
        </w:rPr>
        <w:t>tavljena u tabelarnom prikazu.</w:t>
      </w:r>
    </w:p>
    <w:p w:rsidR="00C975F2" w:rsidRPr="00E80B13" w:rsidRDefault="00C975F2" w:rsidP="0079349D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427401" w:rsidRPr="00E80B13" w:rsidRDefault="00C975F2" w:rsidP="0079349D">
      <w:pPr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b/>
          <w:sz w:val="20"/>
          <w:szCs w:val="20"/>
          <w:lang w:val="sl-SI"/>
        </w:rPr>
        <w:t>Tabela 9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: </w:t>
      </w:r>
      <w:proofErr w:type="spellStart"/>
      <w:r w:rsidR="00B97520" w:rsidRPr="00E80B13">
        <w:rPr>
          <w:rFonts w:ascii="Arial" w:hAnsi="Arial" w:cs="Arial"/>
          <w:sz w:val="20"/>
          <w:szCs w:val="20"/>
        </w:rPr>
        <w:t>Izvještaj</w:t>
      </w:r>
      <w:proofErr w:type="spellEnd"/>
      <w:r w:rsidR="00B97520" w:rsidRPr="00E80B13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B97520" w:rsidRPr="00E80B13">
        <w:rPr>
          <w:rFonts w:ascii="Arial" w:hAnsi="Arial" w:cs="Arial"/>
          <w:sz w:val="20"/>
          <w:szCs w:val="20"/>
        </w:rPr>
        <w:t>iskorišćenim</w:t>
      </w:r>
      <w:proofErr w:type="spellEnd"/>
      <w:r w:rsidR="00B97520" w:rsidRPr="00E80B13">
        <w:rPr>
          <w:rFonts w:ascii="Arial" w:hAnsi="Arial" w:cs="Arial"/>
          <w:sz w:val="20"/>
          <w:szCs w:val="20"/>
        </w:rPr>
        <w:t>/</w:t>
      </w:r>
      <w:proofErr w:type="spellStart"/>
      <w:r w:rsidR="00B97520" w:rsidRPr="00E80B13">
        <w:rPr>
          <w:rFonts w:ascii="Arial" w:hAnsi="Arial" w:cs="Arial"/>
          <w:sz w:val="20"/>
          <w:szCs w:val="20"/>
        </w:rPr>
        <w:t>poništenim</w:t>
      </w:r>
      <w:proofErr w:type="spellEnd"/>
      <w:r w:rsidR="00B97520"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7520" w:rsidRPr="00E80B13">
        <w:rPr>
          <w:rFonts w:ascii="Arial" w:hAnsi="Arial" w:cs="Arial"/>
          <w:sz w:val="20"/>
          <w:szCs w:val="20"/>
        </w:rPr>
        <w:t>kontrolnim</w:t>
      </w:r>
      <w:proofErr w:type="spellEnd"/>
      <w:r w:rsidR="00B97520"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7520" w:rsidRPr="00E80B13">
        <w:rPr>
          <w:rFonts w:ascii="Arial" w:hAnsi="Arial" w:cs="Arial"/>
          <w:sz w:val="20"/>
          <w:szCs w:val="20"/>
        </w:rPr>
        <w:t>markic</w:t>
      </w:r>
      <w:r w:rsidR="00FC7A65">
        <w:rPr>
          <w:rFonts w:ascii="Arial" w:hAnsi="Arial" w:cs="Arial"/>
          <w:sz w:val="20"/>
          <w:szCs w:val="20"/>
        </w:rPr>
        <w:t>ama</w:t>
      </w:r>
      <w:proofErr w:type="spellEnd"/>
      <w:r w:rsidR="00FC7A65">
        <w:rPr>
          <w:rFonts w:ascii="Arial" w:hAnsi="Arial" w:cs="Arial"/>
          <w:sz w:val="20"/>
          <w:szCs w:val="20"/>
        </w:rPr>
        <w:t xml:space="preserve"> </w:t>
      </w:r>
      <w:r w:rsidR="009D4546" w:rsidRPr="00E80B13">
        <w:rPr>
          <w:rFonts w:ascii="Arial" w:hAnsi="Arial" w:cs="Arial"/>
          <w:sz w:val="20"/>
          <w:szCs w:val="20"/>
        </w:rPr>
        <w:t>CRBC</w:t>
      </w:r>
      <w:r w:rsidR="000D27B7" w:rsidRPr="00E80B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27B7" w:rsidRPr="00E80B13">
        <w:rPr>
          <w:rFonts w:ascii="Arial" w:hAnsi="Arial" w:cs="Arial"/>
          <w:sz w:val="20"/>
          <w:szCs w:val="20"/>
        </w:rPr>
        <w:t>za</w:t>
      </w:r>
      <w:proofErr w:type="spellEnd"/>
      <w:r w:rsidR="000D27B7" w:rsidRPr="00E80B13">
        <w:rPr>
          <w:rFonts w:ascii="Arial" w:hAnsi="Arial" w:cs="Arial"/>
          <w:sz w:val="20"/>
          <w:szCs w:val="20"/>
        </w:rPr>
        <w:t xml:space="preserve">  period 01.01.-30.11</w:t>
      </w:r>
      <w:r w:rsidR="00B97520" w:rsidRPr="00E80B13">
        <w:rPr>
          <w:rFonts w:ascii="Arial" w:hAnsi="Arial" w:cs="Arial"/>
          <w:sz w:val="20"/>
          <w:szCs w:val="20"/>
        </w:rPr>
        <w:t xml:space="preserve">.2024. </w:t>
      </w:r>
      <w:proofErr w:type="spellStart"/>
      <w:r w:rsidR="00B97520" w:rsidRPr="00E80B13">
        <w:rPr>
          <w:rFonts w:ascii="Arial" w:hAnsi="Arial" w:cs="Arial"/>
          <w:sz w:val="20"/>
          <w:szCs w:val="20"/>
        </w:rPr>
        <w:t>godine</w:t>
      </w:r>
      <w:proofErr w:type="spellEnd"/>
    </w:p>
    <w:tbl>
      <w:tblPr>
        <w:tblStyle w:val="TableGrid1"/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0C3D10" w:rsidRPr="00E80B13" w:rsidTr="001349CE">
        <w:trPr>
          <w:trHeight w:val="315"/>
        </w:trPr>
        <w:tc>
          <w:tcPr>
            <w:tcW w:w="8500" w:type="dxa"/>
            <w:gridSpan w:val="2"/>
            <w:shd w:val="clear" w:color="auto" w:fill="E2EFD9" w:themeFill="accent6" w:themeFillTint="33"/>
            <w:hideMark/>
          </w:tcPr>
          <w:p w:rsidR="001349CE" w:rsidRPr="00E80B13" w:rsidRDefault="000C3D10" w:rsidP="007934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E80B13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r w:rsidR="001349CE" w:rsidRPr="00E80B13">
              <w:rPr>
                <w:rFonts w:ascii="Arial" w:eastAsia="Times New Roman" w:hAnsi="Arial" w:cs="Arial"/>
                <w:b/>
                <w:sz w:val="20"/>
                <w:szCs w:val="20"/>
              </w:rPr>
              <w:t>zvještaj</w:t>
            </w:r>
            <w:proofErr w:type="spellEnd"/>
            <w:r w:rsidR="001349CE" w:rsidRPr="00E80B1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 </w:t>
            </w:r>
            <w:proofErr w:type="spellStart"/>
            <w:r w:rsidR="001349CE" w:rsidRPr="00E80B13">
              <w:rPr>
                <w:rFonts w:ascii="Arial" w:eastAsia="Times New Roman" w:hAnsi="Arial" w:cs="Arial"/>
                <w:b/>
                <w:sz w:val="20"/>
                <w:szCs w:val="20"/>
              </w:rPr>
              <w:t>iskorišćeni</w:t>
            </w:r>
            <w:r w:rsidR="00F43CFC">
              <w:rPr>
                <w:rFonts w:ascii="Arial" w:eastAsia="Times New Roman" w:hAnsi="Arial" w:cs="Arial"/>
                <w:b/>
                <w:sz w:val="20"/>
                <w:szCs w:val="20"/>
              </w:rPr>
              <w:t>m</w:t>
            </w:r>
            <w:proofErr w:type="spellEnd"/>
            <w:r w:rsidR="00F43CFC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proofErr w:type="spellStart"/>
            <w:r w:rsidR="00F43CFC">
              <w:rPr>
                <w:rFonts w:ascii="Arial" w:eastAsia="Times New Roman" w:hAnsi="Arial" w:cs="Arial"/>
                <w:b/>
                <w:sz w:val="20"/>
                <w:szCs w:val="20"/>
              </w:rPr>
              <w:t>vraćenim</w:t>
            </w:r>
            <w:proofErr w:type="spellEnd"/>
            <w:r w:rsidR="00F43C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43CFC">
              <w:rPr>
                <w:rFonts w:ascii="Arial" w:eastAsia="Times New Roman" w:hAnsi="Arial" w:cs="Arial"/>
                <w:b/>
                <w:sz w:val="20"/>
                <w:szCs w:val="20"/>
              </w:rPr>
              <w:t>kontrolnim</w:t>
            </w:r>
            <w:proofErr w:type="spellEnd"/>
            <w:r w:rsidR="00F43C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43CFC">
              <w:rPr>
                <w:rFonts w:ascii="Arial" w:eastAsia="Times New Roman" w:hAnsi="Arial" w:cs="Arial"/>
                <w:b/>
                <w:sz w:val="20"/>
                <w:szCs w:val="20"/>
              </w:rPr>
              <w:t>markicama</w:t>
            </w:r>
            <w:proofErr w:type="spellEnd"/>
            <w:r w:rsidR="00F43C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1349CE" w:rsidRPr="00E80B13">
              <w:rPr>
                <w:rFonts w:ascii="Arial" w:eastAsia="Times New Roman" w:hAnsi="Arial" w:cs="Arial"/>
                <w:b/>
                <w:sz w:val="20"/>
                <w:szCs w:val="20"/>
              </w:rPr>
              <w:t>CRBC</w:t>
            </w:r>
          </w:p>
          <w:p w:rsidR="000C3D10" w:rsidRPr="00E80B13" w:rsidRDefault="000C3D10" w:rsidP="007934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E80B13">
              <w:rPr>
                <w:rFonts w:ascii="Arial" w:eastAsia="Times New Roman" w:hAnsi="Arial" w:cs="Arial"/>
                <w:b/>
                <w:sz w:val="20"/>
                <w:szCs w:val="20"/>
              </w:rPr>
              <w:t>za</w:t>
            </w:r>
            <w:proofErr w:type="spellEnd"/>
            <w:r w:rsidRPr="00E80B1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period</w:t>
            </w:r>
            <w:proofErr w:type="gramEnd"/>
            <w:r w:rsidRPr="00E80B1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01.01.-30.11.2024. </w:t>
            </w:r>
            <w:proofErr w:type="spellStart"/>
            <w:r w:rsidR="001349CE" w:rsidRPr="00E80B13">
              <w:rPr>
                <w:rFonts w:ascii="Arial" w:eastAsia="Times New Roman" w:hAnsi="Arial" w:cs="Arial"/>
                <w:b/>
                <w:sz w:val="20"/>
                <w:szCs w:val="20"/>
              </w:rPr>
              <w:t>g</w:t>
            </w:r>
            <w:r w:rsidR="00951A32" w:rsidRPr="00E80B13">
              <w:rPr>
                <w:rFonts w:ascii="Arial" w:eastAsia="Times New Roman" w:hAnsi="Arial" w:cs="Arial"/>
                <w:b/>
                <w:sz w:val="20"/>
                <w:szCs w:val="20"/>
              </w:rPr>
              <w:t>odine</w:t>
            </w:r>
            <w:proofErr w:type="spellEnd"/>
          </w:p>
        </w:tc>
      </w:tr>
      <w:tr w:rsidR="000C3D10" w:rsidRPr="00E80B13" w:rsidTr="001349CE">
        <w:trPr>
          <w:trHeight w:val="315"/>
        </w:trPr>
        <w:tc>
          <w:tcPr>
            <w:tcW w:w="5949" w:type="dxa"/>
            <w:noWrap/>
            <w:hideMark/>
          </w:tcPr>
          <w:p w:rsidR="000013E5" w:rsidRPr="00E80B13" w:rsidRDefault="000013E5" w:rsidP="00794007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sl-SI"/>
              </w:rPr>
            </w:pPr>
          </w:p>
          <w:p w:rsidR="000C3D10" w:rsidRPr="00E80B13" w:rsidRDefault="000C3D10" w:rsidP="0079400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Ukupan broj iskorišćenih kontrolnih markica</w:t>
            </w:r>
          </w:p>
        </w:tc>
        <w:tc>
          <w:tcPr>
            <w:tcW w:w="2551" w:type="dxa"/>
            <w:noWrap/>
            <w:hideMark/>
          </w:tcPr>
          <w:p w:rsidR="000C3D10" w:rsidRPr="00E80B13" w:rsidRDefault="000C3D10" w:rsidP="0079400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0C3D10" w:rsidRPr="00E80B13" w:rsidRDefault="000C3D10" w:rsidP="0079400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201</w:t>
            </w:r>
          </w:p>
        </w:tc>
      </w:tr>
      <w:tr w:rsidR="000C3D10" w:rsidRPr="00E80B13" w:rsidTr="001349CE">
        <w:trPr>
          <w:trHeight w:val="378"/>
        </w:trPr>
        <w:tc>
          <w:tcPr>
            <w:tcW w:w="5949" w:type="dxa"/>
            <w:noWrap/>
            <w:hideMark/>
          </w:tcPr>
          <w:p w:rsidR="000013E5" w:rsidRPr="00E80B13" w:rsidRDefault="000013E5" w:rsidP="00794007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sl-SI"/>
              </w:rPr>
            </w:pPr>
          </w:p>
          <w:p w:rsidR="000C3D10" w:rsidRPr="00E80B13" w:rsidRDefault="000C3D10" w:rsidP="0079400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Ukupan iznos iskorišćenih kontrolnih markica</w:t>
            </w:r>
          </w:p>
        </w:tc>
        <w:tc>
          <w:tcPr>
            <w:tcW w:w="2551" w:type="dxa"/>
            <w:noWrap/>
            <w:hideMark/>
          </w:tcPr>
          <w:p w:rsidR="000C3D10" w:rsidRPr="00E80B13" w:rsidRDefault="000C3D10" w:rsidP="0079400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0C3D10" w:rsidRPr="00E80B13" w:rsidRDefault="000C3D10" w:rsidP="0079400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2.518.999,46 €</w:t>
            </w:r>
          </w:p>
        </w:tc>
      </w:tr>
      <w:tr w:rsidR="000C3D10" w:rsidRPr="00E80B13" w:rsidTr="001349CE">
        <w:trPr>
          <w:trHeight w:val="378"/>
        </w:trPr>
        <w:tc>
          <w:tcPr>
            <w:tcW w:w="5949" w:type="dxa"/>
            <w:noWrap/>
          </w:tcPr>
          <w:p w:rsidR="000013E5" w:rsidRPr="00E80B13" w:rsidRDefault="000013E5" w:rsidP="00794007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sl-SI"/>
              </w:rPr>
            </w:pPr>
          </w:p>
          <w:p w:rsidR="000C3D10" w:rsidRPr="00E80B13" w:rsidRDefault="000C3D10" w:rsidP="0079400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Ukupan broj vraćenih kontrolnih markica DOO „CRBC“ (broj)</w:t>
            </w:r>
          </w:p>
        </w:tc>
        <w:tc>
          <w:tcPr>
            <w:tcW w:w="2551" w:type="dxa"/>
            <w:noWrap/>
          </w:tcPr>
          <w:p w:rsidR="000C3D10" w:rsidRPr="00E80B13" w:rsidRDefault="000C3D10" w:rsidP="0079400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0C3D10" w:rsidRPr="00E80B13" w:rsidRDefault="000C3D10" w:rsidP="0079400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1900</w:t>
            </w:r>
          </w:p>
        </w:tc>
      </w:tr>
    </w:tbl>
    <w:p w:rsidR="00624216" w:rsidRPr="00E80B13" w:rsidRDefault="00624216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624216" w:rsidRPr="00E80B13" w:rsidRDefault="00624216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32690D" w:rsidRPr="00E80B13" w:rsidRDefault="00B97520" w:rsidP="0076705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E80B13">
        <w:rPr>
          <w:rFonts w:ascii="Arial" w:hAnsi="Arial" w:cs="Arial"/>
          <w:b/>
          <w:sz w:val="20"/>
          <w:szCs w:val="20"/>
          <w:lang w:val="sl-SI"/>
        </w:rPr>
        <w:t>Tabela 10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: </w:t>
      </w:r>
      <w:proofErr w:type="spellStart"/>
      <w:r w:rsidRPr="00E80B13">
        <w:rPr>
          <w:rFonts w:ascii="Arial" w:eastAsia="Times New Roman" w:hAnsi="Arial" w:cs="Arial"/>
          <w:bCs/>
          <w:sz w:val="20"/>
          <w:szCs w:val="20"/>
          <w:lang w:eastAsia="hr-HR"/>
        </w:rPr>
        <w:t>Izvještaj</w:t>
      </w:r>
      <w:proofErr w:type="spellEnd"/>
      <w:r w:rsidRPr="00E80B13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 </w:t>
      </w:r>
      <w:proofErr w:type="spellStart"/>
      <w:r w:rsidRPr="00E80B13">
        <w:rPr>
          <w:rFonts w:ascii="Arial" w:eastAsia="Times New Roman" w:hAnsi="Arial" w:cs="Arial"/>
          <w:bCs/>
          <w:sz w:val="20"/>
          <w:szCs w:val="20"/>
          <w:lang w:eastAsia="hr-HR"/>
        </w:rPr>
        <w:t>iskorišćenim</w:t>
      </w:r>
      <w:proofErr w:type="spellEnd"/>
      <w:r w:rsidRPr="00E80B13">
        <w:rPr>
          <w:rFonts w:ascii="Arial" w:eastAsia="Times New Roman" w:hAnsi="Arial" w:cs="Arial"/>
          <w:bCs/>
          <w:sz w:val="20"/>
          <w:szCs w:val="20"/>
          <w:lang w:eastAsia="hr-HR"/>
        </w:rPr>
        <w:t>/</w:t>
      </w:r>
      <w:proofErr w:type="spellStart"/>
      <w:r w:rsidRPr="00E80B13">
        <w:rPr>
          <w:rFonts w:ascii="Arial" w:eastAsia="Times New Roman" w:hAnsi="Arial" w:cs="Arial"/>
          <w:bCs/>
          <w:sz w:val="20"/>
          <w:szCs w:val="20"/>
          <w:lang w:eastAsia="hr-HR"/>
        </w:rPr>
        <w:t>p</w:t>
      </w:r>
      <w:r w:rsidR="00F43CFC">
        <w:rPr>
          <w:rFonts w:ascii="Arial" w:eastAsia="Times New Roman" w:hAnsi="Arial" w:cs="Arial"/>
          <w:bCs/>
          <w:sz w:val="20"/>
          <w:szCs w:val="20"/>
          <w:lang w:eastAsia="hr-HR"/>
        </w:rPr>
        <w:t>oništenim</w:t>
      </w:r>
      <w:proofErr w:type="spellEnd"/>
      <w:r w:rsidR="00F43CF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proofErr w:type="spellStart"/>
      <w:r w:rsidR="00F43CFC">
        <w:rPr>
          <w:rFonts w:ascii="Arial" w:eastAsia="Times New Roman" w:hAnsi="Arial" w:cs="Arial"/>
          <w:bCs/>
          <w:sz w:val="20"/>
          <w:szCs w:val="20"/>
          <w:lang w:eastAsia="hr-HR"/>
        </w:rPr>
        <w:t>kontrolnim</w:t>
      </w:r>
      <w:proofErr w:type="spellEnd"/>
      <w:r w:rsidR="00F43CF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proofErr w:type="spellStart"/>
      <w:r w:rsidR="00F43CFC">
        <w:rPr>
          <w:rFonts w:ascii="Arial" w:eastAsia="Times New Roman" w:hAnsi="Arial" w:cs="Arial"/>
          <w:bCs/>
          <w:sz w:val="20"/>
          <w:szCs w:val="20"/>
          <w:lang w:eastAsia="hr-HR"/>
        </w:rPr>
        <w:t>markicama</w:t>
      </w:r>
      <w:proofErr w:type="spellEnd"/>
      <w:r w:rsidR="00F43CF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Pr="00E80B13">
        <w:rPr>
          <w:rFonts w:ascii="Arial" w:eastAsia="Times New Roman" w:hAnsi="Arial" w:cs="Arial"/>
          <w:bCs/>
          <w:sz w:val="20"/>
          <w:szCs w:val="20"/>
          <w:lang w:eastAsia="hr-HR"/>
        </w:rPr>
        <w:t>H</w:t>
      </w:r>
      <w:r w:rsidR="00191FBC" w:rsidRPr="00E80B13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OTELI </w:t>
      </w:r>
      <w:proofErr w:type="spellStart"/>
      <w:r w:rsidR="00191FBC" w:rsidRPr="00E80B13">
        <w:rPr>
          <w:rFonts w:ascii="Arial" w:eastAsia="Times New Roman" w:hAnsi="Arial" w:cs="Arial"/>
          <w:bCs/>
          <w:sz w:val="20"/>
          <w:szCs w:val="20"/>
          <w:lang w:eastAsia="hr-HR"/>
        </w:rPr>
        <w:t>za</w:t>
      </w:r>
      <w:proofErr w:type="spellEnd"/>
      <w:r w:rsidR="00191FBC" w:rsidRPr="00E80B13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period 01.01.-30.11</w:t>
      </w:r>
      <w:r w:rsidRPr="00E80B13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.2024. </w:t>
      </w:r>
      <w:proofErr w:type="spellStart"/>
      <w:r w:rsidR="00B25C8C" w:rsidRPr="00E80B13">
        <w:rPr>
          <w:rFonts w:ascii="Arial" w:eastAsia="Times New Roman" w:hAnsi="Arial" w:cs="Arial"/>
          <w:bCs/>
          <w:sz w:val="20"/>
          <w:szCs w:val="20"/>
          <w:lang w:eastAsia="hr-HR"/>
        </w:rPr>
        <w:t>godine</w:t>
      </w:r>
      <w:proofErr w:type="spellEnd"/>
    </w:p>
    <w:p w:rsidR="00F270F5" w:rsidRPr="00E80B13" w:rsidRDefault="00F270F5" w:rsidP="007670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6765"/>
        <w:gridCol w:w="1740"/>
      </w:tblGrid>
      <w:tr w:rsidR="00427401" w:rsidRPr="00E80B13" w:rsidTr="005E2A70">
        <w:trPr>
          <w:trHeight w:val="606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B25C8C" w:rsidRPr="00E80B13" w:rsidRDefault="00B25C8C" w:rsidP="001349CE">
            <w:pPr>
              <w:spacing w:after="0" w:line="240" w:lineRule="auto"/>
              <w:ind w:right="263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E80B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Iskorišćene</w:t>
            </w:r>
            <w:proofErr w:type="spellEnd"/>
            <w:r w:rsidRPr="00E80B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80B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poništene</w:t>
            </w:r>
            <w:proofErr w:type="spellEnd"/>
            <w:r w:rsidRPr="00E80B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kontrolne</w:t>
            </w:r>
            <w:proofErr w:type="spellEnd"/>
            <w:r w:rsidRPr="00E80B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0B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markice</w:t>
            </w:r>
            <w:proofErr w:type="spellEnd"/>
            <w:r w:rsidR="00F43C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-</w:t>
            </w:r>
            <w:proofErr w:type="gramEnd"/>
            <w:r w:rsidRPr="00E80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HOTELI</w:t>
            </w:r>
          </w:p>
          <w:p w:rsidR="00427401" w:rsidRPr="00E80B13" w:rsidRDefault="00B25C8C" w:rsidP="0007705F">
            <w:pPr>
              <w:spacing w:after="0" w:line="240" w:lineRule="auto"/>
              <w:ind w:right="26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0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</w:t>
            </w:r>
            <w:proofErr w:type="spellEnd"/>
            <w:r w:rsidRPr="00E80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="00191FBC" w:rsidRPr="00E80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period 01.01.-30.11</w:t>
            </w:r>
            <w:r w:rsidR="00B6519B" w:rsidRPr="00E80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.2024. </w:t>
            </w:r>
            <w:proofErr w:type="spellStart"/>
            <w:r w:rsidR="0007705F" w:rsidRPr="00E80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</w:t>
            </w:r>
            <w:r w:rsidR="00391149" w:rsidRPr="00E80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odine</w:t>
            </w:r>
            <w:proofErr w:type="spellEnd"/>
          </w:p>
        </w:tc>
      </w:tr>
      <w:tr w:rsidR="00427401" w:rsidRPr="00E80B13" w:rsidTr="00427401">
        <w:trPr>
          <w:trHeight w:val="31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01" w:rsidRPr="00E80B13" w:rsidRDefault="00427401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>Ukupan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>broj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>iskorišćenih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>kontrolnih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>markica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01" w:rsidRPr="00E80B13" w:rsidRDefault="00191FBC" w:rsidP="008956A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>779</w:t>
            </w:r>
          </w:p>
        </w:tc>
      </w:tr>
      <w:tr w:rsidR="00427401" w:rsidRPr="00E80B13" w:rsidTr="00427401">
        <w:trPr>
          <w:trHeight w:val="31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01" w:rsidRPr="00E80B13" w:rsidRDefault="00427401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>Ukupan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>iznos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>iskorišćenih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>kontrolnih</w:t>
            </w:r>
            <w:proofErr w:type="spellEnd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>markica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01" w:rsidRPr="00E80B13" w:rsidRDefault="00191FBC" w:rsidP="008956A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32.976.194,47</w:t>
            </w:r>
            <w:r w:rsidR="00427401"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427401" w:rsidRPr="00E80B13" w:rsidTr="00427401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01" w:rsidRPr="00E80B13" w:rsidRDefault="00871475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Ukupan</w:t>
            </w:r>
            <w:proofErr w:type="spellEnd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poništenih</w:t>
            </w:r>
            <w:proofErr w:type="spellEnd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kontrolnih</w:t>
            </w:r>
            <w:proofErr w:type="spellEnd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markica</w:t>
            </w:r>
            <w:proofErr w:type="spellEnd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DOO „Montenegro Luxury Hotels and resorts“</w:t>
            </w:r>
            <w:r w:rsidR="00F43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91FBC"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</w:t>
            </w:r>
            <w:r w:rsidR="006C18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191FBC"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„Zeta film“, DOO „</w:t>
            </w:r>
            <w:proofErr w:type="spellStart"/>
            <w:r w:rsidR="00191FBC"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Otrant</w:t>
            </w:r>
            <w:proofErr w:type="spellEnd"/>
            <w:r w:rsidR="00191FBC"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Star“,  </w:t>
            </w:r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iznos</w:t>
            </w:r>
            <w:proofErr w:type="spellEnd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01" w:rsidRPr="00E80B13" w:rsidRDefault="00191FBC" w:rsidP="008956A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/>
              </w:rPr>
              <w:t>60(3.238.995,62)</w:t>
            </w:r>
          </w:p>
        </w:tc>
      </w:tr>
      <w:tr w:rsidR="00427401" w:rsidRPr="00E80B13" w:rsidTr="00427401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01" w:rsidRPr="00E80B13" w:rsidRDefault="00191FBC" w:rsidP="0076705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Ukupan</w:t>
            </w:r>
            <w:proofErr w:type="spellEnd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vraćenih</w:t>
            </w:r>
            <w:proofErr w:type="spellEnd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neiskorišćenih</w:t>
            </w:r>
            <w:proofErr w:type="spellEnd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kontrolnih</w:t>
            </w:r>
            <w:proofErr w:type="spellEnd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markica</w:t>
            </w:r>
            <w:proofErr w:type="spellEnd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DOO „Zeta film“ (</w:t>
            </w:r>
            <w:proofErr w:type="spellStart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E80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01" w:rsidRPr="00E80B13" w:rsidRDefault="00191FBC" w:rsidP="008956A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</w:tr>
    </w:tbl>
    <w:p w:rsidR="00624216" w:rsidRPr="00E80B13" w:rsidRDefault="00624216" w:rsidP="0076705F">
      <w:pPr>
        <w:spacing w:before="120" w:line="252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</w:p>
    <w:p w:rsidR="003357B9" w:rsidRPr="00E80B13" w:rsidRDefault="006B595C" w:rsidP="0076705F">
      <w:pPr>
        <w:spacing w:before="120" w:line="252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b/>
          <w:sz w:val="20"/>
          <w:szCs w:val="20"/>
          <w:lang w:val="sl-SI"/>
        </w:rPr>
        <w:t>Tabela 11:</w:t>
      </w:r>
      <w:r w:rsidR="00FC7A65">
        <w:rPr>
          <w:rFonts w:ascii="Arial" w:hAnsi="Arial" w:cs="Arial"/>
          <w:sz w:val="20"/>
          <w:szCs w:val="20"/>
          <w:lang w:val="sl-SI"/>
        </w:rPr>
        <w:t xml:space="preserve"> Izdate kontrolne markice - </w:t>
      </w:r>
      <w:r w:rsidRPr="00E80B13">
        <w:rPr>
          <w:rFonts w:ascii="Arial" w:hAnsi="Arial" w:cs="Arial"/>
          <w:sz w:val="20"/>
          <w:szCs w:val="20"/>
          <w:lang w:val="sl-SI"/>
        </w:rPr>
        <w:t>HOTELI</w:t>
      </w:r>
      <w:r w:rsidR="00E9312F" w:rsidRPr="00E80B13">
        <w:rPr>
          <w:rFonts w:ascii="Arial" w:hAnsi="Arial" w:cs="Arial"/>
          <w:sz w:val="20"/>
          <w:szCs w:val="20"/>
          <w:lang w:val="sl-SI"/>
        </w:rPr>
        <w:t xml:space="preserve"> za period 01.01.-31.12.2024.</w:t>
      </w:r>
      <w:r w:rsidR="00FC7A65">
        <w:rPr>
          <w:rFonts w:ascii="Arial" w:hAnsi="Arial" w:cs="Arial"/>
          <w:sz w:val="20"/>
          <w:szCs w:val="20"/>
          <w:lang w:val="sl-SI"/>
        </w:rPr>
        <w:t>godine</w:t>
      </w:r>
    </w:p>
    <w:p w:rsidR="006B595C" w:rsidRPr="00E80B13" w:rsidRDefault="006B595C" w:rsidP="0076705F">
      <w:pPr>
        <w:spacing w:before="120" w:line="252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5387" w:type="dxa"/>
        <w:tblInd w:w="-5" w:type="dxa"/>
        <w:tblLook w:val="04A0" w:firstRow="1" w:lastRow="0" w:firstColumn="1" w:lastColumn="0" w:noHBand="0" w:noVBand="1"/>
      </w:tblPr>
      <w:tblGrid>
        <w:gridCol w:w="517"/>
        <w:gridCol w:w="3173"/>
        <w:gridCol w:w="1697"/>
      </w:tblGrid>
      <w:tr w:rsidR="006B595C" w:rsidRPr="00E80B13" w:rsidTr="0055459F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B595C" w:rsidRPr="00E80B13" w:rsidRDefault="006B595C" w:rsidP="006B5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proofErr w:type="spellStart"/>
            <w:r w:rsidRPr="00E80B13">
              <w:rPr>
                <w:rFonts w:ascii="Calibri" w:eastAsia="Times New Roman" w:hAnsi="Calibri" w:cs="Calibri"/>
                <w:b/>
                <w:color w:val="000000"/>
                <w:lang w:val="en-GB" w:eastAsia="hr-HR"/>
              </w:rPr>
              <w:t>Rb</w:t>
            </w:r>
            <w:proofErr w:type="spellEnd"/>
            <w:r w:rsidRPr="00E80B13">
              <w:rPr>
                <w:rFonts w:ascii="Calibri" w:eastAsia="Times New Roman" w:hAnsi="Calibri" w:cs="Calibri"/>
                <w:b/>
                <w:color w:val="000000"/>
                <w:lang w:val="en-GB" w:eastAsia="hr-HR"/>
              </w:rPr>
              <w:t>.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B595C" w:rsidRPr="00E80B13" w:rsidRDefault="006B595C" w:rsidP="006B5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proofErr w:type="spellStart"/>
            <w:r w:rsidRPr="00E80B13">
              <w:rPr>
                <w:rFonts w:ascii="Calibri" w:eastAsia="Times New Roman" w:hAnsi="Calibri" w:cs="Calibri"/>
                <w:b/>
                <w:color w:val="000000"/>
                <w:lang w:val="en-GB" w:eastAsia="hr-HR"/>
              </w:rPr>
              <w:t>Naziv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B595C" w:rsidRPr="00E80B13" w:rsidRDefault="006B595C" w:rsidP="006B5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proofErr w:type="spellStart"/>
            <w:r w:rsidRPr="00E80B13">
              <w:rPr>
                <w:rFonts w:ascii="Calibri" w:eastAsia="Times New Roman" w:hAnsi="Calibri" w:cs="Calibri"/>
                <w:b/>
                <w:color w:val="000000"/>
                <w:lang w:val="en-GB" w:eastAsia="hr-HR"/>
              </w:rPr>
              <w:t>Kom</w:t>
            </w:r>
            <w:proofErr w:type="spellEnd"/>
            <w:r w:rsidRPr="00E80B13">
              <w:rPr>
                <w:rFonts w:ascii="Calibri" w:eastAsia="Times New Roman" w:hAnsi="Calibri" w:cs="Calibri"/>
                <w:b/>
                <w:color w:val="000000"/>
                <w:lang w:val="en-GB" w:eastAsia="hr-HR"/>
              </w:rPr>
              <w:t>.</w:t>
            </w:r>
          </w:p>
        </w:tc>
      </w:tr>
      <w:tr w:rsidR="006B595C" w:rsidRPr="00E80B13" w:rsidTr="005E2A70">
        <w:trPr>
          <w:trHeight w:val="70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95C" w:rsidRPr="00E80B13" w:rsidRDefault="006B595C" w:rsidP="006B5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80B13">
              <w:rPr>
                <w:rFonts w:ascii="Calibri" w:eastAsia="Times New Roman" w:hAnsi="Calibri" w:cs="Calibri"/>
                <w:color w:val="000000"/>
                <w:lang w:val="en-GB" w:eastAsia="hr-HR"/>
              </w:rPr>
              <w:t>1.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95C" w:rsidRPr="00E80B13" w:rsidRDefault="006B595C" w:rsidP="006B59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80B13">
              <w:rPr>
                <w:rFonts w:ascii="Calibri" w:eastAsia="Times New Roman" w:hAnsi="Calibri" w:cs="Calibri"/>
                <w:color w:val="000000"/>
                <w:lang w:val="en-GB" w:eastAsia="hr-HR"/>
              </w:rPr>
              <w:t>DOO "MONTENEGRO LUXURY HOTELS AND RESORTS"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95C" w:rsidRPr="00E80B13" w:rsidRDefault="006B595C" w:rsidP="006B5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80B13">
              <w:rPr>
                <w:rFonts w:ascii="Calibri" w:eastAsia="Times New Roman" w:hAnsi="Calibri" w:cs="Calibri"/>
                <w:color w:val="000000"/>
                <w:lang w:val="en-GB" w:eastAsia="hr-HR"/>
              </w:rPr>
              <w:t>400</w:t>
            </w:r>
          </w:p>
        </w:tc>
      </w:tr>
      <w:tr w:rsidR="006B595C" w:rsidRPr="00E80B13" w:rsidTr="006B595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95C" w:rsidRPr="00E80B13" w:rsidRDefault="006B595C" w:rsidP="006B5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80B13">
              <w:rPr>
                <w:rFonts w:ascii="Calibri" w:eastAsia="Times New Roman" w:hAnsi="Calibri" w:cs="Calibri"/>
                <w:color w:val="000000"/>
                <w:lang w:val="en-GB" w:eastAsia="hr-HR"/>
              </w:rPr>
              <w:t>2.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95C" w:rsidRPr="00E80B13" w:rsidRDefault="006B595C" w:rsidP="006B59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80B13">
              <w:rPr>
                <w:rFonts w:ascii="Calibri" w:eastAsia="Times New Roman" w:hAnsi="Calibri" w:cs="Calibri"/>
                <w:color w:val="000000"/>
                <w:lang w:val="en-GB" w:eastAsia="hr-HR"/>
              </w:rPr>
              <w:t>DOO „BRIV HOSPITALITY“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95C" w:rsidRPr="00E80B13" w:rsidRDefault="006B595C" w:rsidP="006B5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80B13">
              <w:rPr>
                <w:rFonts w:ascii="Calibri" w:eastAsia="Times New Roman" w:hAnsi="Calibri" w:cs="Calibri"/>
                <w:color w:val="000000"/>
                <w:lang w:val="en-GB" w:eastAsia="hr-HR"/>
              </w:rPr>
              <w:t>500</w:t>
            </w:r>
          </w:p>
        </w:tc>
      </w:tr>
      <w:tr w:rsidR="006B595C" w:rsidRPr="00E80B13" w:rsidTr="00444483">
        <w:trPr>
          <w:trHeight w:val="30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B595C" w:rsidRPr="00E80B13" w:rsidRDefault="00AD1D4C" w:rsidP="006B5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hr-HR" w:eastAsia="hr-HR"/>
              </w:rPr>
            </w:pPr>
            <w:proofErr w:type="spellStart"/>
            <w:r w:rsidRPr="00E80B13">
              <w:rPr>
                <w:rFonts w:ascii="Calibri" w:eastAsia="Times New Roman" w:hAnsi="Calibri" w:cstheme="minorHAnsi"/>
                <w:b/>
                <w:color w:val="000000"/>
                <w:lang w:val="en-GB" w:eastAsia="hr-HR"/>
              </w:rPr>
              <w:t>Ukupno</w:t>
            </w:r>
            <w:proofErr w:type="spellEnd"/>
            <w:r w:rsidRPr="00E80B13">
              <w:rPr>
                <w:rFonts w:ascii="Calibri" w:eastAsia="Times New Roman" w:hAnsi="Calibri" w:cstheme="minorHAnsi"/>
                <w:b/>
                <w:color w:val="000000"/>
                <w:lang w:val="en-GB" w:eastAsia="hr-HR"/>
              </w:rPr>
              <w:t xml:space="preserve"> </w:t>
            </w:r>
            <w:proofErr w:type="spellStart"/>
            <w:r w:rsidRPr="00E80B13">
              <w:rPr>
                <w:rFonts w:ascii="Calibri" w:eastAsia="Times New Roman" w:hAnsi="Calibri" w:cstheme="minorHAnsi"/>
                <w:b/>
                <w:color w:val="000000"/>
                <w:lang w:val="en-GB" w:eastAsia="hr-HR"/>
              </w:rPr>
              <w:t>izdato</w:t>
            </w:r>
            <w:proofErr w:type="spellEnd"/>
            <w:r w:rsidRPr="00E80B13">
              <w:rPr>
                <w:rFonts w:ascii="Calibri" w:eastAsia="Times New Roman" w:hAnsi="Calibri" w:cstheme="minorHAnsi"/>
                <w:b/>
                <w:color w:val="000000"/>
                <w:lang w:val="en-GB" w:eastAsia="hr-HR"/>
              </w:rPr>
              <w:t xml:space="preserve"> </w:t>
            </w:r>
            <w:r w:rsidR="006B595C" w:rsidRPr="00E80B13">
              <w:rPr>
                <w:rFonts w:ascii="Calibri" w:eastAsia="Times New Roman" w:hAnsi="Calibri" w:cs="Calibri"/>
                <w:b/>
                <w:bCs/>
                <w:color w:val="000000"/>
                <w:lang w:val="en-GB" w:eastAsia="hr-HR"/>
              </w:rPr>
              <w:t>900</w:t>
            </w:r>
            <w:r w:rsidRPr="00E80B13">
              <w:rPr>
                <w:rFonts w:ascii="Calibri" w:eastAsia="Times New Roman" w:hAnsi="Calibri" w:cs="Calibri"/>
                <w:b/>
                <w:color w:val="000000"/>
                <w:lang w:val="en-GB" w:eastAsia="hr-HR"/>
              </w:rPr>
              <w:t xml:space="preserve"> </w:t>
            </w:r>
            <w:proofErr w:type="spellStart"/>
            <w:r w:rsidRPr="00E80B13">
              <w:rPr>
                <w:rFonts w:ascii="Calibri" w:eastAsia="Times New Roman" w:hAnsi="Calibri" w:cs="Calibri"/>
                <w:b/>
                <w:color w:val="000000"/>
                <w:lang w:val="en-GB" w:eastAsia="hr-HR"/>
              </w:rPr>
              <w:t>kontrolnih</w:t>
            </w:r>
            <w:proofErr w:type="spellEnd"/>
            <w:r w:rsidRPr="00E80B13">
              <w:rPr>
                <w:rFonts w:ascii="Calibri" w:eastAsia="Times New Roman" w:hAnsi="Calibri" w:cs="Calibri"/>
                <w:b/>
                <w:color w:val="000000"/>
                <w:lang w:val="en-GB" w:eastAsia="hr-HR"/>
              </w:rPr>
              <w:t xml:space="preserve"> </w:t>
            </w:r>
            <w:proofErr w:type="spellStart"/>
            <w:r w:rsidRPr="00E80B13">
              <w:rPr>
                <w:rFonts w:ascii="Calibri" w:eastAsia="Times New Roman" w:hAnsi="Calibri" w:cs="Calibri"/>
                <w:b/>
                <w:color w:val="000000"/>
                <w:lang w:val="en-GB" w:eastAsia="hr-HR"/>
              </w:rPr>
              <w:t>markica</w:t>
            </w:r>
            <w:proofErr w:type="spellEnd"/>
            <w:r w:rsidR="006B595C" w:rsidRPr="00E80B13">
              <w:rPr>
                <w:rFonts w:ascii="Calibri" w:eastAsia="Times New Roman" w:hAnsi="Calibri" w:cs="Calibri"/>
                <w:b/>
                <w:color w:val="000000"/>
                <w:lang w:val="en-GB" w:eastAsia="hr-HR"/>
              </w:rPr>
              <w:t xml:space="preserve"> </w:t>
            </w:r>
          </w:p>
        </w:tc>
      </w:tr>
    </w:tbl>
    <w:p w:rsidR="006B595C" w:rsidRPr="00E80B13" w:rsidRDefault="006B595C" w:rsidP="0076705F">
      <w:pPr>
        <w:spacing w:before="120" w:line="252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</w:p>
    <w:p w:rsidR="006B595C" w:rsidRPr="00E80B13" w:rsidRDefault="006B595C" w:rsidP="0076705F">
      <w:pPr>
        <w:spacing w:before="120" w:line="252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</w:p>
    <w:p w:rsidR="00C43821" w:rsidRPr="00E80B13" w:rsidRDefault="00D365D1" w:rsidP="00D365D1">
      <w:pPr>
        <w:spacing w:before="120" w:line="252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U izvje</w:t>
      </w:r>
      <w:r w:rsidR="00437072" w:rsidRPr="00E80B13">
        <w:rPr>
          <w:rFonts w:ascii="Arial" w:hAnsi="Arial" w:cs="Arial"/>
          <w:sz w:val="20"/>
          <w:szCs w:val="20"/>
          <w:lang w:val="sl-SI"/>
        </w:rPr>
        <w:t>štajnom periodu evidentirano je</w:t>
      </w:r>
      <w:r w:rsidR="00C43821" w:rsidRPr="00E80B13">
        <w:rPr>
          <w:rFonts w:ascii="Arial" w:hAnsi="Arial" w:cs="Arial"/>
          <w:sz w:val="20"/>
          <w:szCs w:val="20"/>
          <w:lang w:val="sl-SI"/>
        </w:rPr>
        <w:t>:</w:t>
      </w:r>
    </w:p>
    <w:p w:rsidR="00C43821" w:rsidRPr="00E80B13" w:rsidRDefault="001E73A8" w:rsidP="00E6379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1280 potvrda</w:t>
      </w:r>
      <w:r w:rsidR="00C43821" w:rsidRPr="00E80B13">
        <w:rPr>
          <w:rFonts w:ascii="Arial" w:hAnsi="Arial" w:cs="Arial"/>
          <w:sz w:val="20"/>
          <w:szCs w:val="20"/>
          <w:lang w:val="sl-SI"/>
        </w:rPr>
        <w:t xml:space="preserve"> za projekte koji se finansiraju iz sredstava EU u okviru indirektnog, podijeljenog upravljanja, kao i u skladu sa međunarodnim sporazumom izdate od strane nadležnih državnih organa zaduže</w:t>
      </w:r>
      <w:r w:rsidR="006B0580">
        <w:rPr>
          <w:rFonts w:ascii="Arial" w:hAnsi="Arial" w:cs="Arial"/>
          <w:sz w:val="20"/>
          <w:szCs w:val="20"/>
          <w:lang w:val="sl-SI"/>
        </w:rPr>
        <w:t>nih za implementaciju projekta;</w:t>
      </w:r>
    </w:p>
    <w:p w:rsidR="00D365D1" w:rsidRPr="00E80B13" w:rsidRDefault="00C43821" w:rsidP="00E6379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lastRenderedPageBreak/>
        <w:t xml:space="preserve">978 potvrda za oslobađanje od plaćanja pdv-a za projekte koji se finansiraju iz sredstava EU u okviru direktnog upravljanja, odnosno za projekte koji se finansiraju od strane međunarodnih organizacija izdate od strane Poreske uprave, </w:t>
      </w:r>
      <w:r w:rsidR="00EA79BA" w:rsidRPr="00E80B13">
        <w:rPr>
          <w:rFonts w:ascii="Arial" w:hAnsi="Arial" w:cs="Arial"/>
          <w:sz w:val="20"/>
          <w:szCs w:val="20"/>
          <w:lang w:val="sl-SI"/>
        </w:rPr>
        <w:t>i to kako je navedeno u tabeli.</w:t>
      </w:r>
    </w:p>
    <w:p w:rsidR="00EA79BA" w:rsidRPr="00E80B13" w:rsidRDefault="00EA79BA" w:rsidP="00E637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624216" w:rsidRPr="00E80B13" w:rsidRDefault="00624216" w:rsidP="00D365D1">
      <w:pPr>
        <w:spacing w:before="120" w:line="252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</w:p>
    <w:p w:rsidR="0012159B" w:rsidRPr="00E80B13" w:rsidRDefault="00EA79BA" w:rsidP="0076705F">
      <w:pPr>
        <w:spacing w:before="120" w:line="252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b/>
          <w:sz w:val="20"/>
          <w:szCs w:val="20"/>
          <w:lang w:val="sl-SI"/>
        </w:rPr>
        <w:t>Tabela 12</w:t>
      </w:r>
      <w:r w:rsidRPr="00E80B13">
        <w:rPr>
          <w:rFonts w:ascii="Arial" w:hAnsi="Arial" w:cs="Arial"/>
          <w:sz w:val="20"/>
          <w:szCs w:val="20"/>
          <w:lang w:val="sl-SI"/>
        </w:rPr>
        <w:t>: Izvještaj o primljenim potvrdama</w:t>
      </w:r>
      <w:r w:rsidR="006557FF" w:rsidRPr="00E80B13">
        <w:rPr>
          <w:rFonts w:ascii="Arial" w:hAnsi="Arial" w:cs="Arial"/>
          <w:sz w:val="20"/>
          <w:szCs w:val="20"/>
          <w:lang w:val="sl-SI"/>
        </w:rPr>
        <w:t xml:space="preserve"> za oslobađanje od pl</w:t>
      </w:r>
      <w:r w:rsidR="006C1640" w:rsidRPr="00E80B13">
        <w:rPr>
          <w:rFonts w:ascii="Arial" w:hAnsi="Arial" w:cs="Arial"/>
          <w:sz w:val="20"/>
          <w:szCs w:val="20"/>
          <w:lang w:val="sl-SI"/>
        </w:rPr>
        <w:t>aćanja PDV-a za period 01.01.-31.12</w:t>
      </w:r>
      <w:r w:rsidR="006557FF" w:rsidRPr="00E80B13">
        <w:rPr>
          <w:rFonts w:ascii="Arial" w:hAnsi="Arial" w:cs="Arial"/>
          <w:sz w:val="20"/>
          <w:szCs w:val="20"/>
          <w:lang w:val="sl-SI"/>
        </w:rPr>
        <w:t xml:space="preserve">.2024. </w:t>
      </w:r>
      <w:r w:rsidR="00274A8D">
        <w:rPr>
          <w:rFonts w:ascii="Arial" w:hAnsi="Arial" w:cs="Arial"/>
          <w:sz w:val="20"/>
          <w:szCs w:val="20"/>
          <w:lang w:val="sl-SI"/>
        </w:rPr>
        <w:t>godine</w:t>
      </w:r>
    </w:p>
    <w:p w:rsidR="00EA79BA" w:rsidRPr="00E80B13" w:rsidRDefault="00EA79BA" w:rsidP="0076705F">
      <w:pPr>
        <w:spacing w:before="120" w:line="252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8596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701"/>
        <w:gridCol w:w="1406"/>
        <w:gridCol w:w="2370"/>
      </w:tblGrid>
      <w:tr w:rsidR="00BA4F5D" w:rsidRPr="00E80B13" w:rsidTr="003F16C0">
        <w:trPr>
          <w:trHeight w:val="532"/>
        </w:trPr>
        <w:tc>
          <w:tcPr>
            <w:tcW w:w="8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A4F5D" w:rsidRPr="00E80B13" w:rsidRDefault="00EA79BA" w:rsidP="0039114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b/>
                <w:sz w:val="20"/>
                <w:szCs w:val="20"/>
                <w:lang w:val="sl-SI"/>
              </w:rPr>
              <w:t>Primljene  potvrde - IPA i donacije</w:t>
            </w:r>
          </w:p>
        </w:tc>
      </w:tr>
      <w:tr w:rsidR="00BA4F5D" w:rsidRPr="00E80B13" w:rsidTr="008D1DE9">
        <w:trPr>
          <w:trHeight w:val="57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4F5D" w:rsidRPr="00E80B13" w:rsidRDefault="00BA4F5D" w:rsidP="00BA4F5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F5D" w:rsidRPr="00E80B13" w:rsidRDefault="00BA4F5D" w:rsidP="0039114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b/>
                <w:sz w:val="20"/>
                <w:szCs w:val="20"/>
                <w:lang w:val="sl-SI"/>
              </w:rPr>
              <w:t>Br. izd. potvrda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F5D" w:rsidRPr="00E80B13" w:rsidRDefault="00BA4F5D" w:rsidP="0039114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b/>
                <w:sz w:val="20"/>
                <w:szCs w:val="20"/>
                <w:lang w:val="sl-SI"/>
              </w:rPr>
              <w:t>Iznos bez PDV-a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F5D" w:rsidRPr="00E80B13" w:rsidRDefault="00BA4F5D" w:rsidP="0039114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b/>
                <w:sz w:val="20"/>
                <w:szCs w:val="20"/>
                <w:lang w:val="sl-SI"/>
              </w:rPr>
              <w:t>PDV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F5D" w:rsidRPr="00E80B13" w:rsidRDefault="00BA4F5D" w:rsidP="0039114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b/>
                <w:sz w:val="20"/>
                <w:szCs w:val="20"/>
                <w:lang w:val="sl-SI"/>
              </w:rPr>
              <w:t>Ukupan iznos €</w:t>
            </w:r>
          </w:p>
        </w:tc>
      </w:tr>
      <w:tr w:rsidR="00BA4F5D" w:rsidRPr="00E80B13" w:rsidTr="008D1DE9">
        <w:trPr>
          <w:trHeight w:val="76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298" w:rsidRPr="00E80B13" w:rsidRDefault="00090298" w:rsidP="00F2621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BA4F5D" w:rsidRPr="00E80B13" w:rsidRDefault="00BA4F5D" w:rsidP="00F2621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b/>
                <w:sz w:val="20"/>
                <w:szCs w:val="20"/>
                <w:lang w:val="sl-SI"/>
              </w:rPr>
              <w:t>IPA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298" w:rsidRPr="00E80B13" w:rsidRDefault="00090298" w:rsidP="00D40CF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BA4F5D" w:rsidRPr="00E80B13" w:rsidRDefault="00816005" w:rsidP="00D40CF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>1167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298" w:rsidRPr="00E80B13" w:rsidRDefault="00090298" w:rsidP="00D40CF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A4F5D" w:rsidRPr="00E80B13" w:rsidRDefault="00816005" w:rsidP="00D40CFB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36.697.971,77 €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298" w:rsidRPr="00E80B13" w:rsidRDefault="00090298" w:rsidP="0081600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816005" w:rsidRPr="00E80B13" w:rsidRDefault="00816005" w:rsidP="0081600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0B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7.481.969,16 €</w:t>
            </w:r>
          </w:p>
          <w:p w:rsidR="00BA4F5D" w:rsidRPr="00E80B13" w:rsidRDefault="00BA4F5D" w:rsidP="00D40CFB">
            <w:pPr>
              <w:spacing w:before="120" w:after="120" w:line="264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298" w:rsidRPr="00E80B13" w:rsidRDefault="00090298" w:rsidP="00D40CF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A4F5D" w:rsidRPr="00E80B13" w:rsidRDefault="00816005" w:rsidP="00D40CFB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44.179.940,93 €</w:t>
            </w:r>
          </w:p>
        </w:tc>
      </w:tr>
      <w:tr w:rsidR="00BA4F5D" w:rsidRPr="00E80B13" w:rsidTr="008D1DE9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4F5D" w:rsidRPr="00E80B13" w:rsidRDefault="00816005" w:rsidP="00F2621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proofErr w:type="spellStart"/>
            <w:r w:rsidRPr="00E80B13">
              <w:rPr>
                <w:rFonts w:ascii="Arial" w:hAnsi="Arial" w:cs="Arial"/>
                <w:b/>
                <w:color w:val="000000"/>
                <w:sz w:val="20"/>
                <w:szCs w:val="20"/>
              </w:rPr>
              <w:t>Međunarodni</w:t>
            </w:r>
            <w:proofErr w:type="spellEnd"/>
            <w:r w:rsidRPr="00E80B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hAnsi="Arial" w:cs="Arial"/>
                <w:b/>
                <w:color w:val="000000"/>
                <w:sz w:val="20"/>
                <w:szCs w:val="20"/>
              </w:rPr>
              <w:t>sporazumi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F5D" w:rsidRPr="00E80B13" w:rsidRDefault="00816005" w:rsidP="00D40CF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>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4F5D" w:rsidRPr="00E80B13" w:rsidRDefault="00816005" w:rsidP="0081600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0B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10.105.109,34 €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4F5D" w:rsidRPr="00E80B13" w:rsidRDefault="00816005" w:rsidP="0081600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0B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394.211,86 €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4F5D" w:rsidRPr="00E80B13" w:rsidRDefault="00816005" w:rsidP="0081600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0B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10.499.321,20 €</w:t>
            </w:r>
          </w:p>
        </w:tc>
      </w:tr>
      <w:tr w:rsidR="00816005" w:rsidRPr="00E80B13" w:rsidTr="008D1DE9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005" w:rsidRPr="00E80B13" w:rsidRDefault="00816005" w:rsidP="00F2621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proofErr w:type="spellStart"/>
            <w:r w:rsidRPr="00E80B1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Direktno</w:t>
            </w:r>
            <w:proofErr w:type="spellEnd"/>
            <w:r w:rsidRPr="00E80B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hAnsi="Arial" w:cs="Arial"/>
                <w:b/>
                <w:color w:val="000000"/>
                <w:sz w:val="20"/>
                <w:szCs w:val="20"/>
              </w:rPr>
              <w:t>finansiranje</w:t>
            </w:r>
            <w:proofErr w:type="spellEnd"/>
            <w:r w:rsidRPr="00E80B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proofErr w:type="spellEnd"/>
            <w:r w:rsidRPr="00E80B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hAnsi="Arial" w:cs="Arial"/>
                <w:b/>
                <w:color w:val="000000"/>
                <w:sz w:val="20"/>
                <w:szCs w:val="20"/>
              </w:rPr>
              <w:t>strane</w:t>
            </w:r>
            <w:proofErr w:type="spellEnd"/>
            <w:r w:rsidRPr="00E80B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DEU </w:t>
            </w:r>
            <w:proofErr w:type="spellStart"/>
            <w:r w:rsidRPr="00E80B13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proofErr w:type="spellEnd"/>
            <w:r w:rsidRPr="00E80B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dr. </w:t>
            </w:r>
            <w:proofErr w:type="spellStart"/>
            <w:r w:rsidRPr="00E80B13">
              <w:rPr>
                <w:rFonts w:ascii="Arial" w:hAnsi="Arial" w:cs="Arial"/>
                <w:b/>
                <w:color w:val="000000"/>
                <w:sz w:val="20"/>
                <w:szCs w:val="20"/>
              </w:rPr>
              <w:t>međ</w:t>
            </w:r>
            <w:proofErr w:type="spellEnd"/>
            <w:r w:rsidRPr="00E80B13">
              <w:rPr>
                <w:rFonts w:ascii="Arial" w:hAnsi="Arial" w:cs="Arial"/>
                <w:b/>
                <w:color w:val="000000"/>
                <w:sz w:val="20"/>
                <w:szCs w:val="20"/>
              </w:rPr>
              <w:t>. org.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005" w:rsidRPr="00E80B13" w:rsidRDefault="00816005" w:rsidP="00D40CF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816005" w:rsidRPr="00E80B13" w:rsidRDefault="00816005" w:rsidP="00D40CF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sz w:val="20"/>
                <w:szCs w:val="20"/>
                <w:lang w:val="sl-SI"/>
              </w:rPr>
              <w:t>978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005" w:rsidRPr="00E80B13" w:rsidRDefault="00816005" w:rsidP="0081600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1.382.269,91 €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005" w:rsidRPr="00E80B13" w:rsidRDefault="00816005" w:rsidP="00D40CFB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262.284,49 €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005" w:rsidRPr="00E80B13" w:rsidRDefault="00816005" w:rsidP="00D40CFB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80B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1.644.554,40 €</w:t>
            </w:r>
          </w:p>
        </w:tc>
      </w:tr>
    </w:tbl>
    <w:p w:rsidR="0012159B" w:rsidRPr="00E80B13" w:rsidRDefault="0012159B" w:rsidP="0076705F">
      <w:pPr>
        <w:spacing w:before="120" w:line="252" w:lineRule="auto"/>
        <w:contextualSpacing/>
        <w:jc w:val="both"/>
        <w:rPr>
          <w:rFonts w:ascii="Arial" w:hAnsi="Arial" w:cs="Arial"/>
        </w:rPr>
      </w:pPr>
    </w:p>
    <w:p w:rsidR="00624216" w:rsidRPr="00E80B13" w:rsidRDefault="00624216" w:rsidP="00E7599B">
      <w:pPr>
        <w:spacing w:after="0"/>
        <w:jc w:val="both"/>
        <w:rPr>
          <w:rFonts w:ascii="Arial" w:hAnsi="Arial" w:cs="Arial"/>
          <w:sz w:val="20"/>
          <w:szCs w:val="20"/>
          <w:lang w:val="sl-SI"/>
        </w:rPr>
      </w:pPr>
    </w:p>
    <w:p w:rsidR="00F270F5" w:rsidRPr="00E37C3D" w:rsidRDefault="00F270F5" w:rsidP="00E37C3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i/>
          <w:sz w:val="24"/>
          <w:szCs w:val="24"/>
          <w:lang w:val="sl-SI"/>
        </w:rPr>
      </w:pPr>
      <w:r w:rsidRPr="00E37C3D">
        <w:rPr>
          <w:rFonts w:ascii="Arial Narrow" w:hAnsi="Arial Narrow" w:cs="Arial"/>
          <w:b/>
          <w:i/>
          <w:sz w:val="24"/>
          <w:szCs w:val="24"/>
          <w:lang w:val="sl-SI"/>
        </w:rPr>
        <w:t>Integritet i etika</w:t>
      </w:r>
    </w:p>
    <w:p w:rsidR="00F270F5" w:rsidRPr="00E80B13" w:rsidRDefault="00F270F5" w:rsidP="0076705F">
      <w:pPr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  <w:lang w:val="sl-SI"/>
        </w:rPr>
      </w:pPr>
    </w:p>
    <w:p w:rsidR="00F270F5" w:rsidRPr="00E80B13" w:rsidRDefault="00E0110B" w:rsidP="00E7599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Kako je Plan unutrašnjih kontrola za 2024.godinu, usl</w:t>
      </w:r>
      <w:r w:rsidR="0038171F" w:rsidRPr="00E80B13">
        <w:rPr>
          <w:rFonts w:ascii="Arial" w:hAnsi="Arial" w:cs="Arial"/>
          <w:sz w:val="20"/>
          <w:szCs w:val="20"/>
          <w:lang w:val="sl-SI"/>
        </w:rPr>
        <w:t>j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ed objektivnih okolnosti, usvojen  tek u martu </w:t>
      </w:r>
      <w:r w:rsidR="00A87171" w:rsidRPr="00E80B13">
        <w:rPr>
          <w:rFonts w:ascii="Arial" w:hAnsi="Arial" w:cs="Arial"/>
          <w:sz w:val="20"/>
          <w:szCs w:val="20"/>
          <w:lang w:val="sl-SI"/>
        </w:rPr>
        <w:t>2024.</w:t>
      </w:r>
      <w:r w:rsidR="0038171F" w:rsidRPr="00E80B13">
        <w:rPr>
          <w:rFonts w:ascii="Arial" w:hAnsi="Arial" w:cs="Arial"/>
          <w:sz w:val="20"/>
          <w:szCs w:val="20"/>
          <w:lang w:val="sl-SI"/>
        </w:rPr>
        <w:t xml:space="preserve"> </w:t>
      </w:r>
      <w:r w:rsidR="00A87171" w:rsidRPr="00E80B13">
        <w:rPr>
          <w:rFonts w:ascii="Arial" w:hAnsi="Arial" w:cs="Arial"/>
          <w:sz w:val="20"/>
          <w:szCs w:val="20"/>
          <w:lang w:val="sl-SI"/>
        </w:rPr>
        <w:t xml:space="preserve">godine, za period </w:t>
      </w:r>
      <w:r w:rsidR="0038171F" w:rsidRPr="00E80B13">
        <w:rPr>
          <w:rFonts w:ascii="Arial" w:hAnsi="Arial" w:cs="Arial"/>
          <w:sz w:val="20"/>
          <w:szCs w:val="20"/>
          <w:lang w:val="sl-SI"/>
        </w:rPr>
        <w:t xml:space="preserve">od </w:t>
      </w:r>
      <w:r w:rsidR="00A87171" w:rsidRPr="00E80B13">
        <w:rPr>
          <w:rFonts w:ascii="Arial" w:hAnsi="Arial" w:cs="Arial"/>
          <w:sz w:val="20"/>
          <w:szCs w:val="20"/>
          <w:lang w:val="sl-SI"/>
        </w:rPr>
        <w:t>01.01.-</w:t>
      </w:r>
      <w:r w:rsidR="0038171F" w:rsidRPr="00E80B13">
        <w:rPr>
          <w:rFonts w:ascii="Arial" w:hAnsi="Arial" w:cs="Arial"/>
          <w:sz w:val="20"/>
          <w:szCs w:val="20"/>
          <w:lang w:val="sl-SI"/>
        </w:rPr>
        <w:t xml:space="preserve"> </w:t>
      </w:r>
      <w:r w:rsidR="00A87171" w:rsidRPr="00E80B13">
        <w:rPr>
          <w:rFonts w:ascii="Arial" w:hAnsi="Arial" w:cs="Arial"/>
          <w:sz w:val="20"/>
          <w:szCs w:val="20"/>
          <w:lang w:val="sl-SI"/>
        </w:rPr>
        <w:t>31.12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.2024. godine </w:t>
      </w:r>
      <w:r w:rsidR="000B01DD" w:rsidRPr="00E80B13">
        <w:rPr>
          <w:rFonts w:ascii="Calibri" w:hAnsi="Calibri" w:cs="Calibri"/>
          <w:color w:val="000000"/>
          <w:shd w:val="clear" w:color="auto" w:fill="FFFFFF"/>
        </w:rPr>
        <w:t> </w:t>
      </w:r>
      <w:proofErr w:type="spellStart"/>
      <w:r w:rsidR="000B01DD" w:rsidRPr="00E80B13">
        <w:rPr>
          <w:rFonts w:ascii="Calibri" w:hAnsi="Calibri" w:cs="Calibri"/>
          <w:color w:val="000000"/>
          <w:shd w:val="clear" w:color="auto" w:fill="FFFFFF"/>
        </w:rPr>
        <w:t>odrađeno</w:t>
      </w:r>
      <w:proofErr w:type="spellEnd"/>
      <w:r w:rsidR="000B01DD" w:rsidRPr="00E80B13">
        <w:rPr>
          <w:rFonts w:ascii="Calibri" w:hAnsi="Calibri" w:cs="Calibri"/>
          <w:color w:val="000000"/>
          <w:shd w:val="clear" w:color="auto" w:fill="FFFFFF"/>
        </w:rPr>
        <w:t xml:space="preserve"> je</w:t>
      </w:r>
      <w:r w:rsidR="00B164FB" w:rsidRPr="00E80B13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164FB" w:rsidRPr="00E80B13">
        <w:rPr>
          <w:rFonts w:ascii="Calibri" w:hAnsi="Calibri" w:cs="Calibri"/>
          <w:color w:val="000000"/>
          <w:shd w:val="clear" w:color="auto" w:fill="FFFFFF"/>
        </w:rPr>
        <w:t>ukupno</w:t>
      </w:r>
      <w:proofErr w:type="spellEnd"/>
      <w:r w:rsidR="00B164FB" w:rsidRPr="00E80B13">
        <w:rPr>
          <w:rFonts w:ascii="Calibri" w:hAnsi="Calibri" w:cs="Calibri"/>
          <w:color w:val="000000"/>
          <w:shd w:val="clear" w:color="auto" w:fill="FFFFFF"/>
        </w:rPr>
        <w:t xml:space="preserve">  27 </w:t>
      </w:r>
      <w:proofErr w:type="spellStart"/>
      <w:r w:rsidR="00B164FB" w:rsidRPr="00E80B13">
        <w:rPr>
          <w:rFonts w:ascii="Calibri" w:hAnsi="Calibri" w:cs="Calibri"/>
          <w:color w:val="000000"/>
          <w:shd w:val="clear" w:color="auto" w:fill="FFFFFF"/>
        </w:rPr>
        <w:t>redovnih</w:t>
      </w:r>
      <w:proofErr w:type="spellEnd"/>
      <w:r w:rsidR="00B164FB" w:rsidRPr="00E80B13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B164FB" w:rsidRPr="00E80B13">
        <w:rPr>
          <w:rFonts w:ascii="Calibri" w:hAnsi="Calibri" w:cs="Calibri"/>
          <w:color w:val="000000"/>
          <w:shd w:val="clear" w:color="auto" w:fill="FFFFFF"/>
        </w:rPr>
        <w:t>kontrola</w:t>
      </w:r>
      <w:proofErr w:type="spellEnd"/>
      <w:r w:rsidR="00B164FB" w:rsidRPr="00E80B13">
        <w:rPr>
          <w:rFonts w:ascii="Calibri" w:hAnsi="Calibri" w:cs="Calibri"/>
          <w:color w:val="000000"/>
          <w:shd w:val="clear" w:color="auto" w:fill="FFFFFF"/>
        </w:rPr>
        <w:t> </w:t>
      </w:r>
      <w:proofErr w:type="spellStart"/>
      <w:r w:rsidR="00B164FB" w:rsidRPr="00E80B13">
        <w:rPr>
          <w:rFonts w:ascii="Calibri" w:hAnsi="Calibri" w:cs="Calibri"/>
          <w:color w:val="000000"/>
          <w:shd w:val="clear" w:color="auto" w:fill="FFFFFF"/>
        </w:rPr>
        <w:t>i</w:t>
      </w:r>
      <w:proofErr w:type="spellEnd"/>
      <w:r w:rsidR="00B164FB" w:rsidRPr="00E80B13">
        <w:rPr>
          <w:rFonts w:ascii="Calibri" w:hAnsi="Calibri" w:cs="Calibri"/>
          <w:color w:val="000000"/>
          <w:shd w:val="clear" w:color="auto" w:fill="FFFFFF"/>
        </w:rPr>
        <w:t xml:space="preserve"> 8 </w:t>
      </w:r>
      <w:proofErr w:type="spellStart"/>
      <w:r w:rsidR="00B164FB" w:rsidRPr="00E80B13">
        <w:rPr>
          <w:rFonts w:ascii="Calibri" w:hAnsi="Calibri" w:cs="Calibri"/>
          <w:color w:val="000000"/>
          <w:shd w:val="clear" w:color="auto" w:fill="FFFFFF"/>
        </w:rPr>
        <w:t>vanrednih</w:t>
      </w:r>
      <w:proofErr w:type="spellEnd"/>
      <w:r w:rsidR="00B164FB" w:rsidRPr="00E80B13">
        <w:rPr>
          <w:rFonts w:ascii="Calibri" w:hAnsi="Calibri" w:cs="Calibri"/>
          <w:color w:val="000000"/>
          <w:shd w:val="clear" w:color="auto" w:fill="FFFFFF"/>
        </w:rPr>
        <w:t xml:space="preserve">  </w:t>
      </w:r>
      <w:proofErr w:type="spellStart"/>
      <w:r w:rsidR="00B164FB" w:rsidRPr="00E80B13">
        <w:rPr>
          <w:rFonts w:ascii="Calibri" w:hAnsi="Calibri" w:cs="Calibri"/>
          <w:color w:val="000000"/>
          <w:shd w:val="clear" w:color="auto" w:fill="FFFFFF"/>
        </w:rPr>
        <w:t>kontrola</w:t>
      </w:r>
      <w:proofErr w:type="spellEnd"/>
      <w:r w:rsidRPr="00E80B13">
        <w:rPr>
          <w:rFonts w:ascii="Arial" w:hAnsi="Arial" w:cs="Arial"/>
          <w:sz w:val="20"/>
          <w:szCs w:val="20"/>
          <w:lang w:val="sl-SI"/>
        </w:rPr>
        <w:t>.</w:t>
      </w:r>
    </w:p>
    <w:p w:rsidR="00624216" w:rsidRPr="00E80B13" w:rsidRDefault="00624216" w:rsidP="0076705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sl-SI"/>
        </w:rPr>
      </w:pPr>
    </w:p>
    <w:p w:rsidR="00F6779E" w:rsidRPr="00E80B13" w:rsidRDefault="00F6779E" w:rsidP="0076705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sl-SI"/>
        </w:rPr>
      </w:pPr>
    </w:p>
    <w:p w:rsidR="00F6779E" w:rsidRPr="00E80B13" w:rsidRDefault="00F6779E" w:rsidP="005E2A7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736882" w:rsidRPr="00E37C3D" w:rsidRDefault="00F270F5" w:rsidP="00E37C3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i/>
          <w:sz w:val="24"/>
          <w:szCs w:val="24"/>
          <w:lang w:val="sl-SI"/>
        </w:rPr>
      </w:pPr>
      <w:r w:rsidRPr="00E37C3D">
        <w:rPr>
          <w:rFonts w:ascii="Arial Narrow" w:hAnsi="Arial Narrow" w:cs="Arial"/>
          <w:b/>
          <w:i/>
          <w:sz w:val="24"/>
          <w:szCs w:val="24"/>
          <w:lang w:val="sl-SI"/>
        </w:rPr>
        <w:t>Razvoj ljudskih resursa</w:t>
      </w:r>
    </w:p>
    <w:p w:rsidR="00F270F5" w:rsidRPr="00E80B13" w:rsidRDefault="00F270F5" w:rsidP="00736882">
      <w:pPr>
        <w:spacing w:after="0" w:line="240" w:lineRule="auto"/>
        <w:ind w:left="360"/>
        <w:jc w:val="both"/>
        <w:rPr>
          <w:rFonts w:ascii="Arial Narrow" w:hAnsi="Arial Narrow" w:cs="Arial"/>
          <w:i/>
          <w:sz w:val="24"/>
          <w:szCs w:val="24"/>
          <w:lang w:val="sl-SI"/>
        </w:rPr>
      </w:pPr>
      <w:r w:rsidRPr="00E80B13">
        <w:rPr>
          <w:rFonts w:ascii="Arial Narrow" w:hAnsi="Arial Narrow" w:cs="Arial"/>
          <w:i/>
          <w:sz w:val="24"/>
          <w:szCs w:val="24"/>
          <w:lang w:val="sl-SI"/>
        </w:rPr>
        <w:tab/>
      </w:r>
    </w:p>
    <w:p w:rsidR="00613955" w:rsidRPr="00E80B13" w:rsidRDefault="00F270F5" w:rsidP="00F6779E">
      <w:pPr>
        <w:spacing w:line="300" w:lineRule="exact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U Odsjeku za obuke i praćenje struč</w:t>
      </w:r>
      <w:r w:rsidR="00FD5DFB" w:rsidRPr="00E80B13">
        <w:rPr>
          <w:rFonts w:ascii="Arial" w:hAnsi="Arial" w:cs="Arial"/>
          <w:sz w:val="20"/>
          <w:szCs w:val="20"/>
          <w:lang w:val="sl-SI"/>
        </w:rPr>
        <w:t xml:space="preserve">nog usavršavanja, tokom izvještajnog perioda </w:t>
      </w:r>
      <w:r w:rsidR="00613955" w:rsidRPr="00E80B13">
        <w:rPr>
          <w:rFonts w:ascii="Arial" w:hAnsi="Arial" w:cs="Arial"/>
          <w:sz w:val="20"/>
          <w:szCs w:val="20"/>
          <w:lang w:val="sl-SI"/>
        </w:rPr>
        <w:t>realizovane su sljedeće aktivnosti:</w:t>
      </w:r>
    </w:p>
    <w:p w:rsidR="00042A5A" w:rsidRPr="00E80B13" w:rsidRDefault="00042A5A" w:rsidP="008E7310">
      <w:pPr>
        <w:pStyle w:val="ListParagraph"/>
        <w:numPr>
          <w:ilvl w:val="0"/>
          <w:numId w:val="23"/>
        </w:numPr>
        <w:jc w:val="both"/>
        <w:rPr>
          <w:rFonts w:ascii="Arial" w:eastAsiaTheme="minorHAnsi" w:hAnsi="Arial" w:cs="Arial"/>
          <w:sz w:val="20"/>
          <w:szCs w:val="20"/>
          <w:lang w:val="sl-SI"/>
        </w:rPr>
      </w:pPr>
      <w:r w:rsidRPr="00E80B13">
        <w:rPr>
          <w:rFonts w:ascii="Arial" w:eastAsiaTheme="minorHAnsi" w:hAnsi="Arial" w:cs="Arial"/>
          <w:sz w:val="20"/>
          <w:szCs w:val="20"/>
          <w:lang w:val="sl-SI"/>
        </w:rPr>
        <w:t>Analiza popunjenosti radnih mjesta i usklađivanje potreba za prijemom novih lica u radni odnos u skladu s raspoloživim finansijskim sredstvima – kontinuirana aktivnost.</w:t>
      </w:r>
    </w:p>
    <w:p w:rsidR="00CF5C43" w:rsidRPr="00E80B13" w:rsidRDefault="00613955" w:rsidP="008E7310">
      <w:pPr>
        <w:pStyle w:val="ListParagraph"/>
        <w:numPr>
          <w:ilvl w:val="0"/>
          <w:numId w:val="23"/>
        </w:numPr>
        <w:jc w:val="both"/>
        <w:rPr>
          <w:rFonts w:ascii="Arial" w:eastAsiaTheme="minorHAnsi" w:hAnsi="Arial" w:cs="Arial"/>
          <w:sz w:val="20"/>
          <w:szCs w:val="20"/>
          <w:lang w:val="sl-SI"/>
        </w:rPr>
      </w:pPr>
      <w:r w:rsidRPr="00E80B13">
        <w:rPr>
          <w:rFonts w:ascii="Arial" w:eastAsiaTheme="minorHAnsi" w:hAnsi="Arial" w:cs="Arial"/>
          <w:sz w:val="20"/>
          <w:szCs w:val="20"/>
          <w:lang w:val="sl-SI"/>
        </w:rPr>
        <w:t>Analiz</w:t>
      </w:r>
      <w:r w:rsidR="00274A8D">
        <w:rPr>
          <w:rFonts w:ascii="Arial" w:eastAsiaTheme="minorHAnsi" w:hAnsi="Arial" w:cs="Arial"/>
          <w:sz w:val="20"/>
          <w:szCs w:val="20"/>
          <w:lang w:val="sl-SI"/>
        </w:rPr>
        <w:t>a odliva kadrova – u</w:t>
      </w:r>
      <w:r w:rsidR="00417980"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 izvještajnom periodu je bilo 37</w:t>
      </w:r>
      <w:r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 prestanaka radnog odnosa po različitim osnovima.</w:t>
      </w:r>
    </w:p>
    <w:p w:rsidR="00417980" w:rsidRPr="00E80B13" w:rsidRDefault="00417980" w:rsidP="008E7310">
      <w:pPr>
        <w:pStyle w:val="ListParagraph"/>
        <w:numPr>
          <w:ilvl w:val="0"/>
          <w:numId w:val="23"/>
        </w:numPr>
        <w:jc w:val="both"/>
        <w:rPr>
          <w:rFonts w:ascii="Arial" w:eastAsiaTheme="minorHAnsi" w:hAnsi="Arial" w:cs="Arial"/>
          <w:sz w:val="20"/>
          <w:szCs w:val="20"/>
          <w:lang w:val="sl-SI"/>
        </w:rPr>
      </w:pPr>
      <w:r w:rsidRPr="00E80B13">
        <w:rPr>
          <w:rFonts w:ascii="Arial" w:eastAsiaTheme="minorHAnsi" w:hAnsi="Arial" w:cs="Arial"/>
          <w:sz w:val="20"/>
          <w:szCs w:val="20"/>
          <w:lang w:val="sl-SI"/>
        </w:rPr>
        <w:t>Praćenje ralizacije postupka zapošljavanja za popunu radnih mjesta na osnovu internih i javnih oglasa i javnog konkursa u skladu sa Kadrovskim planom</w:t>
      </w:r>
      <w:r w:rsidR="001E3E76">
        <w:rPr>
          <w:rFonts w:ascii="Arial" w:eastAsiaTheme="minorHAnsi" w:hAnsi="Arial" w:cs="Arial"/>
          <w:sz w:val="20"/>
          <w:szCs w:val="20"/>
          <w:lang w:val="sl-SI"/>
        </w:rPr>
        <w:t xml:space="preserve"> Poreske uprave za 2024. godinu.</w:t>
      </w:r>
      <w:r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  U izvještajnom periodu sprovedene su aktivnosti u vezi oglašavanja, te je sa tim u vezi, pokrenut postupak za popunu 149 radnih mjesta</w:t>
      </w:r>
    </w:p>
    <w:p w:rsidR="0094543B" w:rsidRPr="00E80B13" w:rsidRDefault="00274A8D" w:rsidP="008E7310">
      <w:pPr>
        <w:pStyle w:val="ListParagraph"/>
        <w:numPr>
          <w:ilvl w:val="0"/>
          <w:numId w:val="23"/>
        </w:numPr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Ugovori o djelu – u</w:t>
      </w:r>
      <w:r w:rsidR="00613955"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 izvje</w:t>
      </w:r>
      <w:r w:rsidR="00042A5A" w:rsidRPr="00E80B13">
        <w:rPr>
          <w:rFonts w:ascii="Arial" w:eastAsiaTheme="minorHAnsi" w:hAnsi="Arial" w:cs="Arial"/>
          <w:sz w:val="20"/>
          <w:szCs w:val="20"/>
          <w:lang w:val="sl-SI"/>
        </w:rPr>
        <w:t>štajnom periodu  zaključena su 6</w:t>
      </w:r>
      <w:r w:rsidR="00194A1C" w:rsidRPr="00E80B13">
        <w:rPr>
          <w:rFonts w:ascii="Arial" w:eastAsiaTheme="minorHAnsi" w:hAnsi="Arial" w:cs="Arial"/>
          <w:sz w:val="20"/>
          <w:szCs w:val="20"/>
          <w:lang w:val="sl-SI"/>
        </w:rPr>
        <w:t>7</w:t>
      </w:r>
      <w:r w:rsidR="00613955"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 ugovora o djelu.</w:t>
      </w:r>
    </w:p>
    <w:p w:rsidR="0094543B" w:rsidRPr="00E80B13" w:rsidRDefault="00613955" w:rsidP="008E7310">
      <w:pPr>
        <w:pStyle w:val="ListParagraph"/>
        <w:numPr>
          <w:ilvl w:val="0"/>
          <w:numId w:val="23"/>
        </w:numPr>
        <w:jc w:val="both"/>
        <w:rPr>
          <w:rFonts w:ascii="Arial" w:eastAsiaTheme="minorHAnsi" w:hAnsi="Arial" w:cs="Arial"/>
          <w:sz w:val="20"/>
          <w:szCs w:val="20"/>
          <w:lang w:val="sl-SI"/>
        </w:rPr>
      </w:pPr>
      <w:r w:rsidRPr="00E80B13">
        <w:rPr>
          <w:rFonts w:ascii="Arial" w:eastAsiaTheme="minorHAnsi" w:hAnsi="Arial" w:cs="Arial"/>
          <w:sz w:val="20"/>
          <w:szCs w:val="20"/>
          <w:lang w:val="sl-SI"/>
        </w:rPr>
        <w:t>Ugovori o p</w:t>
      </w:r>
      <w:r w:rsidR="00274A8D">
        <w:rPr>
          <w:rFonts w:ascii="Arial" w:eastAsiaTheme="minorHAnsi" w:hAnsi="Arial" w:cs="Arial"/>
          <w:sz w:val="20"/>
          <w:szCs w:val="20"/>
          <w:lang w:val="sl-SI"/>
        </w:rPr>
        <w:t>ružanju konsultantskih usuga - u</w:t>
      </w:r>
      <w:r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 izvj</w:t>
      </w:r>
      <w:r w:rsidR="00194A1C"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eštajnom </w:t>
      </w:r>
      <w:r w:rsidR="006452EC"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periodu </w:t>
      </w:r>
      <w:r w:rsidR="00194A1C" w:rsidRPr="00E80B13">
        <w:rPr>
          <w:rFonts w:ascii="Arial" w:eastAsiaTheme="minorHAnsi" w:hAnsi="Arial" w:cs="Arial"/>
          <w:sz w:val="20"/>
          <w:szCs w:val="20"/>
          <w:lang w:val="sl-SI"/>
        </w:rPr>
        <w:t>zaključeno je 7</w:t>
      </w:r>
      <w:r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 ugovora o pružanju konsultanstkih usluga.</w:t>
      </w:r>
    </w:p>
    <w:p w:rsidR="00736882" w:rsidRPr="00E80B13" w:rsidRDefault="00613955" w:rsidP="008E7310">
      <w:pPr>
        <w:pStyle w:val="ListParagraph"/>
        <w:numPr>
          <w:ilvl w:val="0"/>
          <w:numId w:val="23"/>
        </w:numPr>
        <w:jc w:val="both"/>
        <w:rPr>
          <w:rFonts w:ascii="Arial" w:eastAsiaTheme="minorHAnsi" w:hAnsi="Arial" w:cs="Arial"/>
          <w:sz w:val="20"/>
          <w:szCs w:val="20"/>
          <w:lang w:val="sl-SI"/>
        </w:rPr>
      </w:pPr>
      <w:r w:rsidRPr="00E80B13">
        <w:rPr>
          <w:rFonts w:ascii="Arial" w:eastAsiaTheme="minorHAnsi" w:hAnsi="Arial" w:cs="Arial"/>
          <w:sz w:val="20"/>
          <w:szCs w:val="20"/>
          <w:lang w:val="sl-SI"/>
        </w:rPr>
        <w:t>Dono</w:t>
      </w:r>
      <w:r w:rsidR="00274A8D">
        <w:rPr>
          <w:rFonts w:ascii="Arial" w:eastAsiaTheme="minorHAnsi" w:hAnsi="Arial" w:cs="Arial"/>
          <w:sz w:val="20"/>
          <w:szCs w:val="20"/>
          <w:lang w:val="sl-SI"/>
        </w:rPr>
        <w:t>šenje akata iz radnih odnosa – u</w:t>
      </w:r>
      <w:r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 izvještajnom periodu donešena su rješenja i druga akta po zahtjevu službenika/ca kao i po službenoj dužnosti</w:t>
      </w:r>
      <w:r w:rsidR="001E3E76">
        <w:rPr>
          <w:rFonts w:ascii="Arial" w:eastAsiaTheme="minorHAnsi" w:hAnsi="Arial" w:cs="Arial"/>
          <w:sz w:val="20"/>
          <w:szCs w:val="20"/>
          <w:lang w:val="sl-SI"/>
        </w:rPr>
        <w:t>.</w:t>
      </w:r>
    </w:p>
    <w:p w:rsidR="00CF5C43" w:rsidRPr="00E80B13" w:rsidRDefault="001E3E76" w:rsidP="008E7310">
      <w:pPr>
        <w:pStyle w:val="ListParagraph"/>
        <w:numPr>
          <w:ilvl w:val="0"/>
          <w:numId w:val="23"/>
        </w:numPr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lastRenderedPageBreak/>
        <w:t>Postupak po žalbama,tužbama,</w:t>
      </w:r>
      <w:r w:rsidR="00613955"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predlozima za </w:t>
      </w:r>
      <w:r>
        <w:rPr>
          <w:rFonts w:ascii="Arial" w:eastAsiaTheme="minorHAnsi" w:hAnsi="Arial" w:cs="Arial"/>
          <w:sz w:val="20"/>
          <w:szCs w:val="20"/>
          <w:lang w:val="sl-SI"/>
        </w:rPr>
        <w:t>mirno rješavanje radnih sporova</w:t>
      </w:r>
      <w:r w:rsidR="00613955"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 predlozima za medijaciju službenika/ca, prikupljanje potrebne dokumentacije i dostavljanje iste</w:t>
      </w:r>
      <w:r w:rsidR="00935E86" w:rsidRPr="00E80B13">
        <w:rPr>
          <w:rFonts w:ascii="Arial" w:eastAsiaTheme="minorHAnsi" w:hAnsi="Arial" w:cs="Arial"/>
          <w:sz w:val="20"/>
          <w:szCs w:val="20"/>
          <w:lang w:val="sl-SI"/>
        </w:rPr>
        <w:t>, dostavljanje žalbe u originalu</w:t>
      </w:r>
      <w:r w:rsidR="00613955"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, te potrebnog izjašnjenja Komisiji za žalbe Vlade Crne Gore. U </w:t>
      </w:r>
      <w:r w:rsidR="00194A1C"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izvještajnom periodu </w:t>
      </w:r>
      <w:r w:rsidR="006452EC" w:rsidRPr="00E80B13">
        <w:rPr>
          <w:rFonts w:ascii="Arial" w:eastAsiaTheme="minorHAnsi" w:hAnsi="Arial" w:cs="Arial"/>
          <w:sz w:val="20"/>
          <w:szCs w:val="20"/>
          <w:lang w:val="sl-SI"/>
        </w:rPr>
        <w:t>dato je</w:t>
      </w:r>
      <w:r w:rsidR="00194A1C"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 14</w:t>
      </w:r>
      <w:r w:rsidR="00613955"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 odgovora na tužbu Osnovnom sudu. </w:t>
      </w:r>
      <w:r w:rsidR="00194A1C" w:rsidRPr="00E80B13">
        <w:rPr>
          <w:rFonts w:ascii="Arial" w:eastAsiaTheme="minorHAnsi" w:hAnsi="Arial" w:cs="Arial"/>
          <w:sz w:val="20"/>
          <w:szCs w:val="20"/>
          <w:lang w:val="sl-SI"/>
        </w:rPr>
        <w:t>Agenciji za mirno rješavanje radnih sporova dato je 9 izjašnjenja sa pratećom dokaznom dokumentacijom. Dato je i 6  izjašnjenja  u vezi  predloga za medijaciju shodno dopisima Centra za alternativno rješavanje radnih sporova i 15 izjašnjenja Zaštitniku imovinsko-pravnih interesa Crne Gore, po različitim pravnim osnovima</w:t>
      </w:r>
    </w:p>
    <w:p w:rsidR="00613955" w:rsidRPr="00E80B13" w:rsidRDefault="00613955" w:rsidP="008E7310">
      <w:pPr>
        <w:pStyle w:val="ListParagraph"/>
        <w:numPr>
          <w:ilvl w:val="0"/>
          <w:numId w:val="23"/>
        </w:numPr>
        <w:jc w:val="both"/>
        <w:rPr>
          <w:rFonts w:ascii="Arial" w:eastAsiaTheme="minorHAnsi" w:hAnsi="Arial" w:cs="Arial"/>
          <w:sz w:val="20"/>
          <w:szCs w:val="20"/>
          <w:lang w:val="sl-SI"/>
        </w:rPr>
      </w:pPr>
      <w:r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Postupci pred Disciplinskom komisijom – U izvještajnom periodu </w:t>
      </w:r>
      <w:r w:rsidR="00042A5A" w:rsidRPr="00E80B13">
        <w:rPr>
          <w:rFonts w:ascii="Arial" w:eastAsiaTheme="minorHAnsi" w:hAnsi="Arial" w:cs="Arial"/>
          <w:sz w:val="20"/>
          <w:szCs w:val="20"/>
          <w:lang w:val="sl-SI"/>
        </w:rPr>
        <w:t>bila su</w:t>
      </w:r>
      <w:r w:rsidR="007C2F41">
        <w:rPr>
          <w:rFonts w:ascii="Arial" w:eastAsiaTheme="minorHAnsi" w:hAnsi="Arial" w:cs="Arial"/>
          <w:sz w:val="20"/>
          <w:szCs w:val="20"/>
          <w:lang w:val="sl-SI"/>
        </w:rPr>
        <w:t xml:space="preserve"> tri</w:t>
      </w:r>
      <w:r w:rsidRPr="00E80B13">
        <w:rPr>
          <w:rFonts w:ascii="Arial" w:eastAsiaTheme="minorHAnsi" w:hAnsi="Arial" w:cs="Arial"/>
          <w:sz w:val="20"/>
          <w:szCs w:val="20"/>
          <w:lang w:val="sl-SI"/>
        </w:rPr>
        <w:t xml:space="preserve"> postupka pred Disciplinskom komisijom</w:t>
      </w:r>
      <w:r w:rsidR="00903F5F" w:rsidRPr="00E80B13">
        <w:rPr>
          <w:rFonts w:ascii="Arial" w:eastAsiaTheme="minorHAnsi" w:hAnsi="Arial" w:cs="Arial"/>
          <w:sz w:val="20"/>
          <w:szCs w:val="20"/>
          <w:lang w:val="sl-SI"/>
        </w:rPr>
        <w:t>, od kojih je jedan postupak okončan</w:t>
      </w:r>
      <w:r w:rsidRPr="00E80B13">
        <w:rPr>
          <w:rFonts w:ascii="Arial" w:eastAsiaTheme="minorHAnsi" w:hAnsi="Arial" w:cs="Arial"/>
          <w:sz w:val="20"/>
          <w:szCs w:val="20"/>
          <w:lang w:val="sl-SI"/>
        </w:rPr>
        <w:t>.</w:t>
      </w:r>
    </w:p>
    <w:p w:rsidR="00624216" w:rsidRPr="00E80B13" w:rsidRDefault="00624216" w:rsidP="00624216">
      <w:pPr>
        <w:pStyle w:val="ListParagraph"/>
        <w:jc w:val="both"/>
        <w:rPr>
          <w:rFonts w:ascii="Arial" w:eastAsia="Calibri" w:hAnsi="Arial" w:cs="Arial"/>
        </w:rPr>
      </w:pPr>
    </w:p>
    <w:p w:rsidR="00F270F5" w:rsidRPr="00E80B13" w:rsidRDefault="00F270F5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F270F5" w:rsidRPr="00F0174F" w:rsidRDefault="00F270F5" w:rsidP="0076705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i/>
          <w:sz w:val="24"/>
          <w:szCs w:val="24"/>
          <w:lang w:val="sl-SI"/>
        </w:rPr>
      </w:pPr>
      <w:r w:rsidRPr="00F0174F">
        <w:rPr>
          <w:rFonts w:ascii="Arial Narrow" w:hAnsi="Arial Narrow" w:cs="Arial"/>
          <w:b/>
          <w:i/>
          <w:sz w:val="24"/>
          <w:szCs w:val="24"/>
          <w:lang w:val="sl-SI"/>
        </w:rPr>
        <w:t>Aktivnosti u vezi sa međunarodnom saradnjom</w:t>
      </w:r>
    </w:p>
    <w:p w:rsidR="00D021F4" w:rsidRPr="00E80B13" w:rsidRDefault="00D021F4" w:rsidP="00D021F4">
      <w:pPr>
        <w:spacing w:after="0" w:line="240" w:lineRule="auto"/>
        <w:ind w:left="284"/>
        <w:jc w:val="both"/>
        <w:rPr>
          <w:rFonts w:ascii="Arial Narrow" w:hAnsi="Arial Narrow" w:cs="Arial"/>
          <w:i/>
          <w:sz w:val="24"/>
          <w:szCs w:val="24"/>
          <w:lang w:val="sl-SI"/>
        </w:rPr>
      </w:pPr>
    </w:p>
    <w:p w:rsidR="00D021F4" w:rsidRPr="00E80B13" w:rsidRDefault="00D021F4" w:rsidP="00D021F4">
      <w:pPr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Nastavljena je razmjena informacija o izbjegavanju dvostrukog oporezivanja, shodno zaključenim sporazumima. Takođe, tokom izvještajnog perioda su sprovođene sve redovne aktivnosti shodno obavezama koje proističu iz članstva u relevantnim međunarodnim institucijama.</w:t>
      </w:r>
    </w:p>
    <w:p w:rsidR="00F270F5" w:rsidRPr="00E80B13" w:rsidRDefault="00F270F5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DF7207" w:rsidRPr="00E80B13" w:rsidRDefault="00F270F5" w:rsidP="00CC51D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ME"/>
        </w:rPr>
      </w:pPr>
      <w:r w:rsidRPr="00E80B13">
        <w:rPr>
          <w:rFonts w:ascii="Arial" w:hAnsi="Arial" w:cs="Arial"/>
          <w:sz w:val="20"/>
          <w:szCs w:val="20"/>
          <w:lang w:val="sl-SI"/>
        </w:rPr>
        <w:t>.</w:t>
      </w:r>
    </w:p>
    <w:p w:rsidR="00DF7207" w:rsidRPr="00F0174F" w:rsidRDefault="00DF7207" w:rsidP="00B1256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i/>
          <w:sz w:val="24"/>
          <w:szCs w:val="24"/>
          <w:lang w:val="sl-SI"/>
        </w:rPr>
      </w:pPr>
      <w:r w:rsidRPr="00F0174F">
        <w:rPr>
          <w:rFonts w:ascii="Arial Narrow" w:hAnsi="Arial Narrow" w:cs="Arial"/>
          <w:b/>
          <w:i/>
          <w:sz w:val="24"/>
          <w:szCs w:val="24"/>
          <w:lang w:val="sl-SI"/>
        </w:rPr>
        <w:t xml:space="preserve">Aktivnosti na projektu </w:t>
      </w:r>
      <w:r w:rsidR="001E3E76">
        <w:rPr>
          <w:rFonts w:ascii="Arial Narrow" w:hAnsi="Arial Narrow" w:cs="Arial"/>
          <w:b/>
          <w:i/>
          <w:sz w:val="24"/>
          <w:szCs w:val="24"/>
          <w:lang w:val="sl-SI"/>
        </w:rPr>
        <w:t>»</w:t>
      </w:r>
      <w:r w:rsidR="00143034" w:rsidRPr="00F0174F">
        <w:rPr>
          <w:rFonts w:ascii="Arial Narrow" w:hAnsi="Arial Narrow" w:cs="Arial"/>
          <w:b/>
          <w:i/>
          <w:sz w:val="24"/>
          <w:szCs w:val="24"/>
          <w:lang w:val="sl-SI"/>
        </w:rPr>
        <w:t xml:space="preserve"> Reforma poreske administracije«</w:t>
      </w:r>
    </w:p>
    <w:p w:rsidR="00CB5E44" w:rsidRPr="00E80B13" w:rsidRDefault="00CB5E44" w:rsidP="005E2A70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lang w:val="sl-SI"/>
        </w:rPr>
      </w:pPr>
    </w:p>
    <w:p w:rsidR="00E7599B" w:rsidRPr="00E80B13" w:rsidRDefault="00D021F4" w:rsidP="00F748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U okviru projekta ,,Reforma Poreske administracije" (finasiran kreditom Svjetske banke)</w:t>
      </w:r>
      <w:r w:rsidR="001E3E76">
        <w:rPr>
          <w:rFonts w:ascii="Arial" w:hAnsi="Arial" w:cs="Arial"/>
          <w:sz w:val="20"/>
          <w:szCs w:val="20"/>
          <w:lang w:val="sl-SI"/>
        </w:rPr>
        <w:t>,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 a koji podrazumijeva uvođenje IRMS (Integrisanog informacionog sistema) kao i modernizaciju poslovnih procesa u skladu sa važećim trendovima digitalizacije usluga poreskim obveznicima u izvještajnom periodu dokumentacija koja se odnosi na izradu konceptualnog dizajna je usaglašena unutar Tima za implementaciju IRMS-a.</w:t>
      </w:r>
      <w:r w:rsidR="00CC51D0" w:rsidRPr="00E80B13">
        <w:rPr>
          <w:rFonts w:ascii="Arial" w:hAnsi="Arial" w:cs="Arial"/>
          <w:sz w:val="20"/>
          <w:szCs w:val="20"/>
          <w:lang w:val="sl-SI"/>
        </w:rPr>
        <w:t xml:space="preserve"> </w:t>
      </w:r>
      <w:r w:rsidRPr="00E80B13">
        <w:rPr>
          <w:rFonts w:ascii="Arial" w:hAnsi="Arial" w:cs="Arial"/>
          <w:sz w:val="20"/>
          <w:szCs w:val="20"/>
          <w:lang w:val="sl-SI"/>
        </w:rPr>
        <w:t>Dogovorena je fazna impl</w:t>
      </w:r>
      <w:r w:rsidR="00CC51D0" w:rsidRPr="00E80B13">
        <w:rPr>
          <w:rFonts w:ascii="Arial" w:hAnsi="Arial" w:cs="Arial"/>
          <w:sz w:val="20"/>
          <w:szCs w:val="20"/>
          <w:lang w:val="sl-SI"/>
        </w:rPr>
        <w:t>ementacija svih modula projekta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. Takođe, nastavljen je rad na razvoju modula za registraciju, prvog modula u faznoj implementaciji, kao i započeta testna migracija podataka za isti modul, a za čije potrebe su organizovane  radionice sa korisnicima unutar Poreske uprave. Dobavljač je sa timom Poreske upave bio angažovan u dijelu analize podataka koji se odnose na oblast registracije, koji se trebaju migrirati u novi IT sistem. </w:t>
      </w:r>
    </w:p>
    <w:p w:rsidR="00F74850" w:rsidRPr="00E80B13" w:rsidRDefault="00F74850" w:rsidP="00F748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Do sada je pripremljena dokumentacija koja se odnosi na Konceptualni dizajn, Arhitekturu IRMS sistema, Plana migracije, i postavljeno je testno i razvojno okruženje. U pogledu funkcionalnosti budućeg sistema, u toku je izrada funkcionalnosti modula za registraciju, kao i sagledavanja modaliteta za migraciju registracionih podataka.</w:t>
      </w:r>
    </w:p>
    <w:p w:rsidR="00F74850" w:rsidRPr="00E80B13" w:rsidRDefault="00F74850" w:rsidP="00F748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D021F4" w:rsidRPr="00E80B13" w:rsidRDefault="00D021F4" w:rsidP="00F748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Takođe, u pogledu budućeg nesmetanog funkcionisanja</w:t>
      </w:r>
      <w:r w:rsidR="000D2C5C" w:rsidRPr="00E80B13">
        <w:rPr>
          <w:rFonts w:ascii="Arial" w:hAnsi="Arial" w:cs="Arial"/>
          <w:sz w:val="20"/>
          <w:szCs w:val="20"/>
          <w:lang w:val="sl-SI"/>
        </w:rPr>
        <w:t xml:space="preserve"> novog IRMS sistema, završen je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 tenderski postupak za izbor dobavljača</w:t>
      </w:r>
      <w:r w:rsidR="00CC51D0" w:rsidRPr="00E80B13">
        <w:rPr>
          <w:rFonts w:ascii="Arial" w:hAnsi="Arial" w:cs="Arial"/>
          <w:sz w:val="20"/>
          <w:szCs w:val="20"/>
          <w:lang w:val="sl-SI"/>
        </w:rPr>
        <w:t>,</w:t>
      </w:r>
      <w:r w:rsidRPr="00E80B13">
        <w:rPr>
          <w:rFonts w:ascii="Arial" w:hAnsi="Arial" w:cs="Arial"/>
          <w:sz w:val="20"/>
          <w:szCs w:val="20"/>
          <w:lang w:val="sl-SI"/>
        </w:rPr>
        <w:t xml:space="preserve"> koji će isporučiti neophodnu specificiranu opremu. </w:t>
      </w:r>
    </w:p>
    <w:p w:rsidR="00F1123C" w:rsidRDefault="00F1123C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0F4952" w:rsidRPr="00E80B13" w:rsidRDefault="000F4952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F270F5" w:rsidRPr="00F0174F" w:rsidRDefault="00F270F5" w:rsidP="0076705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  <w:lang w:val="sl-SI"/>
        </w:rPr>
      </w:pPr>
      <w:r w:rsidRPr="00F0174F">
        <w:rPr>
          <w:rFonts w:ascii="Arial Narrow" w:hAnsi="Arial Narrow" w:cs="Arial"/>
          <w:b/>
          <w:i/>
          <w:sz w:val="24"/>
          <w:szCs w:val="24"/>
          <w:lang w:val="sl-SI"/>
        </w:rPr>
        <w:t>Informacioni sistem</w:t>
      </w:r>
    </w:p>
    <w:p w:rsidR="00F270F5" w:rsidRPr="00E80B13" w:rsidRDefault="00F270F5" w:rsidP="0076705F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  <w:lang w:val="sl-SI"/>
        </w:rPr>
      </w:pPr>
    </w:p>
    <w:p w:rsidR="00F270F5" w:rsidRPr="00E80B13" w:rsidRDefault="00F270F5" w:rsidP="004C5CFD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Svakodnevno se vrši monitoring mrežne, serverske, storage infrastrukture, Data centra.</w:t>
      </w:r>
    </w:p>
    <w:p w:rsidR="00F270F5" w:rsidRPr="00E80B13" w:rsidRDefault="00F270F5" w:rsidP="0076705F">
      <w:pPr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Održavanje aplikativnog sofware-a EFI sistema i hardverskih komponenti sa sistemskim software-om:</w:t>
      </w:r>
    </w:p>
    <w:p w:rsidR="00F270F5" w:rsidRPr="00AB7FCC" w:rsidRDefault="00F270F5" w:rsidP="00AB7FCC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AB7FCC">
        <w:rPr>
          <w:rFonts w:ascii="Arial" w:hAnsi="Arial" w:cs="Arial"/>
          <w:sz w:val="20"/>
          <w:szCs w:val="20"/>
          <w:lang w:val="sl-SI"/>
        </w:rPr>
        <w:t xml:space="preserve">prijavljene i/ili riješene incidente;  </w:t>
      </w:r>
    </w:p>
    <w:p w:rsidR="00F270F5" w:rsidRPr="00AB7FCC" w:rsidRDefault="00F270F5" w:rsidP="00AB7FCC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AB7FCC">
        <w:rPr>
          <w:rFonts w:ascii="Arial" w:hAnsi="Arial" w:cs="Arial"/>
          <w:sz w:val="20"/>
          <w:szCs w:val="20"/>
          <w:lang w:val="sl-SI"/>
        </w:rPr>
        <w:t>dostupnost aplikacije;</w:t>
      </w:r>
    </w:p>
    <w:p w:rsidR="00F270F5" w:rsidRPr="00AB7FCC" w:rsidRDefault="00F270F5" w:rsidP="00AB7FCC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AB7FCC">
        <w:rPr>
          <w:rFonts w:ascii="Arial" w:hAnsi="Arial" w:cs="Arial"/>
          <w:sz w:val="20"/>
          <w:szCs w:val="20"/>
          <w:lang w:val="sl-SI"/>
        </w:rPr>
        <w:t>preventivne radnje;</w:t>
      </w:r>
    </w:p>
    <w:p w:rsidR="00B5550C" w:rsidRPr="000F4952" w:rsidRDefault="00F270F5" w:rsidP="000F4952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AB7FCC">
        <w:rPr>
          <w:rFonts w:ascii="Arial" w:hAnsi="Arial" w:cs="Arial"/>
          <w:sz w:val="20"/>
          <w:szCs w:val="20"/>
          <w:lang w:val="sl-SI"/>
        </w:rPr>
        <w:t>aktivnosti adaptivnog održavanja;</w:t>
      </w:r>
    </w:p>
    <w:p w:rsidR="00FD5BC7" w:rsidRPr="00E80B13" w:rsidRDefault="00FD5BC7" w:rsidP="004C5CFD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t>Elektronska fiskalizacija prometa kroz elektronsku razmjenu podataka vrši unapređenje razvoja digitalnog društva u cjelini. Promjena u načinu evidencije prometa ove vrste pokreće nove modele poslovanja i podstiče elektronsko poslovanje. Posebno su promjene evide</w:t>
      </w:r>
      <w:r w:rsidR="00C362F2" w:rsidRPr="00E80B13">
        <w:rPr>
          <w:rFonts w:ascii="Arial" w:hAnsi="Arial" w:cs="Arial"/>
          <w:sz w:val="20"/>
          <w:szCs w:val="20"/>
          <w:lang w:val="sl-SI"/>
        </w:rPr>
        <w:t>ntne u bezgotovinskom plaćanju</w:t>
      </w:r>
      <w:r w:rsidR="004C5CFD" w:rsidRPr="00E80B13">
        <w:rPr>
          <w:rFonts w:ascii="Arial" w:hAnsi="Arial" w:cs="Arial"/>
          <w:sz w:val="20"/>
          <w:szCs w:val="20"/>
          <w:lang w:val="sl-SI"/>
        </w:rPr>
        <w:t>.</w:t>
      </w:r>
    </w:p>
    <w:p w:rsidR="00C362F2" w:rsidRPr="00E80B13" w:rsidRDefault="00C362F2" w:rsidP="0076705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sl-SI"/>
        </w:rPr>
      </w:pPr>
    </w:p>
    <w:p w:rsidR="00FD5BC7" w:rsidRDefault="00FD5BC7" w:rsidP="00D25757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80B13">
        <w:rPr>
          <w:rFonts w:ascii="Arial" w:hAnsi="Arial" w:cs="Arial"/>
          <w:sz w:val="20"/>
          <w:szCs w:val="20"/>
          <w:lang w:val="sl-SI"/>
        </w:rPr>
        <w:lastRenderedPageBreak/>
        <w:t>Benefiti koje donosi primjena elektronske fiskalizacije su smanjenje neformalne ekonomije i nelojalne konkurencije, bolja naplata prihoda, podizanje svijesti građana o važnosti uzimanja računa i povećanje poreske discipline.</w:t>
      </w:r>
    </w:p>
    <w:p w:rsidR="00C91A23" w:rsidRPr="00FD5BC7" w:rsidRDefault="00C91A23" w:rsidP="0076705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sl-SI"/>
        </w:rPr>
      </w:pPr>
    </w:p>
    <w:p w:rsidR="00F270F5" w:rsidRPr="00251780" w:rsidRDefault="00F270F5" w:rsidP="0076705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sl-SI"/>
        </w:rPr>
      </w:pPr>
    </w:p>
    <w:p w:rsidR="00A70A1B" w:rsidRPr="0033405B" w:rsidRDefault="00BA7ECD" w:rsidP="00BD32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5550C">
        <w:rPr>
          <w:rFonts w:ascii="Arial" w:hAnsi="Arial" w:cs="Arial"/>
          <w:b/>
          <w:sz w:val="20"/>
          <w:szCs w:val="20"/>
          <w:lang w:val="sl-SI"/>
        </w:rPr>
        <w:t>Tabela 13:</w:t>
      </w:r>
      <w:r w:rsidR="00A70A1B" w:rsidRPr="0033405B">
        <w:rPr>
          <w:rFonts w:ascii="Arial" w:hAnsi="Arial" w:cs="Arial"/>
          <w:sz w:val="20"/>
          <w:szCs w:val="20"/>
          <w:lang w:val="sl-SI"/>
        </w:rPr>
        <w:t xml:space="preserve"> Izvještaj o registracionim podacima iz Registra obveznika fiskalizacije (ROF) i Registra softvera, proizvođača i održavaoca softvera (RSPOS) zaključno sa 31.12.2024.godine</w:t>
      </w:r>
      <w:r w:rsidRPr="0033405B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A70A1B" w:rsidRPr="0033405B" w:rsidRDefault="00A70A1B" w:rsidP="00BD32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8996" w:type="dxa"/>
        <w:tblInd w:w="-5" w:type="dxa"/>
        <w:tblLook w:val="04A0" w:firstRow="1" w:lastRow="0" w:firstColumn="1" w:lastColumn="0" w:noHBand="0" w:noVBand="1"/>
      </w:tblPr>
      <w:tblGrid>
        <w:gridCol w:w="1716"/>
        <w:gridCol w:w="1320"/>
        <w:gridCol w:w="1187"/>
        <w:gridCol w:w="1158"/>
        <w:gridCol w:w="1295"/>
        <w:gridCol w:w="1250"/>
        <w:gridCol w:w="1228"/>
      </w:tblGrid>
      <w:tr w:rsidR="00482BE3" w:rsidRPr="00A70A1B" w:rsidTr="00482BE3">
        <w:trPr>
          <w:trHeight w:val="95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B" w:rsidRPr="00A70A1B" w:rsidRDefault="00A70A1B" w:rsidP="00A70A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Broj reg. obveznika fiskalizacije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B" w:rsidRPr="00A70A1B" w:rsidRDefault="00A70A1B" w:rsidP="00A70A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Broj poslovnih jedinica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B" w:rsidRPr="00A70A1B" w:rsidRDefault="00A70A1B" w:rsidP="00A70A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Broj važećih ENU uređaja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B" w:rsidRPr="00A70A1B" w:rsidRDefault="00A70A1B" w:rsidP="00A70A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Broj operatera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B" w:rsidRPr="00A70A1B" w:rsidRDefault="00A70A1B" w:rsidP="00A70A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Broj proizvođača softvera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B" w:rsidRPr="00A70A1B" w:rsidRDefault="00A70A1B" w:rsidP="00A70A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Broj održavaoca softvera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B" w:rsidRPr="00A70A1B" w:rsidRDefault="00A70A1B" w:rsidP="00A70A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Broj softvera za fiskalizaciju</w:t>
            </w:r>
          </w:p>
        </w:tc>
      </w:tr>
      <w:tr w:rsidR="00A70A1B" w:rsidRPr="00A70A1B" w:rsidTr="00440848">
        <w:trPr>
          <w:trHeight w:val="3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70A1B" w:rsidRPr="00A70A1B" w:rsidRDefault="00A70A1B" w:rsidP="00A70A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43.166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70A1B" w:rsidRPr="00A70A1B" w:rsidRDefault="00A70A1B" w:rsidP="00A70A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56.327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70A1B" w:rsidRPr="00A70A1B" w:rsidRDefault="00A70A1B" w:rsidP="00A70A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68.766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70A1B" w:rsidRPr="00A70A1B" w:rsidRDefault="00A70A1B" w:rsidP="00A70A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88.233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70A1B" w:rsidRPr="00A70A1B" w:rsidRDefault="00A70A1B" w:rsidP="00A70A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374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70A1B" w:rsidRPr="00A70A1B" w:rsidRDefault="00A70A1B" w:rsidP="00A70A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678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70A1B" w:rsidRPr="00A70A1B" w:rsidRDefault="00A70A1B" w:rsidP="00A70A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392</w:t>
            </w:r>
          </w:p>
        </w:tc>
      </w:tr>
    </w:tbl>
    <w:p w:rsidR="00A70A1B" w:rsidRPr="00352432" w:rsidRDefault="00A70A1B" w:rsidP="00BD32F4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highlight w:val="red"/>
          <w:lang w:eastAsia="sr-Latn-ME"/>
        </w:rPr>
      </w:pPr>
    </w:p>
    <w:p w:rsidR="00624216" w:rsidRPr="00352432" w:rsidRDefault="00624216" w:rsidP="0076705F">
      <w:pPr>
        <w:jc w:val="both"/>
        <w:rPr>
          <w:rFonts w:ascii="Arial" w:hAnsi="Arial" w:cs="Arial"/>
          <w:b/>
          <w:bCs/>
          <w:color w:val="000000"/>
          <w:sz w:val="20"/>
          <w:szCs w:val="20"/>
          <w:highlight w:val="red"/>
          <w:lang w:eastAsia="sr-Latn-ME"/>
        </w:rPr>
      </w:pPr>
    </w:p>
    <w:p w:rsidR="00A70A1B" w:rsidRPr="0033405B" w:rsidRDefault="00BA7ECD" w:rsidP="00A70A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5550C">
        <w:rPr>
          <w:rFonts w:ascii="Arial" w:hAnsi="Arial" w:cs="Arial"/>
          <w:b/>
          <w:sz w:val="20"/>
          <w:szCs w:val="20"/>
          <w:lang w:val="sl-SI"/>
        </w:rPr>
        <w:t>Tabela 14:</w:t>
      </w:r>
      <w:r w:rsidRPr="0033405B">
        <w:rPr>
          <w:rFonts w:ascii="Arial" w:hAnsi="Arial" w:cs="Arial"/>
          <w:sz w:val="20"/>
          <w:szCs w:val="20"/>
          <w:lang w:val="sl-SI"/>
        </w:rPr>
        <w:t xml:space="preserve"> </w:t>
      </w:r>
      <w:r w:rsidR="00A70A1B" w:rsidRPr="0033405B">
        <w:rPr>
          <w:rFonts w:ascii="Arial" w:hAnsi="Arial" w:cs="Arial"/>
          <w:sz w:val="20"/>
          <w:szCs w:val="20"/>
          <w:lang w:val="sl-SI"/>
        </w:rPr>
        <w:t>Statistika prometa za period 01.01.2024.-31.12.2024. godine</w:t>
      </w:r>
    </w:p>
    <w:p w:rsidR="00A70A1B" w:rsidRDefault="00A70A1B" w:rsidP="00A70A1B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highlight w:val="red"/>
          <w:lang w:eastAsia="sr-Latn-ME"/>
        </w:rPr>
      </w:pPr>
    </w:p>
    <w:tbl>
      <w:tblPr>
        <w:tblW w:w="8996" w:type="dxa"/>
        <w:tblInd w:w="-5" w:type="dxa"/>
        <w:tblLook w:val="04A0" w:firstRow="1" w:lastRow="0" w:firstColumn="1" w:lastColumn="0" w:noHBand="0" w:noVBand="1"/>
      </w:tblPr>
      <w:tblGrid>
        <w:gridCol w:w="1648"/>
        <w:gridCol w:w="1395"/>
        <w:gridCol w:w="1865"/>
        <w:gridCol w:w="1981"/>
        <w:gridCol w:w="2107"/>
      </w:tblGrid>
      <w:tr w:rsidR="00D7463F" w:rsidRPr="00A70A1B" w:rsidTr="00D7463F">
        <w:trPr>
          <w:trHeight w:val="314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Način plaćanja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Broj računa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Iznos PDV-a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Iznos bez PDV-a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Iznos s PDV-om</w:t>
            </w:r>
          </w:p>
        </w:tc>
      </w:tr>
      <w:tr w:rsidR="00A70A1B" w:rsidRPr="00A70A1B" w:rsidTr="00D7463F">
        <w:trPr>
          <w:trHeight w:val="62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Bezgotovinsko plaćanje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40.542.822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1.649.412.689,41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11.848.660.467,99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13.498.073.157,40</w:t>
            </w:r>
          </w:p>
        </w:tc>
      </w:tr>
      <w:tr w:rsidR="00A70A1B" w:rsidRPr="00A70A1B" w:rsidTr="00D7463F">
        <w:trPr>
          <w:trHeight w:val="62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Gotovinsko plaćanje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407.432.895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1B" w:rsidRPr="00A70A1B" w:rsidRDefault="00CA7665" w:rsidP="00D7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A70A1B" w:rsidRPr="00A70A1B">
              <w:rPr>
                <w:rFonts w:ascii="Arial" w:hAnsi="Arial" w:cs="Arial"/>
                <w:sz w:val="20"/>
                <w:szCs w:val="20"/>
                <w:lang w:val="sl-SI"/>
              </w:rPr>
              <w:t>55.642.092,16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4.377.516.656,13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sz w:val="20"/>
                <w:szCs w:val="20"/>
                <w:lang w:val="sl-SI"/>
              </w:rPr>
              <w:t>5.133.158.748,29</w:t>
            </w:r>
          </w:p>
        </w:tc>
      </w:tr>
      <w:tr w:rsidR="00D7463F" w:rsidRPr="00A70A1B" w:rsidTr="00D7463F">
        <w:trPr>
          <w:trHeight w:val="314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b/>
                <w:sz w:val="20"/>
                <w:szCs w:val="20"/>
                <w:lang w:val="sl-SI"/>
              </w:rPr>
              <w:t>Ukupno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b/>
                <w:sz w:val="20"/>
                <w:szCs w:val="20"/>
                <w:lang w:val="sl-SI"/>
              </w:rPr>
              <w:t>447.975.717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b/>
                <w:sz w:val="20"/>
                <w:szCs w:val="20"/>
                <w:lang w:val="sl-SI"/>
              </w:rPr>
              <w:t>2.405.054.781,57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b/>
                <w:sz w:val="20"/>
                <w:szCs w:val="20"/>
                <w:lang w:val="sl-SI"/>
              </w:rPr>
              <w:t>16.226.177.124,12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70A1B" w:rsidRPr="00A70A1B" w:rsidRDefault="00A70A1B" w:rsidP="00D7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70A1B">
              <w:rPr>
                <w:rFonts w:ascii="Arial" w:hAnsi="Arial" w:cs="Arial"/>
                <w:b/>
                <w:sz w:val="20"/>
                <w:szCs w:val="20"/>
                <w:lang w:val="sl-SI"/>
              </w:rPr>
              <w:t>18.631.231.905,69</w:t>
            </w:r>
          </w:p>
        </w:tc>
      </w:tr>
    </w:tbl>
    <w:p w:rsidR="00002274" w:rsidRPr="00C91A23" w:rsidRDefault="00002274" w:rsidP="00C91A23">
      <w:pPr>
        <w:jc w:val="both"/>
        <w:rPr>
          <w:rFonts w:ascii="Arial Narrow" w:hAnsi="Arial Narrow" w:cs="Arial"/>
          <w:bCs/>
          <w:lang w:eastAsia="sr-Latn-ME"/>
        </w:rPr>
      </w:pPr>
    </w:p>
    <w:p w:rsidR="00C91A23" w:rsidRPr="00E80B13" w:rsidRDefault="00E02957" w:rsidP="00F83F48">
      <w:pPr>
        <w:pStyle w:val="ListParagraph"/>
        <w:spacing w:line="259" w:lineRule="auto"/>
        <w:ind w:left="0"/>
        <w:jc w:val="both"/>
        <w:rPr>
          <w:rFonts w:ascii="Arial" w:eastAsiaTheme="minorHAnsi" w:hAnsi="Arial" w:cs="Arial"/>
          <w:bCs/>
          <w:sz w:val="20"/>
          <w:szCs w:val="20"/>
          <w:lang w:eastAsia="sr-Latn-ME"/>
        </w:rPr>
      </w:pPr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U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prilog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tome da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su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prednosti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i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značaj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elektronskog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poslovanja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razumjeli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poreski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obveznici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pokazuje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i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stepen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poreskih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prijava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koje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su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podnijete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elektronskim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 xml:space="preserve"> </w:t>
      </w:r>
      <w:proofErr w:type="spellStart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putem</w:t>
      </w:r>
      <w:proofErr w:type="spellEnd"/>
      <w:r w:rsidRPr="00E80B13">
        <w:rPr>
          <w:rFonts w:ascii="Arial" w:eastAsiaTheme="minorHAnsi" w:hAnsi="Arial" w:cs="Arial"/>
          <w:bCs/>
          <w:sz w:val="20"/>
          <w:szCs w:val="20"/>
          <w:lang w:eastAsia="sr-Latn-ME"/>
        </w:rPr>
        <w:t>.</w:t>
      </w:r>
    </w:p>
    <w:p w:rsidR="001D1CC3" w:rsidRPr="00E80B13" w:rsidRDefault="001D1CC3" w:rsidP="00F83F48">
      <w:pPr>
        <w:pStyle w:val="ListParagraph"/>
        <w:spacing w:line="259" w:lineRule="auto"/>
        <w:ind w:left="0"/>
        <w:jc w:val="both"/>
        <w:rPr>
          <w:rFonts w:ascii="Arial" w:eastAsia="Calibri" w:hAnsi="Arial" w:cs="Arial"/>
          <w:sz w:val="20"/>
          <w:szCs w:val="20"/>
          <w:lang w:val="sl-SI"/>
        </w:rPr>
      </w:pPr>
    </w:p>
    <w:p w:rsidR="00F270F5" w:rsidRPr="00E80B13" w:rsidRDefault="00E645BC" w:rsidP="00F83F48">
      <w:pPr>
        <w:tabs>
          <w:tab w:val="center" w:pos="4465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sr-Latn-ME"/>
        </w:rPr>
      </w:pPr>
      <w:proofErr w:type="spellStart"/>
      <w:r w:rsidRPr="00E80B13">
        <w:rPr>
          <w:rFonts w:ascii="Arial" w:hAnsi="Arial" w:cs="Arial"/>
          <w:b/>
          <w:bCs/>
          <w:color w:val="000000"/>
          <w:sz w:val="20"/>
          <w:szCs w:val="20"/>
          <w:lang w:eastAsia="sr-Latn-ME"/>
        </w:rPr>
        <w:t>Tabela</w:t>
      </w:r>
      <w:proofErr w:type="spellEnd"/>
      <w:r w:rsidRPr="00E80B13">
        <w:rPr>
          <w:rFonts w:ascii="Arial" w:hAnsi="Arial" w:cs="Arial"/>
          <w:b/>
          <w:bCs/>
          <w:color w:val="000000"/>
          <w:sz w:val="20"/>
          <w:szCs w:val="20"/>
          <w:lang w:eastAsia="sr-Latn-ME"/>
        </w:rPr>
        <w:t xml:space="preserve"> 15: </w:t>
      </w:r>
      <w:proofErr w:type="spellStart"/>
      <w:r w:rsidR="00F270F5" w:rsidRPr="00E80B13">
        <w:rPr>
          <w:rFonts w:ascii="Arial" w:hAnsi="Arial" w:cs="Arial"/>
          <w:bCs/>
          <w:color w:val="000000"/>
          <w:sz w:val="20"/>
          <w:szCs w:val="20"/>
          <w:lang w:eastAsia="sr-Latn-ME"/>
        </w:rPr>
        <w:t>Statistika</w:t>
      </w:r>
      <w:proofErr w:type="spellEnd"/>
      <w:r w:rsidR="00F270F5" w:rsidRPr="00E80B13">
        <w:rPr>
          <w:rFonts w:ascii="Arial" w:hAnsi="Arial" w:cs="Arial"/>
          <w:bCs/>
          <w:color w:val="000000"/>
          <w:sz w:val="20"/>
          <w:szCs w:val="20"/>
          <w:lang w:eastAsia="sr-Latn-ME"/>
        </w:rPr>
        <w:t xml:space="preserve"> </w:t>
      </w:r>
      <w:proofErr w:type="spellStart"/>
      <w:r w:rsidR="00F270F5" w:rsidRPr="00E80B13">
        <w:rPr>
          <w:rFonts w:ascii="Arial" w:hAnsi="Arial" w:cs="Arial"/>
          <w:bCs/>
          <w:color w:val="000000"/>
          <w:sz w:val="20"/>
          <w:szCs w:val="20"/>
          <w:lang w:eastAsia="sr-Latn-ME"/>
        </w:rPr>
        <w:t>podnijetih</w:t>
      </w:r>
      <w:proofErr w:type="spellEnd"/>
      <w:r w:rsidR="00F270F5" w:rsidRPr="00E80B13">
        <w:rPr>
          <w:rFonts w:ascii="Arial" w:hAnsi="Arial" w:cs="Arial"/>
          <w:bCs/>
          <w:color w:val="000000"/>
          <w:sz w:val="20"/>
          <w:szCs w:val="20"/>
          <w:lang w:eastAsia="sr-Latn-ME"/>
        </w:rPr>
        <w:t xml:space="preserve"> </w:t>
      </w:r>
      <w:proofErr w:type="spellStart"/>
      <w:r w:rsidR="00F270F5" w:rsidRPr="00E80B13">
        <w:rPr>
          <w:rFonts w:ascii="Arial" w:hAnsi="Arial" w:cs="Arial"/>
          <w:bCs/>
          <w:color w:val="000000"/>
          <w:sz w:val="20"/>
          <w:szCs w:val="20"/>
          <w:lang w:eastAsia="sr-Latn-ME"/>
        </w:rPr>
        <w:t>elektronskih</w:t>
      </w:r>
      <w:proofErr w:type="spellEnd"/>
      <w:r w:rsidR="00F270F5" w:rsidRPr="00E80B13">
        <w:rPr>
          <w:rFonts w:ascii="Arial" w:hAnsi="Arial" w:cs="Arial"/>
          <w:bCs/>
          <w:color w:val="000000"/>
          <w:sz w:val="20"/>
          <w:szCs w:val="20"/>
          <w:lang w:eastAsia="sr-Latn-ME"/>
        </w:rPr>
        <w:t xml:space="preserve"> </w:t>
      </w:r>
      <w:proofErr w:type="spellStart"/>
      <w:r w:rsidR="00F270F5" w:rsidRPr="00E80B13">
        <w:rPr>
          <w:rFonts w:ascii="Arial" w:hAnsi="Arial" w:cs="Arial"/>
          <w:bCs/>
          <w:color w:val="000000"/>
          <w:sz w:val="20"/>
          <w:szCs w:val="20"/>
          <w:lang w:eastAsia="sr-Latn-ME"/>
        </w:rPr>
        <w:t>prijava</w:t>
      </w:r>
      <w:proofErr w:type="spellEnd"/>
      <w:r w:rsidR="00F33A90" w:rsidRPr="00E80B13">
        <w:rPr>
          <w:rFonts w:ascii="Arial" w:hAnsi="Arial" w:cs="Arial"/>
          <w:bCs/>
          <w:color w:val="000000"/>
          <w:sz w:val="20"/>
          <w:szCs w:val="20"/>
          <w:lang w:eastAsia="sr-Latn-ME"/>
        </w:rPr>
        <w:t xml:space="preserve"> </w:t>
      </w:r>
      <w:proofErr w:type="spellStart"/>
      <w:r w:rsidR="006C510E" w:rsidRPr="00E80B13">
        <w:rPr>
          <w:rFonts w:ascii="Arial" w:hAnsi="Arial" w:cs="Arial"/>
          <w:bCs/>
          <w:color w:val="000000"/>
          <w:sz w:val="20"/>
          <w:szCs w:val="20"/>
          <w:lang w:eastAsia="sr-Latn-ME"/>
        </w:rPr>
        <w:t>za</w:t>
      </w:r>
      <w:proofErr w:type="spellEnd"/>
      <w:r w:rsidR="006C510E" w:rsidRPr="00E80B13">
        <w:rPr>
          <w:rFonts w:ascii="Arial" w:hAnsi="Arial" w:cs="Arial"/>
          <w:bCs/>
          <w:color w:val="000000"/>
          <w:sz w:val="20"/>
          <w:szCs w:val="20"/>
          <w:lang w:eastAsia="sr-Latn-ME"/>
        </w:rPr>
        <w:t xml:space="preserve"> period </w:t>
      </w:r>
      <w:proofErr w:type="spellStart"/>
      <w:r w:rsidR="006C510E" w:rsidRPr="00E80B13">
        <w:rPr>
          <w:rFonts w:ascii="Arial" w:hAnsi="Arial" w:cs="Arial"/>
          <w:bCs/>
          <w:color w:val="000000"/>
          <w:sz w:val="20"/>
          <w:szCs w:val="20"/>
          <w:lang w:eastAsia="sr-Latn-ME"/>
        </w:rPr>
        <w:t>od</w:t>
      </w:r>
      <w:proofErr w:type="spellEnd"/>
      <w:r w:rsidR="006C510E" w:rsidRPr="00E80B13">
        <w:rPr>
          <w:rFonts w:ascii="Arial" w:hAnsi="Arial" w:cs="Arial"/>
          <w:bCs/>
          <w:color w:val="000000"/>
          <w:sz w:val="20"/>
          <w:szCs w:val="20"/>
          <w:lang w:eastAsia="sr-Latn-ME"/>
        </w:rPr>
        <w:t xml:space="preserve"> 01.01.-31.</w:t>
      </w:r>
      <w:proofErr w:type="gramStart"/>
      <w:r w:rsidR="006C510E" w:rsidRPr="00E80B13">
        <w:rPr>
          <w:rFonts w:ascii="Arial" w:hAnsi="Arial" w:cs="Arial"/>
          <w:bCs/>
          <w:color w:val="000000"/>
          <w:sz w:val="20"/>
          <w:szCs w:val="20"/>
          <w:lang w:eastAsia="sr-Latn-ME"/>
        </w:rPr>
        <w:t>12</w:t>
      </w:r>
      <w:r w:rsidR="00313CC1" w:rsidRPr="00E80B13">
        <w:rPr>
          <w:rFonts w:ascii="Arial" w:hAnsi="Arial" w:cs="Arial"/>
          <w:bCs/>
          <w:color w:val="000000"/>
          <w:sz w:val="20"/>
          <w:szCs w:val="20"/>
          <w:lang w:eastAsia="sr-Latn-ME"/>
        </w:rPr>
        <w:t>.2024.</w:t>
      </w:r>
      <w:r w:rsidR="00186E88">
        <w:rPr>
          <w:rFonts w:ascii="Arial" w:hAnsi="Arial" w:cs="Arial"/>
          <w:bCs/>
          <w:color w:val="000000"/>
          <w:sz w:val="20"/>
          <w:szCs w:val="20"/>
          <w:lang w:eastAsia="sr-Latn-ME"/>
        </w:rPr>
        <w:t>godine</w:t>
      </w:r>
      <w:proofErr w:type="gramEnd"/>
    </w:p>
    <w:p w:rsidR="00E22227" w:rsidRPr="00E80B13" w:rsidRDefault="00E22227" w:rsidP="00F83F48">
      <w:pPr>
        <w:tabs>
          <w:tab w:val="center" w:pos="4465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sr-Latn-ME"/>
        </w:rPr>
      </w:pPr>
    </w:p>
    <w:tbl>
      <w:tblPr>
        <w:tblW w:w="5740" w:type="dxa"/>
        <w:tblInd w:w="-5" w:type="dxa"/>
        <w:tblLook w:val="04A0" w:firstRow="1" w:lastRow="0" w:firstColumn="1" w:lastColumn="0" w:noHBand="0" w:noVBand="1"/>
      </w:tblPr>
      <w:tblGrid>
        <w:gridCol w:w="1700"/>
        <w:gridCol w:w="1300"/>
        <w:gridCol w:w="1340"/>
        <w:gridCol w:w="1400"/>
      </w:tblGrid>
      <w:tr w:rsidR="008F29E1" w:rsidRPr="00E80B13" w:rsidTr="008F29E1">
        <w:trPr>
          <w:trHeight w:val="9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F29E1" w:rsidRPr="00E80B13" w:rsidRDefault="008F29E1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Elektronske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prijave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F29E1" w:rsidRPr="00E80B13" w:rsidRDefault="008F29E1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Ukupan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podnijetih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prijava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F29E1" w:rsidRPr="00E80B13" w:rsidRDefault="008F29E1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prijava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podnijetih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elektronskim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putem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F29E1" w:rsidRPr="00E80B13" w:rsidRDefault="008F29E1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sz w:val="20"/>
                <w:szCs w:val="20"/>
              </w:rPr>
              <w:t xml:space="preserve">%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prijava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podnijetih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elektronskim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putem</w:t>
            </w:r>
            <w:proofErr w:type="spellEnd"/>
          </w:p>
        </w:tc>
      </w:tr>
      <w:tr w:rsidR="008F29E1" w:rsidRPr="00E80B13" w:rsidTr="008F29E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E1" w:rsidRPr="00E80B13" w:rsidRDefault="008F29E1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sz w:val="20"/>
                <w:szCs w:val="20"/>
              </w:rPr>
              <w:t>PDV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6C510E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324.313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6C510E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323.286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6C510E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99,68</w:t>
            </w:r>
          </w:p>
        </w:tc>
      </w:tr>
      <w:tr w:rsidR="008F29E1" w:rsidRPr="00E80B13" w:rsidTr="008F29E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E1" w:rsidRPr="00E80B13" w:rsidRDefault="008F29E1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sz w:val="20"/>
                <w:szCs w:val="20"/>
              </w:rPr>
              <w:t xml:space="preserve">PD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prijava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6C510E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41.817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6C510E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41.613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6C510E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99,51</w:t>
            </w:r>
          </w:p>
        </w:tc>
      </w:tr>
      <w:tr w:rsidR="008F29E1" w:rsidRPr="00E80B13" w:rsidTr="008F29E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E1" w:rsidRPr="00E80B13" w:rsidRDefault="008F29E1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Finansijski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iskazi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6C510E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38.783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6C510E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38.783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8F29E1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8F29E1" w:rsidRPr="00E80B13" w:rsidTr="008F29E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E1" w:rsidRPr="00E80B13" w:rsidRDefault="008F29E1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sz w:val="20"/>
                <w:szCs w:val="20"/>
              </w:rPr>
              <w:t>IOPPD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E82C6B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531.625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E82C6B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530.668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8F29E1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99,</w:t>
            </w:r>
            <w:r w:rsidR="00D1751F"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82</w:t>
            </w:r>
          </w:p>
        </w:tc>
      </w:tr>
      <w:tr w:rsidR="008F29E1" w:rsidRPr="00E80B13" w:rsidTr="008F29E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E1" w:rsidRPr="00E80B13" w:rsidRDefault="008F29E1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sz w:val="20"/>
                <w:szCs w:val="20"/>
              </w:rPr>
              <w:t>GPPFL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E82C6B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11.842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E82C6B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2.642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E82C6B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22,31</w:t>
            </w:r>
          </w:p>
        </w:tc>
      </w:tr>
      <w:tr w:rsidR="008F29E1" w:rsidRPr="00E80B13" w:rsidTr="008F29E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E1" w:rsidRPr="00E80B13" w:rsidRDefault="008F29E1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sz w:val="20"/>
                <w:szCs w:val="20"/>
              </w:rPr>
              <w:t>IOPPO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E82C6B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E82C6B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E82C6B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95</w:t>
            </w:r>
          </w:p>
        </w:tc>
      </w:tr>
      <w:tr w:rsidR="008F29E1" w:rsidRPr="00E80B13" w:rsidTr="008F29E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E1" w:rsidRPr="00E80B13" w:rsidRDefault="008F29E1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Revizorski</w:t>
            </w:r>
            <w:proofErr w:type="spellEnd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0B13">
              <w:rPr>
                <w:rFonts w:ascii="Arial" w:eastAsia="Times New Roman" w:hAnsi="Arial" w:cs="Arial"/>
                <w:sz w:val="20"/>
                <w:szCs w:val="20"/>
              </w:rPr>
              <w:t>izvještaji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E82C6B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3</w:t>
            </w:r>
            <w:r w:rsidR="00D1751F"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E82C6B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3</w:t>
            </w:r>
            <w:r w:rsidR="00D1751F"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8F29E1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8F29E1" w:rsidRPr="00E80B13" w:rsidTr="008F29E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E1" w:rsidRPr="00E80B13" w:rsidRDefault="008F29E1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sz w:val="20"/>
                <w:szCs w:val="20"/>
              </w:rPr>
              <w:t>IPPO-Z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E82C6B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E82C6B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E1" w:rsidRPr="00E80B13" w:rsidRDefault="008F29E1" w:rsidP="00F83F4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80B1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100,00</w:t>
            </w:r>
          </w:p>
        </w:tc>
      </w:tr>
    </w:tbl>
    <w:p w:rsidR="00580E7B" w:rsidRPr="00E80B13" w:rsidRDefault="00580E7B" w:rsidP="00F83F4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80E7B" w:rsidRPr="00E80B13" w:rsidRDefault="00580E7B" w:rsidP="00F83F48">
      <w:pPr>
        <w:pStyle w:val="NoSpacing"/>
        <w:ind w:left="-284" w:firstLine="284"/>
        <w:jc w:val="both"/>
      </w:pPr>
    </w:p>
    <w:p w:rsidR="00624216" w:rsidRPr="00E80B13" w:rsidRDefault="00624216" w:rsidP="0076705F">
      <w:pPr>
        <w:pStyle w:val="NoSpacing"/>
        <w:ind w:left="-284" w:firstLine="284"/>
        <w:jc w:val="both"/>
      </w:pPr>
    </w:p>
    <w:p w:rsidR="00C11557" w:rsidRDefault="00C11557" w:rsidP="0076705F">
      <w:pPr>
        <w:pStyle w:val="NoSpacing"/>
        <w:ind w:left="-284" w:firstLine="284"/>
        <w:jc w:val="both"/>
      </w:pPr>
    </w:p>
    <w:p w:rsidR="005E2A70" w:rsidRPr="00E80B13" w:rsidRDefault="005E2A70" w:rsidP="0076705F">
      <w:pPr>
        <w:pStyle w:val="NoSpacing"/>
        <w:ind w:left="-284" w:firstLine="284"/>
        <w:jc w:val="both"/>
      </w:pPr>
    </w:p>
    <w:p w:rsidR="00F270F5" w:rsidRPr="00F0174F" w:rsidRDefault="00F270F5" w:rsidP="00F0174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i/>
          <w:sz w:val="24"/>
          <w:szCs w:val="24"/>
          <w:lang w:val="sl-SI"/>
        </w:rPr>
      </w:pPr>
      <w:r w:rsidRPr="00F0174F">
        <w:rPr>
          <w:rFonts w:ascii="Arial Narrow" w:hAnsi="Arial Narrow" w:cs="Arial"/>
          <w:b/>
          <w:i/>
          <w:sz w:val="24"/>
          <w:szCs w:val="24"/>
          <w:lang w:val="sl-SI"/>
        </w:rPr>
        <w:lastRenderedPageBreak/>
        <w:t>Zaključak</w:t>
      </w:r>
    </w:p>
    <w:p w:rsidR="00F270F5" w:rsidRPr="00EF1B93" w:rsidRDefault="00F270F5" w:rsidP="0076705F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F270F5" w:rsidRPr="00FD2E23" w:rsidRDefault="006669F2" w:rsidP="0076705F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  <w:lang w:val="sl-SI"/>
        </w:rPr>
      </w:pPr>
      <w:r w:rsidRPr="00FD2E23">
        <w:rPr>
          <w:rFonts w:ascii="Arial" w:hAnsi="Arial" w:cs="Arial"/>
          <w:sz w:val="20"/>
          <w:szCs w:val="20"/>
          <w:lang w:val="sl-SI"/>
        </w:rPr>
        <w:t xml:space="preserve">Izvještaj o radu Poreske uprave za </w:t>
      </w:r>
      <w:r w:rsidR="00F33A90" w:rsidRPr="00FD2E23">
        <w:rPr>
          <w:rFonts w:ascii="Arial" w:hAnsi="Arial" w:cs="Arial"/>
          <w:sz w:val="20"/>
          <w:szCs w:val="20"/>
          <w:lang w:val="sl-SI"/>
        </w:rPr>
        <w:t>period 01.01.-3</w:t>
      </w:r>
      <w:r w:rsidR="00EE60A3">
        <w:rPr>
          <w:rFonts w:ascii="Arial" w:hAnsi="Arial" w:cs="Arial"/>
          <w:sz w:val="20"/>
          <w:szCs w:val="20"/>
          <w:lang w:val="sl-SI"/>
        </w:rPr>
        <w:t>1.12</w:t>
      </w:r>
      <w:r w:rsidR="00F33A90" w:rsidRPr="00FD2E23">
        <w:rPr>
          <w:rFonts w:ascii="Arial" w:hAnsi="Arial" w:cs="Arial"/>
          <w:sz w:val="20"/>
          <w:szCs w:val="20"/>
          <w:lang w:val="sl-SI"/>
        </w:rPr>
        <w:t>.2024.</w:t>
      </w:r>
      <w:r w:rsidRPr="00FD2E23">
        <w:rPr>
          <w:rFonts w:ascii="Arial" w:hAnsi="Arial" w:cs="Arial"/>
          <w:sz w:val="20"/>
          <w:szCs w:val="20"/>
          <w:lang w:val="sl-SI"/>
        </w:rPr>
        <w:t>godine predstavlja srž najvažnijih aktivnosti u okviru njene nadležnosti.</w:t>
      </w:r>
    </w:p>
    <w:p w:rsidR="00045962" w:rsidRPr="00FD2E23" w:rsidRDefault="00045962" w:rsidP="0076705F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  <w:lang w:val="sl-SI"/>
        </w:rPr>
      </w:pPr>
      <w:r w:rsidRPr="00FD2E23">
        <w:rPr>
          <w:rFonts w:ascii="Arial" w:hAnsi="Arial" w:cs="Arial"/>
          <w:sz w:val="20"/>
          <w:szCs w:val="20"/>
          <w:lang w:val="sl-SI"/>
        </w:rPr>
        <w:t>U analiziranom periodu Poreska uprava je:</w:t>
      </w:r>
    </w:p>
    <w:p w:rsidR="00F270F5" w:rsidRPr="00FD2E23" w:rsidRDefault="00F270F5" w:rsidP="005D3C64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FD2E23">
        <w:rPr>
          <w:rFonts w:ascii="Arial" w:hAnsi="Arial" w:cs="Arial"/>
          <w:sz w:val="20"/>
          <w:szCs w:val="20"/>
          <w:lang w:val="sl-SI"/>
        </w:rPr>
        <w:t>postala samostalan organ,</w:t>
      </w:r>
    </w:p>
    <w:p w:rsidR="00F270F5" w:rsidRPr="00FD2E23" w:rsidRDefault="00F33A90" w:rsidP="005D3C64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FD2E23">
        <w:rPr>
          <w:rFonts w:ascii="Arial" w:hAnsi="Arial" w:cs="Arial"/>
          <w:sz w:val="20"/>
          <w:szCs w:val="20"/>
          <w:lang w:val="sl-SI"/>
        </w:rPr>
        <w:t>donijela i usvojila</w:t>
      </w:r>
      <w:r w:rsidR="00F270F5" w:rsidRPr="00FD2E23">
        <w:rPr>
          <w:rFonts w:ascii="Arial" w:hAnsi="Arial" w:cs="Arial"/>
          <w:sz w:val="20"/>
          <w:szCs w:val="20"/>
          <w:lang w:val="sl-SI"/>
        </w:rPr>
        <w:t xml:space="preserve"> Plan naplate bruto prihoda za 2024.godinu</w:t>
      </w:r>
    </w:p>
    <w:p w:rsidR="006669F2" w:rsidRDefault="00F33A90" w:rsidP="005D3C64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FD2E23">
        <w:rPr>
          <w:rFonts w:ascii="Arial" w:hAnsi="Arial" w:cs="Arial"/>
          <w:sz w:val="20"/>
          <w:szCs w:val="20"/>
          <w:lang w:val="sl-SI"/>
        </w:rPr>
        <w:t>usvojila</w:t>
      </w:r>
      <w:r w:rsidR="00045962" w:rsidRPr="00FD2E23">
        <w:rPr>
          <w:rFonts w:ascii="Arial" w:hAnsi="Arial" w:cs="Arial"/>
          <w:sz w:val="20"/>
          <w:szCs w:val="20"/>
          <w:lang w:val="sl-SI"/>
        </w:rPr>
        <w:t xml:space="preserve"> </w:t>
      </w:r>
      <w:r w:rsidR="006669F2" w:rsidRPr="00FD2E23">
        <w:rPr>
          <w:rFonts w:ascii="Arial" w:hAnsi="Arial" w:cs="Arial"/>
          <w:sz w:val="20"/>
          <w:szCs w:val="20"/>
          <w:lang w:val="sl-SI"/>
        </w:rPr>
        <w:t>Poslovn</w:t>
      </w:r>
      <w:r w:rsidRPr="00FD2E23">
        <w:rPr>
          <w:rFonts w:ascii="Arial" w:hAnsi="Arial" w:cs="Arial"/>
          <w:sz w:val="20"/>
          <w:szCs w:val="20"/>
          <w:lang w:val="sl-SI"/>
        </w:rPr>
        <w:t>u strategiju</w:t>
      </w:r>
      <w:r w:rsidR="006669F2" w:rsidRPr="00FD2E23">
        <w:rPr>
          <w:rFonts w:ascii="Arial" w:hAnsi="Arial" w:cs="Arial"/>
          <w:sz w:val="20"/>
          <w:szCs w:val="20"/>
          <w:lang w:val="sl-SI"/>
        </w:rPr>
        <w:t xml:space="preserve"> za period </w:t>
      </w:r>
      <w:r w:rsidR="00045962" w:rsidRPr="00FD2E23">
        <w:rPr>
          <w:rFonts w:ascii="Arial" w:hAnsi="Arial" w:cs="Arial"/>
          <w:sz w:val="20"/>
          <w:szCs w:val="20"/>
          <w:lang w:val="sl-SI"/>
        </w:rPr>
        <w:t>2024-2028</w:t>
      </w:r>
      <w:r w:rsidR="006669F2" w:rsidRPr="00FD2E23">
        <w:rPr>
          <w:rFonts w:ascii="Arial" w:hAnsi="Arial" w:cs="Arial"/>
          <w:sz w:val="20"/>
          <w:szCs w:val="20"/>
          <w:lang w:val="sl-SI"/>
        </w:rPr>
        <w:t>. kao krovni strateški dokument</w:t>
      </w:r>
    </w:p>
    <w:p w:rsidR="008F2979" w:rsidRPr="00F23E12" w:rsidRDefault="008F2979" w:rsidP="005D3C64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6F1367">
        <w:rPr>
          <w:rFonts w:ascii="Arial" w:hAnsi="Arial" w:cs="Arial"/>
          <w:sz w:val="20"/>
          <w:szCs w:val="20"/>
          <w:lang w:val="sl-SI"/>
        </w:rPr>
        <w:t>usvojila Programe za unapređenje poštovanja poreskih obaveza za 2024</w:t>
      </w:r>
      <w:r w:rsidR="00F23E12" w:rsidRPr="006F1367">
        <w:rPr>
          <w:rFonts w:ascii="Arial" w:hAnsi="Arial" w:cs="Arial"/>
          <w:sz w:val="20"/>
          <w:szCs w:val="20"/>
          <w:lang w:val="sl-SI"/>
        </w:rPr>
        <w:t>.godinu</w:t>
      </w:r>
      <w:r w:rsidRPr="006F1367">
        <w:rPr>
          <w:rFonts w:ascii="Arial" w:hAnsi="Arial" w:cs="Arial"/>
          <w:sz w:val="20"/>
          <w:szCs w:val="20"/>
          <w:lang w:val="sl-SI"/>
        </w:rPr>
        <w:t>, gdje su detaljno razvijene strategije ublažavanja identifikovanih rizika i povećanja poštovanja poreskih propisa</w:t>
      </w:r>
    </w:p>
    <w:p w:rsidR="006669F2" w:rsidRPr="00FD2E23" w:rsidRDefault="006669F2" w:rsidP="005D3C64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FD2E23">
        <w:rPr>
          <w:rFonts w:ascii="Arial" w:hAnsi="Arial" w:cs="Arial"/>
          <w:sz w:val="20"/>
          <w:szCs w:val="20"/>
          <w:lang w:val="sl-SI"/>
        </w:rPr>
        <w:t xml:space="preserve">nastavila sa sprovođenjem </w:t>
      </w:r>
      <w:r w:rsidR="0068760A">
        <w:rPr>
          <w:rFonts w:ascii="Arial" w:hAnsi="Arial" w:cs="Arial"/>
          <w:sz w:val="20"/>
          <w:szCs w:val="20"/>
          <w:lang w:val="sl-SI"/>
        </w:rPr>
        <w:t xml:space="preserve">projekta </w:t>
      </w:r>
      <w:r w:rsidRPr="00FD2E23">
        <w:rPr>
          <w:rFonts w:ascii="Arial" w:hAnsi="Arial" w:cs="Arial"/>
          <w:sz w:val="20"/>
          <w:szCs w:val="20"/>
          <w:lang w:val="sl-SI"/>
        </w:rPr>
        <w:t xml:space="preserve">Reforma poreske administracije </w:t>
      </w:r>
    </w:p>
    <w:p w:rsidR="00212475" w:rsidRPr="00FD2E23" w:rsidRDefault="001E3E76" w:rsidP="005D3C64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u</w:t>
      </w:r>
      <w:r w:rsidR="00212475" w:rsidRPr="00FD2E23">
        <w:rPr>
          <w:rFonts w:ascii="Arial" w:eastAsia="Calibri" w:hAnsi="Arial" w:cs="Arial"/>
          <w:sz w:val="20"/>
          <w:szCs w:val="20"/>
          <w:lang w:val="sl-SI"/>
        </w:rPr>
        <w:t xml:space="preserve"> okviru priprema za ljetnju turističku sezonu realizovala edukativnu kampanju “Poreski karavan</w:t>
      </w:r>
      <w:r w:rsidR="00212475" w:rsidRPr="00FD2E23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212475" w:rsidRPr="00FD2E23" w:rsidRDefault="001E3E76" w:rsidP="005D3C64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i</w:t>
      </w:r>
      <w:r w:rsidR="00212475" w:rsidRPr="00FD2E23">
        <w:rPr>
          <w:rFonts w:ascii="Arial" w:eastAsia="Calibri" w:hAnsi="Arial" w:cs="Arial"/>
          <w:sz w:val="20"/>
          <w:szCs w:val="20"/>
          <w:lang w:val="sl-SI"/>
        </w:rPr>
        <w:t>zradila Informator za ljetnju turističku sezonu</w:t>
      </w:r>
    </w:p>
    <w:p w:rsidR="00F33A90" w:rsidRPr="00FD2E23" w:rsidRDefault="006669F2" w:rsidP="005D3C64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FD2E23">
        <w:rPr>
          <w:rFonts w:ascii="Arial" w:hAnsi="Arial" w:cs="Arial"/>
          <w:sz w:val="20"/>
          <w:szCs w:val="20"/>
          <w:lang w:val="sl-SI"/>
        </w:rPr>
        <w:t>realizovala konsultantske misije MMF-a</w:t>
      </w:r>
    </w:p>
    <w:p w:rsidR="006669F2" w:rsidRPr="00321FE1" w:rsidRDefault="006669F2" w:rsidP="005D3C64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321FE1">
        <w:rPr>
          <w:rFonts w:ascii="Arial" w:hAnsi="Arial" w:cs="Arial"/>
          <w:sz w:val="20"/>
          <w:szCs w:val="20"/>
          <w:lang w:val="sl-SI"/>
        </w:rPr>
        <w:t>ostvarila</w:t>
      </w:r>
      <w:r w:rsidR="00D35F22" w:rsidRPr="00321FE1">
        <w:rPr>
          <w:rFonts w:ascii="Arial" w:hAnsi="Arial" w:cs="Arial"/>
          <w:sz w:val="20"/>
          <w:szCs w:val="20"/>
          <w:lang w:val="sl-SI"/>
        </w:rPr>
        <w:t xml:space="preserve"> i </w:t>
      </w:r>
      <w:r w:rsidRPr="00321FE1">
        <w:rPr>
          <w:rFonts w:ascii="Arial" w:hAnsi="Arial" w:cs="Arial"/>
          <w:sz w:val="20"/>
          <w:szCs w:val="20"/>
          <w:lang w:val="sl-SI"/>
        </w:rPr>
        <w:t>premašila Plan naplate prihoda koje administrira,</w:t>
      </w:r>
    </w:p>
    <w:p w:rsidR="006669F2" w:rsidRPr="00FD2E23" w:rsidRDefault="006669F2" w:rsidP="005D3C64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FD2E23">
        <w:rPr>
          <w:rFonts w:ascii="Arial" w:hAnsi="Arial" w:cs="Arial"/>
          <w:sz w:val="20"/>
          <w:szCs w:val="20"/>
          <w:lang w:val="sl-SI"/>
        </w:rPr>
        <w:t>nastavila kampanju borbe protiv sive ekonomije</w:t>
      </w:r>
    </w:p>
    <w:p w:rsidR="00F270F5" w:rsidRPr="00FD2E23" w:rsidRDefault="00F270F5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F270F5" w:rsidRPr="00EF1B93" w:rsidRDefault="00F270F5" w:rsidP="00F33A9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FD2E23">
        <w:rPr>
          <w:rFonts w:ascii="Arial" w:hAnsi="Arial" w:cs="Arial"/>
          <w:sz w:val="20"/>
          <w:szCs w:val="20"/>
          <w:lang w:val="sl-SI"/>
        </w:rPr>
        <w:t>Sumirajući rezultate poslovanja za</w:t>
      </w:r>
      <w:r w:rsidR="00E059ED" w:rsidRPr="00FD2E23">
        <w:rPr>
          <w:rFonts w:ascii="Arial" w:hAnsi="Arial" w:cs="Arial"/>
          <w:sz w:val="20"/>
          <w:szCs w:val="20"/>
          <w:lang w:val="sl-SI"/>
        </w:rPr>
        <w:t xml:space="preserve"> </w:t>
      </w:r>
      <w:r w:rsidRPr="00FD2E23">
        <w:rPr>
          <w:rFonts w:ascii="Arial" w:hAnsi="Arial" w:cs="Arial"/>
          <w:sz w:val="20"/>
          <w:szCs w:val="20"/>
          <w:lang w:val="sl-SI"/>
        </w:rPr>
        <w:t>2024.godine, evidentno je da je Poreska uprava nastavila realizaciju programskih zadataka</w:t>
      </w:r>
      <w:r w:rsidR="00F33A90" w:rsidRPr="00FD2E23">
        <w:rPr>
          <w:rFonts w:ascii="Arial" w:hAnsi="Arial" w:cs="Arial"/>
          <w:sz w:val="20"/>
          <w:szCs w:val="20"/>
          <w:lang w:val="sl-SI"/>
        </w:rPr>
        <w:t xml:space="preserve"> i da spremna stremi ka ostvarivanju još boljih poslovnih rezultata</w:t>
      </w:r>
      <w:r w:rsidRPr="00FD2E23">
        <w:rPr>
          <w:rFonts w:ascii="Arial" w:hAnsi="Arial" w:cs="Arial"/>
          <w:sz w:val="20"/>
          <w:szCs w:val="20"/>
          <w:lang w:val="sl-SI"/>
        </w:rPr>
        <w:t>.</w:t>
      </w:r>
      <w:r w:rsidRPr="00EF1B93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F270F5" w:rsidRDefault="00F270F5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F270F5" w:rsidRDefault="00F270F5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CE553B" w:rsidRDefault="00CE553B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8467ED" w:rsidRPr="00EF1B93" w:rsidRDefault="00C264A1" w:rsidP="00AD1A95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 w:rsidR="00F11860">
        <w:rPr>
          <w:rFonts w:ascii="Arial" w:hAnsi="Arial" w:cs="Arial"/>
          <w:sz w:val="20"/>
          <w:szCs w:val="20"/>
          <w:lang w:val="sl-SI"/>
        </w:rPr>
        <w:tab/>
      </w:r>
    </w:p>
    <w:p w:rsidR="00C264A1" w:rsidRDefault="00C264A1" w:rsidP="0076705F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096816" w:rsidRDefault="00096816" w:rsidP="00096816">
      <w:pPr>
        <w:tabs>
          <w:tab w:val="left" w:pos="7005"/>
        </w:tabs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  <w:t xml:space="preserve">Sava Laketić </w:t>
      </w:r>
      <w:bookmarkStart w:id="1" w:name="_GoBack"/>
      <w:bookmarkEnd w:id="1"/>
    </w:p>
    <w:p w:rsidR="00096816" w:rsidRDefault="00096816" w:rsidP="00096816">
      <w:pPr>
        <w:tabs>
          <w:tab w:val="left" w:pos="7020"/>
        </w:tabs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  <w:t>v.d. direktor</w:t>
      </w:r>
    </w:p>
    <w:p w:rsidR="00096816" w:rsidRDefault="00096816" w:rsidP="0076705F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096816" w:rsidRDefault="00096816" w:rsidP="0076705F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3F104D" w:rsidRPr="003F0F04" w:rsidRDefault="003F104D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C264A1" w:rsidRPr="003F0F04" w:rsidRDefault="008467ED" w:rsidP="007670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C264A1">
        <w:rPr>
          <w:rFonts w:ascii="Arial" w:hAnsi="Arial" w:cs="Arial"/>
          <w:sz w:val="20"/>
          <w:szCs w:val="20"/>
          <w:lang w:val="sl-SI"/>
        </w:rPr>
        <w:t>Obradila: Aleksandra Škara, samostalna savjetnica I</w:t>
      </w:r>
      <w:r w:rsidR="00096816">
        <w:rPr>
          <w:rFonts w:ascii="Arial" w:hAnsi="Arial" w:cs="Arial"/>
          <w:sz w:val="20"/>
          <w:szCs w:val="20"/>
          <w:lang w:val="sl-SI"/>
        </w:rPr>
        <w:tab/>
      </w:r>
      <w:r w:rsidR="00096816">
        <w:rPr>
          <w:rFonts w:ascii="Arial" w:hAnsi="Arial" w:cs="Arial"/>
          <w:sz w:val="20"/>
          <w:szCs w:val="20"/>
          <w:lang w:val="sl-SI"/>
        </w:rPr>
        <w:tab/>
        <w:t xml:space="preserve">              </w:t>
      </w:r>
    </w:p>
    <w:p w:rsidR="00F270F5" w:rsidRPr="00DC3E70" w:rsidRDefault="008467ED" w:rsidP="00DC3E7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C264A1">
        <w:rPr>
          <w:rFonts w:ascii="Arial" w:hAnsi="Arial" w:cs="Arial"/>
          <w:sz w:val="20"/>
          <w:szCs w:val="20"/>
          <w:lang w:val="sl-SI"/>
        </w:rPr>
        <w:t>Sagl</w:t>
      </w:r>
      <w:r w:rsidR="00DC3E70">
        <w:rPr>
          <w:rFonts w:ascii="Arial" w:hAnsi="Arial" w:cs="Arial"/>
          <w:sz w:val="20"/>
          <w:szCs w:val="20"/>
          <w:lang w:val="sl-SI"/>
        </w:rPr>
        <w:t>asna: Dušanka Vujisić, načelnica</w:t>
      </w:r>
    </w:p>
    <w:sectPr w:rsidR="00F270F5" w:rsidRPr="00DC3E70" w:rsidSect="001B4F0B">
      <w:headerReference w:type="default" r:id="rId10"/>
      <w:footerReference w:type="default" r:id="rId11"/>
      <w:headerReference w:type="first" r:id="rId12"/>
      <w:pgSz w:w="12240" w:h="15840"/>
      <w:pgMar w:top="1418" w:right="189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BA" w:rsidRDefault="00340EBA" w:rsidP="00F270F5">
      <w:pPr>
        <w:spacing w:after="0" w:line="240" w:lineRule="auto"/>
      </w:pPr>
      <w:r>
        <w:separator/>
      </w:r>
    </w:p>
  </w:endnote>
  <w:endnote w:type="continuationSeparator" w:id="0">
    <w:p w:rsidR="00340EBA" w:rsidRDefault="00340EBA" w:rsidP="00F2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36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6B95" w:rsidRDefault="00BC6B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81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C6B95" w:rsidRDefault="00BC6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BA" w:rsidRDefault="00340EBA" w:rsidP="00F270F5">
      <w:pPr>
        <w:spacing w:after="0" w:line="240" w:lineRule="auto"/>
      </w:pPr>
      <w:r>
        <w:separator/>
      </w:r>
    </w:p>
  </w:footnote>
  <w:footnote w:type="continuationSeparator" w:id="0">
    <w:p w:rsidR="00340EBA" w:rsidRDefault="00340EBA" w:rsidP="00F2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B95" w:rsidRDefault="00BC6B95" w:rsidP="00A51D44">
    <w:pPr>
      <w:pStyle w:val="Header"/>
    </w:pPr>
  </w:p>
  <w:p w:rsidR="00BC6B95" w:rsidRDefault="00BC6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B95" w:rsidRDefault="00BC6B95" w:rsidP="00A51D44">
    <w:pPr>
      <w:pStyle w:val="Header"/>
    </w:pPr>
  </w:p>
  <w:p w:rsidR="00BC6B95" w:rsidRDefault="00BC6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C4B"/>
    <w:multiLevelType w:val="hybridMultilevel"/>
    <w:tmpl w:val="FCFE385A"/>
    <w:lvl w:ilvl="0" w:tplc="1924F2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7329"/>
    <w:multiLevelType w:val="hybridMultilevel"/>
    <w:tmpl w:val="8D346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3107"/>
    <w:multiLevelType w:val="hybridMultilevel"/>
    <w:tmpl w:val="B3CAC608"/>
    <w:lvl w:ilvl="0" w:tplc="A4BE98F6">
      <w:start w:val="7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78F9"/>
    <w:multiLevelType w:val="hybridMultilevel"/>
    <w:tmpl w:val="54D011D2"/>
    <w:lvl w:ilvl="0" w:tplc="1924F2E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06925"/>
    <w:multiLevelType w:val="hybridMultilevel"/>
    <w:tmpl w:val="CBCAA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D64CD"/>
    <w:multiLevelType w:val="hybridMultilevel"/>
    <w:tmpl w:val="EA08D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A7C27"/>
    <w:multiLevelType w:val="hybridMultilevel"/>
    <w:tmpl w:val="76681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91D4B"/>
    <w:multiLevelType w:val="hybridMultilevel"/>
    <w:tmpl w:val="638EA896"/>
    <w:lvl w:ilvl="0" w:tplc="92B8069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33776"/>
    <w:multiLevelType w:val="hybridMultilevel"/>
    <w:tmpl w:val="F52E6FD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245E0B"/>
    <w:multiLevelType w:val="hybridMultilevel"/>
    <w:tmpl w:val="3EEE79B6"/>
    <w:lvl w:ilvl="0" w:tplc="291A58FE">
      <w:numFmt w:val="bullet"/>
      <w:lvlText w:val="-"/>
      <w:lvlJc w:val="left"/>
      <w:pPr>
        <w:ind w:left="862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BA72F0D"/>
    <w:multiLevelType w:val="hybridMultilevel"/>
    <w:tmpl w:val="FEF0CB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8198C"/>
    <w:multiLevelType w:val="hybridMultilevel"/>
    <w:tmpl w:val="2D5A53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82CD2"/>
    <w:multiLevelType w:val="hybridMultilevel"/>
    <w:tmpl w:val="4D8458B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32C1B"/>
    <w:multiLevelType w:val="hybridMultilevel"/>
    <w:tmpl w:val="A05A2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82C98"/>
    <w:multiLevelType w:val="hybridMultilevel"/>
    <w:tmpl w:val="1AA221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60E0E"/>
    <w:multiLevelType w:val="hybridMultilevel"/>
    <w:tmpl w:val="6F14D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40460"/>
    <w:multiLevelType w:val="hybridMultilevel"/>
    <w:tmpl w:val="E844203E"/>
    <w:lvl w:ilvl="0" w:tplc="C680A4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E4166"/>
    <w:multiLevelType w:val="hybridMultilevel"/>
    <w:tmpl w:val="635E8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D13C7"/>
    <w:multiLevelType w:val="hybridMultilevel"/>
    <w:tmpl w:val="C3529D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B9373B"/>
    <w:multiLevelType w:val="hybridMultilevel"/>
    <w:tmpl w:val="4C92F9D8"/>
    <w:lvl w:ilvl="0" w:tplc="AA646E74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A7816"/>
    <w:multiLevelType w:val="hybridMultilevel"/>
    <w:tmpl w:val="404C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605A2"/>
    <w:multiLevelType w:val="hybridMultilevel"/>
    <w:tmpl w:val="7868A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5434B"/>
    <w:multiLevelType w:val="hybridMultilevel"/>
    <w:tmpl w:val="BF1E64B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406CC"/>
    <w:multiLevelType w:val="hybridMultilevel"/>
    <w:tmpl w:val="E3002698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8890F56"/>
    <w:multiLevelType w:val="hybridMultilevel"/>
    <w:tmpl w:val="D84ED7DC"/>
    <w:lvl w:ilvl="0" w:tplc="4B6E30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61432"/>
    <w:multiLevelType w:val="hybridMultilevel"/>
    <w:tmpl w:val="469C291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C48E45A">
      <w:numFmt w:val="bullet"/>
      <w:lvlText w:val="-"/>
      <w:lvlJc w:val="left"/>
      <w:pPr>
        <w:ind w:left="2505" w:hanging="142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02AA5"/>
    <w:multiLevelType w:val="hybridMultilevel"/>
    <w:tmpl w:val="5AB41DAE"/>
    <w:lvl w:ilvl="0" w:tplc="2C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4AA5E44"/>
    <w:multiLevelType w:val="hybridMultilevel"/>
    <w:tmpl w:val="C4AEDA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C325B"/>
    <w:multiLevelType w:val="hybridMultilevel"/>
    <w:tmpl w:val="762AC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A5493"/>
    <w:multiLevelType w:val="hybridMultilevel"/>
    <w:tmpl w:val="7FB6E7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26"/>
  </w:num>
  <w:num w:numId="5">
    <w:abstractNumId w:val="12"/>
  </w:num>
  <w:num w:numId="6">
    <w:abstractNumId w:val="22"/>
  </w:num>
  <w:num w:numId="7">
    <w:abstractNumId w:val="8"/>
  </w:num>
  <w:num w:numId="8">
    <w:abstractNumId w:val="2"/>
  </w:num>
  <w:num w:numId="9">
    <w:abstractNumId w:val="19"/>
  </w:num>
  <w:num w:numId="10">
    <w:abstractNumId w:val="16"/>
  </w:num>
  <w:num w:numId="11">
    <w:abstractNumId w:val="4"/>
  </w:num>
  <w:num w:numId="12">
    <w:abstractNumId w:val="20"/>
  </w:num>
  <w:num w:numId="13">
    <w:abstractNumId w:val="0"/>
  </w:num>
  <w:num w:numId="14">
    <w:abstractNumId w:val="9"/>
  </w:num>
  <w:num w:numId="15">
    <w:abstractNumId w:val="18"/>
  </w:num>
  <w:num w:numId="16">
    <w:abstractNumId w:val="1"/>
  </w:num>
  <w:num w:numId="17">
    <w:abstractNumId w:val="28"/>
  </w:num>
  <w:num w:numId="18">
    <w:abstractNumId w:val="15"/>
  </w:num>
  <w:num w:numId="19">
    <w:abstractNumId w:val="21"/>
  </w:num>
  <w:num w:numId="20">
    <w:abstractNumId w:val="5"/>
  </w:num>
  <w:num w:numId="21">
    <w:abstractNumId w:val="10"/>
  </w:num>
  <w:num w:numId="22">
    <w:abstractNumId w:val="27"/>
  </w:num>
  <w:num w:numId="23">
    <w:abstractNumId w:val="17"/>
  </w:num>
  <w:num w:numId="24">
    <w:abstractNumId w:val="14"/>
  </w:num>
  <w:num w:numId="25">
    <w:abstractNumId w:val="29"/>
  </w:num>
  <w:num w:numId="26">
    <w:abstractNumId w:val="24"/>
  </w:num>
  <w:num w:numId="27">
    <w:abstractNumId w:val="6"/>
  </w:num>
  <w:num w:numId="28">
    <w:abstractNumId w:val="13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F5"/>
    <w:rsid w:val="000013E5"/>
    <w:rsid w:val="000013FF"/>
    <w:rsid w:val="00002274"/>
    <w:rsid w:val="00004562"/>
    <w:rsid w:val="00006521"/>
    <w:rsid w:val="00013951"/>
    <w:rsid w:val="000140E7"/>
    <w:rsid w:val="000211BB"/>
    <w:rsid w:val="00024AB4"/>
    <w:rsid w:val="00031761"/>
    <w:rsid w:val="00037281"/>
    <w:rsid w:val="00037967"/>
    <w:rsid w:val="00040E5F"/>
    <w:rsid w:val="00042A5A"/>
    <w:rsid w:val="00045962"/>
    <w:rsid w:val="00045CB0"/>
    <w:rsid w:val="00046758"/>
    <w:rsid w:val="00050B91"/>
    <w:rsid w:val="00050C04"/>
    <w:rsid w:val="000529EB"/>
    <w:rsid w:val="00053DBA"/>
    <w:rsid w:val="00064DF8"/>
    <w:rsid w:val="000651E4"/>
    <w:rsid w:val="00070259"/>
    <w:rsid w:val="00071CD8"/>
    <w:rsid w:val="0007705F"/>
    <w:rsid w:val="000815AB"/>
    <w:rsid w:val="0008194E"/>
    <w:rsid w:val="000820E9"/>
    <w:rsid w:val="00090137"/>
    <w:rsid w:val="00090298"/>
    <w:rsid w:val="000937D5"/>
    <w:rsid w:val="00093C50"/>
    <w:rsid w:val="000954D6"/>
    <w:rsid w:val="00095984"/>
    <w:rsid w:val="00096816"/>
    <w:rsid w:val="000A53D6"/>
    <w:rsid w:val="000A6F17"/>
    <w:rsid w:val="000B01DD"/>
    <w:rsid w:val="000B0F5F"/>
    <w:rsid w:val="000B102F"/>
    <w:rsid w:val="000B1207"/>
    <w:rsid w:val="000B4EBB"/>
    <w:rsid w:val="000C3D10"/>
    <w:rsid w:val="000C6564"/>
    <w:rsid w:val="000C7C80"/>
    <w:rsid w:val="000C7FC2"/>
    <w:rsid w:val="000D005D"/>
    <w:rsid w:val="000D0DDB"/>
    <w:rsid w:val="000D27B7"/>
    <w:rsid w:val="000D2C5C"/>
    <w:rsid w:val="000D402F"/>
    <w:rsid w:val="000E5370"/>
    <w:rsid w:val="000E5C7F"/>
    <w:rsid w:val="000F4952"/>
    <w:rsid w:val="000F521D"/>
    <w:rsid w:val="000F6B07"/>
    <w:rsid w:val="00102519"/>
    <w:rsid w:val="001058F1"/>
    <w:rsid w:val="0010710D"/>
    <w:rsid w:val="001201A9"/>
    <w:rsid w:val="0012159B"/>
    <w:rsid w:val="00121F97"/>
    <w:rsid w:val="0013127A"/>
    <w:rsid w:val="001313B0"/>
    <w:rsid w:val="001330BA"/>
    <w:rsid w:val="001349CE"/>
    <w:rsid w:val="001362F9"/>
    <w:rsid w:val="0013721E"/>
    <w:rsid w:val="00140049"/>
    <w:rsid w:val="00140876"/>
    <w:rsid w:val="00143034"/>
    <w:rsid w:val="001431A2"/>
    <w:rsid w:val="001445FA"/>
    <w:rsid w:val="00147FC7"/>
    <w:rsid w:val="001527AC"/>
    <w:rsid w:val="001543B6"/>
    <w:rsid w:val="00155630"/>
    <w:rsid w:val="001578FD"/>
    <w:rsid w:val="0016267F"/>
    <w:rsid w:val="00162AF6"/>
    <w:rsid w:val="00167552"/>
    <w:rsid w:val="00167E4D"/>
    <w:rsid w:val="00174E3C"/>
    <w:rsid w:val="00175AA5"/>
    <w:rsid w:val="00177240"/>
    <w:rsid w:val="00186E88"/>
    <w:rsid w:val="0019032E"/>
    <w:rsid w:val="001913ED"/>
    <w:rsid w:val="00191FBC"/>
    <w:rsid w:val="00194A1C"/>
    <w:rsid w:val="001A7FE4"/>
    <w:rsid w:val="001B0100"/>
    <w:rsid w:val="001B27BE"/>
    <w:rsid w:val="001B2FA2"/>
    <w:rsid w:val="001B37E0"/>
    <w:rsid w:val="001B4F0B"/>
    <w:rsid w:val="001C07EB"/>
    <w:rsid w:val="001C134A"/>
    <w:rsid w:val="001C627C"/>
    <w:rsid w:val="001C638B"/>
    <w:rsid w:val="001C757E"/>
    <w:rsid w:val="001D1CC3"/>
    <w:rsid w:val="001E0B2B"/>
    <w:rsid w:val="001E3E76"/>
    <w:rsid w:val="001E57E0"/>
    <w:rsid w:val="001E73A8"/>
    <w:rsid w:val="001F1DB1"/>
    <w:rsid w:val="001F2456"/>
    <w:rsid w:val="001F299F"/>
    <w:rsid w:val="001F58F5"/>
    <w:rsid w:val="00202562"/>
    <w:rsid w:val="00202C19"/>
    <w:rsid w:val="002061C9"/>
    <w:rsid w:val="00206356"/>
    <w:rsid w:val="00210607"/>
    <w:rsid w:val="0021149E"/>
    <w:rsid w:val="002116FD"/>
    <w:rsid w:val="00212475"/>
    <w:rsid w:val="0021775F"/>
    <w:rsid w:val="00221AB3"/>
    <w:rsid w:val="00222D82"/>
    <w:rsid w:val="00225E11"/>
    <w:rsid w:val="002324D7"/>
    <w:rsid w:val="00240C85"/>
    <w:rsid w:val="0024399D"/>
    <w:rsid w:val="00245042"/>
    <w:rsid w:val="002465E7"/>
    <w:rsid w:val="00246F04"/>
    <w:rsid w:val="0025053A"/>
    <w:rsid w:val="00250C8A"/>
    <w:rsid w:val="00251581"/>
    <w:rsid w:val="00251780"/>
    <w:rsid w:val="00256FA0"/>
    <w:rsid w:val="00262090"/>
    <w:rsid w:val="00265DDA"/>
    <w:rsid w:val="002709FB"/>
    <w:rsid w:val="00270DAE"/>
    <w:rsid w:val="00274A8D"/>
    <w:rsid w:val="002761E6"/>
    <w:rsid w:val="00281D4C"/>
    <w:rsid w:val="002845FD"/>
    <w:rsid w:val="00286614"/>
    <w:rsid w:val="00291761"/>
    <w:rsid w:val="002942F9"/>
    <w:rsid w:val="002951AF"/>
    <w:rsid w:val="002A0FFF"/>
    <w:rsid w:val="002A10FF"/>
    <w:rsid w:val="002A33D2"/>
    <w:rsid w:val="002A4809"/>
    <w:rsid w:val="002B5A03"/>
    <w:rsid w:val="002C1929"/>
    <w:rsid w:val="002C2840"/>
    <w:rsid w:val="002C287B"/>
    <w:rsid w:val="002D0DA2"/>
    <w:rsid w:val="002D43E9"/>
    <w:rsid w:val="002E128D"/>
    <w:rsid w:val="002E3150"/>
    <w:rsid w:val="002E32A9"/>
    <w:rsid w:val="002F1245"/>
    <w:rsid w:val="002F12BB"/>
    <w:rsid w:val="002F25BF"/>
    <w:rsid w:val="002F29DD"/>
    <w:rsid w:val="002F2CC2"/>
    <w:rsid w:val="002F36C1"/>
    <w:rsid w:val="00304460"/>
    <w:rsid w:val="0030483B"/>
    <w:rsid w:val="003070DD"/>
    <w:rsid w:val="00313CC1"/>
    <w:rsid w:val="00321FE1"/>
    <w:rsid w:val="0032690D"/>
    <w:rsid w:val="003305EE"/>
    <w:rsid w:val="0033405B"/>
    <w:rsid w:val="003357B9"/>
    <w:rsid w:val="0033660B"/>
    <w:rsid w:val="00337089"/>
    <w:rsid w:val="0034094B"/>
    <w:rsid w:val="00340EBA"/>
    <w:rsid w:val="003417A6"/>
    <w:rsid w:val="0034531F"/>
    <w:rsid w:val="00345792"/>
    <w:rsid w:val="00352432"/>
    <w:rsid w:val="00360194"/>
    <w:rsid w:val="00363BC1"/>
    <w:rsid w:val="0036408F"/>
    <w:rsid w:val="00370D83"/>
    <w:rsid w:val="0038171F"/>
    <w:rsid w:val="00382474"/>
    <w:rsid w:val="00383447"/>
    <w:rsid w:val="003844BC"/>
    <w:rsid w:val="003845EE"/>
    <w:rsid w:val="00390AD9"/>
    <w:rsid w:val="00391149"/>
    <w:rsid w:val="00391D1C"/>
    <w:rsid w:val="0039258C"/>
    <w:rsid w:val="00394BC0"/>
    <w:rsid w:val="003A0C3E"/>
    <w:rsid w:val="003B150B"/>
    <w:rsid w:val="003C2FE8"/>
    <w:rsid w:val="003C6FB6"/>
    <w:rsid w:val="003D0F92"/>
    <w:rsid w:val="003D1CC4"/>
    <w:rsid w:val="003D7293"/>
    <w:rsid w:val="003E273E"/>
    <w:rsid w:val="003F0F04"/>
    <w:rsid w:val="003F104D"/>
    <w:rsid w:val="003F16C0"/>
    <w:rsid w:val="003F5733"/>
    <w:rsid w:val="003F63B5"/>
    <w:rsid w:val="00402AF9"/>
    <w:rsid w:val="00416D22"/>
    <w:rsid w:val="00417980"/>
    <w:rsid w:val="00422143"/>
    <w:rsid w:val="00423E30"/>
    <w:rsid w:val="00424583"/>
    <w:rsid w:val="00427401"/>
    <w:rsid w:val="00432A2F"/>
    <w:rsid w:val="00433ED0"/>
    <w:rsid w:val="00436B40"/>
    <w:rsid w:val="00437072"/>
    <w:rsid w:val="00440848"/>
    <w:rsid w:val="00442AA0"/>
    <w:rsid w:val="00442C99"/>
    <w:rsid w:val="00444483"/>
    <w:rsid w:val="00461EF6"/>
    <w:rsid w:val="004701BC"/>
    <w:rsid w:val="00474E66"/>
    <w:rsid w:val="0048070B"/>
    <w:rsid w:val="00482BE3"/>
    <w:rsid w:val="0049553A"/>
    <w:rsid w:val="004A22A3"/>
    <w:rsid w:val="004A77A2"/>
    <w:rsid w:val="004B74C5"/>
    <w:rsid w:val="004C0CA3"/>
    <w:rsid w:val="004C5CFD"/>
    <w:rsid w:val="004C70FF"/>
    <w:rsid w:val="004D0D16"/>
    <w:rsid w:val="004D18E6"/>
    <w:rsid w:val="004D5641"/>
    <w:rsid w:val="004E2EB3"/>
    <w:rsid w:val="004E7A32"/>
    <w:rsid w:val="00503972"/>
    <w:rsid w:val="00503A98"/>
    <w:rsid w:val="00507A26"/>
    <w:rsid w:val="005105DC"/>
    <w:rsid w:val="005140D9"/>
    <w:rsid w:val="005204A1"/>
    <w:rsid w:val="00521704"/>
    <w:rsid w:val="00523CA3"/>
    <w:rsid w:val="00526C00"/>
    <w:rsid w:val="00527C0C"/>
    <w:rsid w:val="0053024F"/>
    <w:rsid w:val="00530519"/>
    <w:rsid w:val="005341D6"/>
    <w:rsid w:val="00537358"/>
    <w:rsid w:val="00540C4C"/>
    <w:rsid w:val="00542C58"/>
    <w:rsid w:val="005470A9"/>
    <w:rsid w:val="0055459F"/>
    <w:rsid w:val="00555CCF"/>
    <w:rsid w:val="00563A6B"/>
    <w:rsid w:val="005678A5"/>
    <w:rsid w:val="00571CA3"/>
    <w:rsid w:val="00573251"/>
    <w:rsid w:val="005736E9"/>
    <w:rsid w:val="00577EAA"/>
    <w:rsid w:val="00580E7B"/>
    <w:rsid w:val="00583038"/>
    <w:rsid w:val="005923B1"/>
    <w:rsid w:val="005939F8"/>
    <w:rsid w:val="00596BDE"/>
    <w:rsid w:val="005A0158"/>
    <w:rsid w:val="005A0F39"/>
    <w:rsid w:val="005A299D"/>
    <w:rsid w:val="005B4118"/>
    <w:rsid w:val="005B5059"/>
    <w:rsid w:val="005C4BA9"/>
    <w:rsid w:val="005C7E61"/>
    <w:rsid w:val="005D22A0"/>
    <w:rsid w:val="005D2540"/>
    <w:rsid w:val="005D2C40"/>
    <w:rsid w:val="005D341F"/>
    <w:rsid w:val="005D3C64"/>
    <w:rsid w:val="005E1DD9"/>
    <w:rsid w:val="005E2A70"/>
    <w:rsid w:val="005E2B32"/>
    <w:rsid w:val="005E4635"/>
    <w:rsid w:val="005F34EC"/>
    <w:rsid w:val="005F5917"/>
    <w:rsid w:val="005F5C89"/>
    <w:rsid w:val="006014C9"/>
    <w:rsid w:val="0060340A"/>
    <w:rsid w:val="00605898"/>
    <w:rsid w:val="00612120"/>
    <w:rsid w:val="00613782"/>
    <w:rsid w:val="00613955"/>
    <w:rsid w:val="0061480E"/>
    <w:rsid w:val="00624039"/>
    <w:rsid w:val="00624216"/>
    <w:rsid w:val="00627F97"/>
    <w:rsid w:val="00640E4A"/>
    <w:rsid w:val="006410EB"/>
    <w:rsid w:val="00641DA5"/>
    <w:rsid w:val="006452EC"/>
    <w:rsid w:val="00646652"/>
    <w:rsid w:val="006500D1"/>
    <w:rsid w:val="006516EE"/>
    <w:rsid w:val="0065447B"/>
    <w:rsid w:val="00654C52"/>
    <w:rsid w:val="006557FF"/>
    <w:rsid w:val="006579F7"/>
    <w:rsid w:val="00660A94"/>
    <w:rsid w:val="006610AB"/>
    <w:rsid w:val="006662CA"/>
    <w:rsid w:val="006669F2"/>
    <w:rsid w:val="00677452"/>
    <w:rsid w:val="0068198C"/>
    <w:rsid w:val="00684550"/>
    <w:rsid w:val="0068760A"/>
    <w:rsid w:val="00697D5C"/>
    <w:rsid w:val="006A17B8"/>
    <w:rsid w:val="006A230E"/>
    <w:rsid w:val="006A7C62"/>
    <w:rsid w:val="006B0580"/>
    <w:rsid w:val="006B098A"/>
    <w:rsid w:val="006B0CC2"/>
    <w:rsid w:val="006B0D48"/>
    <w:rsid w:val="006B4A5A"/>
    <w:rsid w:val="006B4D72"/>
    <w:rsid w:val="006B595C"/>
    <w:rsid w:val="006B7C17"/>
    <w:rsid w:val="006C1640"/>
    <w:rsid w:val="006C18FB"/>
    <w:rsid w:val="006C510E"/>
    <w:rsid w:val="006C54A6"/>
    <w:rsid w:val="006D160F"/>
    <w:rsid w:val="006D30E8"/>
    <w:rsid w:val="006D4863"/>
    <w:rsid w:val="006D78DE"/>
    <w:rsid w:val="006E2261"/>
    <w:rsid w:val="006E23EF"/>
    <w:rsid w:val="006E4609"/>
    <w:rsid w:val="006F1367"/>
    <w:rsid w:val="006F222D"/>
    <w:rsid w:val="006F4419"/>
    <w:rsid w:val="006F667C"/>
    <w:rsid w:val="007008C5"/>
    <w:rsid w:val="007008DE"/>
    <w:rsid w:val="00705B44"/>
    <w:rsid w:val="007139F2"/>
    <w:rsid w:val="00713FE4"/>
    <w:rsid w:val="00725507"/>
    <w:rsid w:val="0073473C"/>
    <w:rsid w:val="00736882"/>
    <w:rsid w:val="00742CB3"/>
    <w:rsid w:val="00742FC8"/>
    <w:rsid w:val="0074359C"/>
    <w:rsid w:val="007552F5"/>
    <w:rsid w:val="007607BC"/>
    <w:rsid w:val="00760DE3"/>
    <w:rsid w:val="0076705F"/>
    <w:rsid w:val="00770A03"/>
    <w:rsid w:val="00771F6F"/>
    <w:rsid w:val="00772600"/>
    <w:rsid w:val="00792FE8"/>
    <w:rsid w:val="0079349D"/>
    <w:rsid w:val="0079355C"/>
    <w:rsid w:val="00794007"/>
    <w:rsid w:val="00797C06"/>
    <w:rsid w:val="007A41E2"/>
    <w:rsid w:val="007A7FAF"/>
    <w:rsid w:val="007B1A20"/>
    <w:rsid w:val="007B4FFF"/>
    <w:rsid w:val="007B7750"/>
    <w:rsid w:val="007C2F41"/>
    <w:rsid w:val="007C669B"/>
    <w:rsid w:val="007D00DD"/>
    <w:rsid w:val="007D5700"/>
    <w:rsid w:val="007E0E2A"/>
    <w:rsid w:val="007E14F8"/>
    <w:rsid w:val="007E2B32"/>
    <w:rsid w:val="007E4AF4"/>
    <w:rsid w:val="007E57E9"/>
    <w:rsid w:val="007F0A03"/>
    <w:rsid w:val="007F4F5F"/>
    <w:rsid w:val="007F52CB"/>
    <w:rsid w:val="00805F02"/>
    <w:rsid w:val="00813EF2"/>
    <w:rsid w:val="00816005"/>
    <w:rsid w:val="00821E35"/>
    <w:rsid w:val="0082278E"/>
    <w:rsid w:val="00824BC1"/>
    <w:rsid w:val="00834D4C"/>
    <w:rsid w:val="0083607F"/>
    <w:rsid w:val="0083765B"/>
    <w:rsid w:val="008467ED"/>
    <w:rsid w:val="00846E6E"/>
    <w:rsid w:val="0085060F"/>
    <w:rsid w:val="00852014"/>
    <w:rsid w:val="00852931"/>
    <w:rsid w:val="0085592C"/>
    <w:rsid w:val="00857532"/>
    <w:rsid w:val="00862C57"/>
    <w:rsid w:val="00866BDE"/>
    <w:rsid w:val="00871475"/>
    <w:rsid w:val="008722BF"/>
    <w:rsid w:val="0087442E"/>
    <w:rsid w:val="0087463C"/>
    <w:rsid w:val="008765C4"/>
    <w:rsid w:val="00883F4A"/>
    <w:rsid w:val="008855ED"/>
    <w:rsid w:val="0088640C"/>
    <w:rsid w:val="0089039A"/>
    <w:rsid w:val="0089102F"/>
    <w:rsid w:val="00891DEB"/>
    <w:rsid w:val="008921D6"/>
    <w:rsid w:val="00892812"/>
    <w:rsid w:val="008956A4"/>
    <w:rsid w:val="008A0FC6"/>
    <w:rsid w:val="008A2C94"/>
    <w:rsid w:val="008A4586"/>
    <w:rsid w:val="008A4EB2"/>
    <w:rsid w:val="008B5898"/>
    <w:rsid w:val="008B75B8"/>
    <w:rsid w:val="008C0DFF"/>
    <w:rsid w:val="008C226D"/>
    <w:rsid w:val="008C25F4"/>
    <w:rsid w:val="008C309E"/>
    <w:rsid w:val="008C5176"/>
    <w:rsid w:val="008D1DE9"/>
    <w:rsid w:val="008D1EB2"/>
    <w:rsid w:val="008E4C6C"/>
    <w:rsid w:val="008E7310"/>
    <w:rsid w:val="008F2979"/>
    <w:rsid w:val="008F29E1"/>
    <w:rsid w:val="008F6772"/>
    <w:rsid w:val="009020EA"/>
    <w:rsid w:val="00903F5F"/>
    <w:rsid w:val="00917611"/>
    <w:rsid w:val="009205DF"/>
    <w:rsid w:val="00920FDC"/>
    <w:rsid w:val="00923D51"/>
    <w:rsid w:val="00927AC1"/>
    <w:rsid w:val="009310FF"/>
    <w:rsid w:val="00931E33"/>
    <w:rsid w:val="00935E86"/>
    <w:rsid w:val="009370F0"/>
    <w:rsid w:val="00942E0A"/>
    <w:rsid w:val="00944A84"/>
    <w:rsid w:val="0094543B"/>
    <w:rsid w:val="00946EB7"/>
    <w:rsid w:val="00947624"/>
    <w:rsid w:val="00951014"/>
    <w:rsid w:val="00951A32"/>
    <w:rsid w:val="009545B6"/>
    <w:rsid w:val="00961A17"/>
    <w:rsid w:val="00961F4E"/>
    <w:rsid w:val="009641E0"/>
    <w:rsid w:val="00964572"/>
    <w:rsid w:val="00966CA7"/>
    <w:rsid w:val="0096774A"/>
    <w:rsid w:val="00967F78"/>
    <w:rsid w:val="00971555"/>
    <w:rsid w:val="00972AB3"/>
    <w:rsid w:val="00974145"/>
    <w:rsid w:val="00983F4B"/>
    <w:rsid w:val="00987DCC"/>
    <w:rsid w:val="00994D84"/>
    <w:rsid w:val="009A5B2D"/>
    <w:rsid w:val="009B44CB"/>
    <w:rsid w:val="009B6DFD"/>
    <w:rsid w:val="009C31AA"/>
    <w:rsid w:val="009D3208"/>
    <w:rsid w:val="009D35EF"/>
    <w:rsid w:val="009D3675"/>
    <w:rsid w:val="009D3AC0"/>
    <w:rsid w:val="009D4546"/>
    <w:rsid w:val="009E3824"/>
    <w:rsid w:val="009F12D1"/>
    <w:rsid w:val="009F1752"/>
    <w:rsid w:val="009F273F"/>
    <w:rsid w:val="009F39AD"/>
    <w:rsid w:val="009F42C3"/>
    <w:rsid w:val="009F5FF7"/>
    <w:rsid w:val="00A03919"/>
    <w:rsid w:val="00A0799F"/>
    <w:rsid w:val="00A10222"/>
    <w:rsid w:val="00A21994"/>
    <w:rsid w:val="00A23E8F"/>
    <w:rsid w:val="00A24E78"/>
    <w:rsid w:val="00A25069"/>
    <w:rsid w:val="00A25FDA"/>
    <w:rsid w:val="00A27E21"/>
    <w:rsid w:val="00A3051F"/>
    <w:rsid w:val="00A323AD"/>
    <w:rsid w:val="00A51418"/>
    <w:rsid w:val="00A51D44"/>
    <w:rsid w:val="00A528CC"/>
    <w:rsid w:val="00A62D9D"/>
    <w:rsid w:val="00A64138"/>
    <w:rsid w:val="00A70A1B"/>
    <w:rsid w:val="00A722C5"/>
    <w:rsid w:val="00A77016"/>
    <w:rsid w:val="00A83EDD"/>
    <w:rsid w:val="00A86851"/>
    <w:rsid w:val="00A87171"/>
    <w:rsid w:val="00AA536F"/>
    <w:rsid w:val="00AB1D32"/>
    <w:rsid w:val="00AB4D2A"/>
    <w:rsid w:val="00AB7FCC"/>
    <w:rsid w:val="00AC067D"/>
    <w:rsid w:val="00AC5A46"/>
    <w:rsid w:val="00AC7164"/>
    <w:rsid w:val="00AD0054"/>
    <w:rsid w:val="00AD1A30"/>
    <w:rsid w:val="00AD1A95"/>
    <w:rsid w:val="00AD1D4C"/>
    <w:rsid w:val="00AD52D8"/>
    <w:rsid w:val="00AD669B"/>
    <w:rsid w:val="00AE0549"/>
    <w:rsid w:val="00AE502F"/>
    <w:rsid w:val="00AF1755"/>
    <w:rsid w:val="00AF35E4"/>
    <w:rsid w:val="00AF3DBD"/>
    <w:rsid w:val="00B07FA5"/>
    <w:rsid w:val="00B1256B"/>
    <w:rsid w:val="00B164FB"/>
    <w:rsid w:val="00B167D9"/>
    <w:rsid w:val="00B17954"/>
    <w:rsid w:val="00B25C8C"/>
    <w:rsid w:val="00B27AF0"/>
    <w:rsid w:val="00B309B3"/>
    <w:rsid w:val="00B43D0F"/>
    <w:rsid w:val="00B44293"/>
    <w:rsid w:val="00B520CB"/>
    <w:rsid w:val="00B53C26"/>
    <w:rsid w:val="00B5550C"/>
    <w:rsid w:val="00B572E6"/>
    <w:rsid w:val="00B57B8B"/>
    <w:rsid w:val="00B6519B"/>
    <w:rsid w:val="00B71963"/>
    <w:rsid w:val="00B76703"/>
    <w:rsid w:val="00B81684"/>
    <w:rsid w:val="00B81BA5"/>
    <w:rsid w:val="00B85D16"/>
    <w:rsid w:val="00B865F1"/>
    <w:rsid w:val="00B967FC"/>
    <w:rsid w:val="00B96D13"/>
    <w:rsid w:val="00B97520"/>
    <w:rsid w:val="00B9797C"/>
    <w:rsid w:val="00BA1040"/>
    <w:rsid w:val="00BA364E"/>
    <w:rsid w:val="00BA4661"/>
    <w:rsid w:val="00BA4F5D"/>
    <w:rsid w:val="00BA5C75"/>
    <w:rsid w:val="00BA65AA"/>
    <w:rsid w:val="00BA73E0"/>
    <w:rsid w:val="00BA7ECD"/>
    <w:rsid w:val="00BB05FE"/>
    <w:rsid w:val="00BB207E"/>
    <w:rsid w:val="00BB3DDB"/>
    <w:rsid w:val="00BB3E03"/>
    <w:rsid w:val="00BB7BB6"/>
    <w:rsid w:val="00BC6B95"/>
    <w:rsid w:val="00BD32F4"/>
    <w:rsid w:val="00BE224C"/>
    <w:rsid w:val="00BE3BCA"/>
    <w:rsid w:val="00BF6D6E"/>
    <w:rsid w:val="00BF708F"/>
    <w:rsid w:val="00C10548"/>
    <w:rsid w:val="00C11557"/>
    <w:rsid w:val="00C17FF9"/>
    <w:rsid w:val="00C203E5"/>
    <w:rsid w:val="00C25BBF"/>
    <w:rsid w:val="00C264A1"/>
    <w:rsid w:val="00C31759"/>
    <w:rsid w:val="00C35091"/>
    <w:rsid w:val="00C362F2"/>
    <w:rsid w:val="00C41E06"/>
    <w:rsid w:val="00C41F28"/>
    <w:rsid w:val="00C41F6A"/>
    <w:rsid w:val="00C43821"/>
    <w:rsid w:val="00C43FAC"/>
    <w:rsid w:val="00C47B0A"/>
    <w:rsid w:val="00C50144"/>
    <w:rsid w:val="00C60FAE"/>
    <w:rsid w:val="00C61685"/>
    <w:rsid w:val="00C713E3"/>
    <w:rsid w:val="00C71BD6"/>
    <w:rsid w:val="00C73419"/>
    <w:rsid w:val="00C75667"/>
    <w:rsid w:val="00C81F75"/>
    <w:rsid w:val="00C82AEF"/>
    <w:rsid w:val="00C82D74"/>
    <w:rsid w:val="00C911DF"/>
    <w:rsid w:val="00C91927"/>
    <w:rsid w:val="00C91A23"/>
    <w:rsid w:val="00C923D5"/>
    <w:rsid w:val="00C92A7A"/>
    <w:rsid w:val="00C975F2"/>
    <w:rsid w:val="00CA0A56"/>
    <w:rsid w:val="00CA555F"/>
    <w:rsid w:val="00CA7665"/>
    <w:rsid w:val="00CB5E44"/>
    <w:rsid w:val="00CC2BBD"/>
    <w:rsid w:val="00CC3C56"/>
    <w:rsid w:val="00CC51D0"/>
    <w:rsid w:val="00CC61AA"/>
    <w:rsid w:val="00CD24B8"/>
    <w:rsid w:val="00CD2B04"/>
    <w:rsid w:val="00CD587F"/>
    <w:rsid w:val="00CE38CC"/>
    <w:rsid w:val="00CE553B"/>
    <w:rsid w:val="00CE7DE1"/>
    <w:rsid w:val="00CF2287"/>
    <w:rsid w:val="00CF5670"/>
    <w:rsid w:val="00CF5C43"/>
    <w:rsid w:val="00CF68E8"/>
    <w:rsid w:val="00D007E4"/>
    <w:rsid w:val="00D021F4"/>
    <w:rsid w:val="00D07EE3"/>
    <w:rsid w:val="00D1751F"/>
    <w:rsid w:val="00D22B6A"/>
    <w:rsid w:val="00D22C0C"/>
    <w:rsid w:val="00D25757"/>
    <w:rsid w:val="00D3051E"/>
    <w:rsid w:val="00D331EB"/>
    <w:rsid w:val="00D35F22"/>
    <w:rsid w:val="00D365D1"/>
    <w:rsid w:val="00D40CFB"/>
    <w:rsid w:val="00D4130F"/>
    <w:rsid w:val="00D4235A"/>
    <w:rsid w:val="00D42DAF"/>
    <w:rsid w:val="00D459DA"/>
    <w:rsid w:val="00D535BE"/>
    <w:rsid w:val="00D556C3"/>
    <w:rsid w:val="00D61922"/>
    <w:rsid w:val="00D62F23"/>
    <w:rsid w:val="00D636FC"/>
    <w:rsid w:val="00D7463F"/>
    <w:rsid w:val="00D76FB8"/>
    <w:rsid w:val="00D85D6F"/>
    <w:rsid w:val="00D86622"/>
    <w:rsid w:val="00D940F4"/>
    <w:rsid w:val="00D9743A"/>
    <w:rsid w:val="00D97BEA"/>
    <w:rsid w:val="00DA2F39"/>
    <w:rsid w:val="00DA576C"/>
    <w:rsid w:val="00DA6E57"/>
    <w:rsid w:val="00DA74C0"/>
    <w:rsid w:val="00DB0B97"/>
    <w:rsid w:val="00DB1865"/>
    <w:rsid w:val="00DB7AE2"/>
    <w:rsid w:val="00DC0472"/>
    <w:rsid w:val="00DC0B27"/>
    <w:rsid w:val="00DC2DF8"/>
    <w:rsid w:val="00DC2E8E"/>
    <w:rsid w:val="00DC3E70"/>
    <w:rsid w:val="00DC3ED2"/>
    <w:rsid w:val="00DC6669"/>
    <w:rsid w:val="00DD1E0E"/>
    <w:rsid w:val="00DD2233"/>
    <w:rsid w:val="00DD7AD2"/>
    <w:rsid w:val="00DE752E"/>
    <w:rsid w:val="00DE7BB2"/>
    <w:rsid w:val="00DF5744"/>
    <w:rsid w:val="00DF7207"/>
    <w:rsid w:val="00E0110B"/>
    <w:rsid w:val="00E01C3C"/>
    <w:rsid w:val="00E02957"/>
    <w:rsid w:val="00E059ED"/>
    <w:rsid w:val="00E10324"/>
    <w:rsid w:val="00E10FBE"/>
    <w:rsid w:val="00E13958"/>
    <w:rsid w:val="00E147C2"/>
    <w:rsid w:val="00E14ACC"/>
    <w:rsid w:val="00E22227"/>
    <w:rsid w:val="00E22384"/>
    <w:rsid w:val="00E226F2"/>
    <w:rsid w:val="00E234B6"/>
    <w:rsid w:val="00E24379"/>
    <w:rsid w:val="00E245AE"/>
    <w:rsid w:val="00E2568B"/>
    <w:rsid w:val="00E274A9"/>
    <w:rsid w:val="00E33179"/>
    <w:rsid w:val="00E334E4"/>
    <w:rsid w:val="00E35141"/>
    <w:rsid w:val="00E3730E"/>
    <w:rsid w:val="00E37C3D"/>
    <w:rsid w:val="00E401CA"/>
    <w:rsid w:val="00E420A7"/>
    <w:rsid w:val="00E47EF2"/>
    <w:rsid w:val="00E5178F"/>
    <w:rsid w:val="00E5584C"/>
    <w:rsid w:val="00E614E5"/>
    <w:rsid w:val="00E63793"/>
    <w:rsid w:val="00E645BC"/>
    <w:rsid w:val="00E70487"/>
    <w:rsid w:val="00E70718"/>
    <w:rsid w:val="00E7599B"/>
    <w:rsid w:val="00E80B13"/>
    <w:rsid w:val="00E81854"/>
    <w:rsid w:val="00E82C6B"/>
    <w:rsid w:val="00E84572"/>
    <w:rsid w:val="00E85BE8"/>
    <w:rsid w:val="00E87045"/>
    <w:rsid w:val="00E87C75"/>
    <w:rsid w:val="00E92D8F"/>
    <w:rsid w:val="00E9312F"/>
    <w:rsid w:val="00E95256"/>
    <w:rsid w:val="00E972B4"/>
    <w:rsid w:val="00EA56B1"/>
    <w:rsid w:val="00EA79BA"/>
    <w:rsid w:val="00EB209C"/>
    <w:rsid w:val="00EB29FA"/>
    <w:rsid w:val="00EB5D63"/>
    <w:rsid w:val="00EB6C0F"/>
    <w:rsid w:val="00EB6C12"/>
    <w:rsid w:val="00EC1CB2"/>
    <w:rsid w:val="00EC5865"/>
    <w:rsid w:val="00ED109D"/>
    <w:rsid w:val="00ED14CE"/>
    <w:rsid w:val="00ED15B3"/>
    <w:rsid w:val="00ED2792"/>
    <w:rsid w:val="00ED62D0"/>
    <w:rsid w:val="00EE11DC"/>
    <w:rsid w:val="00EE342F"/>
    <w:rsid w:val="00EE60A3"/>
    <w:rsid w:val="00EF05F9"/>
    <w:rsid w:val="00EF15E0"/>
    <w:rsid w:val="00EF1B93"/>
    <w:rsid w:val="00F0174F"/>
    <w:rsid w:val="00F03434"/>
    <w:rsid w:val="00F04EEE"/>
    <w:rsid w:val="00F07246"/>
    <w:rsid w:val="00F07614"/>
    <w:rsid w:val="00F104FE"/>
    <w:rsid w:val="00F1123C"/>
    <w:rsid w:val="00F11860"/>
    <w:rsid w:val="00F22E33"/>
    <w:rsid w:val="00F23E12"/>
    <w:rsid w:val="00F26212"/>
    <w:rsid w:val="00F270F5"/>
    <w:rsid w:val="00F3245D"/>
    <w:rsid w:val="00F335EA"/>
    <w:rsid w:val="00F33A90"/>
    <w:rsid w:val="00F37323"/>
    <w:rsid w:val="00F376F8"/>
    <w:rsid w:val="00F4224E"/>
    <w:rsid w:val="00F42BB3"/>
    <w:rsid w:val="00F43CFC"/>
    <w:rsid w:val="00F453DB"/>
    <w:rsid w:val="00F507AF"/>
    <w:rsid w:val="00F53ABF"/>
    <w:rsid w:val="00F568E5"/>
    <w:rsid w:val="00F57989"/>
    <w:rsid w:val="00F6013C"/>
    <w:rsid w:val="00F6779E"/>
    <w:rsid w:val="00F74850"/>
    <w:rsid w:val="00F76EA7"/>
    <w:rsid w:val="00F804C2"/>
    <w:rsid w:val="00F8068F"/>
    <w:rsid w:val="00F807AD"/>
    <w:rsid w:val="00F83F48"/>
    <w:rsid w:val="00F865F5"/>
    <w:rsid w:val="00F873FB"/>
    <w:rsid w:val="00F903A0"/>
    <w:rsid w:val="00F90B17"/>
    <w:rsid w:val="00F90FE9"/>
    <w:rsid w:val="00FA1006"/>
    <w:rsid w:val="00FA2302"/>
    <w:rsid w:val="00FA4EE4"/>
    <w:rsid w:val="00FA550F"/>
    <w:rsid w:val="00FA7880"/>
    <w:rsid w:val="00FB2D09"/>
    <w:rsid w:val="00FB55F0"/>
    <w:rsid w:val="00FB7AC9"/>
    <w:rsid w:val="00FC785B"/>
    <w:rsid w:val="00FC7A65"/>
    <w:rsid w:val="00FC7EBD"/>
    <w:rsid w:val="00FD2E23"/>
    <w:rsid w:val="00FD5BC7"/>
    <w:rsid w:val="00FD5DFB"/>
    <w:rsid w:val="00FD5E97"/>
    <w:rsid w:val="00FE1E9B"/>
    <w:rsid w:val="00FE499E"/>
    <w:rsid w:val="00FE68BD"/>
    <w:rsid w:val="00FF4745"/>
    <w:rsid w:val="00FF6FAC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32271"/>
  <w15:chartTrackingRefBased/>
  <w15:docId w15:val="{4128EE62-F576-4CD2-ACC6-9CA95D7A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0F5"/>
    <w:pPr>
      <w:spacing w:before="240" w:after="60" w:line="264" w:lineRule="auto"/>
      <w:jc w:val="both"/>
      <w:outlineLvl w:val="5"/>
    </w:pPr>
    <w:rPr>
      <w:rFonts w:ascii="Calibri" w:eastAsia="Times New Roman" w:hAnsi="Calibri" w:cs="Times New Roman"/>
      <w:b/>
      <w:bCs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270F5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F270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270F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0F5"/>
    <w:rPr>
      <w:rFonts w:ascii="Calibri" w:eastAsia="Times New Roman" w:hAnsi="Calibri" w:cs="Times New Roman"/>
      <w:b/>
      <w:bCs/>
      <w:lang w:val="sr-Latn-ME"/>
    </w:rPr>
  </w:style>
  <w:style w:type="paragraph" w:styleId="NoSpacing">
    <w:name w:val="No Spacing"/>
    <w:link w:val="NoSpacingChar"/>
    <w:uiPriority w:val="1"/>
    <w:qFormat/>
    <w:rsid w:val="00F270F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Paragraph,List Paragraph Red,lp1,List_Paragraph,Multilevel para_II,List Paragraph1,Akapit z listą BS,Bullet1,List Paragraph 1,List Paragraph (numbered (a)),Numbered list,Forth level,NumberedParas,Bullets,PAD,Main numbered paragraph"/>
    <w:basedOn w:val="Normal"/>
    <w:link w:val="ListParagraphChar"/>
    <w:uiPriority w:val="34"/>
    <w:qFormat/>
    <w:rsid w:val="00F270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F270F5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Paragraph Char,List Paragraph Red Char,lp1 Char,List_Paragraph Char,Multilevel para_II Char,List Paragraph1 Char,Akapit z listą BS Char,Bullet1 Char,List Paragraph 1 Char,List Paragraph (numbered (a)) Char,Numbered list Char,PAD Char"/>
    <w:link w:val="ListParagraph"/>
    <w:uiPriority w:val="34"/>
    <w:rsid w:val="00F270F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70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0F5"/>
  </w:style>
  <w:style w:type="paragraph" w:styleId="Footer">
    <w:name w:val="footer"/>
    <w:basedOn w:val="Normal"/>
    <w:link w:val="FooterChar"/>
    <w:uiPriority w:val="99"/>
    <w:unhideWhenUsed/>
    <w:rsid w:val="00F270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0F5"/>
  </w:style>
  <w:style w:type="character" w:customStyle="1" w:styleId="Heading1Char">
    <w:name w:val="Heading 1 Char"/>
    <w:basedOn w:val="DefaultParagraphFont"/>
    <w:link w:val="Heading1"/>
    <w:uiPriority w:val="9"/>
    <w:rsid w:val="00F270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98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0C3D10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EE7-810E-45EA-8FAB-0AE0D9C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4036</Words>
  <Characters>23010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Radusinovic</dc:creator>
  <cp:keywords/>
  <dc:description/>
  <cp:lastModifiedBy>Dusanka Vujisic</cp:lastModifiedBy>
  <cp:revision>14</cp:revision>
  <cp:lastPrinted>2024-07-25T09:22:00Z</cp:lastPrinted>
  <dcterms:created xsi:type="dcterms:W3CDTF">2025-01-27T08:02:00Z</dcterms:created>
  <dcterms:modified xsi:type="dcterms:W3CDTF">2025-01-27T09:45:00Z</dcterms:modified>
</cp:coreProperties>
</file>