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57150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6C7" w:rsidRDefault="008166C7" w:rsidP="00816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8166C7" w:rsidRDefault="008166C7" w:rsidP="00816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8166C7" w:rsidRDefault="008166C7" w:rsidP="00816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8166C7" w:rsidRDefault="008166C7" w:rsidP="00816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166C7" w:rsidRDefault="008166C7" w:rsidP="00816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166C7" w:rsidRDefault="008166C7" w:rsidP="008166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8166C7" w:rsidRDefault="008166C7" w:rsidP="008166C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  <w:p w:rsidR="008166C7" w:rsidRDefault="008166C7" w:rsidP="008166C7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4.5pt;width:31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" stroked="f">
                <v:textbox>
                  <w:txbxContent>
                    <w:p w:rsidR="008166C7" w:rsidRDefault="008166C7" w:rsidP="008166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8166C7" w:rsidRDefault="008166C7" w:rsidP="008166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8166C7" w:rsidRDefault="008166C7" w:rsidP="008166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8166C7" w:rsidRDefault="008166C7" w:rsidP="008166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166C7" w:rsidRDefault="008166C7" w:rsidP="008166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166C7" w:rsidRDefault="008166C7" w:rsidP="008166C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8166C7" w:rsidRDefault="008166C7" w:rsidP="008166C7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sl-SI"/>
                        </w:rPr>
                      </w:pPr>
                    </w:p>
                    <w:p w:rsidR="008166C7" w:rsidRDefault="008166C7" w:rsidP="008166C7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  <w:r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  <w:t xml:space="preserve">    </w:t>
      </w: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  <w:r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  <w:t xml:space="preserve"> </w:t>
      </w: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val="sr-Latn-ME"/>
        </w:rPr>
      </w:pP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</w:pPr>
      <w:r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  <w:t>I Z V J E Š T A J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</w:pPr>
      <w:r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  <w:t>Odjeljenja za unutrašnju kontrolu policije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</w:pPr>
      <w:r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  <w:t>o postupanju po pritužbama i izvršenim kontrolama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</w:pPr>
      <w:r>
        <w:rPr>
          <w:rFonts w:ascii="Arial" w:eastAsia="Calibri" w:hAnsi="Arial" w:cs="Arial"/>
          <w:b/>
          <w:bCs/>
          <w:sz w:val="24"/>
          <w:szCs w:val="24"/>
          <w:lang w:val="sr-Latn-ME" w:eastAsia="x-none"/>
        </w:rPr>
        <w:t>za mjesec  A V G U S T  2022. godine</w:t>
      </w: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lang w:val="sr-Latn-ME" w:eastAsia="x-none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  <w:r>
        <w:rPr>
          <w:rFonts w:ascii="Arial" w:eastAsia="Times New Roman" w:hAnsi="Arial" w:cs="Arial"/>
          <w:sz w:val="21"/>
          <w:szCs w:val="21"/>
          <w:lang w:val="sr-Latn-ME"/>
        </w:rPr>
        <w:t>Odjeljenje za unutrašnju kontrolu policije je tokom mjeseca avgusta 2022.godine izvršilo kontrole zakonitosti postupanja policijskih službenika na osnovu dvije pritužbe građana na postupanje i ponašanje policijskih službenika.</w:t>
      </w:r>
    </w:p>
    <w:p w:rsidR="008166C7" w:rsidRPr="007E1247" w:rsidRDefault="008166C7" w:rsidP="008166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>Pritužbe su se sadržinski odnosile na način vršenja policijskih poslova i primjenu policijskih ovlašćenja</w:t>
      </w:r>
      <w:r>
        <w:rPr>
          <w:rFonts w:ascii="Arial" w:hAnsi="Arial" w:cs="Arial"/>
          <w:sz w:val="21"/>
          <w:szCs w:val="21"/>
          <w:lang w:val="sr-Latn-ME"/>
        </w:rPr>
        <w:t xml:space="preserve"> u jednom slučaju, i  na ponašanje policijskog službenika van službene dužnosti, u drugom slučaju</w:t>
      </w:r>
      <w:r w:rsidRPr="007E1247">
        <w:rPr>
          <w:rFonts w:ascii="Arial" w:hAnsi="Arial" w:cs="Arial"/>
          <w:sz w:val="21"/>
          <w:szCs w:val="21"/>
          <w:lang w:val="sr-Latn-ME"/>
        </w:rPr>
        <w:t>.</w:t>
      </w: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>U</w:t>
      </w:r>
      <w:r>
        <w:rPr>
          <w:rFonts w:ascii="Arial" w:hAnsi="Arial" w:cs="Arial"/>
          <w:sz w:val="21"/>
          <w:szCs w:val="21"/>
          <w:lang w:val="sr-Latn-ME"/>
        </w:rPr>
        <w:t xml:space="preserve"> jednom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</w:t>
      </w:r>
      <w:r>
        <w:rPr>
          <w:rFonts w:ascii="Arial" w:hAnsi="Arial" w:cs="Arial"/>
          <w:sz w:val="21"/>
          <w:szCs w:val="21"/>
          <w:lang w:val="sr-Latn-ME"/>
        </w:rPr>
        <w:t>slučaju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 radilo se o pritužb</w:t>
      </w:r>
      <w:r>
        <w:rPr>
          <w:rFonts w:ascii="Arial" w:hAnsi="Arial" w:cs="Arial"/>
          <w:sz w:val="21"/>
          <w:szCs w:val="21"/>
          <w:lang w:val="sr-Latn-ME"/>
        </w:rPr>
        <w:t>i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na policijsk</w:t>
      </w:r>
      <w:r>
        <w:rPr>
          <w:rFonts w:ascii="Arial" w:hAnsi="Arial" w:cs="Arial"/>
          <w:sz w:val="21"/>
          <w:szCs w:val="21"/>
          <w:lang w:val="sr-Latn-ME"/>
        </w:rPr>
        <w:t>og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službenik</w:t>
      </w:r>
      <w:r>
        <w:rPr>
          <w:rFonts w:ascii="Arial" w:hAnsi="Arial" w:cs="Arial"/>
          <w:sz w:val="21"/>
          <w:szCs w:val="21"/>
          <w:lang w:val="sr-Latn-ME"/>
        </w:rPr>
        <w:t>a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policije opšte nadležnosti, </w:t>
      </w:r>
      <w:r>
        <w:rPr>
          <w:rFonts w:ascii="Arial" w:hAnsi="Arial" w:cs="Arial"/>
          <w:sz w:val="21"/>
          <w:szCs w:val="21"/>
          <w:lang w:val="sr-Latn-ME"/>
        </w:rPr>
        <w:t xml:space="preserve">dok se u drugom slučaju pritužba odnosila </w:t>
      </w:r>
      <w:r w:rsidRPr="007E1247">
        <w:rPr>
          <w:rFonts w:ascii="Arial" w:hAnsi="Arial" w:cs="Arial"/>
          <w:sz w:val="21"/>
          <w:szCs w:val="21"/>
          <w:lang w:val="sr-Latn-ME"/>
        </w:rPr>
        <w:t>na ponašanje policijsk</w:t>
      </w:r>
      <w:r>
        <w:rPr>
          <w:rFonts w:ascii="Arial" w:hAnsi="Arial" w:cs="Arial"/>
          <w:sz w:val="21"/>
          <w:szCs w:val="21"/>
          <w:lang w:val="sr-Latn-ME"/>
        </w:rPr>
        <w:t xml:space="preserve">og službenika </w:t>
      </w:r>
      <w:r w:rsidRPr="007E1247">
        <w:rPr>
          <w:rFonts w:ascii="Arial" w:hAnsi="Arial" w:cs="Arial"/>
          <w:sz w:val="21"/>
          <w:szCs w:val="21"/>
          <w:lang w:val="sr-Latn-ME"/>
        </w:rPr>
        <w:t>policije</w:t>
      </w:r>
      <w:r>
        <w:rPr>
          <w:rFonts w:ascii="Arial" w:hAnsi="Arial" w:cs="Arial"/>
          <w:sz w:val="21"/>
          <w:szCs w:val="21"/>
          <w:lang w:val="sr-Latn-ME"/>
        </w:rPr>
        <w:t xml:space="preserve"> Odsjeka za obezbjeđenje ličnosti</w:t>
      </w:r>
      <w:r w:rsidRPr="007E1247">
        <w:rPr>
          <w:rFonts w:ascii="Arial" w:hAnsi="Arial" w:cs="Arial"/>
          <w:sz w:val="21"/>
          <w:szCs w:val="21"/>
          <w:lang w:val="sr-Latn-ME"/>
        </w:rPr>
        <w:t>.</w:t>
      </w: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pStyle w:val="CommentText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 xml:space="preserve">Na osnovu činjenica i dokaza utvrđenih u postupcima unutrašnje kontrole povodom predmetnih pritužbi, u </w:t>
      </w:r>
      <w:r>
        <w:rPr>
          <w:rFonts w:ascii="Arial" w:hAnsi="Arial" w:cs="Arial"/>
          <w:sz w:val="21"/>
          <w:szCs w:val="21"/>
          <w:lang w:val="sr-Latn-ME"/>
        </w:rPr>
        <w:t>ovim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slučaj</w:t>
      </w:r>
      <w:r>
        <w:rPr>
          <w:rFonts w:ascii="Arial" w:hAnsi="Arial" w:cs="Arial"/>
          <w:sz w:val="21"/>
          <w:szCs w:val="21"/>
          <w:lang w:val="sr-Latn-ME"/>
        </w:rPr>
        <w:t>evima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pritužb</w:t>
      </w:r>
      <w:r>
        <w:rPr>
          <w:rFonts w:ascii="Arial" w:hAnsi="Arial" w:cs="Arial"/>
          <w:sz w:val="21"/>
          <w:szCs w:val="21"/>
          <w:lang w:val="sr-Latn-ME"/>
        </w:rPr>
        <w:t>e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</w:t>
      </w:r>
      <w:r>
        <w:rPr>
          <w:rFonts w:ascii="Arial" w:hAnsi="Arial" w:cs="Arial"/>
          <w:sz w:val="21"/>
          <w:szCs w:val="21"/>
          <w:lang w:val="sr-Latn-ME"/>
        </w:rPr>
        <w:t>su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ocijenjen</w:t>
      </w:r>
      <w:r>
        <w:rPr>
          <w:rFonts w:ascii="Arial" w:hAnsi="Arial" w:cs="Arial"/>
          <w:sz w:val="21"/>
          <w:szCs w:val="21"/>
          <w:lang w:val="sr-Latn-ME"/>
        </w:rPr>
        <w:t>e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osnovan</w:t>
      </w:r>
      <w:r>
        <w:rPr>
          <w:rFonts w:ascii="Arial" w:hAnsi="Arial" w:cs="Arial"/>
          <w:sz w:val="21"/>
          <w:szCs w:val="21"/>
          <w:lang w:val="sr-Latn-ME"/>
        </w:rPr>
        <w:t>i</w:t>
      </w:r>
      <w:r w:rsidRPr="007E1247">
        <w:rPr>
          <w:rFonts w:ascii="Arial" w:hAnsi="Arial" w:cs="Arial"/>
          <w:sz w:val="21"/>
          <w:szCs w:val="21"/>
          <w:lang w:val="sr-Latn-ME"/>
        </w:rPr>
        <w:t>m, uslijed čega su preduzete sljedeće mjere:</w:t>
      </w:r>
    </w:p>
    <w:p w:rsidR="008166C7" w:rsidRPr="007E1247" w:rsidRDefault="008166C7" w:rsidP="008166C7">
      <w:pPr>
        <w:pStyle w:val="CommentText"/>
        <w:ind w:firstLine="720"/>
        <w:jc w:val="both"/>
        <w:rPr>
          <w:rFonts w:ascii="Arial" w:hAnsi="Arial" w:cs="Arial"/>
          <w:color w:val="5B9BD5"/>
          <w:sz w:val="16"/>
          <w:szCs w:val="16"/>
          <w:lang w:val="sr-Latn-ME"/>
        </w:rPr>
      </w:pPr>
    </w:p>
    <w:p w:rsidR="008166C7" w:rsidRPr="007E1247" w:rsidRDefault="008166C7" w:rsidP="008166C7">
      <w:pPr>
        <w:pStyle w:val="CommentText"/>
        <w:ind w:firstLine="720"/>
        <w:jc w:val="both"/>
        <w:rPr>
          <w:rFonts w:ascii="Arial" w:eastAsia="Calibri" w:hAnsi="Arial" w:cs="Arial"/>
          <w:bCs/>
          <w:color w:val="5B9BD5"/>
          <w:sz w:val="16"/>
          <w:szCs w:val="16"/>
          <w:lang w:val="sr-Latn-ME"/>
        </w:rPr>
      </w:pPr>
    </w:p>
    <w:p w:rsidR="008166C7" w:rsidRPr="007E1247" w:rsidRDefault="008166C7" w:rsidP="008166C7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bCs/>
          <w:color w:val="000000" w:themeColor="text1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 xml:space="preserve">● u postupku kontrole je utvrđeno postojanje osnovane sumnje da </w:t>
      </w:r>
      <w:r>
        <w:rPr>
          <w:rFonts w:ascii="Arial" w:hAnsi="Arial" w:cs="Arial"/>
          <w:sz w:val="21"/>
          <w:szCs w:val="21"/>
          <w:lang w:val="sr-Latn-ME"/>
        </w:rPr>
        <w:t>je</w:t>
      </w:r>
      <w:r w:rsidRPr="007E1247">
        <w:rPr>
          <w:rFonts w:ascii="Arial" w:hAnsi="Arial" w:cs="Arial"/>
          <w:iCs/>
          <w:sz w:val="21"/>
          <w:szCs w:val="21"/>
          <w:lang w:val="sr-Latn-ME"/>
        </w:rPr>
        <w:t xml:space="preserve"> policijsk</w:t>
      </w:r>
      <w:r>
        <w:rPr>
          <w:rFonts w:ascii="Arial" w:hAnsi="Arial" w:cs="Arial"/>
          <w:iCs/>
          <w:sz w:val="21"/>
          <w:szCs w:val="21"/>
          <w:lang w:val="sr-Latn-ME"/>
        </w:rPr>
        <w:t>a</w:t>
      </w:r>
      <w:r w:rsidRPr="007E1247">
        <w:rPr>
          <w:rFonts w:ascii="Arial" w:hAnsi="Arial" w:cs="Arial"/>
          <w:iCs/>
          <w:sz w:val="21"/>
          <w:szCs w:val="21"/>
          <w:lang w:val="sr-Latn-ME"/>
        </w:rPr>
        <w:t xml:space="preserve"> službeni</w:t>
      </w:r>
      <w:r>
        <w:rPr>
          <w:rFonts w:ascii="Arial" w:hAnsi="Arial" w:cs="Arial"/>
          <w:iCs/>
          <w:sz w:val="21"/>
          <w:szCs w:val="21"/>
          <w:lang w:val="sr-Latn-ME"/>
        </w:rPr>
        <w:t>c</w:t>
      </w:r>
      <w:r w:rsidRPr="007E1247">
        <w:rPr>
          <w:rFonts w:ascii="Arial" w:hAnsi="Arial" w:cs="Arial"/>
          <w:iCs/>
          <w:sz w:val="21"/>
          <w:szCs w:val="21"/>
          <w:lang w:val="sr-Latn-ME"/>
        </w:rPr>
        <w:t xml:space="preserve">a </w:t>
      </w:r>
      <w:r w:rsidR="00125117">
        <w:rPr>
          <w:rFonts w:ascii="Arial" w:hAnsi="Arial" w:cs="Arial"/>
          <w:iCs/>
          <w:sz w:val="21"/>
          <w:szCs w:val="21"/>
          <w:lang w:val="sr-Latn-ME"/>
        </w:rPr>
        <w:t>Centra bezbjednosti</w:t>
      </w:r>
      <w:r>
        <w:rPr>
          <w:rFonts w:ascii="Arial" w:hAnsi="Arial" w:cs="Arial"/>
          <w:iCs/>
          <w:sz w:val="21"/>
          <w:szCs w:val="21"/>
          <w:lang w:val="sr-Latn-ME"/>
        </w:rPr>
        <w:t xml:space="preserve"> Nikšić 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>počinil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a težu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povrede službene dužno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sti iz člana 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173 stav 1 tačka 24 Zakona o unutrašnjim poslovima (nesačinjavanje ili neblagovremeno, nepotpuno ili neuredno sačinjavanje službenog dokumenta o preduzimanju službene radnje ili primjeni policijskog ovlašćenja) i člana 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>95 st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av 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>1 t</w:t>
      </w:r>
      <w:r>
        <w:rPr>
          <w:rFonts w:ascii="Arial" w:eastAsia="Times New Roman" w:hAnsi="Arial" w:cs="Arial"/>
          <w:sz w:val="21"/>
          <w:szCs w:val="21"/>
          <w:lang w:val="sr-Latn-ME"/>
        </w:rPr>
        <w:t>ačka 1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 Zakona o državnim službenicima i namještenicima (</w:t>
      </w:r>
      <w:r>
        <w:rPr>
          <w:rFonts w:ascii="Arial" w:eastAsia="Times New Roman" w:hAnsi="Arial" w:cs="Arial"/>
          <w:sz w:val="21"/>
          <w:szCs w:val="21"/>
          <w:lang w:val="sr-Latn-ME"/>
        </w:rPr>
        <w:t>neizvršavanje ili nesavjesno ili neblagovremeno ili nemarno vršenje službenih obaveza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), usljed čega je </w:t>
      </w:r>
      <w:r w:rsidRPr="007E1247">
        <w:rPr>
          <w:rFonts w:ascii="Arial" w:hAnsi="Arial" w:cs="Arial"/>
          <w:sz w:val="21"/>
          <w:szCs w:val="21"/>
          <w:lang w:val="sr-Latn-ME"/>
        </w:rPr>
        <w:t>Izvještaj o izvršenim provjerama, sa spisima predmeta, dostavljen direktoru Uprave policije na dalji postupak, u cilju pokretanja disciplinskog postupka protiv policijsk</w:t>
      </w:r>
      <w:r>
        <w:rPr>
          <w:rFonts w:ascii="Arial" w:hAnsi="Arial" w:cs="Arial"/>
          <w:sz w:val="21"/>
          <w:szCs w:val="21"/>
          <w:lang w:val="sr-Latn-ME"/>
        </w:rPr>
        <w:t>e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službeni</w:t>
      </w:r>
      <w:r>
        <w:rPr>
          <w:rFonts w:ascii="Arial" w:hAnsi="Arial" w:cs="Arial"/>
          <w:sz w:val="21"/>
          <w:szCs w:val="21"/>
          <w:lang w:val="sr-Latn-ME"/>
        </w:rPr>
        <w:t>ce</w:t>
      </w:r>
      <w:r w:rsidRPr="007E1247">
        <w:rPr>
          <w:rFonts w:ascii="Arial" w:hAnsi="Arial" w:cs="Arial"/>
          <w:bCs/>
          <w:color w:val="000000" w:themeColor="text1"/>
          <w:sz w:val="21"/>
          <w:szCs w:val="21"/>
          <w:lang w:val="sr-Latn-ME"/>
        </w:rPr>
        <w:t>.</w:t>
      </w:r>
    </w:p>
    <w:p w:rsidR="008166C7" w:rsidRPr="007E1247" w:rsidRDefault="008166C7" w:rsidP="008166C7">
      <w:pPr>
        <w:spacing w:after="0" w:line="240" w:lineRule="auto"/>
        <w:ind w:right="-57" w:firstLine="708"/>
        <w:jc w:val="both"/>
        <w:rPr>
          <w:rFonts w:ascii="Arial" w:hAnsi="Arial" w:cs="Arial"/>
          <w:color w:val="0000FF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>● u postupku kontrole</w:t>
      </w:r>
      <w:r>
        <w:rPr>
          <w:rFonts w:ascii="Arial" w:hAnsi="Arial" w:cs="Arial"/>
          <w:sz w:val="21"/>
          <w:szCs w:val="21"/>
          <w:lang w:val="sr-Latn-ME"/>
        </w:rPr>
        <w:t xml:space="preserve"> 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je utvrđeno postojanje osnovane sumnje da </w:t>
      </w:r>
      <w:r>
        <w:rPr>
          <w:rFonts w:ascii="Arial" w:hAnsi="Arial" w:cs="Arial"/>
          <w:sz w:val="21"/>
          <w:szCs w:val="21"/>
          <w:lang w:val="sr-Latn-ME"/>
        </w:rPr>
        <w:t xml:space="preserve">je policijski službenik </w:t>
      </w:r>
      <w:r w:rsidR="00125117">
        <w:rPr>
          <w:rFonts w:ascii="Arial" w:hAnsi="Arial" w:cs="Arial"/>
          <w:sz w:val="21"/>
          <w:szCs w:val="21"/>
          <w:lang w:val="sr-Latn-ME"/>
        </w:rPr>
        <w:t xml:space="preserve">Odsjeka za obezbjeđenje ličnosti </w:t>
      </w:r>
      <w:r>
        <w:rPr>
          <w:rFonts w:ascii="Arial" w:hAnsi="Arial" w:cs="Arial"/>
          <w:sz w:val="21"/>
          <w:szCs w:val="21"/>
          <w:lang w:val="sr-Latn-ME"/>
        </w:rPr>
        <w:t>postupio suprotno Kodeksu policijske etike, usljed čega je Izvještaj sa spisima predmeta dostavljen Etičkom od</w:t>
      </w:r>
      <w:r w:rsidR="00125117">
        <w:rPr>
          <w:rFonts w:ascii="Arial" w:hAnsi="Arial" w:cs="Arial"/>
          <w:sz w:val="21"/>
          <w:szCs w:val="21"/>
          <w:lang w:val="sr-Latn-ME"/>
        </w:rPr>
        <w:t>boru, na ocjenu etičnosti postu</w:t>
      </w:r>
      <w:r>
        <w:rPr>
          <w:rFonts w:ascii="Arial" w:hAnsi="Arial" w:cs="Arial"/>
          <w:sz w:val="21"/>
          <w:szCs w:val="21"/>
          <w:lang w:val="sr-Latn-ME"/>
        </w:rPr>
        <w:t>p</w:t>
      </w:r>
      <w:r w:rsidR="00125117">
        <w:rPr>
          <w:rFonts w:ascii="Arial" w:hAnsi="Arial" w:cs="Arial"/>
          <w:sz w:val="21"/>
          <w:szCs w:val="21"/>
          <w:lang w:val="sr-Latn-ME"/>
        </w:rPr>
        <w:t>a</w:t>
      </w:r>
      <w:r>
        <w:rPr>
          <w:rFonts w:ascii="Arial" w:hAnsi="Arial" w:cs="Arial"/>
          <w:sz w:val="21"/>
          <w:szCs w:val="21"/>
          <w:lang w:val="sr-Latn-ME"/>
        </w:rPr>
        <w:t>nja policijskog službenika</w:t>
      </w:r>
      <w:r w:rsidRPr="007E1247">
        <w:rPr>
          <w:rFonts w:ascii="Arial" w:hAnsi="Arial" w:cs="Arial"/>
          <w:sz w:val="21"/>
          <w:szCs w:val="21"/>
          <w:lang w:val="sr-Latn-ME"/>
        </w:rPr>
        <w:t>.</w:t>
      </w:r>
    </w:p>
    <w:p w:rsidR="008166C7" w:rsidRPr="007E124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rPr>
          <w:rFonts w:ascii="Arial" w:hAnsi="Arial" w:cs="Arial"/>
          <w:bCs/>
          <w:i/>
          <w:iCs/>
          <w:sz w:val="21"/>
          <w:szCs w:val="21"/>
          <w:lang w:val="sr-Latn-ME"/>
        </w:rPr>
      </w:pPr>
      <w:r w:rsidRPr="007E1247">
        <w:rPr>
          <w:rFonts w:ascii="Arial" w:hAnsi="Arial" w:cs="Arial"/>
          <w:bCs/>
          <w:i/>
          <w:iCs/>
          <w:sz w:val="21"/>
          <w:szCs w:val="21"/>
          <w:u w:val="single"/>
          <w:lang w:val="sr-Latn-ME"/>
        </w:rPr>
        <w:t>Pregled sadržine pritužbi i ishoda sprovedenih postupaka unutrašnje kontrole</w:t>
      </w:r>
      <w:r w:rsidRPr="007E1247">
        <w:rPr>
          <w:rFonts w:ascii="Arial" w:hAnsi="Arial" w:cs="Arial"/>
          <w:bCs/>
          <w:i/>
          <w:iCs/>
          <w:sz w:val="21"/>
          <w:szCs w:val="21"/>
          <w:lang w:val="sr-Latn-ME"/>
        </w:rPr>
        <w:t>:</w:t>
      </w:r>
    </w:p>
    <w:p w:rsidR="008166C7" w:rsidRPr="007E124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b/>
          <w:bCs/>
          <w:sz w:val="21"/>
          <w:szCs w:val="21"/>
          <w:lang w:val="sr-Latn-ME"/>
        </w:rPr>
        <w:t>1.)</w:t>
      </w:r>
      <w:r w:rsidRPr="007E1247">
        <w:rPr>
          <w:rFonts w:ascii="Arial" w:hAnsi="Arial" w:cs="Arial"/>
          <w:b/>
          <w:sz w:val="24"/>
          <w:lang w:val="sr-Latn-ME"/>
        </w:rPr>
        <w:t xml:space="preserve"> 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</w:t>
      </w:r>
      <w:r w:rsidR="00125117" w:rsidRPr="007E1247">
        <w:rPr>
          <w:rFonts w:ascii="Arial" w:hAnsi="Arial" w:cs="Arial"/>
          <w:sz w:val="21"/>
          <w:szCs w:val="21"/>
          <w:lang w:val="sr-Latn-ME"/>
        </w:rPr>
        <w:t xml:space="preserve">Građani </w:t>
      </w:r>
      <w:r w:rsidR="00125117">
        <w:rPr>
          <w:rFonts w:ascii="Arial" w:hAnsi="Arial" w:cs="Arial"/>
          <w:sz w:val="21"/>
          <w:szCs w:val="21"/>
          <w:lang w:val="sr-Latn-ME"/>
        </w:rPr>
        <w:t>T.K.P., D.J. i E.G. iz Nikšića</w:t>
      </w:r>
      <w:r w:rsidR="00125117" w:rsidRPr="007E1247">
        <w:rPr>
          <w:rFonts w:ascii="Arial" w:hAnsi="Arial" w:cs="Arial"/>
          <w:sz w:val="21"/>
          <w:szCs w:val="21"/>
          <w:lang w:val="sr-Latn-ME"/>
        </w:rPr>
        <w:t xml:space="preserve"> </w:t>
      </w:r>
      <w:r w:rsidR="00125117">
        <w:rPr>
          <w:rFonts w:ascii="Arial" w:hAnsi="Arial" w:cs="Arial"/>
          <w:sz w:val="21"/>
          <w:szCs w:val="21"/>
          <w:lang w:val="sr-Latn-ME"/>
        </w:rPr>
        <w:t>(građanin D.J. je u međuvremenu odustao od pritužbe) uputili su Odjeljenju za untrašnju kontrolu policije pritužbu kojom je tražena provjera</w:t>
      </w:r>
      <w:r w:rsidR="00125117"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 postupanja policijsk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ih</w:t>
      </w:r>
      <w:r w:rsidR="00125117"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 službeni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ka Centra bezbjednosti Nikšić, koja se odnosi na uručenje poziva podnosiocima pritužbe radi davanja obavještenja u vezi njihovih komentara na društvenoj mreži „Facebook“, a na osnovu prijave građanina R.Č. iz Nikšića</w:t>
      </w:r>
      <w:r w:rsidR="00357322">
        <w:rPr>
          <w:rFonts w:ascii="Arial" w:eastAsia="Times New Roman" w:hAnsi="Arial" w:cs="Arial"/>
          <w:sz w:val="21"/>
          <w:szCs w:val="21"/>
          <w:lang w:val="sr-Latn-ME"/>
        </w:rPr>
        <w:t>.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</w:t>
      </w:r>
    </w:p>
    <w:p w:rsidR="008166C7" w:rsidRPr="007E1247" w:rsidRDefault="008166C7" w:rsidP="008166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/>
          <w:bCs/>
          <w:color w:val="5B9BD5"/>
          <w:sz w:val="21"/>
          <w:szCs w:val="21"/>
          <w:lang w:val="sr-Latn-ME"/>
        </w:rPr>
      </w:pPr>
    </w:p>
    <w:p w:rsidR="008166C7" w:rsidRPr="00EF07E1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  <w:lang w:val="sr-Latn-ME"/>
        </w:rPr>
      </w:pPr>
      <w:r w:rsidRPr="007E1247">
        <w:rPr>
          <w:rFonts w:ascii="Arial" w:hAnsi="Arial" w:cs="Arial"/>
          <w:b/>
          <w:bCs/>
          <w:i/>
          <w:iCs/>
          <w:color w:val="5B9BD5"/>
          <w:sz w:val="21"/>
          <w:szCs w:val="21"/>
          <w:lang w:val="sr-Latn-ME"/>
        </w:rPr>
        <w:t xml:space="preserve"> </w:t>
      </w:r>
      <w:r w:rsidRPr="007E1247">
        <w:rPr>
          <w:rFonts w:ascii="Arial" w:hAnsi="Arial" w:cs="Arial"/>
          <w:b/>
          <w:bCs/>
          <w:i/>
          <w:iCs/>
          <w:sz w:val="21"/>
          <w:szCs w:val="21"/>
          <w:lang w:val="sr-Latn-ME"/>
        </w:rPr>
        <w:t>●</w:t>
      </w:r>
      <w:r>
        <w:rPr>
          <w:rFonts w:ascii="Arial" w:hAnsi="Arial" w:cs="Arial"/>
          <w:b/>
          <w:bCs/>
          <w:i/>
          <w:iCs/>
          <w:sz w:val="21"/>
          <w:szCs w:val="21"/>
          <w:lang w:val="sr-Latn-ME"/>
        </w:rPr>
        <w:t xml:space="preserve"> </w:t>
      </w:r>
      <w:r w:rsidRPr="007E1247">
        <w:rPr>
          <w:rFonts w:ascii="Arial" w:hAnsi="Arial" w:cs="Arial"/>
          <w:bCs/>
          <w:i/>
          <w:iCs/>
          <w:sz w:val="21"/>
          <w:szCs w:val="21"/>
          <w:lang w:val="sr-Latn-ME"/>
        </w:rPr>
        <w:t>N</w:t>
      </w:r>
      <w:r w:rsidRPr="007E1247">
        <w:rPr>
          <w:rFonts w:ascii="Arial" w:hAnsi="Arial" w:cs="Arial"/>
          <w:i/>
          <w:iCs/>
          <w:sz w:val="21"/>
          <w:szCs w:val="21"/>
          <w:lang w:val="sr-Latn-ME"/>
        </w:rPr>
        <w:t xml:space="preserve">a osnovu činjenica i dokaza utvrđenih u postupku unutrašnje kontrole povodom predmetnog slučaja, konstatovano je da postoji osnovana sumnja da </w:t>
      </w:r>
      <w:r w:rsidRPr="00EF07E1">
        <w:rPr>
          <w:rFonts w:ascii="Arial" w:hAnsi="Arial" w:cs="Arial"/>
          <w:i/>
          <w:sz w:val="21"/>
          <w:szCs w:val="21"/>
          <w:lang w:val="sr-Latn-ME"/>
        </w:rPr>
        <w:t>je</w:t>
      </w:r>
      <w:r w:rsidRPr="00EF07E1">
        <w:rPr>
          <w:rFonts w:ascii="Arial" w:hAnsi="Arial" w:cs="Arial"/>
          <w:i/>
          <w:iCs/>
          <w:sz w:val="21"/>
          <w:szCs w:val="21"/>
          <w:lang w:val="sr-Latn-ME"/>
        </w:rPr>
        <w:t xml:space="preserve"> policijska službenica </w:t>
      </w:r>
      <w:r w:rsidR="00125117">
        <w:rPr>
          <w:rFonts w:ascii="Arial" w:hAnsi="Arial" w:cs="Arial"/>
          <w:i/>
          <w:iCs/>
          <w:sz w:val="21"/>
          <w:szCs w:val="21"/>
          <w:lang w:val="sr-Latn-ME"/>
        </w:rPr>
        <w:t>Centra bezbjednosti</w:t>
      </w:r>
      <w:r w:rsidRPr="00EF07E1">
        <w:rPr>
          <w:rFonts w:ascii="Arial" w:hAnsi="Arial" w:cs="Arial"/>
          <w:i/>
          <w:iCs/>
          <w:sz w:val="21"/>
          <w:szCs w:val="21"/>
          <w:lang w:val="sr-Latn-ME"/>
        </w:rPr>
        <w:t xml:space="preserve"> Nikšić N</w:t>
      </w:r>
      <w:r>
        <w:rPr>
          <w:rFonts w:ascii="Arial" w:hAnsi="Arial" w:cs="Arial"/>
          <w:i/>
          <w:iCs/>
          <w:sz w:val="21"/>
          <w:szCs w:val="21"/>
          <w:lang w:val="sr-Latn-ME"/>
        </w:rPr>
        <w:t>.</w:t>
      </w:r>
      <w:r w:rsidRPr="00EF07E1">
        <w:rPr>
          <w:rFonts w:ascii="Arial" w:hAnsi="Arial" w:cs="Arial"/>
          <w:i/>
          <w:iCs/>
          <w:sz w:val="21"/>
          <w:szCs w:val="21"/>
          <w:lang w:val="sr-Latn-ME"/>
        </w:rPr>
        <w:t>G</w:t>
      </w:r>
      <w:r>
        <w:rPr>
          <w:rFonts w:ascii="Arial" w:hAnsi="Arial" w:cs="Arial"/>
          <w:i/>
          <w:iCs/>
          <w:sz w:val="21"/>
          <w:szCs w:val="21"/>
          <w:lang w:val="sr-Latn-ME"/>
        </w:rPr>
        <w:t>.</w:t>
      </w:r>
      <w:r w:rsidRPr="00EF07E1">
        <w:rPr>
          <w:rFonts w:ascii="Arial" w:hAnsi="Arial" w:cs="Arial"/>
          <w:i/>
          <w:iCs/>
          <w:sz w:val="21"/>
          <w:szCs w:val="21"/>
          <w:lang w:val="sr-Latn-ME"/>
        </w:rPr>
        <w:t xml:space="preserve"> </w:t>
      </w:r>
      <w:r w:rsidR="00125117">
        <w:rPr>
          <w:rFonts w:ascii="Arial" w:eastAsia="Times New Roman" w:hAnsi="Arial" w:cs="Arial"/>
          <w:i/>
          <w:sz w:val="21"/>
          <w:szCs w:val="21"/>
          <w:lang w:val="sr-Latn-ME"/>
        </w:rPr>
        <w:t>počinila težu</w:t>
      </w:r>
      <w:r w:rsidRPr="00EF07E1">
        <w:rPr>
          <w:rFonts w:ascii="Arial" w:eastAsia="Times New Roman" w:hAnsi="Arial" w:cs="Arial"/>
          <w:i/>
          <w:sz w:val="21"/>
          <w:szCs w:val="21"/>
          <w:lang w:val="sr-Latn-ME"/>
        </w:rPr>
        <w:t xml:space="preserve"> povrede službene dužnosti iz člana 173 stav 1 tačka 24 Zakona o unutrašnjim poslovima (nesačinjavanje ili neblagovremeno, nepotpuno ili neuredno sačinjavanje službenog dokumenta o preduzimanju službene radnje ili primjeni policijskog ovlašćenja) i člana 95 stav 1 tačka 1 Zakona o državnim službenicima i namještenicima (neizvršavanje ili nesavjesno ili neblagovremeno ili nemarno vršenje službenih obaveza), usljed čega je </w:t>
      </w:r>
      <w:r w:rsidRPr="00EF07E1">
        <w:rPr>
          <w:rFonts w:ascii="Arial" w:hAnsi="Arial" w:cs="Arial"/>
          <w:i/>
          <w:sz w:val="21"/>
          <w:szCs w:val="21"/>
          <w:lang w:val="sr-Latn-ME"/>
        </w:rPr>
        <w:t>Izvještaj o izvršenim provjerama, sa spisima predmeta, dostavljen direktoru Uprave policije na dalji postupak, u cilju pokretanja disciplinskog postupka protiv policijske službenice</w:t>
      </w:r>
      <w:r w:rsidRPr="00EF07E1">
        <w:rPr>
          <w:rFonts w:ascii="Arial" w:hAnsi="Arial" w:cs="Arial"/>
          <w:bCs/>
          <w:i/>
          <w:color w:val="000000" w:themeColor="text1"/>
          <w:sz w:val="21"/>
          <w:szCs w:val="21"/>
          <w:lang w:val="sr-Latn-ME"/>
        </w:rPr>
        <w:t>.</w:t>
      </w:r>
    </w:p>
    <w:p w:rsidR="008166C7" w:rsidRPr="007E1247" w:rsidRDefault="008166C7" w:rsidP="008166C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1"/>
          <w:szCs w:val="21"/>
          <w:lang w:val="sr-Latn-ME"/>
        </w:rPr>
      </w:pPr>
      <w:r w:rsidRPr="007E1247">
        <w:rPr>
          <w:rFonts w:ascii="Arial" w:hAnsi="Arial" w:cs="Arial"/>
          <w:i/>
          <w:sz w:val="21"/>
          <w:szCs w:val="21"/>
          <w:lang w:val="sr-Latn-ME"/>
        </w:rPr>
        <w:tab/>
      </w: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i/>
          <w:color w:val="0000FF"/>
          <w:sz w:val="21"/>
          <w:szCs w:val="21"/>
          <w:lang w:val="sr-Latn-ME"/>
        </w:rPr>
      </w:pPr>
      <w:r w:rsidRPr="007E1247">
        <w:rPr>
          <w:rFonts w:ascii="Arial" w:hAnsi="Arial" w:cs="Arial"/>
          <w:i/>
          <w:sz w:val="21"/>
          <w:szCs w:val="21"/>
          <w:lang w:val="sr-Latn-ME"/>
        </w:rPr>
        <w:t xml:space="preserve"> </w:t>
      </w:r>
    </w:p>
    <w:p w:rsidR="008166C7" w:rsidRDefault="008166C7" w:rsidP="008166C7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b/>
          <w:sz w:val="21"/>
          <w:szCs w:val="21"/>
          <w:lang w:val="sr-Latn-ME"/>
        </w:rPr>
        <w:t xml:space="preserve">2.) 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Građanin </w:t>
      </w:r>
      <w:r>
        <w:rPr>
          <w:rFonts w:ascii="Arial" w:hAnsi="Arial" w:cs="Arial"/>
          <w:sz w:val="21"/>
          <w:szCs w:val="21"/>
          <w:lang w:val="sr-Latn-ME"/>
        </w:rPr>
        <w:t>A.S.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iz </w:t>
      </w:r>
      <w:r>
        <w:rPr>
          <w:rFonts w:ascii="Arial" w:hAnsi="Arial" w:cs="Arial"/>
          <w:sz w:val="21"/>
          <w:szCs w:val="21"/>
          <w:lang w:val="sr-Latn-ME"/>
        </w:rPr>
        <w:t>Šavnika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uputio je Odjeljenju za unutrašnju kontrolu policije pritužbu kojom je tražio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provjeru ponašanja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 policijsk</w:t>
      </w:r>
      <w:r>
        <w:rPr>
          <w:rFonts w:ascii="Arial" w:eastAsia="Times New Roman" w:hAnsi="Arial" w:cs="Arial"/>
          <w:sz w:val="21"/>
          <w:szCs w:val="21"/>
          <w:lang w:val="sr-Latn-ME"/>
        </w:rPr>
        <w:t>og</w:t>
      </w:r>
      <w:r w:rsidRPr="007E1247">
        <w:rPr>
          <w:rFonts w:ascii="Arial" w:eastAsia="Times New Roman" w:hAnsi="Arial" w:cs="Arial"/>
          <w:sz w:val="21"/>
          <w:szCs w:val="21"/>
          <w:lang w:val="sr-Latn-ME"/>
        </w:rPr>
        <w:t xml:space="preserve"> službenika </w:t>
      </w:r>
      <w:r>
        <w:rPr>
          <w:rFonts w:ascii="Arial" w:eastAsia="Times New Roman" w:hAnsi="Arial" w:cs="Arial"/>
          <w:sz w:val="21"/>
          <w:szCs w:val="21"/>
          <w:lang w:val="sr-Latn-ME"/>
        </w:rPr>
        <w:t>Odsjeka za obezbjeđenje ličnosti B.B., van službene dužnosti, gdje podnosilac pritužbe navodi da sa porodicom B. ima dugotrajan spor, te da u toku zadnjih pet godina sistemski ima prijetnje, ugrožavanja, kao i ucjene i progon i da ga je dana 21.06.2021.godine oko 09:00 časova ispred njegove porodične kuće,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 xml:space="preserve"> jeda</w:t>
      </w:r>
      <w:r w:rsidR="00357322">
        <w:rPr>
          <w:rFonts w:ascii="Arial" w:eastAsia="Times New Roman" w:hAnsi="Arial" w:cs="Arial"/>
          <w:sz w:val="21"/>
          <w:szCs w:val="21"/>
          <w:lang w:val="sr-Latn-ME"/>
        </w:rPr>
        <w:t>n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 xml:space="preserve"> od članova porodice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R.B., fizički napao i nanio 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mu povrede, a da ga je drugi član porodice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B.B.  - policijski službenik, verbalno napao.</w:t>
      </w:r>
    </w:p>
    <w:p w:rsidR="008166C7" w:rsidRPr="007E1247" w:rsidRDefault="008166C7" w:rsidP="008166C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i/>
          <w:iCs/>
          <w:sz w:val="21"/>
          <w:szCs w:val="21"/>
          <w:lang w:val="sr-Latn-ME"/>
        </w:rPr>
      </w:pPr>
      <w:r w:rsidRPr="007E1247">
        <w:rPr>
          <w:rFonts w:ascii="Arial" w:hAnsi="Arial" w:cs="Arial"/>
          <w:b/>
          <w:bCs/>
          <w:i/>
          <w:iCs/>
          <w:sz w:val="21"/>
          <w:szCs w:val="21"/>
          <w:lang w:val="sr-Latn-ME"/>
        </w:rPr>
        <w:t xml:space="preserve">● </w:t>
      </w:r>
      <w:r w:rsidRPr="007E1247">
        <w:rPr>
          <w:rFonts w:ascii="Arial" w:hAnsi="Arial" w:cs="Arial"/>
          <w:bCs/>
          <w:i/>
          <w:iCs/>
          <w:sz w:val="21"/>
          <w:szCs w:val="21"/>
          <w:lang w:val="sr-Latn-ME"/>
        </w:rPr>
        <w:t>N</w:t>
      </w:r>
      <w:r w:rsidRPr="007E1247">
        <w:rPr>
          <w:rFonts w:ascii="Arial" w:hAnsi="Arial" w:cs="Arial"/>
          <w:i/>
          <w:iCs/>
          <w:sz w:val="21"/>
          <w:szCs w:val="21"/>
          <w:lang w:val="sr-Latn-ME"/>
        </w:rPr>
        <w:t xml:space="preserve">a osnovu činjenica i dokaza utvrđenih u postupku unutrašnje kontrole povodom predmetnog slučaja, konstatovano je da postoji osnovana sumnja </w:t>
      </w:r>
      <w:r>
        <w:rPr>
          <w:rFonts w:ascii="Arial" w:hAnsi="Arial" w:cs="Arial"/>
          <w:i/>
          <w:iCs/>
          <w:sz w:val="21"/>
          <w:szCs w:val="21"/>
          <w:lang w:val="sr-Latn-ME"/>
        </w:rPr>
        <w:t xml:space="preserve">da je policijski službenik </w:t>
      </w:r>
      <w:r w:rsidR="00125117">
        <w:rPr>
          <w:rFonts w:ascii="Arial" w:hAnsi="Arial" w:cs="Arial"/>
          <w:i/>
          <w:iCs/>
          <w:sz w:val="21"/>
          <w:szCs w:val="21"/>
          <w:lang w:val="sr-Latn-ME"/>
        </w:rPr>
        <w:t xml:space="preserve">Odsjeka za obezbjeđenje ličnosti </w:t>
      </w:r>
      <w:r>
        <w:rPr>
          <w:rFonts w:ascii="Arial" w:hAnsi="Arial" w:cs="Arial"/>
          <w:i/>
          <w:iCs/>
          <w:sz w:val="21"/>
          <w:szCs w:val="21"/>
          <w:lang w:val="sr-Latn-ME"/>
        </w:rPr>
        <w:t>postupio u suprotnosti sa Kodeksom policijske etike, usljed čega je</w:t>
      </w:r>
      <w:r w:rsidRPr="007E1247">
        <w:rPr>
          <w:rFonts w:ascii="Arial" w:eastAsia="Times New Roman" w:hAnsi="Arial" w:cs="Arial"/>
          <w:i/>
          <w:sz w:val="21"/>
          <w:szCs w:val="21"/>
          <w:lang w:val="sr-Latn-ME"/>
        </w:rPr>
        <w:t xml:space="preserve">, </w:t>
      </w:r>
      <w:r w:rsidRPr="007E1247">
        <w:rPr>
          <w:rFonts w:ascii="Arial" w:hAnsi="Arial" w:cs="Arial"/>
          <w:i/>
          <w:sz w:val="21"/>
          <w:szCs w:val="21"/>
          <w:lang w:val="sr-Latn-ME"/>
        </w:rPr>
        <w:t>Izvještaj, sa spisima predmeta, dostavljen Etičkom odboru, na ocjenu etičnosti postupanja policijskog služb</w:t>
      </w:r>
      <w:r>
        <w:rPr>
          <w:rFonts w:ascii="Arial" w:hAnsi="Arial" w:cs="Arial"/>
          <w:i/>
          <w:sz w:val="21"/>
          <w:szCs w:val="21"/>
          <w:lang w:val="sr-Latn-ME"/>
        </w:rPr>
        <w:t>enika B.B.</w:t>
      </w:r>
      <w:r w:rsidRPr="007E1247">
        <w:rPr>
          <w:rFonts w:ascii="Arial" w:hAnsi="Arial" w:cs="Arial"/>
          <w:i/>
          <w:sz w:val="21"/>
          <w:szCs w:val="21"/>
          <w:lang w:val="sr-Latn-ME"/>
        </w:rPr>
        <w:t xml:space="preserve"> u predmetnom slučaju.</w:t>
      </w:r>
      <w:r w:rsidRPr="007E1247">
        <w:rPr>
          <w:rFonts w:ascii="Arial" w:hAnsi="Arial" w:cs="Arial"/>
          <w:i/>
          <w:iCs/>
          <w:sz w:val="21"/>
          <w:szCs w:val="21"/>
          <w:lang w:val="sr-Latn-ME"/>
        </w:rPr>
        <w:t xml:space="preserve"> </w:t>
      </w: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B9BD5"/>
          <w:sz w:val="21"/>
          <w:szCs w:val="21"/>
          <w:lang w:val="sr-Latn-ME"/>
        </w:rPr>
      </w:pPr>
    </w:p>
    <w:p w:rsidR="008166C7" w:rsidRPr="007E1247" w:rsidRDefault="008166C7" w:rsidP="008166C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sr-Latn-ME"/>
        </w:rPr>
      </w:pPr>
      <w:r w:rsidRPr="007E1247">
        <w:rPr>
          <w:rFonts w:ascii="Arial" w:hAnsi="Arial" w:cs="Arial"/>
          <w:b/>
          <w:bCs/>
          <w:sz w:val="21"/>
          <w:szCs w:val="21"/>
          <w:lang w:val="sr-Latn-ME"/>
        </w:rPr>
        <w:t>■ Kontrole – provjere</w:t>
      </w:r>
    </w:p>
    <w:p w:rsidR="008166C7" w:rsidRPr="007E1247" w:rsidRDefault="008166C7" w:rsidP="008166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7E1247" w:rsidRDefault="008166C7" w:rsidP="008166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 xml:space="preserve">Službenici Odjeljenja za unutrašnju </w:t>
      </w:r>
      <w:r>
        <w:rPr>
          <w:rFonts w:ascii="Arial" w:hAnsi="Arial" w:cs="Arial"/>
          <w:sz w:val="21"/>
          <w:szCs w:val="21"/>
          <w:lang w:val="sr-Latn-ME"/>
        </w:rPr>
        <w:t>kontrolu policije su tokom avgusta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2022.godine izvršili </w:t>
      </w:r>
      <w:r>
        <w:rPr>
          <w:rFonts w:ascii="Arial" w:hAnsi="Arial" w:cs="Arial"/>
          <w:sz w:val="21"/>
          <w:szCs w:val="21"/>
          <w:lang w:val="sr-Latn-ME"/>
        </w:rPr>
        <w:t>osam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kontrola – provjera zakonitosti postupanja policijskih službenika na osnovu operativnih i drugih saznanja o mogućim nezakonitostima i nepravilnostima u radu i postupanju policijskih službenika.</w:t>
      </w: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color w:val="5B9BD5"/>
          <w:sz w:val="21"/>
          <w:szCs w:val="21"/>
          <w:lang w:val="sr-Latn-ME"/>
        </w:rPr>
      </w:pP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7E1247">
        <w:rPr>
          <w:rFonts w:ascii="Arial" w:hAnsi="Arial" w:cs="Arial"/>
          <w:sz w:val="21"/>
          <w:szCs w:val="21"/>
          <w:lang w:val="sr-Latn-ME"/>
        </w:rPr>
        <w:t>Nakon sprovedenih postupaka kontrole, u</w:t>
      </w:r>
      <w:r>
        <w:rPr>
          <w:rFonts w:ascii="Arial" w:hAnsi="Arial" w:cs="Arial"/>
          <w:sz w:val="21"/>
          <w:szCs w:val="21"/>
          <w:lang w:val="sr-Latn-ME"/>
        </w:rPr>
        <w:t xml:space="preserve"> četiri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slučaj</w:t>
      </w:r>
      <w:r>
        <w:rPr>
          <w:rFonts w:ascii="Arial" w:hAnsi="Arial" w:cs="Arial"/>
          <w:sz w:val="21"/>
          <w:szCs w:val="21"/>
          <w:lang w:val="sr-Latn-ME"/>
        </w:rPr>
        <w:t>a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izvršen</w:t>
      </w:r>
      <w:r>
        <w:rPr>
          <w:rFonts w:ascii="Arial" w:hAnsi="Arial" w:cs="Arial"/>
          <w:sz w:val="21"/>
          <w:szCs w:val="21"/>
          <w:lang w:val="sr-Latn-ME"/>
        </w:rPr>
        <w:t>e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kontrol</w:t>
      </w:r>
      <w:r>
        <w:rPr>
          <w:rFonts w:ascii="Arial" w:hAnsi="Arial" w:cs="Arial"/>
          <w:sz w:val="21"/>
          <w:szCs w:val="21"/>
          <w:lang w:val="sr-Latn-ME"/>
        </w:rPr>
        <w:t>e su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imal</w:t>
      </w:r>
      <w:r>
        <w:rPr>
          <w:rFonts w:ascii="Arial" w:hAnsi="Arial" w:cs="Arial"/>
          <w:sz w:val="21"/>
          <w:szCs w:val="21"/>
          <w:lang w:val="sr-Latn-ME"/>
        </w:rPr>
        <w:t>e</w:t>
      </w:r>
      <w:r w:rsidRPr="007E1247">
        <w:rPr>
          <w:rFonts w:ascii="Arial" w:hAnsi="Arial" w:cs="Arial"/>
          <w:sz w:val="21"/>
          <w:szCs w:val="21"/>
          <w:lang w:val="sr-Latn-ME"/>
        </w:rPr>
        <w:t xml:space="preserve"> za rezultat konstatovanje propusta, nepravilnosti ili nezakonitosti u radu i postupanju policijskih službenika, uslijed čega je Odjeljenje za unutrašnju kontrolu policije preduzelo sljedeće mjere:</w:t>
      </w:r>
    </w:p>
    <w:p w:rsidR="008166C7" w:rsidRPr="007E124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AD401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  <w:r w:rsidRPr="00D14FEF">
        <w:rPr>
          <w:rFonts w:ascii="Arial" w:hAnsi="Arial" w:cs="Arial"/>
          <w:sz w:val="21"/>
          <w:szCs w:val="21"/>
          <w:lang w:val="sr-Latn-ME"/>
        </w:rPr>
        <w:t xml:space="preserve">► </w:t>
      </w:r>
      <w:r w:rsidRPr="00AD4017">
        <w:rPr>
          <w:rFonts w:ascii="Arial" w:hAnsi="Arial" w:cs="Arial"/>
          <w:sz w:val="21"/>
          <w:szCs w:val="21"/>
          <w:lang w:val="sr-Latn-ME"/>
        </w:rPr>
        <w:t>u jednom slučaju je n</w:t>
      </w:r>
      <w:r w:rsidRPr="00AD4017">
        <w:rPr>
          <w:rFonts w:ascii="Arial" w:hAnsi="Arial" w:cs="Arial"/>
          <w:bCs/>
          <w:iCs/>
          <w:sz w:val="21"/>
          <w:szCs w:val="21"/>
          <w:lang w:val="sr-Latn-ME"/>
        </w:rPr>
        <w:t>a osnovu činjenica i dokaza u</w:t>
      </w:r>
      <w:r w:rsidRPr="00AD4017">
        <w:rPr>
          <w:rFonts w:ascii="Arial" w:hAnsi="Arial" w:cs="Arial"/>
          <w:sz w:val="21"/>
          <w:szCs w:val="21"/>
          <w:lang w:val="sr-Latn-ME"/>
        </w:rPr>
        <w:t>tvrđenih u postupku kontrole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, utvrđeno  da postoji osnovana sumnja da je policijski službenik Sektora za borbu protiv kriminala, počinio težu povredu službene dužnosti iz člana 95 st.1 t.1 Zakona o državnim službenicima i namještenicima (neizvršavanje ili nesavjesno ili neblagovremeno ili nemarno vršenje službenih obaveza).</w:t>
      </w:r>
    </w:p>
    <w:p w:rsidR="008166C7" w:rsidRPr="00AD4017" w:rsidRDefault="008166C7" w:rsidP="008166C7">
      <w:pPr>
        <w:spacing w:after="0" w:line="240" w:lineRule="auto"/>
        <w:ind w:left="-57" w:right="-57" w:firstLine="777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  <w:r w:rsidRPr="00AD4017">
        <w:rPr>
          <w:rFonts w:ascii="Arial" w:eastAsia="Times New Roman" w:hAnsi="Arial" w:cs="Arial"/>
          <w:sz w:val="21"/>
          <w:szCs w:val="21"/>
          <w:lang w:val="sr-Latn-ME"/>
        </w:rPr>
        <w:t>Osim navedenog Izvještaj o izvršenoj kontroli, sa spisima predmeta dostavljen je Osnovnom državnom tužilaštvu u Podgorici, na dalji postupak, ocjenu i odlučivanje da li u radnjama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i postupanju policijskog služb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e</w:t>
      </w:r>
      <w:r>
        <w:rPr>
          <w:rFonts w:ascii="Arial" w:eastAsia="Times New Roman" w:hAnsi="Arial" w:cs="Arial"/>
          <w:sz w:val="21"/>
          <w:szCs w:val="21"/>
          <w:lang w:val="sr-Latn-ME"/>
        </w:rPr>
        <w:t>n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ika Sektora za borbu protiv kriminala ima elemenata krivičnog djela za koje se goni po službenoj dužnosti.</w:t>
      </w:r>
    </w:p>
    <w:p w:rsidR="008166C7" w:rsidRDefault="008166C7" w:rsidP="008166C7">
      <w:pPr>
        <w:spacing w:after="0" w:line="240" w:lineRule="auto"/>
        <w:ind w:left="-57" w:right="-57" w:firstLine="777"/>
        <w:jc w:val="both"/>
        <w:rPr>
          <w:rFonts w:ascii="Arial" w:eastAsia="Times New Roman" w:hAnsi="Arial" w:cs="Arial"/>
          <w:i/>
          <w:sz w:val="21"/>
          <w:szCs w:val="21"/>
          <w:lang w:val="sr-Latn-ME"/>
        </w:rPr>
      </w:pPr>
    </w:p>
    <w:p w:rsidR="008166C7" w:rsidRPr="00AD4017" w:rsidRDefault="008166C7" w:rsidP="008166C7">
      <w:pPr>
        <w:spacing w:after="0" w:line="240" w:lineRule="auto"/>
        <w:ind w:left="-57" w:firstLine="777"/>
        <w:jc w:val="both"/>
        <w:rPr>
          <w:rFonts w:ascii="Arial" w:hAnsi="Arial" w:cs="Arial"/>
          <w:sz w:val="21"/>
          <w:szCs w:val="21"/>
          <w:lang w:val="sr-Latn-ME"/>
        </w:rPr>
      </w:pPr>
      <w:r w:rsidRPr="00AD4017">
        <w:rPr>
          <w:rFonts w:ascii="Arial" w:hAnsi="Arial" w:cs="Arial"/>
          <w:sz w:val="21"/>
          <w:szCs w:val="21"/>
          <w:lang w:val="sr-Latn-ME"/>
        </w:rPr>
        <w:t>► u jednom slučaju</w:t>
      </w:r>
      <w:r w:rsidR="00125117">
        <w:rPr>
          <w:rFonts w:ascii="Arial" w:hAnsi="Arial" w:cs="Arial"/>
          <w:sz w:val="21"/>
          <w:szCs w:val="21"/>
          <w:lang w:val="sr-Latn-ME"/>
        </w:rPr>
        <w:t>,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 xml:space="preserve"> </w:t>
      </w:r>
      <w:r w:rsidRPr="00AD4017">
        <w:rPr>
          <w:rFonts w:ascii="Arial" w:hAnsi="Arial" w:cs="Arial"/>
          <w:b/>
          <w:bCs/>
          <w:i/>
          <w:iCs/>
          <w:sz w:val="21"/>
          <w:szCs w:val="21"/>
          <w:lang w:val="sr-Latn-ME"/>
        </w:rPr>
        <w:t xml:space="preserve"> 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Izvještaj o izvršenoj kontroli povodom predmetnog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slučaja, sa spisima predmeta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,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 xml:space="preserve"> dostavljen 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je 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Etičkom odboru, na dalji postupak - ocjenu etičnosti postupanja p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olicijskog službenika 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Centra bezbjednosti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Bar.</w:t>
      </w:r>
    </w:p>
    <w:p w:rsidR="008166C7" w:rsidRDefault="008166C7" w:rsidP="008166C7">
      <w:pPr>
        <w:spacing w:after="0" w:line="240" w:lineRule="auto"/>
        <w:jc w:val="both"/>
        <w:rPr>
          <w:rFonts w:ascii="Arial" w:hAnsi="Arial" w:cs="Arial"/>
          <w:color w:val="44546A" w:themeColor="text2"/>
          <w:sz w:val="21"/>
          <w:szCs w:val="21"/>
          <w:lang w:val="sr-Latn-ME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  <w:r w:rsidRPr="00AD4017">
        <w:rPr>
          <w:rFonts w:ascii="Arial" w:hAnsi="Arial" w:cs="Arial"/>
          <w:sz w:val="21"/>
          <w:szCs w:val="21"/>
          <w:lang w:val="sr-Latn-ME"/>
        </w:rPr>
        <w:t>► u jednom slučaju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 xml:space="preserve"> </w:t>
      </w:r>
      <w:r w:rsidRPr="00AD4017">
        <w:rPr>
          <w:rFonts w:ascii="Arial" w:hAnsi="Arial" w:cs="Arial"/>
          <w:b/>
          <w:bCs/>
          <w:i/>
          <w:iCs/>
          <w:sz w:val="21"/>
          <w:szCs w:val="21"/>
          <w:lang w:val="sr-Latn-ME"/>
        </w:rPr>
        <w:t xml:space="preserve"> 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Izvještaj o izvršenoj kontroli povodom predmetnog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slučaja, sa spisima predmeta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 xml:space="preserve"> dostavljen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je Višem državnom tužilaštvu, na dalji postupak i preduzimanje mjera i radnji iz nadležnosti državnog tužilaštva zbog postojanja osnovane sumnje da su se u radnjama i postupanju 13 policijskih službenika 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Odjeljenja bezbjednosti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Tivat stekla obilježja krivičnih djela </w:t>
      </w:r>
      <w:r>
        <w:rPr>
          <w:rFonts w:ascii="Arial" w:eastAsia="Times New Roman" w:hAnsi="Arial" w:cs="Arial"/>
          <w:sz w:val="21"/>
          <w:szCs w:val="21"/>
          <w:lang w:val="sr-Latn-ME"/>
        </w:rPr>
        <w:lastRenderedPageBreak/>
        <w:t>zloupotreba službenog položaja  iz člana 416 st. 1 KZ CG, zloupotreba službenog položaja putem podstrekavanja iz čl.416 st. 1 u vezi čl.24 st.1 KZ CG i protivzakonit uticaj iz čl. 422 st.2 KZ CG</w:t>
      </w: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  <w:r w:rsidRPr="00AD4017">
        <w:rPr>
          <w:rFonts w:ascii="Arial" w:hAnsi="Arial" w:cs="Arial"/>
          <w:sz w:val="21"/>
          <w:szCs w:val="21"/>
          <w:lang w:val="sr-Latn-ME"/>
        </w:rPr>
        <w:t>► u jednom slučaju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 xml:space="preserve"> </w:t>
      </w:r>
      <w:r w:rsidRPr="00AD4017">
        <w:rPr>
          <w:rFonts w:ascii="Arial" w:hAnsi="Arial" w:cs="Arial"/>
          <w:b/>
          <w:bCs/>
          <w:i/>
          <w:iCs/>
          <w:sz w:val="21"/>
          <w:szCs w:val="21"/>
          <w:lang w:val="sr-Latn-ME"/>
        </w:rPr>
        <w:t xml:space="preserve"> 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>Izvještaj o izvršenoj kontroli povodom predmetnog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slučaja, sa spisima predmeta</w:t>
      </w:r>
      <w:r w:rsidRPr="00AD4017">
        <w:rPr>
          <w:rFonts w:ascii="Arial" w:eastAsia="Times New Roman" w:hAnsi="Arial" w:cs="Arial"/>
          <w:sz w:val="21"/>
          <w:szCs w:val="21"/>
          <w:lang w:val="sr-Latn-ME"/>
        </w:rPr>
        <w:t xml:space="preserve"> dostavljen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je Osnovnom državnom tužilaštvu u Nikšiću, na dalji postupak, ocjenu i odlučivanje da li u radnjama i post</w:t>
      </w:r>
      <w:r w:rsidR="00125117">
        <w:rPr>
          <w:rFonts w:ascii="Arial" w:eastAsia="Times New Roman" w:hAnsi="Arial" w:cs="Arial"/>
          <w:sz w:val="21"/>
          <w:szCs w:val="21"/>
          <w:lang w:val="sr-Latn-ME"/>
        </w:rPr>
        <w:t>upanju policijskog službenika Centra bezbjednosti</w:t>
      </w:r>
      <w:r>
        <w:rPr>
          <w:rFonts w:ascii="Arial" w:eastAsia="Times New Roman" w:hAnsi="Arial" w:cs="Arial"/>
          <w:sz w:val="21"/>
          <w:szCs w:val="21"/>
          <w:lang w:val="sr-Latn-ME"/>
        </w:rPr>
        <w:t xml:space="preserve"> Nikšić ima elemenata krivičnog djela za koje se gonjenje preduzima po službenoj dužnosti.</w:t>
      </w:r>
    </w:p>
    <w:p w:rsidR="008166C7" w:rsidRPr="00AD401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</w:p>
    <w:p w:rsidR="008166C7" w:rsidRPr="00AD4017" w:rsidRDefault="008166C7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sr-Latn-ME"/>
        </w:rPr>
      </w:pPr>
      <w:r w:rsidRPr="00AD4017">
        <w:rPr>
          <w:rFonts w:ascii="Arial" w:hAnsi="Arial" w:cs="Arial"/>
          <w:sz w:val="21"/>
          <w:szCs w:val="21"/>
          <w:lang w:val="sr-Latn-ME"/>
        </w:rPr>
        <w:t>U preostala četiri slučaja u postup</w:t>
      </w:r>
      <w:r>
        <w:rPr>
          <w:rFonts w:ascii="Arial" w:hAnsi="Arial" w:cs="Arial"/>
          <w:sz w:val="21"/>
          <w:szCs w:val="21"/>
          <w:lang w:val="sr-Latn-ME"/>
        </w:rPr>
        <w:t>cima</w:t>
      </w:r>
      <w:r w:rsidRPr="00AD4017">
        <w:rPr>
          <w:rFonts w:ascii="Arial" w:hAnsi="Arial" w:cs="Arial"/>
          <w:sz w:val="21"/>
          <w:szCs w:val="21"/>
          <w:lang w:val="sr-Latn-ME"/>
        </w:rPr>
        <w:t xml:space="preserve"> kontrole nijesu utvrđene činjenice i dokazi koji bi ukazivali na neprofesionalno ili nezakonito postupanje policijskih službenika u vezi sa predmetnim slučajevima.</w:t>
      </w:r>
    </w:p>
    <w:p w:rsidR="008166C7" w:rsidRPr="00AD4017" w:rsidRDefault="008166C7" w:rsidP="008166C7">
      <w:pPr>
        <w:spacing w:after="0" w:line="240" w:lineRule="auto"/>
        <w:ind w:left="-57" w:right="-57" w:firstLine="777"/>
        <w:jc w:val="both"/>
        <w:rPr>
          <w:rFonts w:ascii="Arial" w:hAnsi="Arial" w:cs="Arial"/>
          <w:sz w:val="21"/>
          <w:szCs w:val="21"/>
          <w:lang w:val="sr-Latn-ME"/>
        </w:rPr>
      </w:pPr>
    </w:p>
    <w:p w:rsidR="008166C7" w:rsidRPr="00064AF2" w:rsidRDefault="008166C7" w:rsidP="008166C7">
      <w:pPr>
        <w:spacing w:after="0" w:line="240" w:lineRule="auto"/>
        <w:rPr>
          <w:rFonts w:ascii="Arial" w:hAnsi="Arial" w:cs="Arial"/>
          <w:color w:val="44546A" w:themeColor="text2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sr-Latn-ME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sr-Latn-CS"/>
        </w:rPr>
      </w:pPr>
    </w:p>
    <w:p w:rsidR="008166C7" w:rsidRDefault="008166C7" w:rsidP="008166C7">
      <w:pPr>
        <w:spacing w:after="0" w:line="240" w:lineRule="auto"/>
        <w:jc w:val="center"/>
      </w:pPr>
      <w:r>
        <w:rPr>
          <w:rFonts w:ascii="Arial" w:eastAsia="Times New Roman" w:hAnsi="Arial" w:cs="Arial"/>
          <w:bCs/>
          <w:sz w:val="21"/>
          <w:szCs w:val="21"/>
          <w:lang w:val="sr-Latn-ME"/>
        </w:rPr>
        <w:t>■  ■  ■</w:t>
      </w:r>
    </w:p>
    <w:p w:rsidR="009D7102" w:rsidRDefault="009D7102"/>
    <w:sectPr w:rsidR="009D71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E"/>
    <w:rsid w:val="00125117"/>
    <w:rsid w:val="00357322"/>
    <w:rsid w:val="007E5E49"/>
    <w:rsid w:val="008166C7"/>
    <w:rsid w:val="009D7102"/>
    <w:rsid w:val="00C13BCE"/>
    <w:rsid w:val="00E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71AC4-3AA6-40B5-BBF4-4775C163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C7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16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166C7"/>
    <w:rPr>
      <w:rFonts w:ascii="Times New Roman" w:eastAsia="Times New Roman" w:hAnsi="Times New Roman" w:cs="Times New Roman"/>
      <w:sz w:val="20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Vujicic</dc:creator>
  <cp:keywords/>
  <dc:description/>
  <cp:lastModifiedBy>Dell</cp:lastModifiedBy>
  <cp:revision>2</cp:revision>
  <dcterms:created xsi:type="dcterms:W3CDTF">2022-10-05T09:10:00Z</dcterms:created>
  <dcterms:modified xsi:type="dcterms:W3CDTF">2022-10-05T09:10:00Z</dcterms:modified>
</cp:coreProperties>
</file>