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5D1" w:rsidRPr="00BA62F0" w:rsidRDefault="004455D1" w:rsidP="004455D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 w:themeColor="text1"/>
          <w:sz w:val="22"/>
          <w:lang w:val="sr-Latn-ME"/>
        </w:rPr>
      </w:pPr>
    </w:p>
    <w:tbl>
      <w:tblPr>
        <w:tblStyle w:val="LightGrid-Accent5"/>
        <w:tblW w:w="9913" w:type="dxa"/>
        <w:tblLayout w:type="fixed"/>
        <w:tblLook w:val="04A0" w:firstRow="1" w:lastRow="0" w:firstColumn="1" w:lastColumn="0" w:noHBand="0" w:noVBand="1"/>
      </w:tblPr>
      <w:tblGrid>
        <w:gridCol w:w="3978"/>
        <w:gridCol w:w="5935"/>
      </w:tblGrid>
      <w:tr w:rsidR="004455D1" w:rsidRPr="00BA62F0" w:rsidTr="004F5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:rsidR="004455D1" w:rsidRPr="00BA62F0" w:rsidRDefault="004455D1" w:rsidP="004F5D1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IZVJEŠTAJ O SPROVEDENOJ ANALIZI PROCJENE UTICAJA PROPISA</w:t>
            </w:r>
          </w:p>
        </w:tc>
      </w:tr>
      <w:tr w:rsidR="004455D1" w:rsidRPr="00BA62F0" w:rsidTr="004F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4455D1" w:rsidRPr="00BA62F0" w:rsidRDefault="004455D1" w:rsidP="004F5D1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PREDLAGAČ PROPISA</w:t>
            </w:r>
          </w:p>
        </w:tc>
        <w:tc>
          <w:tcPr>
            <w:tcW w:w="5935" w:type="dxa"/>
          </w:tcPr>
          <w:p w:rsidR="004455D1" w:rsidRPr="00BA62F0" w:rsidRDefault="004455D1" w:rsidP="004F5D1A">
            <w:pPr>
              <w:autoSpaceDE w:val="0"/>
              <w:autoSpaceDN w:val="0"/>
              <w:adjustRightInd w:val="0"/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bCs w:val="0"/>
                <w:sz w:val="22"/>
              </w:rPr>
              <w:t>Ministarstvo pravde</w:t>
            </w:r>
          </w:p>
        </w:tc>
      </w:tr>
      <w:tr w:rsidR="004455D1" w:rsidRPr="00BA62F0" w:rsidTr="004F5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4455D1" w:rsidRPr="00BA62F0" w:rsidRDefault="004455D1" w:rsidP="004F5D1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NAZIV PROPISA</w:t>
            </w:r>
          </w:p>
        </w:tc>
        <w:tc>
          <w:tcPr>
            <w:tcW w:w="5935" w:type="dxa"/>
          </w:tcPr>
          <w:p w:rsidR="004455D1" w:rsidRPr="00BA62F0" w:rsidRDefault="004455D1" w:rsidP="004F5D1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bCs w:val="0"/>
                <w:sz w:val="22"/>
              </w:rPr>
              <w:t xml:space="preserve">Nacrt zakona </w:t>
            </w:r>
            <w:r w:rsidR="00C547AA" w:rsidRPr="00BA62F0">
              <w:rPr>
                <w:rFonts w:ascii="Arial" w:hAnsi="Arial" w:cs="Arial"/>
                <w:bCs w:val="0"/>
                <w:sz w:val="22"/>
              </w:rPr>
              <w:t xml:space="preserve">o </w:t>
            </w:r>
            <w:r w:rsidR="002F413E">
              <w:rPr>
                <w:rFonts w:ascii="Arial" w:hAnsi="Arial" w:cs="Arial"/>
                <w:bCs w:val="0"/>
                <w:sz w:val="22"/>
              </w:rPr>
              <w:t xml:space="preserve">izmjenama i dopunama Zakona o </w:t>
            </w:r>
            <w:r w:rsidR="00C547AA" w:rsidRPr="00BA62F0">
              <w:rPr>
                <w:rFonts w:ascii="Arial" w:hAnsi="Arial" w:cs="Arial"/>
                <w:bCs w:val="0"/>
                <w:sz w:val="22"/>
              </w:rPr>
              <w:t>prekršajima</w:t>
            </w:r>
          </w:p>
        </w:tc>
      </w:tr>
      <w:tr w:rsidR="004455D1" w:rsidRPr="00BA62F0" w:rsidTr="004F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:rsidR="004455D1" w:rsidRPr="00BA62F0" w:rsidRDefault="004455D1" w:rsidP="004F5D1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1. Definisanje problema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Koje probleme treba da riješi predloženi akt?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Koji su uzroci problema?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Koje su posljedice problema?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Koji su subjekti oštećeni, na koji način i u kojoj mjeri?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Kako bi problem evoluirao bez promjene propisa (“status quo” opcija)?</w:t>
            </w:r>
          </w:p>
        </w:tc>
      </w:tr>
      <w:tr w:rsidR="004455D1" w:rsidRPr="00BA62F0" w:rsidTr="004F5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:rsidR="00676074" w:rsidRPr="00BA62F0" w:rsidRDefault="004455D1" w:rsidP="00676074">
            <w:pPr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r w:rsidRPr="00BA62F0">
              <w:rPr>
                <w:rFonts w:ascii="Arial" w:hAnsi="Arial" w:cs="Arial"/>
                <w:b w:val="0"/>
                <w:sz w:val="22"/>
              </w:rPr>
              <w:t xml:space="preserve">Potreba za izmjenama </w:t>
            </w:r>
            <w:r w:rsidR="002F413E" w:rsidRPr="002F413E">
              <w:rPr>
                <w:rFonts w:ascii="Arial" w:hAnsi="Arial" w:cs="Arial"/>
                <w:b w:val="0"/>
                <w:sz w:val="22"/>
              </w:rPr>
              <w:t>Nacrt</w:t>
            </w:r>
            <w:r w:rsidR="002F413E">
              <w:rPr>
                <w:rFonts w:ascii="Arial" w:hAnsi="Arial" w:cs="Arial"/>
                <w:b w:val="0"/>
                <w:sz w:val="22"/>
              </w:rPr>
              <w:t>a</w:t>
            </w:r>
            <w:r w:rsidR="002F413E" w:rsidRPr="002F413E">
              <w:rPr>
                <w:rFonts w:ascii="Arial" w:hAnsi="Arial" w:cs="Arial"/>
                <w:b w:val="0"/>
                <w:sz w:val="22"/>
              </w:rPr>
              <w:t xml:space="preserve"> zakona o izmjenama i dopunama Zakona o prekršajima </w:t>
            </w:r>
            <w:r w:rsidR="00676074" w:rsidRPr="00BA62F0">
              <w:rPr>
                <w:rFonts w:ascii="Arial" w:hAnsi="Arial" w:cs="Arial"/>
                <w:b w:val="0"/>
                <w:sz w:val="22"/>
              </w:rPr>
              <w:t>stvorila se imajući u vidu značaj Zakona o prekršajima, čija je dosadašnja primjena ukazala na određene nedostatke i dileme koji su se pojavili u praksi, te je ocijenjeno neophodnim da se kroz izmjene zakona otklone te nedoumice.</w:t>
            </w:r>
          </w:p>
          <w:p w:rsidR="00676074" w:rsidRPr="00BA62F0" w:rsidRDefault="00676074" w:rsidP="00676074">
            <w:pPr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r w:rsidRPr="00BA62F0">
              <w:rPr>
                <w:rFonts w:ascii="Arial" w:hAnsi="Arial" w:cs="Arial"/>
                <w:b w:val="0"/>
                <w:sz w:val="22"/>
              </w:rPr>
              <w:t xml:space="preserve"> Jedan od razloga za donošenje Zakona je i usklađivanje svih odredbi zakona sa podsticajnim mjerama koje su uvedene poslednjim izmjenama zakona, kako bi se iste na pravilan način mogle razraditi, a u cilju njihove bolje i efikasnije implementacije u praksi.</w:t>
            </w:r>
          </w:p>
          <w:p w:rsidR="004455D1" w:rsidRPr="00BA62F0" w:rsidRDefault="00676074" w:rsidP="00676074">
            <w:pPr>
              <w:spacing w:line="276" w:lineRule="auto"/>
              <w:rPr>
                <w:rFonts w:ascii="Arial" w:hAnsi="Arial" w:cs="Arial"/>
                <w:bCs/>
                <w:strike/>
                <w:sz w:val="22"/>
              </w:rPr>
            </w:pPr>
            <w:r w:rsidRPr="00BA62F0">
              <w:rPr>
                <w:rFonts w:ascii="Arial" w:hAnsi="Arial" w:cs="Arial"/>
                <w:b w:val="0"/>
                <w:sz w:val="22"/>
              </w:rPr>
              <w:t xml:space="preserve">Takođe, izmjene i dopune zakona vrše radi ispunjenja ciljeva iz Reformske agende Crne Gore 2024-2027, konkretno iz podoblasti 1.1. Poslovno okruženje, reforme 1.1.5. Reforma inspekcijskih službi. Unapređenje integriteta, efikasnosti i performansi inspekcijskih službi i smanjenje neformalne ekonomije, koraka 2 Poboljšanje zakonodavnog okvira i fokusiranje na neformalnu ekonomiju. Usvojiti i sprovesti izmjene Zakona o prekršajima, Zakona o inspekcijskom nadzoru, Zakona o sprječavanju nelegalnog poslovanja, kao i Krivičnog zakonika Crne Gore, radi pojačanja nadzora od strane inspektora (uključujući pravo ulaska u stambene prostorije gdje se sumnja da se obavljaju neregistrovane djelatnosti).  </w:t>
            </w:r>
          </w:p>
          <w:p w:rsidR="004455D1" w:rsidRPr="00BA62F0" w:rsidRDefault="004455D1" w:rsidP="004F5D1A">
            <w:pPr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r w:rsidRPr="00BA62F0">
              <w:rPr>
                <w:rFonts w:ascii="Arial" w:hAnsi="Arial" w:cs="Arial"/>
                <w:b w:val="0"/>
                <w:sz w:val="22"/>
              </w:rPr>
              <w:t>Usaglašavanje je potrebno ne samo u odnosu na određena dokumenta, već i u odnosu na neka prevaziđena rješenja koja sudska praksa sama, bez intervencije zakonodavca, ne može uspješno da riješi i prilagodi ih novonastalim prilikama.</w:t>
            </w:r>
          </w:p>
          <w:p w:rsidR="004455D1" w:rsidRPr="00BA62F0" w:rsidRDefault="004455D1" w:rsidP="004F5D1A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  <w:r w:rsidRPr="00BA62F0">
              <w:rPr>
                <w:rFonts w:ascii="Arial" w:hAnsi="Arial" w:cs="Arial"/>
                <w:b w:val="0"/>
                <w:sz w:val="22"/>
              </w:rPr>
              <w:t>Sugestije i predlozi koji dolaze iz prakse u pogledu potrebe određenih intervencija u zakonu takođe su našle mjesto u Nacrtu zakona. Opravdano je dalje unapređivanje određenih rješenja, usklađivanje sa drugim propisima i otklanjanje eventualnih neusklađenosti.</w:t>
            </w:r>
          </w:p>
          <w:p w:rsidR="00E56A98" w:rsidRPr="00BA62F0" w:rsidRDefault="00E56A98" w:rsidP="004F5D1A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  <w:r w:rsidRPr="00BA62F0">
              <w:rPr>
                <w:rFonts w:ascii="Arial" w:hAnsi="Arial" w:cs="Arial"/>
                <w:b w:val="0"/>
                <w:sz w:val="22"/>
              </w:rPr>
              <w:t>Nacrtom zakona izvršena je izmjena proširenje obima prekršajne odgovornosti, vrši se postrožavanje kazne zatvora koja se može izreći osuđenom za prekršaj, vrši se povećanje raspona u okviru kojeg se može propisati novčana kazna i to za fizičko i odgovorno lice u pravnom licu, preduzetnika i pravno lice, te se proširuju oblasti (sprečavanja pranja novca i finansiranja terorizma i oblast osiguranja) za koje se može propisati novčana kazna u visini dvostrukog maksimuma. Takođe, Nacrtom zakon</w:t>
            </w:r>
            <w:r w:rsidR="00E64348">
              <w:rPr>
                <w:rFonts w:ascii="Arial" w:hAnsi="Arial" w:cs="Arial"/>
                <w:b w:val="0"/>
                <w:sz w:val="22"/>
              </w:rPr>
              <w:t>a</w:t>
            </w:r>
            <w:r w:rsidRPr="00BA62F0">
              <w:rPr>
                <w:rFonts w:ascii="Arial" w:hAnsi="Arial" w:cs="Arial"/>
                <w:b w:val="0"/>
                <w:sz w:val="22"/>
              </w:rPr>
              <w:t xml:space="preserve"> propisuje mogućnost organima inspekcijskog nadzora da, u vršenju svojih ovlašćenja i u cilju nesmetanog vršenja inspekcijskog nadzora, mogu od suda da zahtijevaju izdavanje naredbe za ulazak u stan i druge prostorije. Nadalje, vrši se izmjena u pogledu Izvršenje novčanih kazni, i to da će se novčana kazna smatrati u cjelosti plaćena ukoliko lice koje nema prebivalište odnosno boravište u Crnoj Gori ili ako odlazi u inostranstvo radi boravka, a postoji osnovana sumnja da će osujetiti izvršenje izrečene sankcije, plati dvije trećine novčane kazne bez odlaganja.</w:t>
            </w:r>
          </w:p>
          <w:p w:rsidR="005E2FFF" w:rsidRPr="00BA62F0" w:rsidRDefault="004455D1" w:rsidP="004F5D1A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  <w:r w:rsidRPr="00BA62F0">
              <w:rPr>
                <w:rFonts w:ascii="Arial" w:hAnsi="Arial" w:cs="Arial"/>
                <w:b w:val="0"/>
                <w:sz w:val="22"/>
              </w:rPr>
              <w:lastRenderedPageBreak/>
              <w:t xml:space="preserve">Bez donošenja Zakona o </w:t>
            </w:r>
            <w:r w:rsidR="00244109" w:rsidRPr="00BA62F0">
              <w:rPr>
                <w:rFonts w:ascii="Arial" w:hAnsi="Arial" w:cs="Arial"/>
                <w:b w:val="0"/>
                <w:sz w:val="22"/>
              </w:rPr>
              <w:t>prekršajima</w:t>
            </w:r>
            <w:r w:rsidRPr="00BA62F0">
              <w:rPr>
                <w:rFonts w:ascii="Arial" w:hAnsi="Arial" w:cs="Arial"/>
                <w:b w:val="0"/>
                <w:sz w:val="22"/>
              </w:rPr>
              <w:t xml:space="preserve"> („status </w:t>
            </w:r>
            <w:proofErr w:type="gramStart"/>
            <w:r w:rsidRPr="00BA62F0">
              <w:rPr>
                <w:rFonts w:ascii="Arial" w:hAnsi="Arial" w:cs="Arial"/>
                <w:b w:val="0"/>
                <w:sz w:val="22"/>
              </w:rPr>
              <w:t>quo“</w:t>
            </w:r>
            <w:r w:rsidR="00244109" w:rsidRPr="00BA62F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BA62F0">
              <w:rPr>
                <w:rFonts w:ascii="Arial" w:hAnsi="Arial" w:cs="Arial"/>
                <w:b w:val="0"/>
                <w:sz w:val="22"/>
              </w:rPr>
              <w:t>opcija</w:t>
            </w:r>
            <w:proofErr w:type="gramEnd"/>
            <w:r w:rsidRPr="00BA62F0">
              <w:rPr>
                <w:rFonts w:ascii="Arial" w:hAnsi="Arial" w:cs="Arial"/>
                <w:b w:val="0"/>
                <w:sz w:val="22"/>
              </w:rPr>
              <w:t xml:space="preserve">) ne bi </w:t>
            </w:r>
            <w:r w:rsidR="00244109" w:rsidRPr="00BA62F0">
              <w:rPr>
                <w:rFonts w:ascii="Arial" w:hAnsi="Arial" w:cs="Arial"/>
                <w:b w:val="0"/>
                <w:sz w:val="22"/>
              </w:rPr>
              <w:t>došlo do proširenja obima prekršajne odgovornosti, ne bi došlo postrožavanja kazne zatvora koja se može izreći osuđenom za prekršaj.</w:t>
            </w:r>
            <w:r w:rsidR="00CC297F" w:rsidRPr="00BA62F0">
              <w:rPr>
                <w:rFonts w:ascii="Arial" w:hAnsi="Arial" w:cs="Arial"/>
                <w:b w:val="0"/>
                <w:sz w:val="22"/>
              </w:rPr>
              <w:t xml:space="preserve"> Takođe, ne bi postojala mogućnost organima inspekcijskog nadzora da, u vršenju svojih ovlašćenja i u cilju nesmetanog vršenja inspekcijskog nadzora, mogu od suda da zahtijevaju izdavanje naredbe za ulazak u stan i druge prostorije.</w:t>
            </w:r>
            <w:r w:rsidR="00961125" w:rsidRPr="00BA62F0">
              <w:rPr>
                <w:rFonts w:ascii="Arial" w:hAnsi="Arial" w:cs="Arial"/>
                <w:sz w:val="22"/>
              </w:rPr>
              <w:t xml:space="preserve"> </w:t>
            </w:r>
            <w:r w:rsidR="00961125" w:rsidRPr="00BA62F0">
              <w:rPr>
                <w:rFonts w:ascii="Arial" w:hAnsi="Arial" w:cs="Arial"/>
                <w:b w:val="0"/>
                <w:sz w:val="22"/>
              </w:rPr>
              <w:t>Lice koje nema prebivalište odnosno boravište u Crnoj Gori ili ako odlazi u inostranstvo radi boravka novčana kazna smatrati u cjelosti plaćena ukoliko, a postoji osnovana sumnja da će osujetiti izvršenje izrečene sankcije, plati dvije trećine novčane kazne bez odlaganja.</w:t>
            </w:r>
            <w:r w:rsidR="00244109" w:rsidRPr="00BA62F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BA62F0">
              <w:rPr>
                <w:rFonts w:ascii="Arial" w:hAnsi="Arial" w:cs="Arial"/>
                <w:b w:val="0"/>
                <w:sz w:val="22"/>
              </w:rPr>
              <w:t xml:space="preserve">U konačnom, opcija „status </w:t>
            </w:r>
            <w:proofErr w:type="gramStart"/>
            <w:r w:rsidRPr="00BA62F0">
              <w:rPr>
                <w:rFonts w:ascii="Arial" w:hAnsi="Arial" w:cs="Arial"/>
                <w:b w:val="0"/>
                <w:sz w:val="22"/>
              </w:rPr>
              <w:t>quo“ ne</w:t>
            </w:r>
            <w:proofErr w:type="gramEnd"/>
            <w:r w:rsidRPr="00BA62F0">
              <w:rPr>
                <w:rFonts w:ascii="Arial" w:hAnsi="Arial" w:cs="Arial"/>
                <w:b w:val="0"/>
                <w:sz w:val="22"/>
              </w:rPr>
              <w:t xml:space="preserve"> može biti prihvaćena, imajući u vidu probleme koji su trebali da se riješe, a koji nijesu mogli biti otklonjeni bez izmjene regulatornog okvira.</w:t>
            </w:r>
          </w:p>
        </w:tc>
      </w:tr>
      <w:tr w:rsidR="004455D1" w:rsidRPr="00BA62F0" w:rsidTr="004F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:rsidR="004455D1" w:rsidRPr="00BA62F0" w:rsidRDefault="004455D1" w:rsidP="004F5D1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lastRenderedPageBreak/>
              <w:t>2. Ciljevi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Koji ciljevi se postižu predloženim propisom?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Navesti usklađenost ovih ciljeva sa postojećim strategijama ili programima Vlade, ako je primjenljivo.</w:t>
            </w:r>
          </w:p>
        </w:tc>
      </w:tr>
      <w:tr w:rsidR="004455D1" w:rsidRPr="00BA62F0" w:rsidTr="004F5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:rsidR="004455D1" w:rsidRPr="00BA62F0" w:rsidRDefault="007A66B0" w:rsidP="005B7260">
            <w:pPr>
              <w:spacing w:line="276" w:lineRule="auto"/>
              <w:rPr>
                <w:rFonts w:ascii="Arial" w:hAnsi="Arial" w:cs="Arial"/>
                <w:bCs/>
                <w:strike/>
                <w:sz w:val="22"/>
              </w:rPr>
            </w:pPr>
            <w:r w:rsidRPr="00BA62F0">
              <w:rPr>
                <w:rFonts w:ascii="Arial" w:hAnsi="Arial" w:cs="Arial"/>
                <w:b w:val="0"/>
                <w:sz w:val="22"/>
              </w:rPr>
              <w:t xml:space="preserve">Donošenjem zakona dolazi do ispunjenja ciljeva iz Reformske agende Crne Gore 2024-2027, konkretno iz podoblasti 1.1. Poslovno okruženje, reforme 1.1.5. Reforma inspekcijskih službi. Unapređenje integriteta, efikasnosti i performansi inspekcijskih službi i smanjenje neformalne ekonomije, koraka 2 Poboljšanje zakonodavnog okvira i fokusiranje na neformalnu ekonomiju. </w:t>
            </w:r>
            <w:r w:rsidR="005B7260" w:rsidRPr="00BA62F0">
              <w:rPr>
                <w:rFonts w:ascii="Arial" w:hAnsi="Arial" w:cs="Arial"/>
                <w:b w:val="0"/>
                <w:sz w:val="22"/>
              </w:rPr>
              <w:t>Nacrtom zakona, proširuje se obim prekršajne odgovornosti, vrši se postrožavanje kazne zatvora koja se može izreći osuđenom za prekršaj, vrši se povećanje raspona u okviru kojeg se može propisati novčana kazna i to za fizičko i odgovorno lice u pravnom licu, preduzetnika i pravno lice, te se proširuju oblasti (sprečavanja pranja novca i finansiranja terorizma i oblast osiguranja) za koje se može propisati novčana kazna u visini dvostrukog maksimuma.</w:t>
            </w:r>
            <w:r w:rsidR="005B7260" w:rsidRPr="00BA62F0">
              <w:rPr>
                <w:rFonts w:ascii="Arial" w:hAnsi="Arial" w:cs="Arial"/>
                <w:sz w:val="22"/>
              </w:rPr>
              <w:t xml:space="preserve"> </w:t>
            </w:r>
            <w:r w:rsidR="005B7260" w:rsidRPr="00BA62F0">
              <w:rPr>
                <w:rFonts w:ascii="Arial" w:hAnsi="Arial" w:cs="Arial"/>
                <w:b w:val="0"/>
                <w:sz w:val="22"/>
              </w:rPr>
              <w:t xml:space="preserve">Nacrtom zakona propisuje </w:t>
            </w:r>
            <w:r w:rsidR="005E2FFF" w:rsidRPr="00BA62F0">
              <w:rPr>
                <w:rFonts w:ascii="Arial" w:hAnsi="Arial" w:cs="Arial"/>
                <w:b w:val="0"/>
                <w:sz w:val="22"/>
              </w:rPr>
              <w:t xml:space="preserve">se </w:t>
            </w:r>
            <w:r w:rsidR="005B7260" w:rsidRPr="00BA62F0">
              <w:rPr>
                <w:rFonts w:ascii="Arial" w:hAnsi="Arial" w:cs="Arial"/>
                <w:b w:val="0"/>
                <w:sz w:val="22"/>
              </w:rPr>
              <w:t>mogućnost organima inspekcijskog nadzora da, u vršenju svojih ovlašćenja i u cilju nesmetanog vršenja inspekcijskog nadzora, mogu od suda da zahtijevaju izdavanje naredbe za ulazak u stan i druge prostorije. Nadalje, vrši se izmjena u pogledu Izvršenje novčanih kazni, i to da će se novčana kazna smatrati u cjelosti plaćena ukoliko lice koje nema prebivalište odnosno boravište u Crnoj Gori ili ako odlazi u inostranstvo radi boravka, a postoji osnovana sumnja da će osujetiti izvršenje izrečene sankcije, plati dvije trećine novčane kazne bez odlaganja.</w:t>
            </w:r>
          </w:p>
        </w:tc>
      </w:tr>
      <w:tr w:rsidR="004455D1" w:rsidRPr="00BA62F0" w:rsidTr="004F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:rsidR="004455D1" w:rsidRPr="00BA62F0" w:rsidRDefault="004455D1" w:rsidP="004F5D1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3. Opcije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Obrazložiti preferiranu opciju?</w:t>
            </w:r>
          </w:p>
          <w:p w:rsidR="004455D1" w:rsidRPr="00BA62F0" w:rsidRDefault="004455D1" w:rsidP="004F5D1A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630"/>
              <w:contextualSpacing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</w:p>
        </w:tc>
      </w:tr>
      <w:tr w:rsidR="004455D1" w:rsidRPr="00BA62F0" w:rsidTr="004F5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:rsidR="005E2FFF" w:rsidRPr="00BA62F0" w:rsidRDefault="00350D73" w:rsidP="004F5D1A">
            <w:pPr>
              <w:spacing w:line="276" w:lineRule="auto"/>
              <w:rPr>
                <w:rFonts w:ascii="Arial" w:hAnsi="Arial" w:cs="Arial"/>
                <w:b w:val="0"/>
                <w:sz w:val="22"/>
              </w:rPr>
            </w:pPr>
            <w:r w:rsidRPr="00BA62F0">
              <w:rPr>
                <w:rFonts w:ascii="Arial" w:hAnsi="Arial" w:cs="Arial"/>
                <w:b w:val="0"/>
                <w:sz w:val="22"/>
              </w:rPr>
              <w:t>U cilju stvaranja što efikasnijeg pravnog okvira, donošenjem Zakona o prekršajima proširuje se obim prekršajne odgovornosti, vrši se postrožavanje kazne zatvora koja se može izreći osuđenom za prekršaj, vrši se povećanje raspona u okviru kojeg se može propisati novčana kazna i to za fizičko i odgovorno lice u pravnom licu, preduzetnika i pravno lice, te se proširuju oblasti (sprečavanja pranja novca i finansiranja terorizma i oblast osiguranja) za koje se može propisati novčana kazna u visini dvostrukog maksimuma.</w:t>
            </w:r>
            <w:r w:rsidRPr="00BA62F0">
              <w:rPr>
                <w:rFonts w:ascii="Arial" w:hAnsi="Arial" w:cs="Arial"/>
                <w:sz w:val="22"/>
              </w:rPr>
              <w:t xml:space="preserve"> </w:t>
            </w:r>
            <w:r w:rsidRPr="00BA62F0">
              <w:rPr>
                <w:rFonts w:ascii="Arial" w:hAnsi="Arial" w:cs="Arial"/>
                <w:b w:val="0"/>
                <w:sz w:val="22"/>
              </w:rPr>
              <w:t>Nacrtom zakona propisuje se mogućnost organima inspekcijskog nadzora da, u vršenju svojih ovlašćenja i u cilju nesmetanog vršenja inspekcijskog nadzora, mogu od suda da zahtijevaju izdavanje naredbe za ulazak u stan i druge prostorije.</w:t>
            </w:r>
          </w:p>
          <w:p w:rsidR="000325B3" w:rsidRPr="00BA62F0" w:rsidRDefault="004455D1" w:rsidP="00624D64">
            <w:pPr>
              <w:spacing w:line="276" w:lineRule="auto"/>
              <w:rPr>
                <w:rFonts w:ascii="Arial" w:eastAsiaTheme="minorHAnsi" w:hAnsi="Arial" w:cs="Arial"/>
                <w:bCs/>
                <w:sz w:val="22"/>
                <w:lang w:val="sr-Latn-ME" w:eastAsia="en-US"/>
              </w:rPr>
            </w:pPr>
            <w:r w:rsidRPr="00BA62F0">
              <w:rPr>
                <w:rFonts w:ascii="Arial" w:eastAsiaTheme="minorHAnsi" w:hAnsi="Arial" w:cs="Arial"/>
                <w:b w:val="0"/>
                <w:sz w:val="22"/>
                <w:lang w:val="sr-Latn-ME" w:eastAsia="en-US"/>
              </w:rPr>
              <w:t xml:space="preserve">Opcija donešenje zakona je preferirana opcija u pogledu prevencije određenih ljudskih ponašanja uz očekivanje da će se određeni članovi društva uzdržati od vršenja ponašanja koja su proglašena </w:t>
            </w:r>
            <w:r w:rsidR="00350D73" w:rsidRPr="00BA62F0">
              <w:rPr>
                <w:rFonts w:ascii="Arial" w:eastAsiaTheme="minorHAnsi" w:hAnsi="Arial" w:cs="Arial"/>
                <w:b w:val="0"/>
                <w:sz w:val="22"/>
                <w:lang w:val="sr-Latn-ME" w:eastAsia="en-US"/>
              </w:rPr>
              <w:t>kao prekršaji</w:t>
            </w:r>
            <w:r w:rsidRPr="00BA62F0">
              <w:rPr>
                <w:rFonts w:ascii="Arial" w:eastAsiaTheme="minorHAnsi" w:hAnsi="Arial" w:cs="Arial"/>
                <w:b w:val="0"/>
                <w:sz w:val="22"/>
                <w:lang w:val="sr-Latn-ME" w:eastAsia="en-US"/>
              </w:rPr>
              <w:t>.</w:t>
            </w:r>
          </w:p>
        </w:tc>
      </w:tr>
      <w:tr w:rsidR="004455D1" w:rsidRPr="00BA62F0" w:rsidTr="004F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:rsidR="004455D1" w:rsidRPr="00BA62F0" w:rsidRDefault="004455D1" w:rsidP="004F5D1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lastRenderedPageBreak/>
              <w:t>4. Analiza uticaja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Na koga će i kako će najvjerovatnije uticati rješenja u propisu - nabrojati pozitivne i negativne uticaje, direktne i indirektne.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Koje troškove će primjena propisa izazvati građanima i privredi (naročito malim i srednjim preduzećima).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Da li pozitivne posljedice donošenja propisa opravdavaju troškove koje će on stvoriti.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Da li se propisom podržava stvaranje novih privrednih subjekata na tržištu i tržišna konkurencija.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Uključiti procjenu administrativnih opterećenja i biznis barijera.</w:t>
            </w:r>
          </w:p>
        </w:tc>
      </w:tr>
      <w:tr w:rsidR="004455D1" w:rsidRPr="00BA62F0" w:rsidTr="004F5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:rsidR="00D62729" w:rsidRPr="00BA62F0" w:rsidRDefault="00D62729" w:rsidP="004F5D1A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lang w:val="sr-Latn-RS"/>
              </w:rPr>
            </w:pPr>
            <w:r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Donošenjem zakona dolazi do ispunjenja ciljeva iz Reformske agende Crne Gore 2024-2027, konkretno iz podoblasti 1.1. Poslovno okruženje, reforme 1.1.5. Reforma inspekcijskih službi. Unapređenje integriteta, efikasnosti i performansi inspekcijskih službi i smanjenje neformalne ekonomije, koraka 2 Poboljšanje zakonodavnog okvira i fokusiranje na neformalnu ekonomiju. </w:t>
            </w:r>
          </w:p>
          <w:p w:rsidR="004455D1" w:rsidRPr="00BA62F0" w:rsidRDefault="004455D1" w:rsidP="004F5D1A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Rješenja u propisu će uticati na sve građane</w:t>
            </w:r>
            <w:r w:rsidRPr="00BA62F0">
              <w:rPr>
                <w:rFonts w:ascii="Arial" w:hAnsi="Arial" w:cs="Arial"/>
                <w:sz w:val="22"/>
              </w:rPr>
              <w:t xml:space="preserve"> </w:t>
            </w:r>
            <w:r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u pogledu prevencije određenih ljudskih ponašanja uz očekivanje da će se određeni članovi društva uzdržati od vršenja ponašanja koja su proglašena </w:t>
            </w:r>
            <w:r w:rsidR="006B2869"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kao prekršaji</w:t>
            </w:r>
            <w:r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.</w:t>
            </w:r>
          </w:p>
          <w:p w:rsidR="004455D1" w:rsidRPr="00BA62F0" w:rsidRDefault="004455D1" w:rsidP="004F5D1A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Donošenjem ovog zakona neće se stvoriti administrativna opterećenja i biznis barijere.</w:t>
            </w:r>
          </w:p>
          <w:p w:rsidR="004455D1" w:rsidRPr="00BA62F0" w:rsidRDefault="004455D1" w:rsidP="004F5D1A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Donošenjem ovog zakona neće se stvoriti opterećenja novih privrednih subjekata na tržištu i tržišna konkurencija.</w:t>
            </w:r>
          </w:p>
        </w:tc>
      </w:tr>
      <w:tr w:rsidR="004455D1" w:rsidRPr="00BA62F0" w:rsidTr="004F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:rsidR="004455D1" w:rsidRPr="00BA62F0" w:rsidRDefault="004455D1" w:rsidP="004F5D1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5. Procjena fiskalnog uticaja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Da li je potrebno obezbjeđenje finansijskih sredstava iz budžeta Crne Gore za implementaciju propisa i u kom iznosu?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Da li je obezbjeđenje finansijskih sredstava jednokratno, ili tokom određenog vremenskog perioda?  Obrazložiti.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Da li implementacijom propisa proizilaze međunarodne finansijske obaveze? Obrazložiti.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Da li su neophodna finansijska sredstva obezbijeđena u budžetu za tekuću fiskalnu godinu, odnosno da li su planirana u budžetu za narednu fiskanu godinu?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Da li je usvajanjem propisa predviđeno donošenje podzakonskih akata iz kojih će proisteći finansijske obaveze?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Da li će se implementacijom propisa ostvariti prihod za budžet Crne Gore?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Dbrazložiti metodologiju koja je korišćenja prilikom obračuna finansijskih izdataka/prihoda.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Da li su postojali problemi u preciznom obračunu finansijskih izdataka/prihoda? Obrazložiti.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Da li su postojale sugestije Ministarstva finansija na nacrt/predlog propisa?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Da li su dobijene primjedbe uključene u tekst propisa? Obrazložiti.</w:t>
            </w:r>
          </w:p>
        </w:tc>
      </w:tr>
      <w:tr w:rsidR="004455D1" w:rsidRPr="00BA62F0" w:rsidTr="004F5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:rsidR="004455D1" w:rsidRPr="00BA62F0" w:rsidRDefault="004455D1" w:rsidP="004F5D1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 xml:space="preserve">Za implementaciju ovog zakona iz Budžeta nije potrebno obezbjeđivati dodatna sredstva. </w:t>
            </w:r>
          </w:p>
          <w:p w:rsidR="004455D1" w:rsidRPr="00BA62F0" w:rsidRDefault="004455D1" w:rsidP="004F5D1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Za implementaciju ovog zakona nije potrebno obezbjeđivati finansijska sredstava jednokratno, ili tokom određenog vremenskog perioda.</w:t>
            </w:r>
          </w:p>
          <w:p w:rsidR="004455D1" w:rsidRPr="00BA62F0" w:rsidRDefault="004455D1" w:rsidP="004F5D1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Implementacijom ovog zakona ne proizilaze međunarodne finansijske obaveze.</w:t>
            </w:r>
          </w:p>
          <w:p w:rsidR="004455D1" w:rsidRPr="00BA62F0" w:rsidRDefault="004455D1" w:rsidP="004F5D1A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Za implementaciju ovog zakona nijesu neophodna finansijska sredstva, iz čega proizilazi da nije potrebno obezbijediti u budžetu za tekuću fiskalnu godinu, odnosno za narednu fiskanu godinu.</w:t>
            </w:r>
          </w:p>
          <w:p w:rsidR="004455D1" w:rsidRPr="00BA62F0" w:rsidRDefault="004455D1" w:rsidP="004F5D1A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Usvajanjem propisa nije predviđeno donošenje podzakonskih akata iz kojih će proisteći finansijske obaveze.</w:t>
            </w:r>
          </w:p>
          <w:p w:rsidR="004455D1" w:rsidRPr="00BA62F0" w:rsidRDefault="004455D1" w:rsidP="004F5D1A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Implementacijom ovog zakona neće se ostvariti prihod za budžet Crne Gore.</w:t>
            </w:r>
          </w:p>
          <w:p w:rsidR="004455D1" w:rsidRPr="00BA62F0" w:rsidRDefault="004455D1" w:rsidP="004F5D1A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Nisu postojale sugestije Ministarstva finansija na Nacrt ovog zakona.</w:t>
            </w:r>
          </w:p>
        </w:tc>
      </w:tr>
      <w:tr w:rsidR="004455D1" w:rsidRPr="00BA62F0" w:rsidTr="004F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:rsidR="004455D1" w:rsidRPr="00BA62F0" w:rsidRDefault="004455D1" w:rsidP="004F5D1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lastRenderedPageBreak/>
              <w:t xml:space="preserve">6. </w:t>
            </w:r>
            <w:r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  <w:t>K</w:t>
            </w: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onsultacije zainteresovanih strana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Naznačiti da li je korišćena eksterna ekspertska podrška i ako da, kako.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Naznačiti koje su grupe zainteresovanih strana konsultovane, u kojoj fazi RIA procesa i kako (javne ili ciljane konsultacije).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Naznačiti glavne rezultate konsultacija, i koji su predlozi i sugestije zainteresovanih strana prihvaćeni odnosno nijesu prihvaćeni. Obrazložiti.</w:t>
            </w:r>
          </w:p>
        </w:tc>
      </w:tr>
      <w:tr w:rsidR="004455D1" w:rsidRPr="00BA62F0" w:rsidTr="004F5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:rsidR="004455D1" w:rsidRPr="00BA62F0" w:rsidRDefault="004455D1" w:rsidP="004F5D1A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U izradi propisa </w:t>
            </w:r>
            <w:r w:rsidR="00D62729"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nije </w:t>
            </w:r>
            <w:r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korišćena je eksterna ekspertska podrška. </w:t>
            </w:r>
          </w:p>
          <w:p w:rsidR="004455D1" w:rsidRPr="00BA62F0" w:rsidRDefault="004455D1" w:rsidP="00D62729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Ministarstvo pravde formiralo je Radnu grupu za izradu Nacrta Zakona o </w:t>
            </w:r>
            <w:r w:rsidR="005F6A35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>prekršajima</w:t>
            </w:r>
            <w:r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 sastavljenu od predstavnika </w:t>
            </w:r>
            <w:r w:rsidR="00231AA9"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Višeg suda </w:t>
            </w:r>
            <w:r w:rsidR="006C3CD1"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>za prekršaje Crne Gore, Suda za prekršaje u Podgorici, Specijalnog državnog tužilaštva, Ministarstva finansija, Uprave policije, Ministarstva prostornog planiranja, urbanizma i državne imovine i Advokatske komore.</w:t>
            </w:r>
          </w:p>
        </w:tc>
      </w:tr>
      <w:tr w:rsidR="004455D1" w:rsidRPr="00BA62F0" w:rsidTr="004F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:rsidR="004455D1" w:rsidRPr="00BA62F0" w:rsidRDefault="004455D1" w:rsidP="004F5D1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7. Monitoring i evaluacija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 xml:space="preserve">Koje su potencijalne prepreke za implementaciju propisa? 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Koje će mjere biti preduzete tokom primjene propisa da bi se ispunili ciljevi?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Koji su glavni indikatori prema kojima će se mjeriti ispunjenje ciljeva?</w:t>
            </w:r>
          </w:p>
          <w:p w:rsidR="004455D1" w:rsidRPr="00BA62F0" w:rsidRDefault="004455D1" w:rsidP="004F5D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  <w:r w:rsidRPr="00BA62F0">
              <w:rPr>
                <w:rFonts w:ascii="Arial" w:hAnsi="Arial" w:cs="Arial"/>
                <w:color w:val="000000" w:themeColor="text1"/>
                <w:sz w:val="22"/>
                <w:lang w:val="sr-Latn-ME"/>
              </w:rPr>
              <w:t>Ko će biti zadužen za sprovođenje monitoringa i evaluacije primjene propisa?</w:t>
            </w:r>
          </w:p>
          <w:p w:rsidR="004455D1" w:rsidRPr="00BA62F0" w:rsidRDefault="004455D1" w:rsidP="004F5D1A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63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</w:p>
        </w:tc>
      </w:tr>
      <w:tr w:rsidR="004455D1" w:rsidRPr="00BA62F0" w:rsidTr="004F5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:rsidR="004455D1" w:rsidRPr="00BA62F0" w:rsidRDefault="004455D1" w:rsidP="004F5D1A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Nema potencijalnih prepreka za implementaciju propisa. </w:t>
            </w:r>
          </w:p>
          <w:p w:rsidR="004455D1" w:rsidRPr="00BA62F0" w:rsidRDefault="004455D1" w:rsidP="004F5D1A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Mjere koje će biti preduzete tokom primjene propisa da bi se ispunili ciljevi su prije svega promocija novih rješenja iz zakonskog teksta kao važnog preventivnog mehanizma. </w:t>
            </w:r>
          </w:p>
          <w:p w:rsidR="004455D1" w:rsidRPr="00BA62F0" w:rsidRDefault="004455D1" w:rsidP="004F5D1A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</w:pPr>
            <w:r w:rsidRPr="00BA62F0">
              <w:rPr>
                <w:rFonts w:ascii="Arial" w:hAnsi="Arial" w:cs="Arial"/>
                <w:b w:val="0"/>
                <w:color w:val="000000" w:themeColor="text1"/>
                <w:sz w:val="22"/>
                <w:lang w:val="sr-Latn-RS"/>
              </w:rPr>
              <w:t xml:space="preserve">Za monitoring propisa je nadležno Ministarstvo pravde. </w:t>
            </w:r>
          </w:p>
        </w:tc>
      </w:tr>
      <w:tr w:rsidR="004455D1" w:rsidRPr="00BA62F0" w:rsidTr="004F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:rsidR="004455D1" w:rsidRPr="00BA62F0" w:rsidRDefault="004455D1" w:rsidP="00DA2253">
            <w:pPr>
              <w:spacing w:line="276" w:lineRule="auto"/>
              <w:ind w:firstLine="720"/>
              <w:rPr>
                <w:rFonts w:ascii="Arial" w:hAnsi="Arial" w:cs="Arial"/>
                <w:b w:val="0"/>
                <w:color w:val="000000" w:themeColor="text1"/>
                <w:sz w:val="22"/>
                <w:lang w:val="sr-Latn-ME"/>
              </w:rPr>
            </w:pPr>
          </w:p>
        </w:tc>
      </w:tr>
    </w:tbl>
    <w:p w:rsidR="004455D1" w:rsidRPr="00BA62F0" w:rsidRDefault="004455D1" w:rsidP="004455D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 w:val="0"/>
          <w:color w:val="000000" w:themeColor="text1"/>
          <w:sz w:val="22"/>
          <w:lang w:val="sr-Latn-ME"/>
        </w:rPr>
      </w:pPr>
    </w:p>
    <w:p w:rsidR="004455D1" w:rsidRPr="00BA62F0" w:rsidRDefault="004455D1" w:rsidP="004455D1">
      <w:pPr>
        <w:spacing w:line="276" w:lineRule="auto"/>
        <w:rPr>
          <w:rFonts w:ascii="Arial" w:hAnsi="Arial" w:cs="Arial"/>
          <w:b/>
          <w:color w:val="000000" w:themeColor="text1"/>
          <w:sz w:val="22"/>
          <w:lang w:val="sr-Latn-ME"/>
        </w:rPr>
      </w:pPr>
    </w:p>
    <w:p w:rsidR="004455D1" w:rsidRPr="00BA62F0" w:rsidRDefault="004455D1" w:rsidP="004455D1">
      <w:pPr>
        <w:tabs>
          <w:tab w:val="left" w:pos="600"/>
          <w:tab w:val="right" w:pos="9360"/>
        </w:tabs>
        <w:spacing w:line="276" w:lineRule="auto"/>
        <w:jc w:val="left"/>
        <w:rPr>
          <w:rFonts w:ascii="Arial" w:hAnsi="Arial" w:cs="Arial"/>
          <w:b/>
          <w:color w:val="000000" w:themeColor="text1"/>
          <w:sz w:val="22"/>
          <w:lang w:val="sr-Latn-ME"/>
        </w:rPr>
      </w:pPr>
      <w:r w:rsidRPr="00BA62F0">
        <w:rPr>
          <w:rFonts w:ascii="Arial" w:hAnsi="Arial" w:cs="Arial"/>
          <w:color w:val="000000" w:themeColor="text1"/>
          <w:sz w:val="22"/>
          <w:lang w:val="sr-Latn-ME"/>
        </w:rPr>
        <w:t xml:space="preserve">Podgorica, </w:t>
      </w:r>
      <w:r w:rsidR="00B60D71" w:rsidRPr="00BA62F0">
        <w:rPr>
          <w:rFonts w:ascii="Arial" w:hAnsi="Arial" w:cs="Arial"/>
          <w:color w:val="000000" w:themeColor="text1"/>
          <w:sz w:val="22"/>
          <w:lang w:val="sr-Latn-ME"/>
        </w:rPr>
        <w:t>2</w:t>
      </w:r>
      <w:r w:rsidR="003B1A9E">
        <w:rPr>
          <w:rFonts w:ascii="Arial" w:hAnsi="Arial" w:cs="Arial"/>
          <w:color w:val="000000" w:themeColor="text1"/>
          <w:sz w:val="22"/>
          <w:lang w:val="sr-Latn-ME"/>
        </w:rPr>
        <w:t>1</w:t>
      </w:r>
      <w:bookmarkStart w:id="0" w:name="_GoBack"/>
      <w:bookmarkEnd w:id="0"/>
      <w:r w:rsidRPr="00BA62F0">
        <w:rPr>
          <w:rFonts w:ascii="Arial" w:hAnsi="Arial" w:cs="Arial"/>
          <w:color w:val="000000" w:themeColor="text1"/>
          <w:sz w:val="22"/>
          <w:lang w:val="sr-Latn-ME"/>
        </w:rPr>
        <w:t>.</w:t>
      </w:r>
      <w:r w:rsidR="00B60D71" w:rsidRPr="00BA62F0">
        <w:rPr>
          <w:rFonts w:ascii="Arial" w:hAnsi="Arial" w:cs="Arial"/>
          <w:color w:val="000000" w:themeColor="text1"/>
          <w:sz w:val="22"/>
          <w:lang w:val="sr-Latn-ME"/>
        </w:rPr>
        <w:t>2</w:t>
      </w:r>
      <w:r w:rsidRPr="00BA62F0">
        <w:rPr>
          <w:rFonts w:ascii="Arial" w:hAnsi="Arial" w:cs="Arial"/>
          <w:color w:val="000000" w:themeColor="text1"/>
          <w:sz w:val="22"/>
          <w:lang w:val="sr-Latn-ME"/>
        </w:rPr>
        <w:t>.202</w:t>
      </w:r>
      <w:r w:rsidR="00B60D71" w:rsidRPr="00BA62F0">
        <w:rPr>
          <w:rFonts w:ascii="Arial" w:hAnsi="Arial" w:cs="Arial"/>
          <w:color w:val="000000" w:themeColor="text1"/>
          <w:sz w:val="22"/>
          <w:lang w:val="sr-Latn-ME"/>
        </w:rPr>
        <w:t>5</w:t>
      </w:r>
      <w:r w:rsidRPr="00BA62F0">
        <w:rPr>
          <w:rFonts w:ascii="Arial" w:hAnsi="Arial" w:cs="Arial"/>
          <w:color w:val="000000" w:themeColor="text1"/>
          <w:sz w:val="22"/>
          <w:lang w:val="sr-Latn-ME"/>
        </w:rPr>
        <w:t>. godine</w:t>
      </w:r>
      <w:r w:rsidRPr="00BA62F0">
        <w:rPr>
          <w:rFonts w:ascii="Arial" w:hAnsi="Arial" w:cs="Arial"/>
          <w:b/>
          <w:color w:val="000000" w:themeColor="text1"/>
          <w:sz w:val="22"/>
          <w:lang w:val="sr-Latn-ME"/>
        </w:rPr>
        <w:tab/>
      </w:r>
    </w:p>
    <w:p w:rsidR="004455D1" w:rsidRPr="00BA62F0" w:rsidRDefault="004455D1" w:rsidP="004455D1">
      <w:pPr>
        <w:tabs>
          <w:tab w:val="left" w:pos="600"/>
          <w:tab w:val="right" w:pos="9360"/>
        </w:tabs>
        <w:spacing w:line="276" w:lineRule="auto"/>
        <w:jc w:val="right"/>
        <w:rPr>
          <w:rFonts w:ascii="Arial" w:hAnsi="Arial" w:cs="Arial"/>
          <w:b/>
          <w:color w:val="000000" w:themeColor="text1"/>
          <w:sz w:val="22"/>
          <w:lang w:val="sr-Latn-ME"/>
        </w:rPr>
      </w:pPr>
    </w:p>
    <w:p w:rsidR="004455D1" w:rsidRPr="00BA62F0" w:rsidRDefault="004455D1" w:rsidP="004455D1">
      <w:pPr>
        <w:tabs>
          <w:tab w:val="left" w:pos="600"/>
          <w:tab w:val="right" w:pos="9360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lang w:val="sr-Latn-ME"/>
        </w:rPr>
      </w:pPr>
      <w:r w:rsidRPr="00BA62F0">
        <w:rPr>
          <w:rFonts w:ascii="Arial" w:hAnsi="Arial" w:cs="Arial"/>
          <w:b/>
          <w:color w:val="000000" w:themeColor="text1"/>
          <w:sz w:val="22"/>
          <w:lang w:val="sr-Latn-ME"/>
        </w:rPr>
        <w:t xml:space="preserve">                                                                                                                        </w:t>
      </w:r>
    </w:p>
    <w:p w:rsidR="004455D1" w:rsidRPr="00BA62F0" w:rsidRDefault="004455D1" w:rsidP="004455D1">
      <w:pPr>
        <w:tabs>
          <w:tab w:val="left" w:pos="600"/>
          <w:tab w:val="right" w:pos="9360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lang w:val="sr-Latn-ME"/>
        </w:rPr>
      </w:pPr>
    </w:p>
    <w:p w:rsidR="004455D1" w:rsidRPr="00BA62F0" w:rsidRDefault="004455D1" w:rsidP="004455D1">
      <w:pPr>
        <w:tabs>
          <w:tab w:val="left" w:pos="600"/>
          <w:tab w:val="right" w:pos="9360"/>
        </w:tabs>
        <w:spacing w:line="276" w:lineRule="auto"/>
        <w:rPr>
          <w:rFonts w:ascii="Arial" w:hAnsi="Arial" w:cs="Arial"/>
          <w:b/>
          <w:color w:val="000000" w:themeColor="text1"/>
          <w:sz w:val="22"/>
          <w:lang w:val="sr-Latn-ME"/>
        </w:rPr>
      </w:pPr>
    </w:p>
    <w:p w:rsidR="004455D1" w:rsidRPr="00BA62F0" w:rsidRDefault="004455D1" w:rsidP="004455D1">
      <w:pPr>
        <w:tabs>
          <w:tab w:val="left" w:pos="600"/>
          <w:tab w:val="right" w:pos="9360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lang w:val="sr-Latn-ME"/>
        </w:rPr>
      </w:pPr>
    </w:p>
    <w:p w:rsidR="004455D1" w:rsidRPr="00BA62F0" w:rsidRDefault="004455D1" w:rsidP="004455D1">
      <w:pPr>
        <w:tabs>
          <w:tab w:val="left" w:pos="600"/>
          <w:tab w:val="right" w:pos="9360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lang w:val="sr-Latn-ME"/>
        </w:rPr>
      </w:pPr>
    </w:p>
    <w:p w:rsidR="004455D1" w:rsidRPr="00BA62F0" w:rsidRDefault="004455D1" w:rsidP="004455D1">
      <w:pPr>
        <w:tabs>
          <w:tab w:val="left" w:pos="600"/>
          <w:tab w:val="right" w:pos="9360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lang w:val="sr-Latn-ME"/>
        </w:rPr>
      </w:pPr>
    </w:p>
    <w:p w:rsidR="004455D1" w:rsidRPr="00BA62F0" w:rsidRDefault="004455D1" w:rsidP="004455D1">
      <w:pPr>
        <w:tabs>
          <w:tab w:val="left" w:pos="600"/>
          <w:tab w:val="right" w:pos="9360"/>
        </w:tabs>
        <w:spacing w:line="276" w:lineRule="auto"/>
        <w:jc w:val="right"/>
        <w:rPr>
          <w:rFonts w:ascii="Arial" w:hAnsi="Arial" w:cs="Arial"/>
          <w:color w:val="000000" w:themeColor="text1"/>
          <w:sz w:val="22"/>
          <w:lang w:val="sr-Latn-ME"/>
        </w:rPr>
      </w:pPr>
      <w:r w:rsidRPr="00BA62F0">
        <w:rPr>
          <w:rFonts w:ascii="Arial" w:hAnsi="Arial" w:cs="Arial"/>
          <w:color w:val="000000" w:themeColor="text1"/>
          <w:sz w:val="22"/>
          <w:lang w:val="sr-Latn-ME"/>
        </w:rPr>
        <w:t xml:space="preserve">          MINISTAR</w:t>
      </w:r>
    </w:p>
    <w:p w:rsidR="004455D1" w:rsidRPr="00BA62F0" w:rsidRDefault="003B1A9E" w:rsidP="004455D1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2"/>
          <w:lang w:val="sr-Latn-ME"/>
        </w:rPr>
      </w:pPr>
      <w:r>
        <w:rPr>
          <w:rFonts w:ascii="Arial" w:hAnsi="Arial" w:cs="Arial"/>
          <w:b/>
          <w:color w:val="000000" w:themeColor="text1"/>
          <w:sz w:val="22"/>
          <w:lang w:val="sr-Latn-ME"/>
        </w:rPr>
        <w:t>m</w:t>
      </w:r>
      <w:r w:rsidR="003519DB">
        <w:rPr>
          <w:rFonts w:ascii="Arial" w:hAnsi="Arial" w:cs="Arial"/>
          <w:b/>
          <w:color w:val="000000" w:themeColor="text1"/>
          <w:sz w:val="22"/>
          <w:lang w:val="sr-Latn-ME"/>
        </w:rPr>
        <w:t xml:space="preserve">r </w:t>
      </w:r>
      <w:r w:rsidR="004455D1" w:rsidRPr="00BA62F0">
        <w:rPr>
          <w:rFonts w:ascii="Arial" w:hAnsi="Arial" w:cs="Arial"/>
          <w:b/>
          <w:color w:val="000000" w:themeColor="text1"/>
          <w:sz w:val="22"/>
          <w:lang w:val="sr-Latn-ME"/>
        </w:rPr>
        <w:t>Bojan Božović</w:t>
      </w:r>
    </w:p>
    <w:p w:rsidR="004455D1" w:rsidRPr="00BA62F0" w:rsidRDefault="004455D1" w:rsidP="004455D1">
      <w:pPr>
        <w:spacing w:line="276" w:lineRule="auto"/>
        <w:rPr>
          <w:rFonts w:ascii="Arial" w:hAnsi="Arial" w:cs="Arial"/>
          <w:color w:val="000000" w:themeColor="text1"/>
          <w:sz w:val="22"/>
          <w:lang w:val="sr-Latn-ME"/>
        </w:rPr>
      </w:pPr>
      <w:r w:rsidRPr="00BA62F0">
        <w:rPr>
          <w:rFonts w:ascii="Arial" w:hAnsi="Arial" w:cs="Arial"/>
          <w:color w:val="000000" w:themeColor="text1"/>
          <w:sz w:val="22"/>
          <w:lang w:val="sr-Latn-ME"/>
        </w:rPr>
        <w:tab/>
      </w:r>
      <w:r w:rsidRPr="00BA62F0">
        <w:rPr>
          <w:rFonts w:ascii="Arial" w:hAnsi="Arial" w:cs="Arial"/>
          <w:color w:val="000000" w:themeColor="text1"/>
          <w:sz w:val="22"/>
          <w:lang w:val="sr-Latn-ME"/>
        </w:rPr>
        <w:tab/>
      </w:r>
      <w:r w:rsidRPr="00BA62F0">
        <w:rPr>
          <w:rFonts w:ascii="Arial" w:hAnsi="Arial" w:cs="Arial"/>
          <w:color w:val="000000" w:themeColor="text1"/>
          <w:sz w:val="22"/>
          <w:lang w:val="sr-Latn-ME"/>
        </w:rPr>
        <w:tab/>
      </w:r>
      <w:r w:rsidRPr="00BA62F0">
        <w:rPr>
          <w:rFonts w:ascii="Arial" w:hAnsi="Arial" w:cs="Arial"/>
          <w:color w:val="000000" w:themeColor="text1"/>
          <w:sz w:val="22"/>
          <w:lang w:val="sr-Latn-ME"/>
        </w:rPr>
        <w:tab/>
      </w:r>
      <w:r w:rsidRPr="00BA62F0">
        <w:rPr>
          <w:rFonts w:ascii="Arial" w:hAnsi="Arial" w:cs="Arial"/>
          <w:color w:val="000000" w:themeColor="text1"/>
          <w:sz w:val="22"/>
          <w:lang w:val="sr-Latn-ME"/>
        </w:rPr>
        <w:tab/>
      </w:r>
      <w:r w:rsidRPr="00BA62F0">
        <w:rPr>
          <w:rFonts w:ascii="Arial" w:hAnsi="Arial" w:cs="Arial"/>
          <w:color w:val="000000" w:themeColor="text1"/>
          <w:sz w:val="22"/>
          <w:lang w:val="sr-Latn-ME"/>
        </w:rPr>
        <w:tab/>
        <w:t xml:space="preserve">  </w:t>
      </w:r>
    </w:p>
    <w:p w:rsidR="00B73EDA" w:rsidRPr="00BA62F0" w:rsidRDefault="00B73EDA">
      <w:pPr>
        <w:rPr>
          <w:rFonts w:ascii="Arial" w:hAnsi="Arial" w:cs="Arial"/>
          <w:sz w:val="22"/>
        </w:rPr>
      </w:pPr>
    </w:p>
    <w:sectPr w:rsidR="00B73EDA" w:rsidRPr="00BA62F0" w:rsidSect="00DA290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4C3" w:rsidRDefault="008E44C3" w:rsidP="00DA2253">
      <w:r>
        <w:separator/>
      </w:r>
    </w:p>
  </w:endnote>
  <w:endnote w:type="continuationSeparator" w:id="0">
    <w:p w:rsidR="008E44C3" w:rsidRDefault="008E44C3" w:rsidP="00DA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4C3" w:rsidRDefault="008E44C3" w:rsidP="00DA2253">
      <w:r>
        <w:separator/>
      </w:r>
    </w:p>
  </w:footnote>
  <w:footnote w:type="continuationSeparator" w:id="0">
    <w:p w:rsidR="008E44C3" w:rsidRDefault="008E44C3" w:rsidP="00DA2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D1"/>
    <w:rsid w:val="000325B3"/>
    <w:rsid w:val="000A1D53"/>
    <w:rsid w:val="001953B5"/>
    <w:rsid w:val="00231AA9"/>
    <w:rsid w:val="00244109"/>
    <w:rsid w:val="002F413E"/>
    <w:rsid w:val="00350D73"/>
    <w:rsid w:val="003519DB"/>
    <w:rsid w:val="003B1A9E"/>
    <w:rsid w:val="004455D1"/>
    <w:rsid w:val="005B7260"/>
    <w:rsid w:val="005E2FFF"/>
    <w:rsid w:val="005F6A35"/>
    <w:rsid w:val="00624D64"/>
    <w:rsid w:val="00676074"/>
    <w:rsid w:val="006B2869"/>
    <w:rsid w:val="006C3CD1"/>
    <w:rsid w:val="007A66B0"/>
    <w:rsid w:val="007E7480"/>
    <w:rsid w:val="008E44C3"/>
    <w:rsid w:val="00961125"/>
    <w:rsid w:val="00AE0A76"/>
    <w:rsid w:val="00B60D71"/>
    <w:rsid w:val="00B73EDA"/>
    <w:rsid w:val="00BA62F0"/>
    <w:rsid w:val="00C547AA"/>
    <w:rsid w:val="00CA0415"/>
    <w:rsid w:val="00CC297F"/>
    <w:rsid w:val="00CC7702"/>
    <w:rsid w:val="00D62729"/>
    <w:rsid w:val="00DA2253"/>
    <w:rsid w:val="00E56A98"/>
    <w:rsid w:val="00E6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B19B"/>
  <w15:chartTrackingRefBased/>
  <w15:docId w15:val="{E047E490-5582-4733-893F-AFA80852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anko"/>
    <w:qFormat/>
    <w:rsid w:val="007A66B0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55D1"/>
    <w:pPr>
      <w:ind w:left="720"/>
    </w:pPr>
  </w:style>
  <w:style w:type="table" w:styleId="LightGrid-Accent5">
    <w:name w:val="Light Grid Accent 5"/>
    <w:basedOn w:val="TableNormal"/>
    <w:uiPriority w:val="62"/>
    <w:rsid w:val="004455D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customStyle="1" w:styleId="ListParagraphChar">
    <w:name w:val="List Paragraph Char"/>
    <w:link w:val="ListParagraph"/>
    <w:uiPriority w:val="34"/>
    <w:locked/>
    <w:rsid w:val="004455D1"/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A22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253"/>
    <w:rPr>
      <w:rFonts w:ascii="Garamond" w:eastAsia="Times New Roman" w:hAnsi="Garamond" w:cs="Times New Roman"/>
      <w:bCs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A22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253"/>
    <w:rPr>
      <w:rFonts w:ascii="Garamond" w:eastAsia="Times New Roman" w:hAnsi="Garamond" w:cs="Times New Roman"/>
      <w:bCs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Ana Cubranovic</cp:lastModifiedBy>
  <cp:revision>26</cp:revision>
  <dcterms:created xsi:type="dcterms:W3CDTF">2025-02-20T06:50:00Z</dcterms:created>
  <dcterms:modified xsi:type="dcterms:W3CDTF">2025-02-21T13:05:00Z</dcterms:modified>
</cp:coreProperties>
</file>