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FD3" w:rsidRPr="00870FD3" w:rsidRDefault="00870FD3" w:rsidP="00870FD3">
      <w:pPr>
        <w:spacing w:before="0" w:after="0" w:line="216" w:lineRule="auto"/>
        <w:ind w:right="-786" w:firstLine="9"/>
        <w:rPr>
          <w:rFonts w:ascii="Arial" w:hAnsi="Arial" w:cs="Arial"/>
          <w:color w:val="000000"/>
          <w:sz w:val="22"/>
        </w:rPr>
      </w:pPr>
      <w:r w:rsidRPr="00870FD3">
        <w:rPr>
          <w:rFonts w:ascii="Arial" w:hAnsi="Arial" w:cs="Arial"/>
          <w:noProof/>
          <w:color w:val="000000"/>
          <w:sz w:val="22"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62CB611C" wp14:editId="2F5955D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28675" cy="762000"/>
            <wp:effectExtent l="0" t="0" r="9525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" name="Picture 21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FD3">
        <w:rPr>
          <w:rFonts w:ascii="Arial" w:hAnsi="Arial" w:cs="Arial"/>
          <w:color w:val="000000"/>
          <w:sz w:val="22"/>
        </w:rPr>
        <w:t xml:space="preserve">                                                                                            Adresa: Rimski trg 46 </w:t>
      </w:r>
    </w:p>
    <w:p w:rsidR="00870FD3" w:rsidRPr="00870FD3" w:rsidRDefault="00870FD3" w:rsidP="00870FD3">
      <w:pPr>
        <w:spacing w:before="0" w:after="0" w:line="216" w:lineRule="auto"/>
        <w:ind w:firstLine="9"/>
        <w:rPr>
          <w:rFonts w:ascii="Arial" w:hAnsi="Arial" w:cs="Arial"/>
          <w:b/>
          <w:color w:val="000000"/>
          <w:sz w:val="22"/>
        </w:rPr>
      </w:pPr>
      <w:r w:rsidRPr="00870FD3">
        <w:rPr>
          <w:rFonts w:ascii="Arial" w:hAnsi="Arial" w:cs="Arial"/>
          <w:color w:val="000000"/>
          <w:sz w:val="22"/>
        </w:rPr>
        <w:t xml:space="preserve">Crna Gora                                                            </w:t>
      </w:r>
      <w:r w:rsidR="00C67787">
        <w:rPr>
          <w:rFonts w:ascii="Arial" w:hAnsi="Arial" w:cs="Arial"/>
          <w:color w:val="000000"/>
          <w:sz w:val="22"/>
        </w:rPr>
        <w:t xml:space="preserve">               81000 Podgorica</w:t>
      </w:r>
    </w:p>
    <w:p w:rsidR="00870FD3" w:rsidRPr="00870FD3" w:rsidRDefault="00870FD3" w:rsidP="00870FD3">
      <w:pPr>
        <w:spacing w:before="0" w:after="0" w:line="216" w:lineRule="auto"/>
        <w:ind w:firstLine="9"/>
        <w:rPr>
          <w:rFonts w:ascii="Arial" w:hAnsi="Arial" w:cs="Arial"/>
          <w:b/>
          <w:color w:val="000000"/>
          <w:sz w:val="22"/>
        </w:rPr>
      </w:pPr>
      <w:r w:rsidRPr="00870FD3">
        <w:rPr>
          <w:rFonts w:ascii="Arial" w:hAnsi="Arial" w:cs="Arial"/>
          <w:color w:val="000000"/>
          <w:sz w:val="22"/>
        </w:rPr>
        <w:t>Ministar</w:t>
      </w:r>
      <w:r w:rsidR="00692D3F">
        <w:rPr>
          <w:rFonts w:ascii="Arial" w:hAnsi="Arial" w:cs="Arial"/>
          <w:color w:val="000000"/>
          <w:sz w:val="22"/>
        </w:rPr>
        <w:t xml:space="preserve">stvo ekonomskog razvoja </w:t>
      </w:r>
      <w:r w:rsidRPr="00870FD3">
        <w:rPr>
          <w:rFonts w:ascii="Arial" w:hAnsi="Arial" w:cs="Arial"/>
          <w:b/>
          <w:color w:val="000000"/>
          <w:sz w:val="22"/>
        </w:rPr>
        <w:t xml:space="preserve">                        </w:t>
      </w:r>
      <w:r w:rsidR="00692D3F">
        <w:rPr>
          <w:rFonts w:ascii="Arial" w:hAnsi="Arial" w:cs="Arial"/>
          <w:b/>
          <w:color w:val="000000"/>
          <w:sz w:val="22"/>
        </w:rPr>
        <w:t xml:space="preserve">              </w:t>
      </w:r>
      <w:r w:rsidRPr="00870FD3">
        <w:rPr>
          <w:rFonts w:ascii="Arial" w:hAnsi="Arial" w:cs="Arial"/>
          <w:color w:val="000000"/>
          <w:sz w:val="22"/>
        </w:rPr>
        <w:t>tel: +382 20 482 301</w:t>
      </w:r>
      <w:r w:rsidRPr="00870FD3">
        <w:rPr>
          <w:rFonts w:ascii="Arial" w:hAnsi="Arial" w:cs="Arial"/>
          <w:b/>
          <w:color w:val="000000"/>
          <w:sz w:val="22"/>
        </w:rPr>
        <w:t xml:space="preserve"> </w:t>
      </w:r>
    </w:p>
    <w:p w:rsidR="00870FD3" w:rsidRPr="00870FD3" w:rsidRDefault="00870FD3" w:rsidP="00870FD3">
      <w:pPr>
        <w:spacing w:before="0" w:after="0" w:line="216" w:lineRule="auto"/>
        <w:rPr>
          <w:rFonts w:ascii="Arial" w:hAnsi="Arial" w:cs="Arial"/>
          <w:b/>
          <w:color w:val="000000"/>
          <w:sz w:val="22"/>
        </w:rPr>
      </w:pPr>
      <w:r w:rsidRPr="00870FD3">
        <w:rPr>
          <w:rFonts w:ascii="Arial" w:hAnsi="Arial" w:cs="Arial"/>
          <w:color w:val="000000"/>
          <w:sz w:val="22"/>
        </w:rPr>
        <w:t xml:space="preserve">                                                                  </w:t>
      </w:r>
      <w:r w:rsidR="00C67787">
        <w:rPr>
          <w:rFonts w:ascii="Arial" w:hAnsi="Arial" w:cs="Arial"/>
          <w:color w:val="000000"/>
          <w:sz w:val="22"/>
        </w:rPr>
        <w:t xml:space="preserve">                        </w:t>
      </w:r>
      <w:r w:rsidR="00692D3F">
        <w:rPr>
          <w:rFonts w:ascii="Arial" w:hAnsi="Arial" w:cs="Arial"/>
          <w:color w:val="000000"/>
          <w:sz w:val="22"/>
        </w:rPr>
        <w:t xml:space="preserve"> </w:t>
      </w:r>
      <w:r w:rsidR="00C67787">
        <w:rPr>
          <w:rFonts w:ascii="Arial" w:hAnsi="Arial" w:cs="Arial"/>
          <w:color w:val="000000"/>
          <w:sz w:val="22"/>
        </w:rPr>
        <w:t xml:space="preserve"> </w:t>
      </w:r>
      <w:hyperlink r:id="rId9" w:history="1">
        <w:r w:rsidRPr="00870FD3">
          <w:rPr>
            <w:rFonts w:ascii="Arial" w:hAnsi="Arial" w:cs="Arial"/>
            <w:color w:val="0563C1" w:themeColor="hyperlink"/>
            <w:sz w:val="22"/>
            <w:u w:val="single"/>
          </w:rPr>
          <w:t>www.gov.me/mek</w:t>
        </w:r>
      </w:hyperlink>
    </w:p>
    <w:p w:rsidR="00870FD3" w:rsidRPr="00870FD3" w:rsidRDefault="00870FD3" w:rsidP="00870FD3">
      <w:pPr>
        <w:spacing w:before="0" w:after="0" w:line="216" w:lineRule="auto"/>
        <w:ind w:firstLine="9"/>
        <w:rPr>
          <w:rFonts w:ascii="Arial" w:hAnsi="Arial" w:cs="Arial"/>
          <w:b/>
          <w:color w:val="000000"/>
          <w:sz w:val="22"/>
        </w:rPr>
      </w:pPr>
      <w:r w:rsidRPr="00870FD3">
        <w:rPr>
          <w:rFonts w:ascii="Arial" w:hAnsi="Arial" w:cs="Arial"/>
          <w:b/>
          <w:color w:val="000000"/>
          <w:sz w:val="22"/>
        </w:rPr>
        <w:t xml:space="preserve">                          </w:t>
      </w:r>
    </w:p>
    <w:p w:rsidR="00870FD3" w:rsidRPr="00870FD3" w:rsidRDefault="00870FD3" w:rsidP="00870FD3">
      <w:pPr>
        <w:spacing w:before="0" w:after="118" w:line="216" w:lineRule="auto"/>
        <w:jc w:val="left"/>
        <w:rPr>
          <w:rFonts w:ascii="Arial" w:hAnsi="Arial" w:cs="Arial"/>
          <w:color w:val="000000"/>
          <w:sz w:val="22"/>
        </w:rPr>
      </w:pPr>
    </w:p>
    <w:p w:rsidR="00870FD3" w:rsidRPr="00870FD3" w:rsidRDefault="00870FD3" w:rsidP="00870FD3">
      <w:pPr>
        <w:spacing w:before="0" w:after="118" w:line="216" w:lineRule="auto"/>
        <w:jc w:val="left"/>
        <w:rPr>
          <w:rFonts w:ascii="Arial" w:hAnsi="Arial" w:cs="Arial"/>
          <w:color w:val="000000"/>
          <w:sz w:val="22"/>
        </w:rPr>
      </w:pPr>
    </w:p>
    <w:p w:rsidR="00870FD3" w:rsidRPr="00870FD3" w:rsidRDefault="00870FD3" w:rsidP="00870FD3">
      <w:pPr>
        <w:spacing w:before="0" w:after="118" w:line="216" w:lineRule="auto"/>
        <w:jc w:val="left"/>
        <w:rPr>
          <w:rFonts w:ascii="Arial" w:hAnsi="Arial" w:cs="Arial"/>
          <w:color w:val="000000"/>
          <w:sz w:val="22"/>
        </w:rPr>
      </w:pPr>
      <w:r w:rsidRPr="00870FD3">
        <w:rPr>
          <w:rFonts w:ascii="Arial" w:hAnsi="Arial" w:cs="Arial"/>
          <w:color w:val="000000"/>
          <w:sz w:val="22"/>
        </w:rPr>
        <w:t xml:space="preserve">Broj: </w:t>
      </w:r>
      <w:r w:rsidR="003A2336">
        <w:rPr>
          <w:rFonts w:ascii="Arial" w:hAnsi="Arial" w:cs="Arial"/>
          <w:color w:val="000000"/>
          <w:sz w:val="22"/>
        </w:rPr>
        <w:t>016-102/24-</w:t>
      </w:r>
      <w:r w:rsidR="005769B5">
        <w:rPr>
          <w:rFonts w:ascii="Arial" w:hAnsi="Arial" w:cs="Arial"/>
          <w:color w:val="000000"/>
          <w:sz w:val="22"/>
        </w:rPr>
        <w:t>785</w:t>
      </w:r>
      <w:r w:rsidR="00B601EC">
        <w:rPr>
          <w:rFonts w:ascii="Arial" w:hAnsi="Arial" w:cs="Arial"/>
          <w:color w:val="000000"/>
          <w:sz w:val="22"/>
        </w:rPr>
        <w:t>/1</w:t>
      </w:r>
      <w:bookmarkStart w:id="0" w:name="_GoBack"/>
      <w:bookmarkEnd w:id="0"/>
      <w:r w:rsidRPr="00870FD3">
        <w:rPr>
          <w:rFonts w:ascii="Arial" w:hAnsi="Arial" w:cs="Arial"/>
          <w:color w:val="000000"/>
          <w:sz w:val="22"/>
        </w:rPr>
        <w:t xml:space="preserve">       </w:t>
      </w:r>
      <w:r w:rsidR="006E4B97">
        <w:rPr>
          <w:rFonts w:ascii="Arial" w:hAnsi="Arial" w:cs="Arial"/>
          <w:color w:val="000000"/>
          <w:sz w:val="22"/>
        </w:rPr>
        <w:t xml:space="preserve">                                       </w:t>
      </w:r>
      <w:r w:rsidR="005769B5">
        <w:rPr>
          <w:rFonts w:ascii="Arial" w:hAnsi="Arial" w:cs="Arial"/>
          <w:color w:val="000000"/>
          <w:sz w:val="22"/>
        </w:rPr>
        <w:t xml:space="preserve">                                   </w:t>
      </w:r>
      <w:r w:rsidR="006E4B97">
        <w:rPr>
          <w:rFonts w:ascii="Arial" w:hAnsi="Arial" w:cs="Arial"/>
          <w:color w:val="000000"/>
          <w:sz w:val="22"/>
        </w:rPr>
        <w:t xml:space="preserve"> </w:t>
      </w:r>
      <w:r w:rsidR="005769B5">
        <w:rPr>
          <w:rFonts w:ascii="Arial" w:hAnsi="Arial" w:cs="Arial"/>
          <w:color w:val="000000"/>
          <w:sz w:val="22"/>
        </w:rPr>
        <w:t>01.</w:t>
      </w:r>
      <w:proofErr w:type="gramStart"/>
      <w:r w:rsidR="005769B5">
        <w:rPr>
          <w:rFonts w:ascii="Arial" w:hAnsi="Arial" w:cs="Arial"/>
          <w:color w:val="000000"/>
          <w:sz w:val="22"/>
        </w:rPr>
        <w:t>03.2024</w:t>
      </w:r>
      <w:r w:rsidR="005769B5" w:rsidRPr="00870FD3">
        <w:rPr>
          <w:rFonts w:ascii="Arial" w:hAnsi="Arial" w:cs="Arial"/>
          <w:color w:val="000000"/>
          <w:sz w:val="22"/>
        </w:rPr>
        <w:t>.godine</w:t>
      </w:r>
      <w:proofErr w:type="gramEnd"/>
      <w:r w:rsidR="005769B5" w:rsidRPr="00870FD3">
        <w:rPr>
          <w:rFonts w:ascii="Arial" w:hAnsi="Arial" w:cs="Arial"/>
          <w:color w:val="000000"/>
          <w:sz w:val="22"/>
        </w:rPr>
        <w:t xml:space="preserve">                                                                                                  </w:t>
      </w:r>
      <w:r w:rsidR="006E4B97">
        <w:rPr>
          <w:rFonts w:ascii="Arial" w:hAnsi="Arial" w:cs="Arial"/>
          <w:color w:val="000000"/>
          <w:sz w:val="22"/>
        </w:rPr>
        <w:t xml:space="preserve">  </w:t>
      </w:r>
      <w:r w:rsidR="003A2336">
        <w:rPr>
          <w:rFonts w:ascii="Arial" w:hAnsi="Arial" w:cs="Arial"/>
          <w:color w:val="000000"/>
          <w:sz w:val="22"/>
        </w:rPr>
        <w:t xml:space="preserve">                                         </w:t>
      </w:r>
    </w:p>
    <w:p w:rsidR="00051ADF" w:rsidRDefault="00051ADF"/>
    <w:p w:rsidR="00051ADF" w:rsidRDefault="00051ADF"/>
    <w:p w:rsidR="00051ADF" w:rsidRDefault="00051ADF"/>
    <w:p w:rsidR="000B0FEF" w:rsidRDefault="000B0FEF"/>
    <w:p w:rsidR="00051ADF" w:rsidRDefault="00051ADF"/>
    <w:p w:rsidR="00051ADF" w:rsidRPr="000B0FEF" w:rsidRDefault="00341C13" w:rsidP="00051A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0FEF">
        <w:rPr>
          <w:rFonts w:asciiTheme="minorHAnsi" w:hAnsiTheme="minorHAnsi" w:cstheme="minorHAnsi"/>
          <w:b/>
          <w:sz w:val="28"/>
          <w:szCs w:val="28"/>
        </w:rPr>
        <w:t>REGISTAR RIZIKA</w:t>
      </w:r>
    </w:p>
    <w:p w:rsidR="00051ADF" w:rsidRPr="000B0FEF" w:rsidRDefault="00341C13" w:rsidP="00051A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0FEF">
        <w:rPr>
          <w:rFonts w:asciiTheme="minorHAnsi" w:hAnsiTheme="minorHAnsi" w:cstheme="minorHAnsi"/>
          <w:b/>
          <w:sz w:val="28"/>
          <w:szCs w:val="28"/>
        </w:rPr>
        <w:t xml:space="preserve">MINISTARSTVA </w:t>
      </w:r>
      <w:r w:rsidR="00692D3F">
        <w:rPr>
          <w:rFonts w:asciiTheme="minorHAnsi" w:hAnsiTheme="minorHAnsi" w:cstheme="minorHAnsi"/>
          <w:b/>
          <w:sz w:val="28"/>
          <w:szCs w:val="28"/>
        </w:rPr>
        <w:t xml:space="preserve">EKONOMSKOG RAZVOJA </w:t>
      </w: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1ADF" w:rsidRPr="000B0FEF" w:rsidRDefault="00051ADF" w:rsidP="00051AD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70FD3" w:rsidRDefault="00051ADF" w:rsidP="00870FD3">
      <w:pPr>
        <w:jc w:val="center"/>
        <w:rPr>
          <w:rFonts w:asciiTheme="minorHAnsi" w:hAnsiTheme="minorHAnsi" w:cstheme="minorHAnsi"/>
          <w:szCs w:val="28"/>
        </w:rPr>
      </w:pPr>
      <w:r w:rsidRPr="00792C5F">
        <w:rPr>
          <w:rFonts w:asciiTheme="minorHAnsi" w:hAnsiTheme="minorHAnsi" w:cstheme="minorHAnsi"/>
          <w:szCs w:val="28"/>
        </w:rPr>
        <w:t xml:space="preserve">Podgorica, </w:t>
      </w:r>
      <w:r w:rsidR="00C55288">
        <w:rPr>
          <w:rFonts w:asciiTheme="minorHAnsi" w:hAnsiTheme="minorHAnsi" w:cstheme="minorHAnsi"/>
          <w:szCs w:val="28"/>
        </w:rPr>
        <w:t xml:space="preserve">mart </w:t>
      </w:r>
      <w:r w:rsidRPr="00792C5F">
        <w:rPr>
          <w:rFonts w:asciiTheme="minorHAnsi" w:hAnsiTheme="minorHAnsi" w:cstheme="minorHAnsi"/>
          <w:szCs w:val="28"/>
        </w:rPr>
        <w:t>202</w:t>
      </w:r>
      <w:r w:rsidR="00692D3F">
        <w:rPr>
          <w:rFonts w:asciiTheme="minorHAnsi" w:hAnsiTheme="minorHAnsi" w:cstheme="minorHAnsi"/>
          <w:szCs w:val="28"/>
        </w:rPr>
        <w:t>4</w:t>
      </w:r>
      <w:r w:rsidRPr="00792C5F">
        <w:rPr>
          <w:rFonts w:asciiTheme="minorHAnsi" w:hAnsiTheme="minorHAnsi" w:cstheme="minorHAnsi"/>
          <w:szCs w:val="28"/>
        </w:rPr>
        <w:t>.godin</w:t>
      </w:r>
      <w:r w:rsidR="00870FD3">
        <w:rPr>
          <w:rFonts w:asciiTheme="minorHAnsi" w:hAnsiTheme="minorHAnsi" w:cstheme="minorHAnsi"/>
          <w:szCs w:val="28"/>
        </w:rPr>
        <w:t>e</w:t>
      </w:r>
    </w:p>
    <w:sdt>
      <w:sdtPr>
        <w:rPr>
          <w:rFonts w:asciiTheme="minorHAnsi" w:eastAsiaTheme="minorHAnsi" w:hAnsiTheme="minorHAnsi" w:cstheme="minorHAnsi"/>
          <w:sz w:val="22"/>
        </w:rPr>
        <w:id w:val="869651943"/>
        <w:docPartObj>
          <w:docPartGallery w:val="Table of Contents"/>
          <w:docPartUnique/>
        </w:docPartObj>
      </w:sdtPr>
      <w:sdtEndPr>
        <w:rPr>
          <w:rFonts w:ascii="Arial" w:eastAsia="Calibri" w:hAnsi="Arial" w:cs="Arial"/>
          <w:b/>
          <w:bCs/>
          <w:noProof/>
        </w:rPr>
      </w:sdtEndPr>
      <w:sdtContent>
        <w:p w:rsidR="00870FD3" w:rsidRPr="00870FD3" w:rsidRDefault="00870FD3" w:rsidP="00870FD3">
          <w:pPr>
            <w:jc w:val="center"/>
            <w:rPr>
              <w:rFonts w:asciiTheme="minorHAnsi" w:hAnsiTheme="minorHAnsi" w:cstheme="minorHAnsi"/>
              <w:szCs w:val="28"/>
            </w:rPr>
          </w:pPr>
        </w:p>
        <w:p w:rsidR="00785F6E" w:rsidRPr="00595916" w:rsidRDefault="009E4B76" w:rsidP="008966F3">
          <w:pPr>
            <w:jc w:val="left"/>
            <w:rPr>
              <w:rFonts w:ascii="Arial" w:hAnsi="Arial" w:cs="Arial"/>
              <w:sz w:val="22"/>
            </w:rPr>
          </w:pPr>
        </w:p>
      </w:sdtContent>
    </w:sdt>
    <w:p w:rsidR="00785F6E" w:rsidRPr="00595916" w:rsidRDefault="00785F6E" w:rsidP="00785F6E">
      <w:pPr>
        <w:jc w:val="left"/>
        <w:rPr>
          <w:rFonts w:ascii="Arial" w:hAnsi="Arial" w:cs="Arial"/>
          <w:sz w:val="22"/>
        </w:rPr>
      </w:pPr>
    </w:p>
    <w:p w:rsidR="00785F6E" w:rsidRPr="005769B5" w:rsidRDefault="008C2A2B" w:rsidP="00785F6E">
      <w:pPr>
        <w:jc w:val="left"/>
        <w:rPr>
          <w:rFonts w:ascii="Arial" w:hAnsi="Arial" w:cs="Arial"/>
          <w:b/>
          <w:sz w:val="22"/>
        </w:rPr>
      </w:pPr>
      <w:r w:rsidRPr="005769B5">
        <w:rPr>
          <w:rFonts w:ascii="Arial" w:hAnsi="Arial" w:cs="Arial"/>
          <w:b/>
          <w:sz w:val="22"/>
        </w:rPr>
        <w:t>SADRŽAJ:</w:t>
      </w:r>
    </w:p>
    <w:p w:rsidR="00732946" w:rsidRPr="00595916" w:rsidRDefault="008C2A2B" w:rsidP="00732946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lang w:val="es-DO"/>
        </w:rPr>
      </w:pPr>
      <w:r w:rsidRPr="00595916">
        <w:rPr>
          <w:rFonts w:ascii="Arial" w:hAnsi="Arial" w:cs="Arial"/>
          <w:b/>
          <w:lang w:val="es-DO"/>
        </w:rPr>
        <w:t>UVOD</w:t>
      </w:r>
    </w:p>
    <w:p w:rsidR="008C2A2B" w:rsidRPr="00595916" w:rsidRDefault="00732946" w:rsidP="00732946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lang w:val="es-DO"/>
        </w:rPr>
      </w:pPr>
      <w:r w:rsidRPr="00595916">
        <w:rPr>
          <w:rFonts w:ascii="Arial" w:hAnsi="Arial" w:cs="Arial"/>
          <w:b/>
          <w:lang w:val="es-DO"/>
        </w:rPr>
        <w:t>1.</w:t>
      </w:r>
      <w:proofErr w:type="gramStart"/>
      <w:r w:rsidRPr="00595916">
        <w:rPr>
          <w:rFonts w:ascii="Arial" w:hAnsi="Arial" w:cs="Arial"/>
          <w:b/>
          <w:lang w:val="es-DO"/>
        </w:rPr>
        <w:t>1.</w:t>
      </w:r>
      <w:r w:rsidR="008C2A2B" w:rsidRPr="00595916">
        <w:rPr>
          <w:rFonts w:ascii="Arial" w:hAnsi="Arial" w:cs="Arial"/>
          <w:b/>
          <w:lang w:val="es-DO"/>
        </w:rPr>
        <w:t>Procjena</w:t>
      </w:r>
      <w:proofErr w:type="gramEnd"/>
      <w:r w:rsidR="008C2A2B" w:rsidRPr="00595916">
        <w:rPr>
          <w:rFonts w:ascii="Arial" w:hAnsi="Arial" w:cs="Arial"/>
          <w:b/>
          <w:lang w:val="es-DO"/>
        </w:rPr>
        <w:t>, mjerenje i rangiranje rizika</w:t>
      </w:r>
    </w:p>
    <w:p w:rsidR="008C2A2B" w:rsidRPr="00595916" w:rsidRDefault="008C2A2B" w:rsidP="008C2A2B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lang w:val="es-DO"/>
        </w:rPr>
      </w:pPr>
      <w:r w:rsidRPr="00595916">
        <w:rPr>
          <w:rFonts w:ascii="Arial" w:hAnsi="Arial" w:cs="Arial"/>
          <w:b/>
          <w:lang w:val="es-DO"/>
        </w:rPr>
        <w:t>ORGANIZACIONE JEDINICE MINISTARSTVA</w:t>
      </w:r>
    </w:p>
    <w:p w:rsidR="00732946" w:rsidRPr="00595916" w:rsidRDefault="008C2A2B" w:rsidP="00870FD3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lang w:val="es-DO"/>
        </w:rPr>
      </w:pPr>
      <w:r w:rsidRPr="00595916">
        <w:rPr>
          <w:rFonts w:ascii="Arial" w:hAnsi="Arial" w:cs="Arial"/>
          <w:b/>
          <w:lang w:val="es-DO"/>
        </w:rPr>
        <w:t xml:space="preserve">REGISTRAR </w:t>
      </w:r>
      <w:r w:rsidR="00732946" w:rsidRPr="00595916">
        <w:rPr>
          <w:rFonts w:ascii="Arial" w:hAnsi="Arial" w:cs="Arial"/>
          <w:b/>
          <w:lang w:val="es-DO"/>
        </w:rPr>
        <w:t>RIZ</w:t>
      </w:r>
      <w:r w:rsidR="00870FD3" w:rsidRPr="00595916">
        <w:rPr>
          <w:rFonts w:ascii="Arial" w:hAnsi="Arial" w:cs="Arial"/>
          <w:b/>
          <w:lang w:val="es-DO"/>
        </w:rPr>
        <w:t>I</w:t>
      </w:r>
      <w:r w:rsidR="00732946" w:rsidRPr="00595916">
        <w:rPr>
          <w:rFonts w:ascii="Arial" w:hAnsi="Arial" w:cs="Arial"/>
          <w:b/>
          <w:lang w:val="es-DO"/>
        </w:rPr>
        <w:t>KA</w:t>
      </w:r>
    </w:p>
    <w:p w:rsidR="008C2A2B" w:rsidRPr="00595916" w:rsidRDefault="00870FD3" w:rsidP="00732946">
      <w:pPr>
        <w:pStyle w:val="NoSpacing"/>
        <w:rPr>
          <w:rFonts w:ascii="Arial" w:hAnsi="Arial" w:cs="Arial"/>
          <w:b/>
          <w:sz w:val="22"/>
          <w:lang w:val="es-DO"/>
        </w:rPr>
      </w:pPr>
      <w:r w:rsidRPr="00595916">
        <w:rPr>
          <w:rFonts w:ascii="Arial" w:hAnsi="Arial" w:cs="Arial"/>
          <w:b/>
          <w:sz w:val="22"/>
          <w:lang w:val="es-DO"/>
        </w:rPr>
        <w:t>3.1.</w:t>
      </w:r>
      <w:r w:rsidR="00225EEC">
        <w:rPr>
          <w:rFonts w:ascii="Arial" w:hAnsi="Arial" w:cs="Arial"/>
          <w:b/>
          <w:sz w:val="22"/>
          <w:lang w:val="es-DO"/>
        </w:rPr>
        <w:t xml:space="preserve"> </w:t>
      </w:r>
      <w:r w:rsidR="008C2A2B" w:rsidRPr="00595916">
        <w:rPr>
          <w:rFonts w:ascii="Arial" w:hAnsi="Arial" w:cs="Arial"/>
          <w:b/>
          <w:sz w:val="22"/>
          <w:lang w:val="es-DO"/>
        </w:rPr>
        <w:t xml:space="preserve">DIREKTORAT </w:t>
      </w:r>
      <w:r w:rsidR="008C2A2B" w:rsidRPr="00595916">
        <w:rPr>
          <w:rFonts w:ascii="Arial" w:hAnsi="Arial" w:cs="Arial"/>
          <w:b/>
          <w:sz w:val="22"/>
          <w:lang w:val="sr-Latn-ME"/>
        </w:rPr>
        <w:t xml:space="preserve">ZA UNAPREĐENJE KONKURENTNOSTI </w:t>
      </w:r>
      <w:r w:rsidR="00692D3F">
        <w:rPr>
          <w:rFonts w:ascii="Arial" w:hAnsi="Arial" w:cs="Arial"/>
          <w:b/>
          <w:sz w:val="22"/>
          <w:lang w:val="sr-Latn-ME"/>
        </w:rPr>
        <w:t>PRIVREDE</w:t>
      </w:r>
    </w:p>
    <w:p w:rsidR="008C2A2B" w:rsidRPr="00595916" w:rsidRDefault="008C2A2B" w:rsidP="00732946">
      <w:pPr>
        <w:pStyle w:val="NoSpacing"/>
        <w:rPr>
          <w:rFonts w:ascii="Arial" w:hAnsi="Arial" w:cs="Arial"/>
          <w:b/>
          <w:sz w:val="22"/>
          <w:lang w:val="sr-Latn-ME"/>
        </w:rPr>
      </w:pPr>
    </w:p>
    <w:p w:rsidR="008C2A2B" w:rsidRPr="00595916" w:rsidRDefault="00870FD3" w:rsidP="00732946">
      <w:pPr>
        <w:pStyle w:val="NoSpacing"/>
        <w:rPr>
          <w:rFonts w:ascii="Arial" w:hAnsi="Arial" w:cs="Arial"/>
          <w:b/>
          <w:sz w:val="22"/>
          <w:lang w:val="es-DO"/>
        </w:rPr>
      </w:pPr>
      <w:r w:rsidRPr="00595916">
        <w:rPr>
          <w:rFonts w:ascii="Arial" w:hAnsi="Arial" w:cs="Arial"/>
          <w:b/>
          <w:sz w:val="22"/>
          <w:lang w:val="es-DO"/>
        </w:rPr>
        <w:t>3.2.</w:t>
      </w:r>
      <w:r w:rsidR="00692D3F" w:rsidRPr="00595916">
        <w:rPr>
          <w:rFonts w:ascii="Arial" w:hAnsi="Arial" w:cs="Arial"/>
          <w:b/>
          <w:sz w:val="22"/>
          <w:lang w:val="es-DO"/>
        </w:rPr>
        <w:t xml:space="preserve"> </w:t>
      </w:r>
      <w:r w:rsidR="008C2A2B" w:rsidRPr="00595916">
        <w:rPr>
          <w:rFonts w:ascii="Arial" w:hAnsi="Arial" w:cs="Arial"/>
          <w:b/>
          <w:sz w:val="22"/>
          <w:lang w:val="es-DO"/>
        </w:rPr>
        <w:t>DIREKTORAT ZA UNUTRAŠNJE TRŽIŠTE I KONKURENCIJU</w:t>
      </w:r>
    </w:p>
    <w:p w:rsidR="008C2A2B" w:rsidRPr="00595916" w:rsidRDefault="008C2A2B" w:rsidP="00732946">
      <w:pPr>
        <w:pStyle w:val="NoSpacing"/>
        <w:rPr>
          <w:rFonts w:ascii="Arial" w:hAnsi="Arial" w:cs="Arial"/>
          <w:b/>
          <w:sz w:val="22"/>
          <w:lang w:val="es-DO"/>
        </w:rPr>
      </w:pPr>
    </w:p>
    <w:p w:rsidR="008C2A2B" w:rsidRPr="00595916" w:rsidRDefault="00692D3F" w:rsidP="00732946">
      <w:pPr>
        <w:pStyle w:val="NoSpacing"/>
        <w:rPr>
          <w:rFonts w:ascii="Arial" w:hAnsi="Arial" w:cs="Arial"/>
          <w:b/>
          <w:sz w:val="22"/>
          <w:lang w:val="es-DO"/>
        </w:rPr>
      </w:pPr>
      <w:r>
        <w:rPr>
          <w:rFonts w:ascii="Arial" w:hAnsi="Arial" w:cs="Arial"/>
          <w:b/>
          <w:sz w:val="22"/>
          <w:lang w:val="es-DO"/>
        </w:rPr>
        <w:t>3.</w:t>
      </w:r>
      <w:proofErr w:type="gramStart"/>
      <w:r>
        <w:rPr>
          <w:rFonts w:ascii="Arial" w:hAnsi="Arial" w:cs="Arial"/>
          <w:b/>
          <w:sz w:val="22"/>
          <w:lang w:val="es-DO"/>
        </w:rPr>
        <w:t>3</w:t>
      </w:r>
      <w:r w:rsidR="00870FD3" w:rsidRPr="00595916">
        <w:rPr>
          <w:rFonts w:ascii="Arial" w:hAnsi="Arial" w:cs="Arial"/>
          <w:b/>
          <w:sz w:val="22"/>
          <w:lang w:val="es-DO"/>
        </w:rPr>
        <w:t>.</w:t>
      </w:r>
      <w:r w:rsidR="008C2A2B" w:rsidRPr="00595916">
        <w:rPr>
          <w:rFonts w:ascii="Arial" w:hAnsi="Arial" w:cs="Arial"/>
          <w:b/>
          <w:sz w:val="22"/>
          <w:lang w:val="es-DO"/>
        </w:rPr>
        <w:t>DIREKTORAT</w:t>
      </w:r>
      <w:proofErr w:type="gramEnd"/>
      <w:r w:rsidR="008C2A2B" w:rsidRPr="00595916">
        <w:rPr>
          <w:rFonts w:ascii="Arial" w:hAnsi="Arial" w:cs="Arial"/>
          <w:b/>
          <w:sz w:val="22"/>
          <w:lang w:val="es-DO"/>
        </w:rPr>
        <w:t xml:space="preserve"> ZA MEĐUNARODNU SARADNJU</w:t>
      </w:r>
      <w:r>
        <w:rPr>
          <w:rFonts w:ascii="Arial" w:hAnsi="Arial" w:cs="Arial"/>
          <w:b/>
          <w:sz w:val="22"/>
          <w:lang w:val="es-DO"/>
        </w:rPr>
        <w:t xml:space="preserve">, EVROPSKE INTEGRACIJE I </w:t>
      </w:r>
      <w:r w:rsidR="00225EEC">
        <w:rPr>
          <w:rFonts w:ascii="Arial" w:hAnsi="Arial" w:cs="Arial"/>
          <w:b/>
          <w:sz w:val="22"/>
          <w:lang w:val="es-DO"/>
        </w:rPr>
        <w:t>IMPLEMENTACIJU EU FONDOVA</w:t>
      </w:r>
    </w:p>
    <w:p w:rsidR="008C2A2B" w:rsidRPr="00595916" w:rsidRDefault="008C2A2B" w:rsidP="00732946">
      <w:pPr>
        <w:pStyle w:val="NoSpacing"/>
        <w:rPr>
          <w:rFonts w:ascii="Arial" w:hAnsi="Arial" w:cs="Arial"/>
          <w:b/>
          <w:sz w:val="22"/>
          <w:lang w:val="es-DO"/>
        </w:rPr>
      </w:pPr>
    </w:p>
    <w:p w:rsidR="008C2A2B" w:rsidRDefault="00225EEC" w:rsidP="00732946">
      <w:pPr>
        <w:pStyle w:val="NoSpacing"/>
        <w:rPr>
          <w:rFonts w:ascii="Arial" w:hAnsi="Arial" w:cs="Arial"/>
          <w:b/>
          <w:sz w:val="22"/>
          <w:lang w:val="es-DO"/>
        </w:rPr>
      </w:pPr>
      <w:r>
        <w:rPr>
          <w:rFonts w:ascii="Arial" w:hAnsi="Arial" w:cs="Arial"/>
          <w:b/>
          <w:sz w:val="22"/>
          <w:lang w:val="es-DO"/>
        </w:rPr>
        <w:t>3.</w:t>
      </w:r>
      <w:proofErr w:type="gramStart"/>
      <w:r>
        <w:rPr>
          <w:rFonts w:ascii="Arial" w:hAnsi="Arial" w:cs="Arial"/>
          <w:b/>
          <w:sz w:val="22"/>
          <w:lang w:val="es-DO"/>
        </w:rPr>
        <w:t>4</w:t>
      </w:r>
      <w:r w:rsidR="00870FD3" w:rsidRPr="00595916">
        <w:rPr>
          <w:rFonts w:ascii="Arial" w:hAnsi="Arial" w:cs="Arial"/>
          <w:b/>
          <w:sz w:val="22"/>
          <w:lang w:val="es-DO"/>
        </w:rPr>
        <w:t>.</w:t>
      </w:r>
      <w:r w:rsidR="008C2A2B" w:rsidRPr="00595916">
        <w:rPr>
          <w:rFonts w:ascii="Arial" w:hAnsi="Arial" w:cs="Arial"/>
          <w:b/>
          <w:sz w:val="22"/>
          <w:lang w:val="es-DO"/>
        </w:rPr>
        <w:t>DIREKTORAT</w:t>
      </w:r>
      <w:proofErr w:type="gramEnd"/>
      <w:r w:rsidR="008C2A2B" w:rsidRPr="00595916">
        <w:rPr>
          <w:rFonts w:ascii="Arial" w:hAnsi="Arial" w:cs="Arial"/>
          <w:b/>
          <w:sz w:val="22"/>
          <w:lang w:val="es-DO"/>
        </w:rPr>
        <w:t xml:space="preserve"> ZA ELEKTRONSKE KOMUNIKACIJE, POŠTANSKU DJELATNOST I RADIO SPEKTAR</w:t>
      </w:r>
    </w:p>
    <w:p w:rsidR="00C55288" w:rsidRDefault="00C55288" w:rsidP="00732946">
      <w:pPr>
        <w:pStyle w:val="NoSpacing"/>
        <w:rPr>
          <w:rFonts w:ascii="Arial" w:hAnsi="Arial" w:cs="Arial"/>
          <w:b/>
          <w:sz w:val="22"/>
          <w:lang w:val="es-DO"/>
        </w:rPr>
      </w:pPr>
    </w:p>
    <w:p w:rsidR="00C55288" w:rsidRPr="00595916" w:rsidRDefault="00C55288" w:rsidP="00732946">
      <w:pPr>
        <w:pStyle w:val="NoSpacing"/>
        <w:rPr>
          <w:rFonts w:ascii="Arial" w:hAnsi="Arial" w:cs="Arial"/>
          <w:b/>
          <w:sz w:val="22"/>
          <w:lang w:val="es-DO"/>
        </w:rPr>
      </w:pPr>
      <w:r>
        <w:rPr>
          <w:rFonts w:ascii="Arial" w:hAnsi="Arial" w:cs="Arial"/>
          <w:b/>
          <w:sz w:val="22"/>
          <w:lang w:val="es-DO"/>
        </w:rPr>
        <w:t>3.5. DIREKTORAT ZA INVESTICIONI I REGIONALNI RAZVOJ</w:t>
      </w:r>
    </w:p>
    <w:p w:rsidR="008C2A2B" w:rsidRPr="00595916" w:rsidRDefault="008C2A2B" w:rsidP="00732946">
      <w:pPr>
        <w:pStyle w:val="NoSpacing"/>
        <w:rPr>
          <w:rFonts w:ascii="Arial" w:hAnsi="Arial" w:cs="Arial"/>
          <w:b/>
          <w:sz w:val="22"/>
          <w:lang w:val="es-DO"/>
        </w:rPr>
      </w:pPr>
    </w:p>
    <w:p w:rsidR="008C2A2B" w:rsidRPr="00595916" w:rsidRDefault="00225EEC" w:rsidP="00732946">
      <w:pPr>
        <w:pStyle w:val="NoSpacing"/>
        <w:rPr>
          <w:rFonts w:ascii="Arial" w:hAnsi="Arial" w:cs="Arial"/>
          <w:b/>
          <w:sz w:val="22"/>
          <w:lang w:val="es-DO"/>
        </w:rPr>
      </w:pPr>
      <w:r>
        <w:rPr>
          <w:rFonts w:ascii="Arial" w:hAnsi="Arial" w:cs="Arial"/>
          <w:b/>
          <w:sz w:val="22"/>
          <w:lang w:val="es-DO"/>
        </w:rPr>
        <w:t>3.</w:t>
      </w:r>
      <w:proofErr w:type="gramStart"/>
      <w:r w:rsidR="00C55288">
        <w:rPr>
          <w:rFonts w:ascii="Arial" w:hAnsi="Arial" w:cs="Arial"/>
          <w:b/>
          <w:sz w:val="22"/>
          <w:lang w:val="es-DO"/>
        </w:rPr>
        <w:t>6</w:t>
      </w:r>
      <w:r w:rsidR="00870FD3" w:rsidRPr="00595916">
        <w:rPr>
          <w:rFonts w:ascii="Arial" w:hAnsi="Arial" w:cs="Arial"/>
          <w:b/>
          <w:sz w:val="22"/>
          <w:lang w:val="es-DO"/>
        </w:rPr>
        <w:t>.</w:t>
      </w:r>
      <w:r w:rsidR="008C2A2B" w:rsidRPr="00595916">
        <w:rPr>
          <w:rFonts w:ascii="Arial" w:hAnsi="Arial" w:cs="Arial"/>
          <w:b/>
          <w:sz w:val="22"/>
          <w:lang w:val="es-DO"/>
        </w:rPr>
        <w:t>ODJELJENJE</w:t>
      </w:r>
      <w:proofErr w:type="gramEnd"/>
      <w:r w:rsidR="008C2A2B" w:rsidRPr="00595916">
        <w:rPr>
          <w:rFonts w:ascii="Arial" w:hAnsi="Arial" w:cs="Arial"/>
          <w:b/>
          <w:sz w:val="22"/>
          <w:lang w:val="es-DO"/>
        </w:rPr>
        <w:t xml:space="preserve"> ZA UNUTRAŠNJU REVIZIJU</w:t>
      </w:r>
    </w:p>
    <w:p w:rsidR="008C2A2B" w:rsidRPr="00595916" w:rsidRDefault="008C2A2B" w:rsidP="00732946">
      <w:pPr>
        <w:pStyle w:val="NoSpacing"/>
        <w:rPr>
          <w:rFonts w:ascii="Arial" w:hAnsi="Arial" w:cs="Arial"/>
          <w:b/>
          <w:sz w:val="22"/>
          <w:lang w:val="es-DO"/>
        </w:rPr>
      </w:pPr>
    </w:p>
    <w:p w:rsidR="008C2A2B" w:rsidRPr="00595916" w:rsidRDefault="00225EEC" w:rsidP="00732946">
      <w:pPr>
        <w:pStyle w:val="NoSpacing"/>
        <w:rPr>
          <w:rFonts w:ascii="Arial" w:hAnsi="Arial" w:cs="Arial"/>
          <w:b/>
          <w:sz w:val="22"/>
          <w:lang w:val="es-DO"/>
        </w:rPr>
      </w:pPr>
      <w:r>
        <w:rPr>
          <w:rFonts w:ascii="Arial" w:hAnsi="Arial" w:cs="Arial"/>
          <w:b/>
          <w:sz w:val="22"/>
          <w:lang w:val="es-DO"/>
        </w:rPr>
        <w:t>3.</w:t>
      </w:r>
      <w:proofErr w:type="gramStart"/>
      <w:r w:rsidR="00C55288">
        <w:rPr>
          <w:rFonts w:ascii="Arial" w:hAnsi="Arial" w:cs="Arial"/>
          <w:b/>
          <w:sz w:val="22"/>
          <w:lang w:val="es-DO"/>
        </w:rPr>
        <w:t>7</w:t>
      </w:r>
      <w:r w:rsidR="00870FD3" w:rsidRPr="00595916">
        <w:rPr>
          <w:rFonts w:ascii="Arial" w:hAnsi="Arial" w:cs="Arial"/>
          <w:b/>
          <w:sz w:val="22"/>
          <w:lang w:val="es-DO"/>
        </w:rPr>
        <w:t>.</w:t>
      </w:r>
      <w:r w:rsidR="008C2A2B" w:rsidRPr="00595916">
        <w:rPr>
          <w:rFonts w:ascii="Arial" w:hAnsi="Arial" w:cs="Arial"/>
          <w:b/>
          <w:sz w:val="22"/>
          <w:lang w:val="es-DO"/>
        </w:rPr>
        <w:t>KABINET</w:t>
      </w:r>
      <w:proofErr w:type="gramEnd"/>
      <w:r w:rsidR="008C2A2B" w:rsidRPr="00595916">
        <w:rPr>
          <w:rFonts w:ascii="Arial" w:hAnsi="Arial" w:cs="Arial"/>
          <w:b/>
          <w:sz w:val="22"/>
          <w:lang w:val="es-DO"/>
        </w:rPr>
        <w:t xml:space="preserve"> MINISTRA</w:t>
      </w:r>
    </w:p>
    <w:p w:rsidR="008C2A2B" w:rsidRPr="00595916" w:rsidRDefault="008C2A2B" w:rsidP="00732946">
      <w:pPr>
        <w:pStyle w:val="NoSpacing"/>
        <w:rPr>
          <w:rFonts w:ascii="Arial" w:hAnsi="Arial" w:cs="Arial"/>
          <w:b/>
          <w:sz w:val="22"/>
          <w:lang w:val="es-DO"/>
        </w:rPr>
      </w:pPr>
    </w:p>
    <w:p w:rsidR="008C2A2B" w:rsidRDefault="00225EEC" w:rsidP="00732946">
      <w:pPr>
        <w:pStyle w:val="NoSpacing"/>
        <w:rPr>
          <w:rFonts w:ascii="Arial" w:hAnsi="Arial" w:cs="Arial"/>
          <w:b/>
          <w:sz w:val="22"/>
          <w:lang w:val="es-DO"/>
        </w:rPr>
      </w:pPr>
      <w:r>
        <w:rPr>
          <w:rFonts w:ascii="Arial" w:hAnsi="Arial" w:cs="Arial"/>
          <w:b/>
          <w:sz w:val="22"/>
          <w:lang w:val="es-DO"/>
        </w:rPr>
        <w:t>3.</w:t>
      </w:r>
      <w:proofErr w:type="gramStart"/>
      <w:r w:rsidR="00C55288">
        <w:rPr>
          <w:rFonts w:ascii="Arial" w:hAnsi="Arial" w:cs="Arial"/>
          <w:b/>
          <w:sz w:val="22"/>
          <w:lang w:val="es-DO"/>
        </w:rPr>
        <w:t>8</w:t>
      </w:r>
      <w:r w:rsidR="00870FD3" w:rsidRPr="00595916">
        <w:rPr>
          <w:rFonts w:ascii="Arial" w:hAnsi="Arial" w:cs="Arial"/>
          <w:b/>
          <w:sz w:val="22"/>
          <w:lang w:val="es-DO"/>
        </w:rPr>
        <w:t>.</w:t>
      </w:r>
      <w:r w:rsidR="008C2A2B" w:rsidRPr="00595916">
        <w:rPr>
          <w:rFonts w:ascii="Arial" w:hAnsi="Arial" w:cs="Arial"/>
          <w:b/>
          <w:sz w:val="22"/>
          <w:lang w:val="es-DO"/>
        </w:rPr>
        <w:t>SLUŽBA</w:t>
      </w:r>
      <w:proofErr w:type="gramEnd"/>
      <w:r w:rsidR="008C2A2B" w:rsidRPr="00595916">
        <w:rPr>
          <w:rFonts w:ascii="Arial" w:hAnsi="Arial" w:cs="Arial"/>
          <w:b/>
          <w:sz w:val="22"/>
          <w:lang w:val="es-DO"/>
        </w:rPr>
        <w:t xml:space="preserve"> ZA PRAVNE</w:t>
      </w:r>
      <w:r w:rsidR="00C55288">
        <w:rPr>
          <w:rFonts w:ascii="Arial" w:hAnsi="Arial" w:cs="Arial"/>
          <w:b/>
          <w:sz w:val="22"/>
          <w:lang w:val="es-DO"/>
        </w:rPr>
        <w:t>, OPŠTE, KADROVSKE, FINANSIJSKE POSLOVE I JAVNE NABAVKE</w:t>
      </w:r>
    </w:p>
    <w:p w:rsidR="00225EEC" w:rsidRDefault="00225EEC" w:rsidP="00732946">
      <w:pPr>
        <w:pStyle w:val="NoSpacing"/>
        <w:rPr>
          <w:rFonts w:ascii="Arial" w:hAnsi="Arial" w:cs="Arial"/>
          <w:b/>
          <w:sz w:val="22"/>
          <w:lang w:val="es-DO"/>
        </w:rPr>
      </w:pPr>
    </w:p>
    <w:p w:rsidR="00225EEC" w:rsidRPr="00595916" w:rsidRDefault="00225EEC" w:rsidP="00732946">
      <w:pPr>
        <w:pStyle w:val="NoSpacing"/>
        <w:rPr>
          <w:rFonts w:ascii="Arial" w:hAnsi="Arial" w:cs="Arial"/>
          <w:b/>
          <w:sz w:val="22"/>
          <w:lang w:val="es-DO"/>
        </w:rPr>
      </w:pPr>
      <w:r>
        <w:rPr>
          <w:rFonts w:ascii="Arial" w:hAnsi="Arial" w:cs="Arial"/>
          <w:b/>
          <w:sz w:val="22"/>
          <w:lang w:val="es-DO"/>
        </w:rPr>
        <w:t>3.</w:t>
      </w:r>
      <w:r w:rsidR="00C55288">
        <w:rPr>
          <w:rFonts w:ascii="Arial" w:hAnsi="Arial" w:cs="Arial"/>
          <w:b/>
          <w:sz w:val="22"/>
          <w:lang w:val="es-DO"/>
        </w:rPr>
        <w:t>9</w:t>
      </w:r>
      <w:r>
        <w:rPr>
          <w:rFonts w:ascii="Arial" w:hAnsi="Arial" w:cs="Arial"/>
          <w:b/>
          <w:sz w:val="22"/>
          <w:lang w:val="es-DO"/>
        </w:rPr>
        <w:t>. SLUŽBA ZA INFORMACIONE TEHNOLOGIJE</w:t>
      </w:r>
    </w:p>
    <w:p w:rsidR="008C2A2B" w:rsidRPr="00595916" w:rsidRDefault="008C2A2B" w:rsidP="00732946">
      <w:pPr>
        <w:pStyle w:val="NoSpacing"/>
        <w:rPr>
          <w:rFonts w:ascii="Arial" w:hAnsi="Arial" w:cs="Arial"/>
          <w:b/>
          <w:sz w:val="22"/>
          <w:lang w:val="es-DO"/>
        </w:rPr>
      </w:pPr>
    </w:p>
    <w:p w:rsidR="008C2A2B" w:rsidRPr="00595916" w:rsidRDefault="008C2A2B" w:rsidP="00870FD3">
      <w:pPr>
        <w:pStyle w:val="NoSpacing"/>
        <w:rPr>
          <w:rFonts w:ascii="Arial" w:hAnsi="Arial" w:cs="Arial"/>
          <w:b/>
          <w:sz w:val="22"/>
          <w:lang w:val="es-DO"/>
        </w:rPr>
      </w:pPr>
      <w:r w:rsidRPr="00595916">
        <w:rPr>
          <w:rFonts w:ascii="Arial" w:hAnsi="Arial" w:cs="Arial"/>
          <w:b/>
          <w:sz w:val="22"/>
          <w:lang w:val="es-DO"/>
        </w:rPr>
        <w:t xml:space="preserve">  </w:t>
      </w:r>
    </w:p>
    <w:p w:rsidR="00785F6E" w:rsidRPr="00595916" w:rsidRDefault="00785F6E" w:rsidP="00785F6E">
      <w:pPr>
        <w:jc w:val="left"/>
        <w:rPr>
          <w:rFonts w:ascii="Arial" w:hAnsi="Arial" w:cs="Arial"/>
          <w:sz w:val="22"/>
        </w:rPr>
      </w:pPr>
    </w:p>
    <w:p w:rsidR="00785F6E" w:rsidRDefault="00785F6E" w:rsidP="00785F6E">
      <w:pPr>
        <w:jc w:val="left"/>
        <w:rPr>
          <w:rFonts w:ascii="Arial" w:hAnsi="Arial" w:cs="Arial"/>
          <w:sz w:val="22"/>
        </w:rPr>
      </w:pPr>
    </w:p>
    <w:p w:rsidR="00225EEC" w:rsidRDefault="00225EEC" w:rsidP="00785F6E">
      <w:pPr>
        <w:jc w:val="left"/>
      </w:pPr>
    </w:p>
    <w:p w:rsidR="00C55288" w:rsidRDefault="00C55288" w:rsidP="00785F6E">
      <w:pPr>
        <w:jc w:val="left"/>
        <w:rPr>
          <w:rFonts w:ascii="Arial" w:hAnsi="Arial" w:cs="Arial"/>
          <w:sz w:val="22"/>
        </w:rPr>
      </w:pPr>
    </w:p>
    <w:p w:rsidR="00C55288" w:rsidRDefault="00C55288" w:rsidP="00785F6E">
      <w:pPr>
        <w:jc w:val="left"/>
        <w:rPr>
          <w:rFonts w:ascii="Arial" w:hAnsi="Arial" w:cs="Arial"/>
          <w:sz w:val="22"/>
        </w:rPr>
      </w:pPr>
    </w:p>
    <w:p w:rsidR="00225EEC" w:rsidRDefault="00225EEC" w:rsidP="00785F6E">
      <w:pPr>
        <w:jc w:val="left"/>
        <w:rPr>
          <w:rFonts w:ascii="Arial" w:hAnsi="Arial" w:cs="Arial"/>
          <w:sz w:val="22"/>
        </w:rPr>
      </w:pPr>
    </w:p>
    <w:p w:rsidR="00225EEC" w:rsidRDefault="00225EEC" w:rsidP="00785F6E">
      <w:pPr>
        <w:jc w:val="left"/>
        <w:rPr>
          <w:rFonts w:ascii="Arial" w:hAnsi="Arial" w:cs="Arial"/>
          <w:sz w:val="22"/>
        </w:rPr>
      </w:pPr>
    </w:p>
    <w:p w:rsidR="00225EEC" w:rsidRDefault="00225EEC" w:rsidP="00785F6E">
      <w:pPr>
        <w:jc w:val="left"/>
        <w:rPr>
          <w:rFonts w:ascii="Arial" w:hAnsi="Arial" w:cs="Arial"/>
          <w:sz w:val="22"/>
        </w:rPr>
      </w:pPr>
    </w:p>
    <w:p w:rsidR="00225EEC" w:rsidRDefault="00225EEC" w:rsidP="00785F6E">
      <w:pPr>
        <w:jc w:val="left"/>
        <w:rPr>
          <w:rFonts w:ascii="Arial" w:hAnsi="Arial" w:cs="Arial"/>
          <w:sz w:val="22"/>
        </w:rPr>
      </w:pPr>
    </w:p>
    <w:p w:rsidR="00225EEC" w:rsidRPr="00595916" w:rsidRDefault="00225EEC" w:rsidP="00785F6E">
      <w:pPr>
        <w:jc w:val="left"/>
        <w:rPr>
          <w:rFonts w:ascii="Arial" w:hAnsi="Arial" w:cs="Arial"/>
          <w:sz w:val="22"/>
        </w:rPr>
      </w:pPr>
    </w:p>
    <w:p w:rsidR="00341C13" w:rsidRPr="00595916" w:rsidRDefault="00341C13" w:rsidP="0017201C">
      <w:pPr>
        <w:spacing w:after="217" w:line="240" w:lineRule="auto"/>
        <w:ind w:right="25"/>
        <w:rPr>
          <w:rFonts w:ascii="Arial" w:hAnsi="Arial" w:cs="Arial"/>
          <w:b/>
          <w:color w:val="000000"/>
          <w:sz w:val="22"/>
          <w:lang w:val="en-GB" w:eastAsia="en-GB"/>
        </w:rPr>
      </w:pPr>
    </w:p>
    <w:p w:rsidR="000B0FEF" w:rsidRPr="00595916" w:rsidRDefault="000B0FEF" w:rsidP="0017201C">
      <w:pPr>
        <w:spacing w:after="217" w:line="240" w:lineRule="auto"/>
        <w:ind w:right="25"/>
        <w:rPr>
          <w:rFonts w:ascii="Arial" w:hAnsi="Arial" w:cs="Arial"/>
          <w:b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b/>
          <w:color w:val="000000"/>
          <w:sz w:val="22"/>
          <w:lang w:val="en-GB" w:eastAsia="en-GB"/>
        </w:rPr>
        <w:lastRenderedPageBreak/>
        <w:t xml:space="preserve">UVOD </w:t>
      </w:r>
    </w:p>
    <w:p w:rsidR="00341C13" w:rsidRPr="00595916" w:rsidRDefault="00341C13" w:rsidP="0017201C">
      <w:pPr>
        <w:spacing w:after="217" w:line="240" w:lineRule="auto"/>
        <w:ind w:right="25"/>
        <w:rPr>
          <w:rFonts w:ascii="Arial" w:hAnsi="Arial" w:cs="Arial"/>
          <w:b/>
          <w:color w:val="000000"/>
          <w:sz w:val="22"/>
          <w:lang w:val="en-GB" w:eastAsia="en-GB"/>
        </w:rPr>
      </w:pPr>
    </w:p>
    <w:p w:rsidR="000267FC" w:rsidRPr="00595916" w:rsidRDefault="000267FC" w:rsidP="000267FC">
      <w:pPr>
        <w:spacing w:after="217" w:line="240" w:lineRule="auto"/>
        <w:ind w:right="25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U skladu sa članom 7 i 14 Zakona o upravljanju i unutrašnjim kontrolama u javnom sektoru ("Sl list CG", broj 75/18), članom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 xml:space="preserve"> 4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Pravilnika o načinu uspostavljanja i unapređenja upravljanja i kontrola u javnom sektoru ("</w:t>
      </w:r>
      <w:proofErr w:type="gramStart"/>
      <w:r w:rsidRPr="00595916">
        <w:rPr>
          <w:rFonts w:ascii="Arial" w:hAnsi="Arial" w:cs="Arial"/>
          <w:color w:val="000000"/>
          <w:sz w:val="22"/>
          <w:lang w:val="en-GB" w:eastAsia="en-GB"/>
        </w:rPr>
        <w:t>Sl.list</w:t>
      </w:r>
      <w:proofErr w:type="gramEnd"/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CG", broj: 71/19), donosi se Registar rizika Ministarstva </w:t>
      </w:r>
      <w:r w:rsidR="00622301">
        <w:rPr>
          <w:rFonts w:ascii="Arial" w:hAnsi="Arial" w:cs="Arial"/>
          <w:color w:val="000000"/>
          <w:sz w:val="22"/>
          <w:lang w:val="en-GB" w:eastAsia="en-GB"/>
        </w:rPr>
        <w:t>ekonomskog razvoja (u daljem tekstu: Ministarstvo)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.</w:t>
      </w:r>
    </w:p>
    <w:p w:rsidR="000267FC" w:rsidRPr="00595916" w:rsidRDefault="00341C13" w:rsidP="000267FC">
      <w:pPr>
        <w:spacing w:after="217" w:line="240" w:lineRule="auto"/>
        <w:ind w:right="25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R</w:t>
      </w:r>
      <w:r w:rsidR="000267FC" w:rsidRPr="00595916">
        <w:rPr>
          <w:rFonts w:ascii="Arial" w:hAnsi="Arial" w:cs="Arial"/>
          <w:color w:val="000000"/>
          <w:sz w:val="22"/>
          <w:lang w:val="en-GB" w:eastAsia="en-GB"/>
        </w:rPr>
        <w:t>izik je definisan kao mogucnost nastupanja događaja koji može negativno uticati na ostvarivanje postavljenih ciljeva subjekta. Takode, rizik je i sve što predstavlja prijetnju ostvarivanju ciljeva subjekta, programa iii pružanju usluga gra</w:t>
      </w:r>
      <w:r w:rsidR="00CA2279" w:rsidRPr="00595916">
        <w:rPr>
          <w:rFonts w:ascii="Arial" w:hAnsi="Arial" w:cs="Arial"/>
          <w:color w:val="000000"/>
          <w:sz w:val="22"/>
          <w:lang w:val="en-GB" w:eastAsia="en-GB"/>
        </w:rPr>
        <w:t>đ</w:t>
      </w:r>
      <w:r w:rsidR="000267FC" w:rsidRPr="00595916">
        <w:rPr>
          <w:rFonts w:ascii="Arial" w:hAnsi="Arial" w:cs="Arial"/>
          <w:color w:val="000000"/>
          <w:sz w:val="22"/>
          <w:lang w:val="en-GB" w:eastAsia="en-GB"/>
        </w:rPr>
        <w:t>anima; sve što može da ugrozi ugled subjekta i povjerenje javnosti; gubitak iii oštećenje imovine zbog nedovoljne zaštite od nedoličnog ponašanja, zloupotrebe, pogrešne prakse, štete, nepoštovanje propisa; donošenje pogrešnih odluka zbog nepouzdanog finansijskog izvještavanja; nesposobnost blagovremenog reagovanja na izmijenjene okolnosti.</w:t>
      </w:r>
    </w:p>
    <w:p w:rsidR="000267FC" w:rsidRPr="00595916" w:rsidRDefault="000267FC" w:rsidP="000267FC">
      <w:pPr>
        <w:spacing w:after="217" w:line="240" w:lineRule="auto"/>
        <w:ind w:right="25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Upravljanje rizicima obuhvata postupak identifikacije, procjene i praćenja događaja, koji mogu negativno uticati na ostvarivanje utvrđenih poslovnih ciljeva subjekta i preduzimanje potrebnih mjera radi smanjenja rizika do nivoa razumne uvjerenosti da će ciljevi biti ostvareni.</w:t>
      </w:r>
    </w:p>
    <w:p w:rsidR="000267FC" w:rsidRPr="00595916" w:rsidRDefault="000267FC" w:rsidP="000267FC">
      <w:pPr>
        <w:spacing w:after="217" w:line="240" w:lineRule="auto"/>
        <w:ind w:right="25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Cilj upravljanja rizicima jeste da se smanji obim neizvjesnosti koje bi mogle biti prijetnja poslovnoj uspjesnosti subjekata.</w:t>
      </w:r>
    </w:p>
    <w:p w:rsidR="000267FC" w:rsidRPr="00595916" w:rsidRDefault="000267FC" w:rsidP="000267FC">
      <w:pPr>
        <w:spacing w:after="217" w:line="240" w:lineRule="auto"/>
        <w:ind w:right="25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Upravljanje rizicima </w:t>
      </w:r>
      <w:r w:rsidR="00CA2279" w:rsidRPr="00595916">
        <w:rPr>
          <w:rFonts w:ascii="Arial" w:hAnsi="Arial" w:cs="Arial"/>
          <w:color w:val="000000"/>
          <w:sz w:val="22"/>
          <w:lang w:val="en-GB" w:eastAsia="en-GB"/>
        </w:rPr>
        <w:t>pomaže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rukovodstvu da predvidi izmijenjene okolnosti i da na njih reaguje blagovremeno. Upravljanje rizicima omogu</w:t>
      </w:r>
      <w:r w:rsidR="00CA2279" w:rsidRPr="00595916">
        <w:rPr>
          <w:rFonts w:ascii="Arial" w:hAnsi="Arial" w:cs="Arial"/>
          <w:color w:val="000000"/>
          <w:sz w:val="22"/>
          <w:lang w:val="en-GB" w:eastAsia="en-GB"/>
        </w:rPr>
        <w:t>ć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ava da se:</w:t>
      </w:r>
    </w:p>
    <w:p w:rsidR="000267FC" w:rsidRPr="00595916" w:rsidRDefault="000267FC" w:rsidP="000267FC">
      <w:pPr>
        <w:pStyle w:val="ListParagraph"/>
        <w:numPr>
          <w:ilvl w:val="0"/>
          <w:numId w:val="12"/>
        </w:numPr>
        <w:spacing w:after="217" w:line="240" w:lineRule="auto"/>
        <w:ind w:right="25"/>
        <w:rPr>
          <w:rFonts w:ascii="Arial" w:hAnsi="Arial" w:cs="Arial"/>
          <w:color w:val="000000"/>
          <w:lang w:val="en-GB" w:eastAsia="en-GB"/>
        </w:rPr>
      </w:pPr>
      <w:r w:rsidRPr="00595916">
        <w:rPr>
          <w:rFonts w:ascii="Arial" w:hAnsi="Arial" w:cs="Arial"/>
          <w:color w:val="000000"/>
          <w:lang w:val="en-GB" w:eastAsia="en-GB"/>
        </w:rPr>
        <w:t>predvide mogućnosti nepovoljnih okolnosti iii događaji koji bi mogli spriječiti ostvarivanje ciljeva subjekta i</w:t>
      </w:r>
    </w:p>
    <w:p w:rsidR="000267FC" w:rsidRPr="00595916" w:rsidRDefault="000267FC" w:rsidP="000267FC">
      <w:pPr>
        <w:pStyle w:val="ListParagraph"/>
        <w:numPr>
          <w:ilvl w:val="0"/>
          <w:numId w:val="12"/>
        </w:numPr>
        <w:spacing w:after="217" w:line="240" w:lineRule="auto"/>
        <w:ind w:right="25"/>
        <w:rPr>
          <w:rFonts w:ascii="Arial" w:hAnsi="Arial" w:cs="Arial"/>
          <w:color w:val="000000"/>
          <w:lang w:val="en-GB" w:eastAsia="en-GB"/>
        </w:rPr>
      </w:pPr>
      <w:r w:rsidRPr="00595916">
        <w:rPr>
          <w:rFonts w:ascii="Arial" w:hAnsi="Arial" w:cs="Arial"/>
          <w:color w:val="000000"/>
          <w:lang w:val="en-GB" w:eastAsia="en-GB"/>
        </w:rPr>
        <w:t>unutrašnje kontrole i ograničeni resursi usmjere na ključne rizike u poslovnim procesima.</w:t>
      </w:r>
    </w:p>
    <w:p w:rsidR="000267FC" w:rsidRPr="00595916" w:rsidRDefault="000267FC" w:rsidP="000267FC">
      <w:pPr>
        <w:spacing w:after="217" w:line="240" w:lineRule="auto"/>
        <w:ind w:right="25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Upravljanjem rizicima u Ministarstvu smanji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ć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e se vjerovatno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ć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a nastanka ne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ž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eljenih doga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đ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aja, a ukoliko i nastanu blagovremeno ce biti definisan odgovor na njih. Samim tim 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ć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e do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ć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i do ja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č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anja odgovornosti dr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ž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avnih slu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ž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benika i namje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š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tenika Ministarstva, pobolj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š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a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ć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e se informisanje, dok 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ć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e kanali komunikacije postati efektivniji i efikasniji. Tako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đ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e, upravljanje rizicima omogu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ć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ava da se unutra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š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nje kontrole i ograni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č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eni resursi Ministarstva usmjere na klju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č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ne procese.</w:t>
      </w:r>
    </w:p>
    <w:p w:rsidR="000267FC" w:rsidRPr="00595916" w:rsidRDefault="000267FC" w:rsidP="000267FC">
      <w:pPr>
        <w:spacing w:after="217" w:line="240" w:lineRule="auto"/>
        <w:ind w:right="25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Efikasno upravljanje rizicima obezbje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đ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uje dobru osnovu u procesu donosenja odluka, sto dovodi do uspje</w:t>
      </w:r>
      <w:r w:rsidR="00134AFE" w:rsidRPr="00595916">
        <w:rPr>
          <w:rFonts w:ascii="Arial" w:hAnsi="Arial" w:cs="Arial"/>
          <w:color w:val="000000"/>
          <w:sz w:val="22"/>
          <w:lang w:val="en-GB" w:eastAsia="en-GB"/>
        </w:rPr>
        <w:t>š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nog ostvarivanja ciljava Ministarstva.</w:t>
      </w:r>
    </w:p>
    <w:p w:rsidR="0017201C" w:rsidRPr="00595916" w:rsidRDefault="0017201C" w:rsidP="0017201C">
      <w:pPr>
        <w:spacing w:after="217" w:line="240" w:lineRule="auto"/>
        <w:ind w:right="25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Rukovodilac subjekta odgovoran je za određivanje ciljeva subjekta, izradu i sprovođenje strateških i drugih planova i programa. </w:t>
      </w:r>
    </w:p>
    <w:p w:rsidR="0017201C" w:rsidRPr="00595916" w:rsidRDefault="0017201C" w:rsidP="0017201C">
      <w:pPr>
        <w:spacing w:after="31" w:line="240" w:lineRule="auto"/>
        <w:ind w:right="25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Rukovodioci organizacionih jedinica</w:t>
      </w:r>
      <w:r w:rsidR="00DD5DAD" w:rsidRPr="00595916">
        <w:rPr>
          <w:rFonts w:ascii="Arial" w:hAnsi="Arial" w:cs="Arial"/>
          <w:color w:val="000000"/>
          <w:sz w:val="22"/>
          <w:lang w:val="en-GB" w:eastAsia="en-GB"/>
        </w:rPr>
        <w:t>, u skl</w:t>
      </w:r>
      <w:r w:rsidR="000B0FEF" w:rsidRPr="00595916">
        <w:rPr>
          <w:rFonts w:ascii="Arial" w:hAnsi="Arial" w:cs="Arial"/>
          <w:color w:val="000000"/>
          <w:sz w:val="22"/>
          <w:lang w:val="en-GB" w:eastAsia="en-GB"/>
        </w:rPr>
        <w:t>a</w:t>
      </w:r>
      <w:r w:rsidR="00DD5DAD" w:rsidRPr="00595916">
        <w:rPr>
          <w:rFonts w:ascii="Arial" w:hAnsi="Arial" w:cs="Arial"/>
          <w:color w:val="000000"/>
          <w:sz w:val="22"/>
          <w:lang w:val="en-GB" w:eastAsia="en-GB"/>
        </w:rPr>
        <w:t xml:space="preserve">du sa ovlašćenjima, odgovorni su </w:t>
      </w:r>
      <w:r w:rsidR="00CA2279" w:rsidRPr="00595916">
        <w:rPr>
          <w:rFonts w:ascii="Arial" w:hAnsi="Arial" w:cs="Arial"/>
          <w:color w:val="000000"/>
          <w:sz w:val="22"/>
          <w:lang w:val="en-GB" w:eastAsia="en-GB"/>
        </w:rPr>
        <w:t xml:space="preserve">za </w:t>
      </w:r>
      <w:r w:rsidR="00DD5DAD" w:rsidRPr="00595916">
        <w:rPr>
          <w:rFonts w:ascii="Arial" w:hAnsi="Arial" w:cs="Arial"/>
          <w:color w:val="000000"/>
          <w:sz w:val="22"/>
          <w:lang w:val="en-GB" w:eastAsia="en-GB"/>
        </w:rPr>
        <w:t xml:space="preserve">ostvarivanje ciljeva iz svoje nadležnosti, a time </w:t>
      </w:r>
      <w:r w:rsidR="00CA2279" w:rsidRPr="00595916">
        <w:rPr>
          <w:rFonts w:ascii="Arial" w:hAnsi="Arial" w:cs="Arial"/>
          <w:color w:val="000000"/>
          <w:sz w:val="22"/>
          <w:lang w:val="en-GB" w:eastAsia="en-GB"/>
        </w:rPr>
        <w:t>i</w:t>
      </w:r>
      <w:r w:rsidR="00DD5DAD" w:rsidRPr="00595916">
        <w:rPr>
          <w:rFonts w:ascii="Arial" w:hAnsi="Arial" w:cs="Arial"/>
          <w:color w:val="000000"/>
          <w:sz w:val="22"/>
          <w:lang w:val="en-GB" w:eastAsia="en-GB"/>
        </w:rPr>
        <w:t xml:space="preserve"> za upravljanj</w:t>
      </w:r>
      <w:r w:rsidR="00CA2279" w:rsidRPr="00595916">
        <w:rPr>
          <w:rFonts w:ascii="Arial" w:hAnsi="Arial" w:cs="Arial"/>
          <w:color w:val="000000"/>
          <w:sz w:val="22"/>
          <w:lang w:val="en-GB" w:eastAsia="en-GB"/>
        </w:rPr>
        <w:t>e</w:t>
      </w:r>
      <w:r w:rsidR="00DD5DAD" w:rsidRPr="00595916">
        <w:rPr>
          <w:rFonts w:ascii="Arial" w:hAnsi="Arial" w:cs="Arial"/>
          <w:color w:val="000000"/>
          <w:sz w:val="22"/>
          <w:lang w:val="en-GB" w:eastAsia="en-GB"/>
        </w:rPr>
        <w:t xml:space="preserve"> riz</w:t>
      </w:r>
      <w:r w:rsidR="00CA2279" w:rsidRPr="00595916">
        <w:rPr>
          <w:rFonts w:ascii="Arial" w:hAnsi="Arial" w:cs="Arial"/>
          <w:color w:val="000000"/>
          <w:sz w:val="22"/>
          <w:lang w:val="en-GB" w:eastAsia="en-GB"/>
        </w:rPr>
        <w:t>i</w:t>
      </w:r>
      <w:r w:rsidR="00DD5DAD" w:rsidRPr="00595916">
        <w:rPr>
          <w:rFonts w:ascii="Arial" w:hAnsi="Arial" w:cs="Arial"/>
          <w:color w:val="000000"/>
          <w:sz w:val="22"/>
          <w:lang w:val="en-GB" w:eastAsia="en-GB"/>
        </w:rPr>
        <w:t xml:space="preserve">cima. Oni 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treba</w:t>
      </w:r>
      <w:r w:rsidR="00DD5DAD" w:rsidRPr="00595916">
        <w:rPr>
          <w:rFonts w:ascii="Arial" w:hAnsi="Arial" w:cs="Arial"/>
          <w:color w:val="000000"/>
          <w:sz w:val="22"/>
          <w:lang w:val="en-GB" w:eastAsia="en-GB"/>
        </w:rPr>
        <w:t>ju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na nivou svojih organizacionih jedinica </w:t>
      </w:r>
      <w:r w:rsidR="00DD5DAD" w:rsidRPr="00595916">
        <w:rPr>
          <w:rFonts w:ascii="Arial" w:hAnsi="Arial" w:cs="Arial"/>
          <w:color w:val="000000"/>
          <w:sz w:val="22"/>
          <w:lang w:val="en-GB" w:eastAsia="en-GB"/>
        </w:rPr>
        <w:t xml:space="preserve">da 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osiguraju uspostavljanje i sprovođenje procesa upravljanja rizicima na način da:</w:t>
      </w:r>
    </w:p>
    <w:p w:rsidR="0017201C" w:rsidRPr="00595916" w:rsidRDefault="0017201C" w:rsidP="0017201C">
      <w:pPr>
        <w:numPr>
          <w:ilvl w:val="0"/>
          <w:numId w:val="6"/>
        </w:numPr>
        <w:spacing w:before="0" w:after="260" w:line="240" w:lineRule="auto"/>
        <w:ind w:right="25"/>
        <w:contextualSpacing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identifikuju rizike u značajnijim poslovnim procesima i aktivnostima u odnosu na ciljeve iz strateških planova, operativnih planova i poslovnih procesa koji su u nadležnosti njihove organizacione jedinice, </w:t>
      </w:r>
    </w:p>
    <w:p w:rsidR="0017201C" w:rsidRPr="00595916" w:rsidRDefault="0017201C" w:rsidP="0017201C">
      <w:pPr>
        <w:numPr>
          <w:ilvl w:val="0"/>
          <w:numId w:val="6"/>
        </w:numPr>
        <w:spacing w:before="0" w:after="260" w:line="240" w:lineRule="auto"/>
        <w:ind w:right="25"/>
        <w:contextualSpacing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procijene vjerovatnoću nastanka rizika i njegov uticaj,</w:t>
      </w:r>
    </w:p>
    <w:p w:rsidR="0017201C" w:rsidRPr="00595916" w:rsidRDefault="0017201C" w:rsidP="0017201C">
      <w:pPr>
        <w:numPr>
          <w:ilvl w:val="0"/>
          <w:numId w:val="6"/>
        </w:numPr>
        <w:spacing w:before="0" w:after="260" w:line="240" w:lineRule="auto"/>
        <w:ind w:right="25"/>
        <w:contextualSpacing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lastRenderedPageBreak/>
        <w:t xml:space="preserve">utvrde način reagovanja na rizike, </w:t>
      </w:r>
    </w:p>
    <w:p w:rsidR="0017201C" w:rsidRPr="00595916" w:rsidRDefault="0017201C" w:rsidP="0017201C">
      <w:pPr>
        <w:numPr>
          <w:ilvl w:val="0"/>
          <w:numId w:val="6"/>
        </w:numPr>
        <w:spacing w:before="0" w:after="260" w:line="240" w:lineRule="auto"/>
        <w:ind w:right="25"/>
        <w:contextualSpacing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dokumentuju podatke o rizicima u </w:t>
      </w:r>
      <w:r w:rsidRPr="00595916">
        <w:rPr>
          <w:rFonts w:ascii="Arial" w:hAnsi="Arial" w:cs="Arial"/>
          <w:color w:val="000000"/>
          <w:sz w:val="22"/>
          <w:u w:val="single"/>
          <w:lang w:val="en-GB" w:eastAsia="en-GB"/>
        </w:rPr>
        <w:t>Registru rizika organizacionih jedinica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i </w:t>
      </w:r>
    </w:p>
    <w:p w:rsidR="0017201C" w:rsidRPr="00595916" w:rsidRDefault="0017201C" w:rsidP="0017201C">
      <w:pPr>
        <w:numPr>
          <w:ilvl w:val="0"/>
          <w:numId w:val="6"/>
        </w:numPr>
        <w:spacing w:before="0" w:after="260" w:line="240" w:lineRule="auto"/>
        <w:ind w:right="25"/>
        <w:contextualSpacing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izvještavaju o rizicima.</w:t>
      </w:r>
    </w:p>
    <w:p w:rsidR="00341C13" w:rsidRPr="00595916" w:rsidRDefault="00341C13" w:rsidP="0017201C">
      <w:pPr>
        <w:spacing w:after="31" w:line="240" w:lineRule="auto"/>
        <w:ind w:right="25"/>
        <w:rPr>
          <w:rFonts w:ascii="Arial" w:hAnsi="Arial" w:cs="Arial"/>
          <w:color w:val="000000"/>
          <w:sz w:val="22"/>
          <w:lang w:val="en-GB" w:eastAsia="en-GB"/>
        </w:rPr>
      </w:pPr>
    </w:p>
    <w:p w:rsidR="0017201C" w:rsidRPr="00595916" w:rsidRDefault="0017201C" w:rsidP="0017201C">
      <w:pPr>
        <w:spacing w:after="31" w:line="240" w:lineRule="auto"/>
        <w:ind w:right="25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Rukovodioci organizacionih jedinica odlučuju da li se Registar rizika formira:</w:t>
      </w:r>
    </w:p>
    <w:p w:rsidR="0017201C" w:rsidRPr="00595916" w:rsidRDefault="0017201C" w:rsidP="0017201C">
      <w:pPr>
        <w:numPr>
          <w:ilvl w:val="0"/>
          <w:numId w:val="4"/>
        </w:numPr>
        <w:spacing w:before="0" w:after="31" w:line="240" w:lineRule="auto"/>
        <w:ind w:right="25" w:firstLine="7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na nivou organizacione jedinice (npr.Direktorata) ili</w:t>
      </w:r>
    </w:p>
    <w:p w:rsidR="0017201C" w:rsidRPr="00595916" w:rsidRDefault="0017201C" w:rsidP="0017201C">
      <w:pPr>
        <w:numPr>
          <w:ilvl w:val="0"/>
          <w:numId w:val="4"/>
        </w:numPr>
        <w:spacing w:before="0" w:after="123" w:line="240" w:lineRule="auto"/>
        <w:ind w:right="25" w:firstLine="7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na nivou nižih organizacionih jedinica (npr. Direkcija).</w:t>
      </w:r>
    </w:p>
    <w:p w:rsidR="005D7002" w:rsidRPr="00595916" w:rsidRDefault="005D7002" w:rsidP="005D7002">
      <w:pPr>
        <w:overflowPunct w:val="0"/>
        <w:autoSpaceDE w:val="0"/>
        <w:autoSpaceDN w:val="0"/>
        <w:adjustRightInd w:val="0"/>
        <w:ind w:left="360"/>
        <w:contextualSpacing/>
        <w:rPr>
          <w:rFonts w:ascii="Arial" w:hAnsi="Arial" w:cs="Arial"/>
          <w:sz w:val="22"/>
          <w:lang w:val="sl-SI"/>
        </w:rPr>
      </w:pPr>
    </w:p>
    <w:p w:rsidR="00341C13" w:rsidRPr="00595916" w:rsidRDefault="008C74C3" w:rsidP="00341C13">
      <w:pPr>
        <w:overflowPunct w:val="0"/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lang w:val="sl-SI"/>
        </w:rPr>
      </w:pPr>
      <w:r w:rsidRPr="00595916">
        <w:rPr>
          <w:rFonts w:ascii="Arial" w:hAnsi="Arial" w:cs="Arial"/>
          <w:b/>
          <w:sz w:val="22"/>
          <w:lang w:val="sl-SI"/>
        </w:rPr>
        <w:t>Procjena, mjerenje i rangiranje rizika</w:t>
      </w:r>
    </w:p>
    <w:p w:rsidR="00341C13" w:rsidRPr="00595916" w:rsidRDefault="00341C13" w:rsidP="00341C13">
      <w:pPr>
        <w:overflowPunct w:val="0"/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lang w:val="sl-SI"/>
        </w:rPr>
      </w:pPr>
    </w:p>
    <w:p w:rsidR="00DD5DAD" w:rsidRPr="00595916" w:rsidRDefault="00DD5DAD" w:rsidP="00CA2279">
      <w:pPr>
        <w:spacing w:before="0" w:after="0" w:line="240" w:lineRule="auto"/>
        <w:ind w:left="14" w:right="29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shd w:val="clear" w:color="auto" w:fill="FFFFFF"/>
          <w:lang w:val="en-GB" w:eastAsia="en-GB"/>
        </w:rPr>
        <w:t xml:space="preserve">Rizici se procjenjuju uzimajući u obzir </w:t>
      </w:r>
      <w:r w:rsidRPr="00595916">
        <w:rPr>
          <w:rFonts w:ascii="Arial" w:hAnsi="Arial" w:cs="Arial"/>
          <w:b/>
          <w:color w:val="000000"/>
          <w:sz w:val="22"/>
          <w:shd w:val="clear" w:color="auto" w:fill="FFFFFF"/>
          <w:lang w:val="en-GB" w:eastAsia="en-GB"/>
        </w:rPr>
        <w:t>uticaj</w:t>
      </w:r>
      <w:r w:rsidRPr="00595916">
        <w:rPr>
          <w:rFonts w:ascii="Arial" w:hAnsi="Arial" w:cs="Arial"/>
          <w:color w:val="000000"/>
          <w:sz w:val="22"/>
          <w:shd w:val="clear" w:color="auto" w:fill="FFFFFF"/>
          <w:lang w:val="en-GB" w:eastAsia="en-GB"/>
        </w:rPr>
        <w:t xml:space="preserve"> neželjenog događaja na cilj i </w:t>
      </w:r>
      <w:r w:rsidRPr="00595916">
        <w:rPr>
          <w:rFonts w:ascii="Arial" w:hAnsi="Arial" w:cs="Arial"/>
          <w:b/>
          <w:color w:val="000000"/>
          <w:sz w:val="22"/>
          <w:shd w:val="clear" w:color="auto" w:fill="FFFFFF"/>
          <w:lang w:val="en-GB" w:eastAsia="en-GB"/>
        </w:rPr>
        <w:t>vjerovatnoću</w:t>
      </w:r>
      <w:r w:rsidRPr="00595916">
        <w:rPr>
          <w:rFonts w:ascii="Arial" w:hAnsi="Arial" w:cs="Arial"/>
          <w:color w:val="000000"/>
          <w:sz w:val="22"/>
          <w:shd w:val="clear" w:color="auto" w:fill="FFFFFF"/>
          <w:lang w:val="en-GB" w:eastAsia="en-GB"/>
        </w:rPr>
        <w:t xml:space="preserve"> nastanka neželjenog dogadaja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.</w:t>
      </w:r>
    </w:p>
    <w:p w:rsidR="00CA2279" w:rsidRPr="00595916" w:rsidRDefault="00CA2279" w:rsidP="00CA2279">
      <w:pPr>
        <w:spacing w:before="0" w:after="0" w:line="240" w:lineRule="auto"/>
        <w:ind w:left="14" w:right="29"/>
        <w:rPr>
          <w:rFonts w:ascii="Arial" w:hAnsi="Arial" w:cs="Arial"/>
          <w:color w:val="000000"/>
          <w:sz w:val="22"/>
          <w:lang w:val="en-GB" w:eastAsia="en-GB"/>
        </w:rPr>
      </w:pPr>
    </w:p>
    <w:p w:rsidR="00DD5DAD" w:rsidRPr="00595916" w:rsidRDefault="00DD5DAD" w:rsidP="00CA2279">
      <w:pPr>
        <w:spacing w:before="0" w:after="0" w:line="240" w:lineRule="auto"/>
        <w:ind w:left="14" w:right="29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b/>
          <w:color w:val="000000"/>
          <w:sz w:val="22"/>
          <w:lang w:val="en-GB" w:eastAsia="en-GB"/>
        </w:rPr>
        <w:t>Uticaj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je procjena posljedica u slučaju nastanka određenog neželjenog događaja. </w:t>
      </w:r>
    </w:p>
    <w:p w:rsidR="00CA2279" w:rsidRPr="00595916" w:rsidRDefault="00CA2279" w:rsidP="00CA2279">
      <w:pPr>
        <w:spacing w:before="0" w:after="0" w:line="240" w:lineRule="auto"/>
        <w:ind w:left="14" w:right="29"/>
        <w:rPr>
          <w:rFonts w:ascii="Arial" w:hAnsi="Arial" w:cs="Arial"/>
          <w:color w:val="000000"/>
          <w:sz w:val="22"/>
          <w:lang w:val="en-GB" w:eastAsia="en-GB"/>
        </w:rPr>
      </w:pPr>
    </w:p>
    <w:p w:rsidR="00DD5DAD" w:rsidRPr="00595916" w:rsidRDefault="00DD5DAD" w:rsidP="00CA2279">
      <w:pPr>
        <w:spacing w:before="0" w:after="0" w:line="240" w:lineRule="auto"/>
        <w:ind w:left="14" w:right="29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Prilikom procjene uticaja rizika potrebno je analizirati kako identifikovani rizik utiče na:</w:t>
      </w:r>
    </w:p>
    <w:p w:rsidR="00DD5DAD" w:rsidRPr="00595916" w:rsidRDefault="00DD5DAD" w:rsidP="00DD5DAD">
      <w:pPr>
        <w:numPr>
          <w:ilvl w:val="0"/>
          <w:numId w:val="10"/>
        </w:numPr>
        <w:spacing w:before="0" w:after="31" w:line="240" w:lineRule="auto"/>
        <w:ind w:right="25"/>
        <w:contextualSpacing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Imovinu</w:t>
      </w:r>
    </w:p>
    <w:p w:rsidR="00DD5DAD" w:rsidRPr="00595916" w:rsidRDefault="00DD5DAD" w:rsidP="00DD5DAD">
      <w:pPr>
        <w:numPr>
          <w:ilvl w:val="0"/>
          <w:numId w:val="10"/>
        </w:numPr>
        <w:spacing w:before="0" w:after="60" w:line="240" w:lineRule="auto"/>
        <w:ind w:right="25"/>
        <w:contextualSpacing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Prihode</w:t>
      </w:r>
    </w:p>
    <w:p w:rsidR="00DD5DAD" w:rsidRPr="00595916" w:rsidRDefault="00DD5DAD" w:rsidP="00DD5DAD">
      <w:pPr>
        <w:numPr>
          <w:ilvl w:val="0"/>
          <w:numId w:val="10"/>
        </w:numPr>
        <w:spacing w:before="0" w:after="3" w:line="240" w:lineRule="auto"/>
        <w:ind w:right="25"/>
        <w:contextualSpacing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Rashode</w:t>
      </w:r>
    </w:p>
    <w:p w:rsidR="00DD5DAD" w:rsidRPr="00595916" w:rsidRDefault="00DD5DAD" w:rsidP="00DD5DAD">
      <w:pPr>
        <w:numPr>
          <w:ilvl w:val="0"/>
          <w:numId w:val="10"/>
        </w:numPr>
        <w:spacing w:before="0" w:after="3" w:line="240" w:lineRule="auto"/>
        <w:ind w:right="25"/>
        <w:contextualSpacing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Rezultat poslovanja</w:t>
      </w:r>
    </w:p>
    <w:p w:rsidR="00DD5DAD" w:rsidRPr="00595916" w:rsidRDefault="00DD5DAD" w:rsidP="00DD5DAD">
      <w:pPr>
        <w:numPr>
          <w:ilvl w:val="0"/>
          <w:numId w:val="10"/>
        </w:numPr>
        <w:spacing w:before="0" w:after="308" w:line="240" w:lineRule="auto"/>
        <w:ind w:right="25"/>
        <w:contextualSpacing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Ugled</w:t>
      </w:r>
    </w:p>
    <w:p w:rsidR="00DD5DAD" w:rsidRPr="00595916" w:rsidRDefault="00DD5DAD" w:rsidP="00DD5DAD">
      <w:pPr>
        <w:numPr>
          <w:ilvl w:val="0"/>
          <w:numId w:val="10"/>
        </w:numPr>
        <w:spacing w:before="0" w:after="234" w:line="240" w:lineRule="auto"/>
        <w:ind w:right="25"/>
        <w:contextualSpacing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Organizacionu strukturu.</w:t>
      </w:r>
    </w:p>
    <w:p w:rsidR="00DD5DAD" w:rsidRPr="00595916" w:rsidRDefault="00DD5DAD" w:rsidP="00DD5DAD">
      <w:pPr>
        <w:spacing w:after="31" w:line="240" w:lineRule="auto"/>
        <w:ind w:left="90" w:right="25" w:firstLine="7"/>
        <w:rPr>
          <w:rFonts w:ascii="Arial" w:hAnsi="Arial" w:cs="Arial"/>
          <w:color w:val="000000"/>
          <w:sz w:val="22"/>
          <w:lang w:val="en-GB" w:eastAsia="en-GB"/>
        </w:rPr>
      </w:pPr>
    </w:p>
    <w:p w:rsidR="00DD5DAD" w:rsidRPr="00595916" w:rsidRDefault="000267FC" w:rsidP="00DD5DAD">
      <w:pPr>
        <w:spacing w:after="31" w:line="240" w:lineRule="auto"/>
        <w:ind w:left="90" w:right="25" w:firstLine="7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M</w:t>
      </w:r>
      <w:r w:rsidR="00DD5DAD" w:rsidRPr="00595916">
        <w:rPr>
          <w:rFonts w:ascii="Arial" w:hAnsi="Arial" w:cs="Arial"/>
          <w:color w:val="000000"/>
          <w:sz w:val="22"/>
          <w:lang w:val="en-GB" w:eastAsia="en-GB"/>
        </w:rPr>
        <w:t>jerenj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e</w:t>
      </w:r>
      <w:r w:rsidR="00DD5DAD" w:rsidRPr="00595916">
        <w:rPr>
          <w:rFonts w:ascii="Arial" w:hAnsi="Arial" w:cs="Arial"/>
          <w:color w:val="000000"/>
          <w:sz w:val="22"/>
          <w:lang w:val="en-GB" w:eastAsia="en-GB"/>
        </w:rPr>
        <w:t xml:space="preserve"> uticaja rizika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prikazuje se na sledeći način</w:t>
      </w:r>
    </w:p>
    <w:tbl>
      <w:tblPr>
        <w:tblStyle w:val="PlainTable11"/>
        <w:tblW w:w="8101" w:type="dxa"/>
        <w:tblLook w:val="04A0" w:firstRow="1" w:lastRow="0" w:firstColumn="1" w:lastColumn="0" w:noHBand="0" w:noVBand="1"/>
      </w:tblPr>
      <w:tblGrid>
        <w:gridCol w:w="9"/>
        <w:gridCol w:w="981"/>
        <w:gridCol w:w="1469"/>
        <w:gridCol w:w="5642"/>
      </w:tblGrid>
      <w:tr w:rsidR="000B0FEF" w:rsidRPr="00595916" w:rsidTr="00341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gridSpan w:val="2"/>
            <w:vAlign w:val="center"/>
          </w:tcPr>
          <w:p w:rsidR="000B0FEF" w:rsidRPr="00595916" w:rsidRDefault="000B0FEF" w:rsidP="000B0FEF">
            <w:pPr>
              <w:spacing w:after="0" w:line="240" w:lineRule="auto"/>
              <w:ind w:left="40"/>
              <w:jc w:val="center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Ocjena</w:t>
            </w:r>
          </w:p>
        </w:tc>
        <w:tc>
          <w:tcPr>
            <w:tcW w:w="1421" w:type="dxa"/>
            <w:vAlign w:val="center"/>
          </w:tcPr>
          <w:p w:rsidR="000B0FEF" w:rsidRPr="00595916" w:rsidRDefault="000B0FEF" w:rsidP="000B0FEF">
            <w:pPr>
              <w:spacing w:after="0" w:line="240" w:lineRule="auto"/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Uticaj</w:t>
            </w:r>
          </w:p>
        </w:tc>
        <w:tc>
          <w:tcPr>
            <w:tcW w:w="5731" w:type="dxa"/>
            <w:vAlign w:val="center"/>
          </w:tcPr>
          <w:p w:rsidR="000B0FEF" w:rsidRPr="00595916" w:rsidRDefault="000B0FEF" w:rsidP="000B0FEF">
            <w:pPr>
              <w:spacing w:after="0" w:line="240" w:lineRule="auto"/>
              <w:ind w:left="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Opis</w:t>
            </w:r>
          </w:p>
        </w:tc>
      </w:tr>
      <w:tr w:rsidR="000B0FEF" w:rsidRPr="00595916" w:rsidTr="00341C1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vAlign w:val="center"/>
          </w:tcPr>
          <w:p w:rsidR="000B0FEF" w:rsidRPr="00595916" w:rsidRDefault="000B0FEF" w:rsidP="000B0FE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1421" w:type="dxa"/>
            <w:vAlign w:val="center"/>
          </w:tcPr>
          <w:p w:rsidR="000B0FEF" w:rsidRPr="00595916" w:rsidRDefault="000B0FEF" w:rsidP="000B0FEF">
            <w:pPr>
              <w:spacing w:after="0" w:line="240" w:lineRule="auto"/>
              <w:ind w:left="160" w:firstLine="8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Veoma značajan</w:t>
            </w:r>
          </w:p>
        </w:tc>
        <w:tc>
          <w:tcPr>
            <w:tcW w:w="5731" w:type="dxa"/>
          </w:tcPr>
          <w:p w:rsidR="000B0FEF" w:rsidRPr="00595916" w:rsidRDefault="000B0FEF" w:rsidP="008C4CE9">
            <w:pPr>
              <w:spacing w:after="0" w:line="240" w:lineRule="auto"/>
              <w:ind w:left="10"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U slučaju pojave rizika skoro je nevjerovatno da će se ciljevi ostvariti (šansa da će se ciljevi ostvariti je 1-29%).</w:t>
            </w:r>
          </w:p>
          <w:p w:rsidR="000B0FEF" w:rsidRPr="00595916" w:rsidRDefault="000B0FEF" w:rsidP="008C4CE9">
            <w:pPr>
              <w:spacing w:after="0" w:line="240" w:lineRule="auto"/>
              <w:ind w:left="10"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</w:tr>
      <w:tr w:rsidR="000B0FEF" w:rsidRPr="00595916" w:rsidTr="00341C13">
        <w:trPr>
          <w:gridBefore w:val="1"/>
          <w:wBefore w:w="7" w:type="dxa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vAlign w:val="center"/>
          </w:tcPr>
          <w:p w:rsidR="000B0FEF" w:rsidRPr="00595916" w:rsidRDefault="000B0FEF" w:rsidP="000B0FEF">
            <w:pPr>
              <w:spacing w:after="0" w:line="240" w:lineRule="auto"/>
              <w:ind w:left="15"/>
              <w:jc w:val="center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1421" w:type="dxa"/>
            <w:vAlign w:val="center"/>
          </w:tcPr>
          <w:p w:rsidR="000B0FEF" w:rsidRPr="00595916" w:rsidRDefault="000B0FEF" w:rsidP="000B0FEF">
            <w:pPr>
              <w:spacing w:after="0" w:line="240" w:lineRule="auto"/>
              <w:ind w:lef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Velik</w:t>
            </w:r>
          </w:p>
        </w:tc>
        <w:tc>
          <w:tcPr>
            <w:tcW w:w="5731" w:type="dxa"/>
          </w:tcPr>
          <w:p w:rsidR="000B0FEF" w:rsidRPr="00595916" w:rsidRDefault="000B0FEF" w:rsidP="008C4CE9">
            <w:pPr>
              <w:spacing w:after="0" w:line="240" w:lineRule="auto"/>
              <w:ind w:left="10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U slučaju pojave rizika, aktivnosti su značajno narušene, a malo je vjerovatno da će se ciljevi ostvariti (šansa da će se ciljevi ostvariti je 30-49%).</w:t>
            </w:r>
          </w:p>
        </w:tc>
      </w:tr>
      <w:tr w:rsidR="000B0FEF" w:rsidRPr="00595916" w:rsidTr="00341C1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dxa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vAlign w:val="center"/>
          </w:tcPr>
          <w:p w:rsidR="000B0FEF" w:rsidRPr="00595916" w:rsidRDefault="000B0FEF" w:rsidP="000B0FEF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1421" w:type="dxa"/>
            <w:vAlign w:val="center"/>
          </w:tcPr>
          <w:p w:rsidR="000B0FEF" w:rsidRPr="00595916" w:rsidRDefault="000B0FEF" w:rsidP="000B0FEF">
            <w:pPr>
              <w:spacing w:after="0" w:line="240" w:lineRule="auto"/>
              <w:ind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Srednji</w:t>
            </w:r>
          </w:p>
        </w:tc>
        <w:tc>
          <w:tcPr>
            <w:tcW w:w="5731" w:type="dxa"/>
          </w:tcPr>
          <w:p w:rsidR="000B0FEF" w:rsidRPr="00595916" w:rsidRDefault="000B0FEF" w:rsidP="008C4CE9">
            <w:pPr>
              <w:spacing w:after="0" w:line="240" w:lineRule="auto"/>
              <w:ind w:right="5" w:firstLine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U slučaju rizika otežano je obavljanje aktivnosti subjekta, a ciljevi se samo donekle mogu ostvariti (šansa da će se ciljevi ostvariti je 50-69%).</w:t>
            </w:r>
          </w:p>
        </w:tc>
      </w:tr>
      <w:tr w:rsidR="000B0FEF" w:rsidRPr="00595916" w:rsidTr="00341C13">
        <w:trPr>
          <w:gridBefore w:val="1"/>
          <w:wBefore w:w="7" w:type="dxa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vAlign w:val="center"/>
          </w:tcPr>
          <w:p w:rsidR="000B0FEF" w:rsidRPr="00595916" w:rsidRDefault="000B0FEF" w:rsidP="000B0FEF">
            <w:pPr>
              <w:spacing w:after="0" w:line="240" w:lineRule="auto"/>
              <w:ind w:left="5"/>
              <w:jc w:val="center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1421" w:type="dxa"/>
            <w:vAlign w:val="center"/>
          </w:tcPr>
          <w:p w:rsidR="000B0FEF" w:rsidRPr="00595916" w:rsidRDefault="000B0FEF" w:rsidP="000B0FEF">
            <w:pPr>
              <w:spacing w:after="0" w:line="240" w:lineRule="auto"/>
              <w:ind w:lef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Mali</w:t>
            </w:r>
          </w:p>
        </w:tc>
        <w:tc>
          <w:tcPr>
            <w:tcW w:w="5731" w:type="dxa"/>
          </w:tcPr>
          <w:p w:rsidR="000B0FEF" w:rsidRPr="00595916" w:rsidRDefault="000B0FEF" w:rsidP="008C4CE9">
            <w:pPr>
              <w:spacing w:after="0" w:line="240" w:lineRule="auto"/>
              <w:ind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U slučaju pojave rizika aktivnosti se obavljaju sa malim smetnjama/kašnjenjem, ali je vjerovatno da će se ciljevi ostvariti (šansa da će se ciljevi ostvariti je 70-89%).</w:t>
            </w:r>
          </w:p>
        </w:tc>
      </w:tr>
      <w:tr w:rsidR="000B0FEF" w:rsidRPr="00595916" w:rsidTr="00341C1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dxa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vAlign w:val="center"/>
          </w:tcPr>
          <w:p w:rsidR="000B0FEF" w:rsidRPr="00595916" w:rsidRDefault="000B0FEF" w:rsidP="000B0FEF">
            <w:pPr>
              <w:spacing w:after="0" w:line="240" w:lineRule="auto"/>
              <w:ind w:right="9"/>
              <w:jc w:val="center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</w:t>
            </w:r>
          </w:p>
        </w:tc>
        <w:tc>
          <w:tcPr>
            <w:tcW w:w="1421" w:type="dxa"/>
            <w:vAlign w:val="center"/>
          </w:tcPr>
          <w:p w:rsidR="000B0FEF" w:rsidRPr="00595916" w:rsidRDefault="000B0FEF" w:rsidP="000B0FEF">
            <w:pPr>
              <w:spacing w:after="0" w:line="240" w:lineRule="auto"/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Zanemarljiv</w:t>
            </w:r>
          </w:p>
        </w:tc>
        <w:tc>
          <w:tcPr>
            <w:tcW w:w="5731" w:type="dxa"/>
          </w:tcPr>
          <w:p w:rsidR="000B0FEF" w:rsidRPr="00595916" w:rsidRDefault="000B0FEF" w:rsidP="008C4CE9">
            <w:pPr>
              <w:spacing w:after="0" w:line="240" w:lineRule="auto"/>
              <w:ind w:firstLine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U slučaju pojave rizika aktivnosti se obavljaju sa malim smetnjama/kašnjenjem, ali je vjerovatno da će se ciljevi ostvariti (šansa da će se ciljevi ostvariti je 90-100%).</w:t>
            </w:r>
          </w:p>
        </w:tc>
      </w:tr>
    </w:tbl>
    <w:p w:rsidR="00DD5DAD" w:rsidRPr="00595916" w:rsidRDefault="00DD5DAD" w:rsidP="00DD5DAD">
      <w:pPr>
        <w:spacing w:after="285" w:line="240" w:lineRule="auto"/>
        <w:ind w:left="14" w:right="25" w:firstLine="7"/>
        <w:rPr>
          <w:rFonts w:ascii="Arial" w:hAnsi="Arial" w:cs="Arial"/>
          <w:b/>
          <w:color w:val="000000"/>
          <w:sz w:val="22"/>
          <w:lang w:val="en-GB" w:eastAsia="en-GB"/>
        </w:rPr>
      </w:pPr>
    </w:p>
    <w:p w:rsidR="00DD5DAD" w:rsidRPr="00595916" w:rsidRDefault="00DD5DAD" w:rsidP="00DD5DAD">
      <w:pPr>
        <w:spacing w:after="285" w:line="240" w:lineRule="auto"/>
        <w:ind w:left="14" w:right="25" w:firstLine="7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b/>
          <w:color w:val="000000"/>
          <w:sz w:val="22"/>
          <w:lang w:val="en-GB" w:eastAsia="en-GB"/>
        </w:rPr>
        <w:lastRenderedPageBreak/>
        <w:t>Vjerovatnoća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je procjena mogućnosti nastanka određenog događaja, uključujući i učestalost (npr. tokom jedne godine). </w:t>
      </w:r>
    </w:p>
    <w:p w:rsidR="00134AFE" w:rsidRPr="00595916" w:rsidRDefault="00DD5DAD" w:rsidP="00DD5DAD">
      <w:pPr>
        <w:spacing w:after="31" w:line="240" w:lineRule="auto"/>
        <w:ind w:left="14" w:right="25" w:firstLine="7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</w:t>
      </w:r>
    </w:p>
    <w:p w:rsidR="00DD5DAD" w:rsidRPr="00595916" w:rsidRDefault="00134AFE" w:rsidP="00DD5DAD">
      <w:pPr>
        <w:spacing w:after="31" w:line="240" w:lineRule="auto"/>
        <w:ind w:left="14" w:right="25" w:firstLine="7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M</w:t>
      </w:r>
      <w:r w:rsidR="00DD5DAD" w:rsidRPr="00595916">
        <w:rPr>
          <w:rFonts w:ascii="Arial" w:hAnsi="Arial" w:cs="Arial"/>
          <w:color w:val="000000"/>
          <w:sz w:val="22"/>
          <w:lang w:val="en-GB" w:eastAsia="en-GB"/>
        </w:rPr>
        <w:t>jerenj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e</w:t>
      </w:r>
      <w:r w:rsidR="00DD5DAD" w:rsidRPr="00595916">
        <w:rPr>
          <w:rFonts w:ascii="Arial" w:hAnsi="Arial" w:cs="Arial"/>
          <w:color w:val="000000"/>
          <w:sz w:val="22"/>
          <w:lang w:val="en-GB" w:eastAsia="en-GB"/>
        </w:rPr>
        <w:t xml:space="preserve"> vjerovatnoće nastanka rizika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prikazuje se na sledeći način</w:t>
      </w:r>
    </w:p>
    <w:p w:rsidR="00341C13" w:rsidRPr="00595916" w:rsidRDefault="00341C13" w:rsidP="00DD5DAD">
      <w:pPr>
        <w:spacing w:after="31" w:line="240" w:lineRule="auto"/>
        <w:ind w:left="14" w:right="25" w:firstLine="7"/>
        <w:rPr>
          <w:rFonts w:ascii="Arial" w:hAnsi="Arial" w:cs="Arial"/>
          <w:color w:val="000000"/>
          <w:sz w:val="22"/>
          <w:lang w:val="en-GB" w:eastAsia="en-GB"/>
        </w:rPr>
      </w:pPr>
    </w:p>
    <w:tbl>
      <w:tblPr>
        <w:tblStyle w:val="PlainTable11"/>
        <w:tblW w:w="7634" w:type="dxa"/>
        <w:tblLook w:val="04A0" w:firstRow="1" w:lastRow="0" w:firstColumn="1" w:lastColumn="0" w:noHBand="0" w:noVBand="1"/>
      </w:tblPr>
      <w:tblGrid>
        <w:gridCol w:w="1025"/>
        <w:gridCol w:w="2209"/>
        <w:gridCol w:w="4400"/>
      </w:tblGrid>
      <w:tr w:rsidR="00DD5DAD" w:rsidRPr="00595916" w:rsidTr="000B0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vAlign w:val="center"/>
          </w:tcPr>
          <w:p w:rsidR="00DD5DAD" w:rsidRPr="00595916" w:rsidRDefault="00DD5DAD" w:rsidP="000B0FEF">
            <w:pPr>
              <w:spacing w:after="0" w:line="240" w:lineRule="auto"/>
              <w:ind w:left="16"/>
              <w:jc w:val="center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Ocjena</w:t>
            </w:r>
          </w:p>
        </w:tc>
        <w:tc>
          <w:tcPr>
            <w:tcW w:w="2209" w:type="dxa"/>
            <w:vAlign w:val="center"/>
          </w:tcPr>
          <w:p w:rsidR="00DD5DAD" w:rsidRPr="00595916" w:rsidRDefault="00DD5DAD" w:rsidP="000B0FEF">
            <w:pPr>
              <w:spacing w:after="0" w:line="240" w:lineRule="auto"/>
              <w:ind w:left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Vjerovatnoća</w:t>
            </w:r>
          </w:p>
        </w:tc>
        <w:tc>
          <w:tcPr>
            <w:tcW w:w="4400" w:type="dxa"/>
            <w:vAlign w:val="center"/>
          </w:tcPr>
          <w:p w:rsidR="00DD5DAD" w:rsidRPr="00595916" w:rsidRDefault="00DD5DAD" w:rsidP="000B0FEF">
            <w:pPr>
              <w:spacing w:after="0" w:line="240" w:lineRule="auto"/>
              <w:ind w:left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Opis</w:t>
            </w:r>
          </w:p>
        </w:tc>
      </w:tr>
      <w:tr w:rsidR="00DD5DAD" w:rsidRPr="00595916" w:rsidTr="000B0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:rsidR="00DD5DAD" w:rsidRPr="00595916" w:rsidRDefault="00DD5DAD" w:rsidP="008C4CE9">
            <w:pPr>
              <w:spacing w:after="0" w:line="240" w:lineRule="auto"/>
              <w:ind w:left="16"/>
              <w:jc w:val="center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2209" w:type="dxa"/>
          </w:tcPr>
          <w:p w:rsidR="00DD5DAD" w:rsidRPr="00595916" w:rsidRDefault="00DD5DAD" w:rsidP="008C4CE9">
            <w:pPr>
              <w:spacing w:after="0" w:line="240" w:lineRule="auto"/>
              <w:ind w:left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Gotovo sigurno</w:t>
            </w:r>
          </w:p>
        </w:tc>
        <w:tc>
          <w:tcPr>
            <w:tcW w:w="4400" w:type="dxa"/>
          </w:tcPr>
          <w:p w:rsidR="00DD5DAD" w:rsidRPr="00595916" w:rsidRDefault="00DD5DAD" w:rsidP="008C4C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Šanse da će se rizik dogoditi su 90-100%</w:t>
            </w:r>
          </w:p>
        </w:tc>
      </w:tr>
      <w:tr w:rsidR="00DD5DAD" w:rsidRPr="00595916" w:rsidTr="000B0FEF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:rsidR="00DD5DAD" w:rsidRPr="00595916" w:rsidRDefault="00DD5DAD" w:rsidP="008C4CE9">
            <w:pPr>
              <w:spacing w:after="0" w:line="240" w:lineRule="auto"/>
              <w:ind w:left="11"/>
              <w:jc w:val="center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2209" w:type="dxa"/>
          </w:tcPr>
          <w:p w:rsidR="00DD5DAD" w:rsidRPr="00595916" w:rsidRDefault="00DD5DAD" w:rsidP="008C4CE9">
            <w:pPr>
              <w:spacing w:after="0" w:line="240" w:lineRule="auto"/>
              <w:ind w:lef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Vjerovatno</w:t>
            </w:r>
          </w:p>
        </w:tc>
        <w:tc>
          <w:tcPr>
            <w:tcW w:w="4400" w:type="dxa"/>
          </w:tcPr>
          <w:p w:rsidR="00DD5DAD" w:rsidRPr="00595916" w:rsidRDefault="00DD5DAD" w:rsidP="008C4C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Šanse da će se rizik dogoditi su 70-89%</w:t>
            </w:r>
          </w:p>
        </w:tc>
      </w:tr>
      <w:tr w:rsidR="00DD5DAD" w:rsidRPr="00595916" w:rsidTr="000B0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:rsidR="00DD5DAD" w:rsidRPr="00595916" w:rsidRDefault="00DD5DAD" w:rsidP="008C4CE9">
            <w:pPr>
              <w:spacing w:after="0" w:line="240" w:lineRule="auto"/>
              <w:ind w:left="16"/>
              <w:jc w:val="center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2209" w:type="dxa"/>
          </w:tcPr>
          <w:p w:rsidR="00DD5DAD" w:rsidRPr="00595916" w:rsidRDefault="00DD5DAD" w:rsidP="008C4CE9">
            <w:pPr>
              <w:spacing w:after="0" w:line="240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Umjereno</w:t>
            </w:r>
          </w:p>
        </w:tc>
        <w:tc>
          <w:tcPr>
            <w:tcW w:w="4400" w:type="dxa"/>
          </w:tcPr>
          <w:p w:rsidR="00DD5DAD" w:rsidRPr="00595916" w:rsidRDefault="00DD5DAD" w:rsidP="008C4CE9">
            <w:pPr>
              <w:spacing w:after="0" w:line="240" w:lineRule="auto"/>
              <w:ind w:left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Šanse da će se rizik dogoditi su 50-69%</w:t>
            </w:r>
          </w:p>
        </w:tc>
      </w:tr>
      <w:tr w:rsidR="00DD5DAD" w:rsidRPr="00595916" w:rsidTr="000B0FE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:rsidR="00DD5DAD" w:rsidRPr="00595916" w:rsidRDefault="00DD5DAD" w:rsidP="008C4CE9">
            <w:pPr>
              <w:spacing w:after="0" w:line="240" w:lineRule="auto"/>
              <w:ind w:left="11"/>
              <w:jc w:val="center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2209" w:type="dxa"/>
          </w:tcPr>
          <w:p w:rsidR="00DD5DAD" w:rsidRPr="00595916" w:rsidRDefault="00DD5DAD" w:rsidP="008C4CE9">
            <w:pPr>
              <w:spacing w:after="0" w:line="240" w:lineRule="auto"/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Rijetko</w:t>
            </w:r>
          </w:p>
        </w:tc>
        <w:tc>
          <w:tcPr>
            <w:tcW w:w="4400" w:type="dxa"/>
          </w:tcPr>
          <w:p w:rsidR="00DD5DAD" w:rsidRPr="00595916" w:rsidRDefault="00DD5DAD" w:rsidP="008C4C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Šanse da će se rizik dogoditi su 30-49%</w:t>
            </w:r>
          </w:p>
        </w:tc>
      </w:tr>
      <w:tr w:rsidR="00DD5DAD" w:rsidRPr="00595916" w:rsidTr="000B0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:rsidR="00DD5DAD" w:rsidRPr="00595916" w:rsidRDefault="00DD5DAD" w:rsidP="008C4CE9">
            <w:pPr>
              <w:spacing w:after="0" w:line="240" w:lineRule="auto"/>
              <w:ind w:left="7"/>
              <w:jc w:val="center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</w:t>
            </w:r>
          </w:p>
        </w:tc>
        <w:tc>
          <w:tcPr>
            <w:tcW w:w="2209" w:type="dxa"/>
          </w:tcPr>
          <w:p w:rsidR="00DD5DAD" w:rsidRPr="00595916" w:rsidRDefault="00DD5DAD" w:rsidP="008C4CE9">
            <w:pPr>
              <w:spacing w:after="0" w:line="240" w:lineRule="auto"/>
              <w:ind w:left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Sasvim rijetko</w:t>
            </w:r>
          </w:p>
        </w:tc>
        <w:tc>
          <w:tcPr>
            <w:tcW w:w="4400" w:type="dxa"/>
          </w:tcPr>
          <w:p w:rsidR="00DD5DAD" w:rsidRPr="00595916" w:rsidRDefault="00DD5DAD" w:rsidP="008C4C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Šanse da će se rizik pojaviti su 1 - 29%</w:t>
            </w:r>
          </w:p>
        </w:tc>
      </w:tr>
    </w:tbl>
    <w:p w:rsidR="008050BA" w:rsidRPr="00595916" w:rsidRDefault="008050BA" w:rsidP="008050BA">
      <w:pPr>
        <w:keepNext/>
        <w:keepLines/>
        <w:spacing w:after="197" w:line="240" w:lineRule="auto"/>
        <w:ind w:right="987"/>
        <w:outlineLvl w:val="2"/>
        <w:rPr>
          <w:rFonts w:ascii="Arial" w:hAnsi="Arial" w:cs="Arial"/>
          <w:b/>
          <w:color w:val="000000"/>
          <w:sz w:val="22"/>
          <w:lang w:val="en-GB" w:eastAsia="en-GB"/>
        </w:rPr>
      </w:pPr>
    </w:p>
    <w:p w:rsidR="00DD5DAD" w:rsidRPr="00595916" w:rsidRDefault="00DD5DAD" w:rsidP="008050BA">
      <w:pPr>
        <w:keepNext/>
        <w:keepLines/>
        <w:spacing w:after="197" w:line="240" w:lineRule="auto"/>
        <w:ind w:right="987"/>
        <w:outlineLvl w:val="2"/>
        <w:rPr>
          <w:rFonts w:ascii="Arial" w:hAnsi="Arial" w:cs="Arial"/>
          <w:b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b/>
          <w:color w:val="000000"/>
          <w:sz w:val="22"/>
          <w:lang w:val="en-GB" w:eastAsia="en-GB"/>
        </w:rPr>
        <w:t>Rangiranje rizika</w:t>
      </w:r>
    </w:p>
    <w:p w:rsidR="00DD5DAD" w:rsidRPr="00595916" w:rsidRDefault="00DD5DAD" w:rsidP="00DD5DAD">
      <w:pPr>
        <w:spacing w:after="292" w:line="240" w:lineRule="auto"/>
        <w:ind w:left="14" w:right="25" w:firstLine="7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Rangiranje rizika je potrebno kako bi se utvrdili prioriteti, odnosno najznačajniji rizici kojima treba upravljati. </w:t>
      </w:r>
    </w:p>
    <w:p w:rsidR="00DD5DAD" w:rsidRPr="00595916" w:rsidRDefault="00DD5DAD" w:rsidP="00DD5DAD">
      <w:pPr>
        <w:spacing w:after="292" w:line="240" w:lineRule="auto"/>
        <w:ind w:left="14" w:right="25" w:firstLine="7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Rangiranje rizika je rezultat množenja ocjena uticaja i vjerojatnoće nastanka identifikovanog rizika. </w:t>
      </w:r>
    </w:p>
    <w:p w:rsidR="00134AFE" w:rsidRPr="00595916" w:rsidRDefault="00DD5DAD" w:rsidP="00DD5DAD">
      <w:pPr>
        <w:spacing w:after="0" w:line="240" w:lineRule="auto"/>
        <w:ind w:left="14" w:right="25" w:firstLine="7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>Rangiranje rizika se prikazuje pomoću matrice u kojoj se unose uticaj i vjerovatnoća,</w:t>
      </w:r>
    </w:p>
    <w:p w:rsidR="00DD5DAD" w:rsidRPr="00595916" w:rsidRDefault="00DD5DAD" w:rsidP="00DD5DAD">
      <w:pPr>
        <w:spacing w:after="0" w:line="240" w:lineRule="auto"/>
        <w:ind w:left="14" w:right="25" w:firstLine="7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</w:t>
      </w:r>
    </w:p>
    <w:tbl>
      <w:tblPr>
        <w:tblStyle w:val="TableGrid"/>
        <w:tblW w:w="0" w:type="auto"/>
        <w:tblInd w:w="863" w:type="dxa"/>
        <w:tblLook w:val="04A0" w:firstRow="1" w:lastRow="0" w:firstColumn="1" w:lastColumn="0" w:noHBand="0" w:noVBand="1"/>
      </w:tblPr>
      <w:tblGrid>
        <w:gridCol w:w="717"/>
        <w:gridCol w:w="957"/>
        <w:gridCol w:w="957"/>
        <w:gridCol w:w="957"/>
        <w:gridCol w:w="957"/>
        <w:gridCol w:w="957"/>
        <w:gridCol w:w="960"/>
      </w:tblGrid>
      <w:tr w:rsidR="005F6F79" w:rsidRPr="00595916" w:rsidTr="00134AFE">
        <w:trPr>
          <w:trHeight w:val="645"/>
        </w:trPr>
        <w:tc>
          <w:tcPr>
            <w:tcW w:w="717" w:type="dxa"/>
            <w:vMerge w:val="restart"/>
            <w:tcBorders>
              <w:top w:val="thinThickSmallGap" w:sz="24" w:space="0" w:color="4472C4" w:themeColor="accent1"/>
              <w:left w:val="thinThickSmallGap" w:sz="24" w:space="0" w:color="4472C4" w:themeColor="accent1"/>
              <w:right w:val="thinThickSmallGap" w:sz="24" w:space="0" w:color="4472C4" w:themeColor="accent1"/>
            </w:tcBorders>
            <w:vAlign w:val="center"/>
          </w:tcPr>
          <w:p w:rsidR="005F6F79" w:rsidRPr="00595916" w:rsidRDefault="005F6F79" w:rsidP="000B0FEF">
            <w:pPr>
              <w:spacing w:after="288" w:line="240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U</w:t>
            </w:r>
          </w:p>
          <w:p w:rsidR="005F6F79" w:rsidRPr="00595916" w:rsidRDefault="005F6F79" w:rsidP="000B0FEF">
            <w:pPr>
              <w:spacing w:after="288" w:line="240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T</w:t>
            </w:r>
          </w:p>
          <w:p w:rsidR="005F6F79" w:rsidRPr="00595916" w:rsidRDefault="005F6F79" w:rsidP="000B0FEF">
            <w:pPr>
              <w:spacing w:after="288" w:line="240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I</w:t>
            </w:r>
          </w:p>
          <w:p w:rsidR="005F6F79" w:rsidRPr="00595916" w:rsidRDefault="005F6F79" w:rsidP="000B0FEF">
            <w:pPr>
              <w:spacing w:after="288" w:line="240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C</w:t>
            </w:r>
          </w:p>
          <w:p w:rsidR="005F6F79" w:rsidRPr="00595916" w:rsidRDefault="005F6F79" w:rsidP="000B0FEF">
            <w:pPr>
              <w:spacing w:after="288" w:line="240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A</w:t>
            </w:r>
          </w:p>
          <w:p w:rsidR="005F6F79" w:rsidRPr="00595916" w:rsidRDefault="005F6F79" w:rsidP="000B0FEF">
            <w:pPr>
              <w:spacing w:after="288" w:line="240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J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FFF2CC" w:themeFill="accent4" w:themeFillTint="33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92D050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10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</w:tcBorders>
            <w:shd w:val="clear" w:color="auto" w:fill="B4C6E7" w:themeFill="accent1" w:themeFillTint="66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15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</w:tcBorders>
            <w:shd w:val="clear" w:color="auto" w:fill="B4C6E7" w:themeFill="accent1" w:themeFillTint="66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20</w:t>
            </w:r>
          </w:p>
        </w:tc>
        <w:tc>
          <w:tcPr>
            <w:tcW w:w="960" w:type="dxa"/>
            <w:tcBorders>
              <w:top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B4C6E7" w:themeFill="accent1" w:themeFillTint="66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25</w:t>
            </w:r>
          </w:p>
        </w:tc>
      </w:tr>
      <w:tr w:rsidR="005F6F79" w:rsidRPr="00595916" w:rsidTr="00134AFE">
        <w:trPr>
          <w:trHeight w:val="673"/>
        </w:trPr>
        <w:tc>
          <w:tcPr>
            <w:tcW w:w="717" w:type="dxa"/>
            <w:vMerge/>
            <w:tcBorders>
              <w:left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957" w:type="dxa"/>
            <w:tcBorders>
              <w:left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957" w:type="dxa"/>
            <w:tcBorders>
              <w:left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FFF2CC" w:themeFill="accent4" w:themeFillTint="33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957" w:type="dxa"/>
            <w:tcBorders>
              <w:left w:val="thinThickSmallGap" w:sz="24" w:space="0" w:color="4472C4" w:themeColor="accent1"/>
            </w:tcBorders>
            <w:shd w:val="clear" w:color="auto" w:fill="92D050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8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92D050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12</w:t>
            </w:r>
          </w:p>
        </w:tc>
        <w:tc>
          <w:tcPr>
            <w:tcW w:w="957" w:type="dxa"/>
            <w:tcBorders>
              <w:left w:val="thinThickSmallGap" w:sz="24" w:space="0" w:color="4472C4" w:themeColor="accent1"/>
              <w:bottom w:val="thinThickSmallGap" w:sz="24" w:space="0" w:color="4472C4" w:themeColor="accent1"/>
            </w:tcBorders>
            <w:shd w:val="clear" w:color="auto" w:fill="B4C6E7" w:themeFill="accent1" w:themeFillTint="66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16</w:t>
            </w:r>
          </w:p>
        </w:tc>
        <w:tc>
          <w:tcPr>
            <w:tcW w:w="960" w:type="dxa"/>
            <w:tcBorders>
              <w:right w:val="thinThickSmallGap" w:sz="24" w:space="0" w:color="4472C4" w:themeColor="accent1"/>
            </w:tcBorders>
            <w:shd w:val="clear" w:color="auto" w:fill="B4C6E7" w:themeFill="accent1" w:themeFillTint="66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20</w:t>
            </w:r>
          </w:p>
        </w:tc>
      </w:tr>
      <w:tr w:rsidR="005F6F79" w:rsidRPr="00595916" w:rsidTr="00134AFE">
        <w:trPr>
          <w:trHeight w:val="659"/>
        </w:trPr>
        <w:tc>
          <w:tcPr>
            <w:tcW w:w="717" w:type="dxa"/>
            <w:vMerge/>
            <w:tcBorders>
              <w:left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957" w:type="dxa"/>
            <w:tcBorders>
              <w:left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957" w:type="dxa"/>
            <w:tcBorders>
              <w:left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FFF2CC" w:themeFill="accent4" w:themeFillTint="33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957" w:type="dxa"/>
            <w:tcBorders>
              <w:left w:val="thinThickSmallGap" w:sz="24" w:space="0" w:color="4472C4" w:themeColor="accent1"/>
              <w:bottom w:val="thinThickSmallGap" w:sz="24" w:space="0" w:color="4472C4" w:themeColor="accent1"/>
            </w:tcBorders>
            <w:shd w:val="clear" w:color="auto" w:fill="92D050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6</w:t>
            </w:r>
          </w:p>
        </w:tc>
        <w:tc>
          <w:tcPr>
            <w:tcW w:w="957" w:type="dxa"/>
            <w:shd w:val="clear" w:color="auto" w:fill="92D050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9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92D050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12</w:t>
            </w:r>
          </w:p>
        </w:tc>
        <w:tc>
          <w:tcPr>
            <w:tcW w:w="960" w:type="dxa"/>
            <w:tcBorders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B4C6E7" w:themeFill="accent1" w:themeFillTint="66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15</w:t>
            </w:r>
          </w:p>
        </w:tc>
      </w:tr>
      <w:tr w:rsidR="005F6F79" w:rsidRPr="00595916" w:rsidTr="00134AFE">
        <w:trPr>
          <w:trHeight w:val="673"/>
        </w:trPr>
        <w:tc>
          <w:tcPr>
            <w:tcW w:w="717" w:type="dxa"/>
            <w:vMerge/>
            <w:tcBorders>
              <w:left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957" w:type="dxa"/>
            <w:tcBorders>
              <w:left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957" w:type="dxa"/>
            <w:tcBorders>
              <w:left w:val="thinThickSmallGap" w:sz="24" w:space="0" w:color="4472C4" w:themeColor="accent1"/>
            </w:tcBorders>
            <w:shd w:val="clear" w:color="auto" w:fill="FFF2CC" w:themeFill="accent4" w:themeFillTint="33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FFF2CC" w:themeFill="accent4" w:themeFillTint="33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957" w:type="dxa"/>
            <w:tcBorders>
              <w:left w:val="thinThickSmallGap" w:sz="24" w:space="0" w:color="4472C4" w:themeColor="accent1"/>
              <w:bottom w:val="thinThickSmallGap" w:sz="24" w:space="0" w:color="4472C4" w:themeColor="accent1"/>
            </w:tcBorders>
            <w:shd w:val="clear" w:color="auto" w:fill="92D050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6</w:t>
            </w:r>
          </w:p>
        </w:tc>
        <w:tc>
          <w:tcPr>
            <w:tcW w:w="957" w:type="dxa"/>
            <w:tcBorders>
              <w:bottom w:val="thinThickSmallGap" w:sz="24" w:space="0" w:color="4472C4" w:themeColor="accent1"/>
            </w:tcBorders>
            <w:shd w:val="clear" w:color="auto" w:fill="92D050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8</w:t>
            </w:r>
          </w:p>
        </w:tc>
        <w:tc>
          <w:tcPr>
            <w:tcW w:w="960" w:type="dxa"/>
            <w:tcBorders>
              <w:top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92D050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10</w:t>
            </w:r>
          </w:p>
        </w:tc>
      </w:tr>
      <w:tr w:rsidR="005F6F79" w:rsidRPr="00595916" w:rsidTr="00134AFE">
        <w:trPr>
          <w:trHeight w:val="659"/>
        </w:trPr>
        <w:tc>
          <w:tcPr>
            <w:tcW w:w="717" w:type="dxa"/>
            <w:vMerge/>
            <w:tcBorders>
              <w:left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957" w:type="dxa"/>
            <w:tcBorders>
              <w:left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</w:t>
            </w:r>
          </w:p>
        </w:tc>
        <w:tc>
          <w:tcPr>
            <w:tcW w:w="957" w:type="dxa"/>
            <w:tcBorders>
              <w:left w:val="thinThickSmallGap" w:sz="24" w:space="0" w:color="4472C4" w:themeColor="accent1"/>
              <w:bottom w:val="thinThickSmallGap" w:sz="24" w:space="0" w:color="4472C4" w:themeColor="accent1"/>
            </w:tcBorders>
            <w:shd w:val="clear" w:color="auto" w:fill="FFF2CC" w:themeFill="accent4" w:themeFillTint="33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</w:t>
            </w:r>
          </w:p>
        </w:tc>
        <w:tc>
          <w:tcPr>
            <w:tcW w:w="957" w:type="dxa"/>
            <w:tcBorders>
              <w:bottom w:val="thinThickSmallGap" w:sz="24" w:space="0" w:color="4472C4" w:themeColor="accent1"/>
            </w:tcBorders>
            <w:shd w:val="clear" w:color="auto" w:fill="FFF2CC" w:themeFill="accent4" w:themeFillTint="33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  <w:bottom w:val="thinThickSmallGap" w:sz="24" w:space="0" w:color="4472C4" w:themeColor="accent1"/>
            </w:tcBorders>
            <w:shd w:val="clear" w:color="auto" w:fill="FFF2CC" w:themeFill="accent4" w:themeFillTint="33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  <w:bottom w:val="thinThickSmallGap" w:sz="24" w:space="0" w:color="4472C4" w:themeColor="accent1"/>
            </w:tcBorders>
            <w:shd w:val="clear" w:color="auto" w:fill="FFF2CC" w:themeFill="accent4" w:themeFillTint="33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960" w:type="dxa"/>
            <w:tcBorders>
              <w:top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FFF2CC" w:themeFill="accent4" w:themeFillTint="33"/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</w:tr>
      <w:tr w:rsidR="005F6F79" w:rsidRPr="00595916" w:rsidTr="00134AFE">
        <w:trPr>
          <w:trHeight w:val="659"/>
        </w:trPr>
        <w:tc>
          <w:tcPr>
            <w:tcW w:w="717" w:type="dxa"/>
            <w:vMerge/>
            <w:tcBorders>
              <w:left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957" w:type="dxa"/>
            <w:vMerge w:val="restart"/>
            <w:tcBorders>
              <w:left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thinThickSmallGap" w:sz="24" w:space="0" w:color="4472C4" w:themeColor="accent1"/>
              <w:lef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  <w:right w:val="single" w:sz="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  <w:left w:val="single" w:sz="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957" w:type="dxa"/>
            <w:tcBorders>
              <w:top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960" w:type="dxa"/>
            <w:tcBorders>
              <w:top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</w:tr>
      <w:tr w:rsidR="005F6F79" w:rsidRPr="00595916" w:rsidTr="000B0FEF">
        <w:trPr>
          <w:trHeight w:val="521"/>
        </w:trPr>
        <w:tc>
          <w:tcPr>
            <w:tcW w:w="717" w:type="dxa"/>
            <w:vMerge/>
            <w:tcBorders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957" w:type="dxa"/>
            <w:vMerge/>
            <w:tcBorders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</w:tcPr>
          <w:p w:rsidR="005F6F79" w:rsidRPr="00595916" w:rsidRDefault="005F6F79" w:rsidP="00DD5DAD">
            <w:pPr>
              <w:spacing w:after="288" w:line="240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4788" w:type="dxa"/>
            <w:gridSpan w:val="5"/>
            <w:tcBorders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vAlign w:val="center"/>
          </w:tcPr>
          <w:p w:rsidR="005F6F79" w:rsidRPr="00595916" w:rsidRDefault="005F6F79" w:rsidP="000B0FEF">
            <w:pPr>
              <w:spacing w:after="288" w:line="240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V  J E R O V A T N O Ć A</w:t>
            </w:r>
          </w:p>
        </w:tc>
      </w:tr>
    </w:tbl>
    <w:p w:rsidR="00DD5DAD" w:rsidRPr="00595916" w:rsidRDefault="00DD5DAD" w:rsidP="00DD5DAD">
      <w:pPr>
        <w:spacing w:after="288" w:line="240" w:lineRule="auto"/>
        <w:ind w:left="863"/>
        <w:rPr>
          <w:rFonts w:ascii="Arial" w:hAnsi="Arial" w:cs="Arial"/>
          <w:color w:val="000000"/>
          <w:sz w:val="22"/>
          <w:lang w:val="en-GB" w:eastAsia="en-GB"/>
        </w:rPr>
      </w:pPr>
    </w:p>
    <w:p w:rsidR="00DD5DAD" w:rsidRPr="00595916" w:rsidRDefault="00DD5DAD" w:rsidP="00DD5DAD">
      <w:pPr>
        <w:spacing w:after="290" w:line="240" w:lineRule="auto"/>
        <w:ind w:left="14" w:right="25" w:firstLine="7"/>
        <w:rPr>
          <w:rFonts w:ascii="Arial" w:hAnsi="Arial" w:cs="Arial"/>
          <w:color w:val="000000"/>
          <w:sz w:val="22"/>
          <w:lang w:val="en-GB" w:eastAsia="en-GB"/>
        </w:rPr>
      </w:pP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Rezultati iz matrice rizika ukazuju na oblasti koje se smatraju visokim, srednjim ili malim rizikom i predstavljaju osnovu za određivanje prioriteta. </w:t>
      </w:r>
    </w:p>
    <w:p w:rsidR="00DD5DAD" w:rsidRPr="00595916" w:rsidRDefault="00134AFE" w:rsidP="00DD5DAD">
      <w:pPr>
        <w:spacing w:after="31" w:line="240" w:lineRule="auto"/>
        <w:ind w:left="14" w:right="25" w:firstLine="7"/>
        <w:rPr>
          <w:rFonts w:ascii="Arial" w:hAnsi="Arial" w:cs="Arial"/>
          <w:sz w:val="22"/>
          <w:lang w:val="en-GB" w:eastAsia="en-GB"/>
        </w:rPr>
      </w:pPr>
      <w:r w:rsidRPr="00595916">
        <w:rPr>
          <w:rFonts w:ascii="Arial" w:hAnsi="Arial" w:cs="Arial"/>
          <w:sz w:val="22"/>
          <w:lang w:val="en-GB" w:eastAsia="en-GB"/>
        </w:rPr>
        <w:t>R</w:t>
      </w:r>
      <w:r w:rsidR="00DD5DAD" w:rsidRPr="00595916">
        <w:rPr>
          <w:rFonts w:ascii="Arial" w:hAnsi="Arial" w:cs="Arial"/>
          <w:sz w:val="22"/>
          <w:lang w:val="en-GB" w:eastAsia="en-GB"/>
        </w:rPr>
        <w:t xml:space="preserve">ang rizika sa opisom </w:t>
      </w:r>
    </w:p>
    <w:tbl>
      <w:tblPr>
        <w:tblStyle w:val="PlainTable11"/>
        <w:tblW w:w="7992" w:type="dxa"/>
        <w:tblLook w:val="04A0" w:firstRow="1" w:lastRow="0" w:firstColumn="1" w:lastColumn="0" w:noHBand="0" w:noVBand="1"/>
      </w:tblPr>
      <w:tblGrid>
        <w:gridCol w:w="1134"/>
        <w:gridCol w:w="2030"/>
        <w:gridCol w:w="4828"/>
      </w:tblGrid>
      <w:tr w:rsidR="00DD5DAD" w:rsidRPr="00595916" w:rsidTr="00134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:rsidR="00DD5DAD" w:rsidRPr="00595916" w:rsidRDefault="00DD5DAD" w:rsidP="008C4CE9">
            <w:pPr>
              <w:spacing w:after="0" w:line="240" w:lineRule="auto"/>
              <w:ind w:left="135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Interval</w:t>
            </w:r>
          </w:p>
        </w:tc>
        <w:tc>
          <w:tcPr>
            <w:tcW w:w="2033" w:type="dxa"/>
          </w:tcPr>
          <w:p w:rsidR="00DD5DAD" w:rsidRPr="00595916" w:rsidRDefault="00DD5DAD" w:rsidP="008C4CE9">
            <w:pPr>
              <w:spacing w:after="0" w:line="240" w:lineRule="auto"/>
              <w:ind w:left="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Rang rizika</w:t>
            </w:r>
          </w:p>
        </w:tc>
        <w:tc>
          <w:tcPr>
            <w:tcW w:w="4834" w:type="dxa"/>
          </w:tcPr>
          <w:p w:rsidR="00DD5DAD" w:rsidRPr="00595916" w:rsidRDefault="00DD5DAD" w:rsidP="008C4CE9">
            <w:pPr>
              <w:tabs>
                <w:tab w:val="center" w:pos="2446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ab/>
              <w:t>Opis rizika (primjeri)</w:t>
            </w:r>
          </w:p>
        </w:tc>
      </w:tr>
      <w:tr w:rsidR="00DD5DAD" w:rsidRPr="00595916" w:rsidTr="00134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:rsidR="00DD5DAD" w:rsidRPr="00595916" w:rsidRDefault="00DD5DAD" w:rsidP="000B0FEF">
            <w:pPr>
              <w:spacing w:after="0" w:line="240" w:lineRule="auto"/>
              <w:ind w:left="30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15-25</w:t>
            </w:r>
          </w:p>
        </w:tc>
        <w:tc>
          <w:tcPr>
            <w:tcW w:w="2033" w:type="dxa"/>
          </w:tcPr>
          <w:p w:rsidR="00DD5DAD" w:rsidRPr="00595916" w:rsidRDefault="00DD5DAD" w:rsidP="008C4CE9">
            <w:pPr>
              <w:spacing w:after="0" w:line="240" w:lineRule="auto"/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000000"/>
                <w:sz w:val="22"/>
                <w:lang w:val="en-GB" w:eastAsia="en-GB"/>
              </w:rPr>
            </w:pPr>
          </w:p>
          <w:p w:rsidR="00DD5DAD" w:rsidRPr="00595916" w:rsidRDefault="00DD5DAD" w:rsidP="008C4CE9">
            <w:pPr>
              <w:spacing w:after="0" w:line="240" w:lineRule="auto"/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noProof/>
                <w:color w:val="000000"/>
                <w:sz w:val="22"/>
                <w:lang w:val="en-GB" w:eastAsia="en-GB"/>
              </w:rPr>
              <w:t>Visok</w:t>
            </w:r>
          </w:p>
        </w:tc>
        <w:tc>
          <w:tcPr>
            <w:tcW w:w="4834" w:type="dxa"/>
          </w:tcPr>
          <w:p w:rsidR="00DD5DAD" w:rsidRPr="00595916" w:rsidRDefault="00DD5DAD" w:rsidP="00DD5DAD">
            <w:pPr>
              <w:numPr>
                <w:ilvl w:val="0"/>
                <w:numId w:val="7"/>
              </w:numPr>
              <w:spacing w:before="0" w:after="0" w:line="240" w:lineRule="auto"/>
              <w:ind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Prekid svih osnovnih programa/usluga</w:t>
            </w:r>
          </w:p>
          <w:p w:rsidR="00DD5DAD" w:rsidRPr="00595916" w:rsidRDefault="00DD5DAD" w:rsidP="00DD5DAD">
            <w:pPr>
              <w:numPr>
                <w:ilvl w:val="0"/>
                <w:numId w:val="7"/>
              </w:numPr>
              <w:spacing w:before="0" w:after="0" w:line="240" w:lineRule="auto"/>
              <w:ind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Gubitak imovine velike vrijednosti</w:t>
            </w:r>
          </w:p>
          <w:p w:rsidR="00DD5DAD" w:rsidRPr="00595916" w:rsidRDefault="00DD5DAD" w:rsidP="00DD5DAD">
            <w:pPr>
              <w:numPr>
                <w:ilvl w:val="0"/>
                <w:numId w:val="7"/>
              </w:numPr>
              <w:spacing w:before="0" w:after="0" w:line="240" w:lineRule="auto"/>
              <w:ind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Ozbiljne štete za životnu sredinu</w:t>
            </w:r>
          </w:p>
          <w:p w:rsidR="00DD5DAD" w:rsidRPr="00595916" w:rsidRDefault="00DD5DAD" w:rsidP="00DD5DAD">
            <w:pPr>
              <w:numPr>
                <w:ilvl w:val="0"/>
                <w:numId w:val="7"/>
              </w:numPr>
              <w:spacing w:before="0" w:after="0" w:line="240" w:lineRule="auto"/>
              <w:ind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Značajan gubitak povjerenja javnosti</w:t>
            </w:r>
          </w:p>
        </w:tc>
      </w:tr>
      <w:tr w:rsidR="00DD5DAD" w:rsidRPr="00595916" w:rsidTr="00134AFE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:rsidR="00DD5DAD" w:rsidRPr="00595916" w:rsidRDefault="00DD5DAD" w:rsidP="000B0FEF">
            <w:pPr>
              <w:spacing w:after="0" w:line="240" w:lineRule="auto"/>
              <w:ind w:left="25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6-12</w:t>
            </w:r>
          </w:p>
        </w:tc>
        <w:tc>
          <w:tcPr>
            <w:tcW w:w="2033" w:type="dxa"/>
            <w:vAlign w:val="center"/>
          </w:tcPr>
          <w:p w:rsidR="00DD5DAD" w:rsidRPr="00595916" w:rsidRDefault="00DD5DAD" w:rsidP="000B0FEF">
            <w:pPr>
              <w:spacing w:after="0" w:line="240" w:lineRule="auto"/>
              <w:ind w:left="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Srednji</w:t>
            </w:r>
          </w:p>
        </w:tc>
        <w:tc>
          <w:tcPr>
            <w:tcW w:w="4834" w:type="dxa"/>
          </w:tcPr>
          <w:p w:rsidR="00DD5DAD" w:rsidRPr="00595916" w:rsidRDefault="00DD5DAD" w:rsidP="00DD5DAD">
            <w:pPr>
              <w:numPr>
                <w:ilvl w:val="0"/>
                <w:numId w:val="8"/>
              </w:numPr>
              <w:spacing w:before="0" w:after="0" w:line="240" w:lineRule="auto"/>
              <w:ind w:left="225" w:hanging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Prekid nekih osnovnih programa/usluga</w:t>
            </w:r>
          </w:p>
          <w:p w:rsidR="00DD5DAD" w:rsidRPr="00595916" w:rsidRDefault="00DD5DAD" w:rsidP="00DD5DAD">
            <w:pPr>
              <w:numPr>
                <w:ilvl w:val="0"/>
                <w:numId w:val="8"/>
              </w:numPr>
              <w:spacing w:before="0" w:after="0" w:line="240" w:lineRule="auto"/>
              <w:ind w:left="225" w:hanging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Gubitak imovine</w:t>
            </w:r>
          </w:p>
          <w:p w:rsidR="00DD5DAD" w:rsidRPr="00595916" w:rsidRDefault="00DD5DAD" w:rsidP="00DD5DAD">
            <w:pPr>
              <w:numPr>
                <w:ilvl w:val="0"/>
                <w:numId w:val="8"/>
              </w:numPr>
              <w:spacing w:before="0" w:after="0" w:line="240" w:lineRule="auto"/>
              <w:ind w:left="225" w:hanging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Štetne posljedice na životnu sredinu</w:t>
            </w:r>
          </w:p>
          <w:p w:rsidR="00DD5DAD" w:rsidRPr="00595916" w:rsidRDefault="00DD5DAD" w:rsidP="00DD5DAD">
            <w:pPr>
              <w:numPr>
                <w:ilvl w:val="0"/>
                <w:numId w:val="8"/>
              </w:numPr>
              <w:spacing w:before="0" w:after="0" w:line="240" w:lineRule="auto"/>
              <w:ind w:left="225" w:hanging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Djelimičan gubitak povjerenja javnosti</w:t>
            </w:r>
          </w:p>
          <w:p w:rsidR="00DD5DAD" w:rsidRPr="00595916" w:rsidRDefault="00DD5DAD" w:rsidP="00DD5DAD">
            <w:pPr>
              <w:numPr>
                <w:ilvl w:val="0"/>
                <w:numId w:val="8"/>
              </w:numPr>
              <w:spacing w:before="0" w:after="0" w:line="240" w:lineRule="auto"/>
              <w:ind w:left="225" w:hanging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Negativan stav javnosti u medijima</w:t>
            </w:r>
          </w:p>
        </w:tc>
      </w:tr>
      <w:tr w:rsidR="00DD5DAD" w:rsidRPr="00595916" w:rsidTr="00134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:rsidR="00DD5DAD" w:rsidRPr="00595916" w:rsidRDefault="00DD5DAD" w:rsidP="000B0FEF">
            <w:pPr>
              <w:spacing w:after="0" w:line="240" w:lineRule="auto"/>
              <w:ind w:left="35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1-5</w:t>
            </w:r>
          </w:p>
        </w:tc>
        <w:tc>
          <w:tcPr>
            <w:tcW w:w="2033" w:type="dxa"/>
            <w:vAlign w:val="center"/>
          </w:tcPr>
          <w:p w:rsidR="00DD5DAD" w:rsidRPr="00595916" w:rsidRDefault="00DD5DAD" w:rsidP="000B0FEF">
            <w:pPr>
              <w:spacing w:after="0" w:line="240" w:lineRule="auto"/>
              <w:ind w:left="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Nizak</w:t>
            </w:r>
          </w:p>
        </w:tc>
        <w:tc>
          <w:tcPr>
            <w:tcW w:w="4834" w:type="dxa"/>
          </w:tcPr>
          <w:p w:rsidR="00DD5DAD" w:rsidRPr="00595916" w:rsidRDefault="00DD5DAD" w:rsidP="00DD5DAD">
            <w:pPr>
              <w:numPr>
                <w:ilvl w:val="0"/>
                <w:numId w:val="9"/>
              </w:numPr>
              <w:spacing w:before="0" w:after="0" w:line="240" w:lineRule="auto"/>
              <w:ind w:left="225" w:hanging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Kašnjenja u manjim projektima/uslugama</w:t>
            </w:r>
          </w:p>
          <w:p w:rsidR="00DD5DAD" w:rsidRPr="00595916" w:rsidRDefault="00DD5DAD" w:rsidP="00DD5DAD">
            <w:pPr>
              <w:numPr>
                <w:ilvl w:val="0"/>
                <w:numId w:val="9"/>
              </w:numPr>
              <w:spacing w:before="0" w:after="0" w:line="240" w:lineRule="auto"/>
              <w:ind w:left="225" w:hanging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Gubitak imovine (manje vrijednosti)</w:t>
            </w:r>
          </w:p>
          <w:p w:rsidR="00DD5DAD" w:rsidRPr="00595916" w:rsidRDefault="00DD5DAD" w:rsidP="00DD5DAD">
            <w:pPr>
              <w:numPr>
                <w:ilvl w:val="0"/>
                <w:numId w:val="9"/>
              </w:numPr>
              <w:spacing w:before="0" w:after="0" w:line="240" w:lineRule="auto"/>
              <w:ind w:left="225" w:hanging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Privremene štetne posljedice na životnu sredinu</w:t>
            </w:r>
          </w:p>
          <w:p w:rsidR="00DD5DAD" w:rsidRPr="00595916" w:rsidRDefault="00DD5DAD" w:rsidP="008C4CE9">
            <w:pPr>
              <w:spacing w:after="0" w:line="240" w:lineRule="auto"/>
              <w:ind w:lef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- Djelimično negativni stav javnosti u medijima</w:t>
            </w:r>
          </w:p>
        </w:tc>
      </w:tr>
    </w:tbl>
    <w:p w:rsidR="000B0FEF" w:rsidRPr="00595916" w:rsidRDefault="000B0FEF" w:rsidP="005D7002">
      <w:pPr>
        <w:pStyle w:val="Heading1"/>
        <w:numPr>
          <w:ilvl w:val="0"/>
          <w:numId w:val="0"/>
        </w:numPr>
        <w:ind w:left="432"/>
        <w:jc w:val="center"/>
        <w:rPr>
          <w:b/>
          <w:i/>
          <w:sz w:val="22"/>
        </w:rPr>
      </w:pPr>
      <w:bookmarkStart w:id="1" w:name="_Toc91589423"/>
    </w:p>
    <w:p w:rsidR="005D7002" w:rsidRPr="00595916" w:rsidRDefault="005D7002" w:rsidP="00CA2279">
      <w:pPr>
        <w:pStyle w:val="Heading1"/>
        <w:numPr>
          <w:ilvl w:val="0"/>
          <w:numId w:val="0"/>
        </w:numPr>
        <w:ind w:left="432"/>
        <w:jc w:val="left"/>
        <w:rPr>
          <w:b/>
          <w:i/>
          <w:sz w:val="22"/>
        </w:rPr>
      </w:pPr>
      <w:r w:rsidRPr="00595916">
        <w:rPr>
          <w:b/>
          <w:i/>
          <w:sz w:val="22"/>
        </w:rPr>
        <w:t>ORGANIZACIONE JEDINICE MINISTARSTVA</w:t>
      </w:r>
      <w:bookmarkEnd w:id="1"/>
    </w:p>
    <w:p w:rsidR="005D7002" w:rsidRPr="00595916" w:rsidRDefault="005D7002" w:rsidP="005D7002">
      <w:pPr>
        <w:overflowPunct w:val="0"/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b/>
          <w:sz w:val="22"/>
          <w:lang w:val="sr-Latn-CS"/>
        </w:rPr>
      </w:pPr>
    </w:p>
    <w:p w:rsidR="005D7002" w:rsidRPr="00595916" w:rsidRDefault="005D7002" w:rsidP="005D7002">
      <w:pPr>
        <w:overflowPunct w:val="0"/>
        <w:autoSpaceDE w:val="0"/>
        <w:autoSpaceDN w:val="0"/>
        <w:adjustRightInd w:val="0"/>
        <w:contextualSpacing/>
        <w:rPr>
          <w:rFonts w:ascii="Arial" w:hAnsi="Arial" w:cs="Arial"/>
          <w:sz w:val="22"/>
          <w:lang w:val="es-DO"/>
        </w:rPr>
      </w:pPr>
      <w:r w:rsidRPr="00595916">
        <w:rPr>
          <w:rFonts w:ascii="Arial" w:hAnsi="Arial" w:cs="Arial"/>
          <w:sz w:val="22"/>
          <w:lang w:val="es-DO"/>
        </w:rPr>
        <w:t xml:space="preserve">Za obavljanje poslova iz djelokruga i nadležnosti Ministarstva </w:t>
      </w:r>
      <w:r w:rsidR="00646D85" w:rsidRPr="00595916">
        <w:rPr>
          <w:rFonts w:ascii="Arial" w:hAnsi="Arial" w:cs="Arial"/>
          <w:sz w:val="22"/>
          <w:lang w:val="es-DO"/>
        </w:rPr>
        <w:t xml:space="preserve">ekonomskog razvoja </w:t>
      </w:r>
      <w:r w:rsidRPr="00595916">
        <w:rPr>
          <w:rFonts w:ascii="Arial" w:hAnsi="Arial" w:cs="Arial"/>
          <w:sz w:val="22"/>
          <w:lang w:val="es-DO"/>
        </w:rPr>
        <w:t>osnovane s</w:t>
      </w:r>
      <w:r w:rsidR="000B0FEF" w:rsidRPr="00595916">
        <w:rPr>
          <w:rFonts w:ascii="Arial" w:hAnsi="Arial" w:cs="Arial"/>
          <w:sz w:val="22"/>
          <w:lang w:val="es-DO"/>
        </w:rPr>
        <w:t>u slede</w:t>
      </w:r>
      <w:r w:rsidR="000B0FEF" w:rsidRPr="00595916">
        <w:rPr>
          <w:rFonts w:ascii="Arial" w:hAnsi="Arial" w:cs="Arial"/>
          <w:sz w:val="22"/>
          <w:lang w:val="sr-Latn-ME"/>
        </w:rPr>
        <w:t>će</w:t>
      </w:r>
      <w:r w:rsidRPr="00595916">
        <w:rPr>
          <w:rFonts w:ascii="Arial" w:hAnsi="Arial" w:cs="Arial"/>
          <w:sz w:val="22"/>
          <w:lang w:val="es-DO"/>
        </w:rPr>
        <w:t xml:space="preserve"> unutrašnje organizacione jedinice: </w:t>
      </w:r>
    </w:p>
    <w:p w:rsidR="001777FB" w:rsidRPr="00595916" w:rsidRDefault="001777FB" w:rsidP="005D7002">
      <w:pPr>
        <w:overflowPunct w:val="0"/>
        <w:autoSpaceDE w:val="0"/>
        <w:autoSpaceDN w:val="0"/>
        <w:adjustRightInd w:val="0"/>
        <w:contextualSpacing/>
        <w:rPr>
          <w:rFonts w:ascii="Arial" w:hAnsi="Arial" w:cs="Arial"/>
          <w:sz w:val="22"/>
          <w:lang w:val="es-DO"/>
        </w:rPr>
      </w:pPr>
    </w:p>
    <w:p w:rsidR="00C55288" w:rsidRPr="00C55288" w:rsidRDefault="00C55288" w:rsidP="00C55288">
      <w:pPr>
        <w:keepNext/>
        <w:keepLines/>
        <w:spacing w:before="0" w:after="5" w:line="250" w:lineRule="auto"/>
        <w:ind w:left="87" w:right="41"/>
        <w:jc w:val="left"/>
        <w:outlineLvl w:val="0"/>
        <w:rPr>
          <w:rFonts w:ascii="Arial" w:eastAsia="Arial" w:hAnsi="Arial" w:cs="Arial"/>
          <w:b/>
          <w:color w:val="000000"/>
          <w:sz w:val="22"/>
        </w:rPr>
      </w:pPr>
      <w:r w:rsidRPr="00C55288">
        <w:rPr>
          <w:rFonts w:ascii="Arial" w:eastAsia="Arial" w:hAnsi="Arial" w:cs="Arial"/>
          <w:b/>
          <w:color w:val="000000"/>
          <w:sz w:val="22"/>
        </w:rPr>
        <w:t xml:space="preserve">1. Direktorat za unapređenje konkurentnosti privrede </w:t>
      </w:r>
    </w:p>
    <w:p w:rsidR="00C55288" w:rsidRPr="00C55288" w:rsidRDefault="00C55288" w:rsidP="00C55288">
      <w:pPr>
        <w:spacing w:before="0" w:after="4" w:line="250" w:lineRule="auto"/>
        <w:ind w:left="974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1.1. Direkcija za razvoj malih i srednjih preduzeća </w:t>
      </w:r>
    </w:p>
    <w:p w:rsidR="00C55288" w:rsidRPr="00C55288" w:rsidRDefault="00C55288" w:rsidP="00C55288">
      <w:pPr>
        <w:spacing w:before="0" w:after="4" w:line="250" w:lineRule="auto"/>
        <w:ind w:left="974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1.2. Direkcija za jačanje preduzetništva i saradnju sa biznis zajednicom  </w:t>
      </w:r>
    </w:p>
    <w:p w:rsidR="00C55288" w:rsidRPr="00C55288" w:rsidRDefault="00C55288" w:rsidP="00C55288">
      <w:pPr>
        <w:spacing w:before="0" w:after="4" w:line="250" w:lineRule="auto"/>
        <w:ind w:left="974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1.3. Direkcija za nacionalni brend </w:t>
      </w:r>
    </w:p>
    <w:p w:rsidR="00C55288" w:rsidRPr="00C55288" w:rsidRDefault="00C55288" w:rsidP="00C55288">
      <w:pPr>
        <w:spacing w:before="0" w:after="4" w:line="250" w:lineRule="auto"/>
        <w:ind w:left="974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1.4.   Direkcija za industrijsku politiku i razvoj  </w:t>
      </w:r>
    </w:p>
    <w:p w:rsidR="00C55288" w:rsidRPr="00C55288" w:rsidRDefault="00C55288" w:rsidP="00C55288">
      <w:pPr>
        <w:spacing w:before="0" w:after="4" w:line="250" w:lineRule="auto"/>
        <w:ind w:left="974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1.5.   Direkcija za stečaj i privredno pravo  </w:t>
      </w:r>
    </w:p>
    <w:p w:rsidR="00C55288" w:rsidRPr="00C55288" w:rsidRDefault="00C55288" w:rsidP="00C55288">
      <w:pPr>
        <w:spacing w:before="0" w:after="0" w:line="259" w:lineRule="auto"/>
        <w:ind w:left="1390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 </w:t>
      </w:r>
    </w:p>
    <w:p w:rsidR="00C55288" w:rsidRPr="00C55288" w:rsidRDefault="00C55288" w:rsidP="00C55288">
      <w:pPr>
        <w:keepNext/>
        <w:keepLines/>
        <w:spacing w:before="0" w:after="5" w:line="250" w:lineRule="auto"/>
        <w:ind w:right="41"/>
        <w:jc w:val="left"/>
        <w:outlineLvl w:val="0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  <w:r w:rsidRPr="00C55288">
        <w:rPr>
          <w:rFonts w:ascii="Arial" w:eastAsia="Arial" w:hAnsi="Arial" w:cs="Arial"/>
          <w:b/>
          <w:color w:val="000000"/>
          <w:sz w:val="22"/>
        </w:rPr>
        <w:t xml:space="preserve">2. Direktorat za unutrašnje tržište i konkurenciju </w:t>
      </w:r>
    </w:p>
    <w:p w:rsidR="00C55288" w:rsidRPr="00C55288" w:rsidRDefault="00C55288" w:rsidP="00C55288">
      <w:pPr>
        <w:spacing w:before="0" w:after="4" w:line="250" w:lineRule="auto"/>
        <w:ind w:left="100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2.1. Direkcija za konkurenciju i unutrašnju trgovinu  </w:t>
      </w:r>
    </w:p>
    <w:p w:rsidR="00C55288" w:rsidRPr="00C55288" w:rsidRDefault="00C55288" w:rsidP="00C55288">
      <w:pPr>
        <w:spacing w:before="0" w:after="4" w:line="250" w:lineRule="auto"/>
        <w:ind w:left="100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2.2. Direkcija za infrastrukturu kvaliteta </w:t>
      </w:r>
    </w:p>
    <w:p w:rsidR="00C55288" w:rsidRPr="00C55288" w:rsidRDefault="00C55288" w:rsidP="00C55288">
      <w:pPr>
        <w:spacing w:before="0" w:after="4" w:line="250" w:lineRule="auto"/>
        <w:ind w:left="100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2.3. Direkcija za zaštitu potrošača </w:t>
      </w:r>
    </w:p>
    <w:p w:rsidR="00C55288" w:rsidRPr="00C55288" w:rsidRDefault="00C55288" w:rsidP="00C55288">
      <w:pPr>
        <w:spacing w:before="0" w:after="4" w:line="250" w:lineRule="auto"/>
        <w:ind w:left="100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2.4. Direkcija za normativne poslove i međunarodnu saradnju u oblasti intelektualne svojine </w:t>
      </w:r>
    </w:p>
    <w:p w:rsidR="00C55288" w:rsidRPr="00C55288" w:rsidRDefault="00C55288" w:rsidP="00C55288">
      <w:pPr>
        <w:spacing w:before="0" w:after="4" w:line="250" w:lineRule="auto"/>
        <w:ind w:left="100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2.5. Direkcija za intelektualnu svojinu </w:t>
      </w:r>
    </w:p>
    <w:p w:rsidR="00C55288" w:rsidRPr="00C55288" w:rsidRDefault="00C55288" w:rsidP="00C55288">
      <w:pPr>
        <w:spacing w:before="0" w:after="4" w:line="250" w:lineRule="auto"/>
        <w:ind w:left="145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2.5.1. Odsjek za patente i topografije poluprovodnika </w:t>
      </w:r>
    </w:p>
    <w:p w:rsidR="00C55288" w:rsidRPr="00C55288" w:rsidRDefault="00C55288" w:rsidP="00C55288">
      <w:pPr>
        <w:spacing w:before="0" w:after="4" w:line="250" w:lineRule="auto"/>
        <w:ind w:left="145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2.5.2. Odsjek za žig, industrijski dizajn i oznake geografskog porijekla </w:t>
      </w:r>
    </w:p>
    <w:p w:rsidR="00C55288" w:rsidRPr="00C55288" w:rsidRDefault="00C55288" w:rsidP="00C55288">
      <w:pPr>
        <w:spacing w:before="0" w:after="4" w:line="250" w:lineRule="auto"/>
        <w:ind w:left="145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2.5.3. Odsjek za autorsko i srodna prava </w:t>
      </w:r>
    </w:p>
    <w:p w:rsidR="00C55288" w:rsidRPr="00C55288" w:rsidRDefault="00C55288" w:rsidP="00C55288">
      <w:pPr>
        <w:spacing w:before="0" w:after="0" w:line="259" w:lineRule="auto"/>
        <w:ind w:left="1441"/>
        <w:jc w:val="left"/>
        <w:rPr>
          <w:rFonts w:ascii="Arial" w:eastAsia="Arial" w:hAnsi="Arial" w:cs="Arial"/>
          <w:color w:val="000000"/>
          <w:sz w:val="22"/>
        </w:rPr>
      </w:pPr>
    </w:p>
    <w:p w:rsidR="00C55288" w:rsidRPr="00C55288" w:rsidRDefault="00C55288" w:rsidP="00C55288">
      <w:pPr>
        <w:spacing w:before="0" w:after="0" w:line="259" w:lineRule="auto"/>
        <w:ind w:left="1441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lastRenderedPageBreak/>
        <w:t xml:space="preserve"> </w:t>
      </w:r>
    </w:p>
    <w:p w:rsidR="00C55288" w:rsidRPr="00C55288" w:rsidRDefault="00C55288" w:rsidP="00C55288">
      <w:pPr>
        <w:spacing w:before="0" w:after="0" w:line="259" w:lineRule="auto"/>
        <w:ind w:left="1441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 </w:t>
      </w:r>
    </w:p>
    <w:p w:rsidR="00C55288" w:rsidRPr="00C55288" w:rsidRDefault="00C55288" w:rsidP="00C55288">
      <w:pPr>
        <w:spacing w:before="0" w:after="0" w:line="241" w:lineRule="auto"/>
        <w:ind w:left="361" w:right="8231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  </w:t>
      </w:r>
    </w:p>
    <w:p w:rsidR="00C55288" w:rsidRPr="00C55288" w:rsidRDefault="00C55288" w:rsidP="00C55288">
      <w:pPr>
        <w:keepNext/>
        <w:keepLines/>
        <w:spacing w:before="0" w:after="5" w:line="250" w:lineRule="auto"/>
        <w:ind w:left="361" w:right="41"/>
        <w:jc w:val="left"/>
        <w:outlineLvl w:val="0"/>
        <w:rPr>
          <w:rFonts w:ascii="Arial" w:eastAsia="Arial" w:hAnsi="Arial" w:cs="Arial"/>
          <w:b/>
          <w:color w:val="000000"/>
          <w:sz w:val="22"/>
        </w:rPr>
      </w:pPr>
      <w:r w:rsidRPr="00C55288">
        <w:rPr>
          <w:rFonts w:ascii="Arial" w:eastAsia="Arial" w:hAnsi="Arial" w:cs="Arial"/>
          <w:b/>
          <w:color w:val="000000"/>
          <w:sz w:val="22"/>
        </w:rPr>
        <w:t xml:space="preserve">3. Direktorat za međunarodnu saradnju, evropske integracije i implementaciju EU fondova </w:t>
      </w:r>
    </w:p>
    <w:p w:rsidR="00C55288" w:rsidRPr="00C55288" w:rsidRDefault="00C55288" w:rsidP="00C55288">
      <w:pPr>
        <w:spacing w:before="0" w:after="4" w:line="250" w:lineRule="auto"/>
        <w:ind w:left="975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3.1. Direkcija za režim spoljne trgovine kontrolisanom robom </w:t>
      </w:r>
    </w:p>
    <w:p w:rsidR="00C55288" w:rsidRPr="00C55288" w:rsidRDefault="00C55288" w:rsidP="00C55288">
      <w:pPr>
        <w:spacing w:before="0" w:after="4" w:line="250" w:lineRule="auto"/>
        <w:ind w:left="975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3.2. Direkcija za regionalnu trgovinu i pristup tržištu usluga </w:t>
      </w:r>
    </w:p>
    <w:p w:rsidR="00C55288" w:rsidRPr="00C55288" w:rsidRDefault="00C55288" w:rsidP="00C55288">
      <w:pPr>
        <w:spacing w:before="0" w:after="4" w:line="250" w:lineRule="auto"/>
        <w:ind w:left="975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3.3. Direkcija za multilateralnu trgovinu i saradnju sa STO </w:t>
      </w:r>
    </w:p>
    <w:p w:rsidR="00C55288" w:rsidRPr="00C55288" w:rsidRDefault="00C55288" w:rsidP="00C55288">
      <w:pPr>
        <w:spacing w:before="0" w:after="4" w:line="250" w:lineRule="auto"/>
        <w:ind w:left="974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3.4. Direkcija za međunarodnu ekonomsku saradnju </w:t>
      </w:r>
    </w:p>
    <w:p w:rsidR="00C55288" w:rsidRPr="00C55288" w:rsidRDefault="00C55288" w:rsidP="00C55288">
      <w:pPr>
        <w:spacing w:before="0" w:after="4" w:line="250" w:lineRule="auto"/>
        <w:ind w:left="356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          3.5. Direkcija za pripremu učešća na Svjetskoj izložbi Expo  </w:t>
      </w:r>
    </w:p>
    <w:p w:rsidR="00C55288" w:rsidRPr="00C55288" w:rsidRDefault="00C55288" w:rsidP="00C55288">
      <w:pPr>
        <w:spacing w:before="0" w:after="4" w:line="250" w:lineRule="auto"/>
        <w:ind w:left="356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          3.6.  Direkcija za evropske integracije </w:t>
      </w:r>
    </w:p>
    <w:p w:rsidR="00C55288" w:rsidRPr="00C55288" w:rsidRDefault="00C55288" w:rsidP="00C55288">
      <w:pPr>
        <w:spacing w:before="0" w:after="4" w:line="250" w:lineRule="auto"/>
        <w:ind w:left="356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          3.7. Direkcija za programiranje i implementaciju EU fondova  </w:t>
      </w:r>
    </w:p>
    <w:p w:rsidR="00C55288" w:rsidRPr="00C55288" w:rsidRDefault="00C55288" w:rsidP="00C55288">
      <w:pPr>
        <w:spacing w:before="0" w:after="0" w:line="259" w:lineRule="auto"/>
        <w:ind w:left="361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 </w:t>
      </w:r>
    </w:p>
    <w:p w:rsidR="00C55288" w:rsidRPr="00C55288" w:rsidRDefault="00C55288" w:rsidP="00C55288">
      <w:pPr>
        <w:keepNext/>
        <w:keepLines/>
        <w:spacing w:before="0" w:after="5" w:line="250" w:lineRule="auto"/>
        <w:ind w:right="41"/>
        <w:jc w:val="left"/>
        <w:outlineLvl w:val="0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 xml:space="preserve">     </w:t>
      </w:r>
      <w:r w:rsidRPr="00C55288">
        <w:rPr>
          <w:rFonts w:ascii="Arial" w:eastAsia="Arial" w:hAnsi="Arial" w:cs="Arial"/>
          <w:b/>
          <w:color w:val="000000"/>
          <w:sz w:val="22"/>
        </w:rPr>
        <w:t xml:space="preserve">4. Direktorat za elektronske komunikacije, poštansku djelatnost i radio spektar </w:t>
      </w:r>
    </w:p>
    <w:p w:rsidR="00C55288" w:rsidRPr="00C55288" w:rsidRDefault="00C55288" w:rsidP="00C55288">
      <w:pPr>
        <w:spacing w:before="0" w:after="4" w:line="250" w:lineRule="auto"/>
        <w:ind w:left="975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>4.1. Direkcija za elektronske komunikacije i radio spektar</w:t>
      </w:r>
      <w:r w:rsidRPr="00C55288"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55288" w:rsidRPr="00C55288" w:rsidRDefault="00C55288" w:rsidP="00C55288">
      <w:pPr>
        <w:spacing w:before="0" w:after="4" w:line="250" w:lineRule="auto"/>
        <w:ind w:left="974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4.2. Direkcija za širokopojasni pristup internetu </w:t>
      </w:r>
    </w:p>
    <w:p w:rsidR="00C55288" w:rsidRPr="00C55288" w:rsidRDefault="00C55288" w:rsidP="00C55288">
      <w:pPr>
        <w:spacing w:before="0" w:after="4" w:line="250" w:lineRule="auto"/>
        <w:ind w:left="974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4.3. Direkcija za poštansku djelatnost </w:t>
      </w:r>
    </w:p>
    <w:p w:rsidR="00C55288" w:rsidRPr="00C55288" w:rsidRDefault="00C55288" w:rsidP="00C55288">
      <w:pPr>
        <w:spacing w:before="0" w:after="0" w:line="259" w:lineRule="auto"/>
        <w:ind w:left="361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55288" w:rsidRPr="00C55288" w:rsidRDefault="00C55288" w:rsidP="00C55288">
      <w:pPr>
        <w:keepNext/>
        <w:keepLines/>
        <w:spacing w:before="0" w:after="5" w:line="250" w:lineRule="auto"/>
        <w:ind w:left="372" w:right="41"/>
        <w:jc w:val="left"/>
        <w:outlineLvl w:val="0"/>
        <w:rPr>
          <w:rFonts w:ascii="Arial" w:eastAsia="Arial" w:hAnsi="Arial" w:cs="Arial"/>
          <w:b/>
          <w:color w:val="000000"/>
          <w:sz w:val="22"/>
        </w:rPr>
      </w:pPr>
      <w:r w:rsidRPr="00C55288">
        <w:rPr>
          <w:rFonts w:ascii="Arial" w:eastAsia="Arial" w:hAnsi="Arial" w:cs="Arial"/>
          <w:b/>
          <w:color w:val="000000"/>
          <w:sz w:val="22"/>
        </w:rPr>
        <w:t xml:space="preserve">5.Direktorat za investicioni i regionalni razvoj  </w:t>
      </w:r>
    </w:p>
    <w:p w:rsidR="00C55288" w:rsidRPr="00C55288" w:rsidRDefault="00C55288" w:rsidP="00C55288">
      <w:pPr>
        <w:spacing w:before="0" w:after="4" w:line="250" w:lineRule="auto"/>
        <w:ind w:left="356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     5.1. Direkcija za podsticaj investicija i realizaciju investicionih projekata </w:t>
      </w:r>
    </w:p>
    <w:p w:rsidR="00C55288" w:rsidRPr="00C55288" w:rsidRDefault="00C55288" w:rsidP="00C55288">
      <w:pPr>
        <w:spacing w:before="0" w:after="4" w:line="250" w:lineRule="auto"/>
        <w:ind w:left="356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     5.2. Direkcija za monitoring i koordinaciju investicionih projekata </w:t>
      </w:r>
    </w:p>
    <w:p w:rsidR="00C55288" w:rsidRPr="00C55288" w:rsidRDefault="00C55288" w:rsidP="00C55288">
      <w:pPr>
        <w:spacing w:before="0" w:after="4" w:line="250" w:lineRule="auto"/>
        <w:ind w:left="67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5.3. Direkcija za transformaciju i razvoj zanatstva </w:t>
      </w:r>
    </w:p>
    <w:p w:rsidR="00C55288" w:rsidRPr="00C55288" w:rsidRDefault="00C55288" w:rsidP="00C55288">
      <w:pPr>
        <w:spacing w:before="0" w:after="4" w:line="250" w:lineRule="auto"/>
        <w:ind w:left="356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     5.</w:t>
      </w:r>
      <w:proofErr w:type="gramStart"/>
      <w:r w:rsidRPr="00C55288">
        <w:rPr>
          <w:rFonts w:ascii="Arial" w:eastAsia="Arial" w:hAnsi="Arial" w:cs="Arial"/>
          <w:color w:val="000000"/>
          <w:sz w:val="22"/>
        </w:rPr>
        <w:t>4.Direkcija</w:t>
      </w:r>
      <w:proofErr w:type="gramEnd"/>
      <w:r w:rsidRPr="00C55288">
        <w:rPr>
          <w:rFonts w:ascii="Arial" w:eastAsia="Arial" w:hAnsi="Arial" w:cs="Arial"/>
          <w:color w:val="000000"/>
          <w:sz w:val="22"/>
        </w:rPr>
        <w:t xml:space="preserve"> za regionalni razvoj </w:t>
      </w:r>
    </w:p>
    <w:p w:rsidR="00C55288" w:rsidRPr="00C55288" w:rsidRDefault="00C55288" w:rsidP="00C55288">
      <w:pPr>
        <w:spacing w:before="0" w:after="0" w:line="259" w:lineRule="auto"/>
        <w:ind w:left="361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55288" w:rsidRPr="00C55288" w:rsidRDefault="00C55288" w:rsidP="00C55288">
      <w:pPr>
        <w:spacing w:before="0" w:after="5" w:line="250" w:lineRule="auto"/>
        <w:ind w:left="372" w:hanging="10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b/>
          <w:color w:val="000000"/>
          <w:sz w:val="22"/>
        </w:rPr>
        <w:t>6.</w:t>
      </w:r>
      <w:r>
        <w:rPr>
          <w:rFonts w:ascii="Arial" w:eastAsia="Arial" w:hAnsi="Arial" w:cs="Arial"/>
          <w:b/>
          <w:color w:val="000000"/>
          <w:sz w:val="22"/>
        </w:rPr>
        <w:t xml:space="preserve"> </w:t>
      </w:r>
      <w:r w:rsidRPr="00C55288">
        <w:rPr>
          <w:rFonts w:ascii="Arial" w:eastAsia="Arial" w:hAnsi="Arial" w:cs="Arial"/>
          <w:b/>
          <w:color w:val="000000"/>
          <w:sz w:val="22"/>
        </w:rPr>
        <w:t xml:space="preserve">Odjeljenje za unutrašnju reviziju </w:t>
      </w:r>
    </w:p>
    <w:p w:rsidR="00C55288" w:rsidRPr="00C55288" w:rsidRDefault="00C55288" w:rsidP="00C55288">
      <w:pPr>
        <w:spacing w:before="0" w:after="0" w:line="259" w:lineRule="auto"/>
        <w:ind w:left="361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55288" w:rsidRPr="00C55288" w:rsidRDefault="00C55288" w:rsidP="00C55288">
      <w:pPr>
        <w:spacing w:before="0" w:after="5" w:line="250" w:lineRule="auto"/>
        <w:ind w:left="372" w:hanging="10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b/>
          <w:color w:val="000000"/>
          <w:sz w:val="22"/>
        </w:rPr>
        <w:t>7.</w:t>
      </w:r>
      <w:r>
        <w:rPr>
          <w:rFonts w:ascii="Arial" w:eastAsia="Arial" w:hAnsi="Arial" w:cs="Arial"/>
          <w:b/>
          <w:color w:val="000000"/>
          <w:sz w:val="22"/>
        </w:rPr>
        <w:t xml:space="preserve"> </w:t>
      </w:r>
      <w:r w:rsidRPr="00C55288">
        <w:rPr>
          <w:rFonts w:ascii="Arial" w:eastAsia="Arial" w:hAnsi="Arial" w:cs="Arial"/>
          <w:b/>
          <w:color w:val="000000"/>
          <w:sz w:val="22"/>
        </w:rPr>
        <w:t xml:space="preserve">Kabinet ministra </w:t>
      </w:r>
    </w:p>
    <w:p w:rsidR="00C55288" w:rsidRPr="00C55288" w:rsidRDefault="00C55288" w:rsidP="00C55288">
      <w:pPr>
        <w:spacing w:before="0" w:after="4" w:line="250" w:lineRule="auto"/>
        <w:ind w:left="145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>7.</w:t>
      </w:r>
      <w:proofErr w:type="gramStart"/>
      <w:r w:rsidRPr="00C55288">
        <w:rPr>
          <w:rFonts w:ascii="Arial" w:eastAsia="Arial" w:hAnsi="Arial" w:cs="Arial"/>
          <w:color w:val="000000"/>
          <w:sz w:val="22"/>
        </w:rPr>
        <w:t>1.Biro</w:t>
      </w:r>
      <w:proofErr w:type="gramEnd"/>
      <w:r w:rsidRPr="00C55288">
        <w:rPr>
          <w:rFonts w:ascii="Arial" w:eastAsia="Arial" w:hAnsi="Arial" w:cs="Arial"/>
          <w:color w:val="000000"/>
          <w:sz w:val="22"/>
        </w:rPr>
        <w:t xml:space="preserve"> za odnose sa javnošću </w:t>
      </w:r>
    </w:p>
    <w:p w:rsidR="00C55288" w:rsidRPr="00C55288" w:rsidRDefault="00C55288" w:rsidP="00C55288">
      <w:pPr>
        <w:spacing w:before="0" w:after="0" w:line="259" w:lineRule="auto"/>
        <w:ind w:left="1081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 </w:t>
      </w:r>
    </w:p>
    <w:p w:rsidR="00C55288" w:rsidRPr="00C55288" w:rsidRDefault="00C55288" w:rsidP="00C55288">
      <w:pPr>
        <w:keepNext/>
        <w:keepLines/>
        <w:spacing w:before="0" w:after="5" w:line="250" w:lineRule="auto"/>
        <w:ind w:left="11" w:right="41"/>
        <w:jc w:val="left"/>
        <w:outlineLvl w:val="0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 xml:space="preserve">      </w:t>
      </w:r>
      <w:r w:rsidRPr="00C55288">
        <w:rPr>
          <w:rFonts w:ascii="Arial" w:eastAsia="Arial" w:hAnsi="Arial" w:cs="Arial"/>
          <w:b/>
          <w:color w:val="000000"/>
          <w:sz w:val="22"/>
        </w:rPr>
        <w:t xml:space="preserve">8. Služba za pravne, opšte, kadrovske, finansijske poslove i javne nabavke </w:t>
      </w:r>
    </w:p>
    <w:p w:rsidR="00C55288" w:rsidRPr="00C55288" w:rsidRDefault="00C55288" w:rsidP="00C55288">
      <w:pPr>
        <w:spacing w:before="0" w:after="4" w:line="250" w:lineRule="auto"/>
        <w:ind w:left="109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8.1. Kancelarija za pravne i opšte poslove  </w:t>
      </w:r>
    </w:p>
    <w:p w:rsidR="00C55288" w:rsidRPr="00C55288" w:rsidRDefault="00C55288" w:rsidP="00C55288">
      <w:pPr>
        <w:spacing w:before="0" w:after="4" w:line="250" w:lineRule="auto"/>
        <w:ind w:left="109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8.2. Kancelarija za kadrovske poslove i ljudske resurse </w:t>
      </w:r>
    </w:p>
    <w:p w:rsidR="00C55288" w:rsidRPr="00C55288" w:rsidRDefault="00C55288" w:rsidP="00C55288">
      <w:pPr>
        <w:spacing w:before="0" w:after="4" w:line="250" w:lineRule="auto"/>
        <w:ind w:left="109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8.3. Kancelarija za finansijsko-računovodstvene poslove </w:t>
      </w:r>
    </w:p>
    <w:p w:rsidR="00C55288" w:rsidRPr="00C55288" w:rsidRDefault="00C55288" w:rsidP="00C55288">
      <w:pPr>
        <w:spacing w:before="0" w:after="4" w:line="250" w:lineRule="auto"/>
        <w:ind w:left="109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8.4.   Kancelarija za javne nabavke </w:t>
      </w:r>
      <w:r w:rsidRPr="00C55288"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55288" w:rsidRPr="00C55288" w:rsidRDefault="00C55288" w:rsidP="00C55288">
      <w:pPr>
        <w:spacing w:before="0" w:after="4" w:line="250" w:lineRule="auto"/>
        <w:ind w:left="1091" w:hanging="10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>8.5    Kancelarija za integritet</w:t>
      </w:r>
      <w:r w:rsidRPr="00C55288">
        <w:rPr>
          <w:rFonts w:ascii="Arial" w:eastAsia="Arial" w:hAnsi="Arial" w:cs="Arial"/>
          <w:b/>
          <w:color w:val="000000"/>
          <w:sz w:val="22"/>
        </w:rPr>
        <w:t xml:space="preserve"> </w:t>
      </w:r>
      <w:r w:rsidRPr="00C55288">
        <w:rPr>
          <w:rFonts w:ascii="Arial" w:eastAsia="Arial" w:hAnsi="Arial" w:cs="Arial"/>
          <w:color w:val="000000"/>
          <w:sz w:val="22"/>
        </w:rPr>
        <w:t xml:space="preserve"> </w:t>
      </w:r>
    </w:p>
    <w:p w:rsidR="00C55288" w:rsidRPr="00C55288" w:rsidRDefault="00C55288" w:rsidP="00C55288">
      <w:pPr>
        <w:spacing w:before="0" w:after="0" w:line="259" w:lineRule="auto"/>
        <w:ind w:left="361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55288" w:rsidRPr="00C55288" w:rsidRDefault="00C55288" w:rsidP="00C55288">
      <w:pPr>
        <w:spacing w:before="0" w:after="5" w:line="250" w:lineRule="auto"/>
        <w:ind w:left="372" w:hanging="10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b/>
          <w:color w:val="000000"/>
          <w:sz w:val="22"/>
        </w:rPr>
        <w:t>9.Služba za informacione tehnologije</w:t>
      </w:r>
      <w:r w:rsidRPr="00C55288">
        <w:rPr>
          <w:rFonts w:ascii="Arial" w:eastAsia="Arial" w:hAnsi="Arial" w:cs="Arial"/>
          <w:color w:val="000000"/>
          <w:sz w:val="22"/>
        </w:rPr>
        <w:t xml:space="preserve"> </w:t>
      </w:r>
    </w:p>
    <w:p w:rsidR="00C55288" w:rsidRPr="00C55288" w:rsidRDefault="00C55288" w:rsidP="00C55288">
      <w:pPr>
        <w:spacing w:before="0" w:after="0" w:line="259" w:lineRule="auto"/>
        <w:ind w:left="721"/>
        <w:jc w:val="left"/>
        <w:rPr>
          <w:rFonts w:ascii="Arial" w:eastAsia="Arial" w:hAnsi="Arial" w:cs="Arial"/>
          <w:color w:val="000000"/>
          <w:sz w:val="22"/>
        </w:rPr>
      </w:pPr>
      <w:r w:rsidRPr="00C55288">
        <w:rPr>
          <w:rFonts w:ascii="Arial" w:eastAsia="Arial" w:hAnsi="Arial" w:cs="Arial"/>
          <w:color w:val="000000"/>
          <w:sz w:val="22"/>
        </w:rPr>
        <w:t xml:space="preserve"> </w:t>
      </w:r>
    </w:p>
    <w:p w:rsidR="000374BE" w:rsidRPr="00595916" w:rsidRDefault="000374BE" w:rsidP="005D7002">
      <w:pPr>
        <w:tabs>
          <w:tab w:val="left" w:pos="1620"/>
        </w:tabs>
        <w:spacing w:line="240" w:lineRule="auto"/>
        <w:jc w:val="center"/>
        <w:rPr>
          <w:rFonts w:ascii="Arial" w:hAnsi="Arial" w:cs="Arial"/>
          <w:b/>
          <w:sz w:val="22"/>
        </w:rPr>
      </w:pPr>
    </w:p>
    <w:p w:rsidR="00785F6E" w:rsidRPr="00595916" w:rsidRDefault="00134AFE" w:rsidP="00134AFE">
      <w:pPr>
        <w:rPr>
          <w:rFonts w:ascii="Arial" w:hAnsi="Arial" w:cs="Arial"/>
          <w:sz w:val="22"/>
        </w:rPr>
      </w:pPr>
      <w:r w:rsidRPr="00595916">
        <w:rPr>
          <w:rFonts w:ascii="Arial" w:hAnsi="Arial" w:cs="Arial"/>
          <w:sz w:val="22"/>
        </w:rPr>
        <w:t>Na osnovu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člana 7 i 14 Zakona o upravljanju i unutrašnjim kontrolama u javnom sektoru ("Sl list CG", br. 75/18), člana 4 Pravilnika o načinu uspostavljanja i unapređenja upravljanja i kontrola u javnom sektoru ("</w:t>
      </w:r>
      <w:proofErr w:type="gramStart"/>
      <w:r w:rsidRPr="00595916">
        <w:rPr>
          <w:rFonts w:ascii="Arial" w:hAnsi="Arial" w:cs="Arial"/>
          <w:color w:val="000000"/>
          <w:sz w:val="22"/>
          <w:lang w:val="en-GB" w:eastAsia="en-GB"/>
        </w:rPr>
        <w:t>Sl.list</w:t>
      </w:r>
      <w:proofErr w:type="gramEnd"/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CG", br. 71/19), </w:t>
      </w:r>
      <w:r w:rsidRPr="00595916">
        <w:rPr>
          <w:rFonts w:ascii="Arial" w:hAnsi="Arial" w:cs="Arial"/>
          <w:sz w:val="22"/>
        </w:rPr>
        <w:t>svega gore navedenog i uspostavljene organizacione stru</w:t>
      </w:r>
      <w:r w:rsidR="00CA2279" w:rsidRPr="00595916">
        <w:rPr>
          <w:rFonts w:ascii="Arial" w:hAnsi="Arial" w:cs="Arial"/>
          <w:sz w:val="22"/>
        </w:rPr>
        <w:t>k</w:t>
      </w:r>
      <w:r w:rsidRPr="00595916">
        <w:rPr>
          <w:rFonts w:ascii="Arial" w:hAnsi="Arial" w:cs="Arial"/>
          <w:sz w:val="22"/>
        </w:rPr>
        <w:t>ture,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 xml:space="preserve"> u Ministarstvu </w:t>
      </w:r>
      <w:r w:rsidR="00622301">
        <w:rPr>
          <w:rFonts w:ascii="Arial" w:hAnsi="Arial" w:cs="Arial"/>
          <w:color w:val="000000"/>
          <w:sz w:val="22"/>
          <w:lang w:val="en-GB" w:eastAsia="en-GB"/>
        </w:rPr>
        <w:t xml:space="preserve">ekonomskog razvoja </w:t>
      </w:r>
      <w:r w:rsidRPr="00595916">
        <w:rPr>
          <w:rFonts w:ascii="Arial" w:hAnsi="Arial" w:cs="Arial"/>
          <w:color w:val="000000"/>
          <w:sz w:val="22"/>
          <w:lang w:val="en-GB" w:eastAsia="en-GB"/>
        </w:rPr>
        <w:t>uspostavljen je Registar rizika na način kako slijedi:</w:t>
      </w:r>
    </w:p>
    <w:p w:rsidR="007F7D07" w:rsidRPr="00595916" w:rsidRDefault="007F7D07" w:rsidP="00785F6E">
      <w:pPr>
        <w:jc w:val="left"/>
        <w:rPr>
          <w:rFonts w:ascii="Arial" w:hAnsi="Arial" w:cs="Arial"/>
          <w:sz w:val="22"/>
        </w:rPr>
        <w:sectPr w:rsidR="007F7D07" w:rsidRPr="0059591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E3A2B" w:rsidRPr="00595916" w:rsidRDefault="001E3A2B" w:rsidP="001E3A2B">
      <w:pPr>
        <w:pStyle w:val="ListParagraph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DO"/>
        </w:rPr>
      </w:pPr>
      <w:bookmarkStart w:id="2" w:name="_Toc91589436"/>
      <w:r w:rsidRPr="00595916">
        <w:rPr>
          <w:rFonts w:ascii="Arial" w:hAnsi="Arial" w:cs="Arial"/>
          <w:b/>
          <w:lang w:val="es-DO"/>
        </w:rPr>
        <w:lastRenderedPageBreak/>
        <w:t xml:space="preserve">DIREKTORAT </w:t>
      </w:r>
      <w:r w:rsidRPr="00595916">
        <w:rPr>
          <w:rFonts w:ascii="Arial" w:hAnsi="Arial" w:cs="Arial"/>
          <w:b/>
          <w:lang w:val="sr-Latn-ME"/>
        </w:rPr>
        <w:t xml:space="preserve">ZA </w:t>
      </w:r>
      <w:r w:rsidR="00730D3F" w:rsidRPr="00595916">
        <w:rPr>
          <w:rFonts w:ascii="Arial" w:hAnsi="Arial" w:cs="Arial"/>
          <w:b/>
          <w:lang w:val="sr-Latn-ME"/>
        </w:rPr>
        <w:t>UNAPREĐENJE KONKURENTNOSTI</w:t>
      </w:r>
      <w:r w:rsidRPr="00595916">
        <w:rPr>
          <w:rFonts w:ascii="Arial" w:hAnsi="Arial" w:cs="Arial"/>
          <w:b/>
          <w:lang w:val="sr-Latn-ME"/>
        </w:rPr>
        <w:t xml:space="preserve"> </w:t>
      </w:r>
      <w:r w:rsidR="000067E0">
        <w:rPr>
          <w:rFonts w:ascii="Arial" w:hAnsi="Arial" w:cs="Arial"/>
          <w:b/>
          <w:lang w:val="sr-Latn-ME"/>
        </w:rPr>
        <w:t>PRIVREDE</w:t>
      </w:r>
    </w:p>
    <w:p w:rsidR="00AE0B25" w:rsidRDefault="00AE0B25" w:rsidP="00AE0B25">
      <w:pPr>
        <w:pStyle w:val="NormalWeb"/>
        <w:ind w:left="360"/>
        <w:rPr>
          <w:color w:val="212121"/>
        </w:rPr>
      </w:pPr>
    </w:p>
    <w:p w:rsidR="00AE0B25" w:rsidRDefault="00AE0B25" w:rsidP="00D8326F">
      <w:pPr>
        <w:pStyle w:val="NormalWeb"/>
        <w:ind w:left="360"/>
        <w:jc w:val="both"/>
        <w:rPr>
          <w:color w:val="212121"/>
        </w:rPr>
      </w:pPr>
    </w:p>
    <w:p w:rsidR="00AE0B25" w:rsidRPr="001E2B75" w:rsidRDefault="001E2B75" w:rsidP="00D8326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212121"/>
        </w:rPr>
        <w:t xml:space="preserve">1. </w:t>
      </w:r>
      <w:r w:rsidR="00AE0B25" w:rsidRPr="001E2B75">
        <w:rPr>
          <w:rFonts w:ascii="Arial" w:hAnsi="Arial" w:cs="Arial"/>
          <w:b/>
          <w:color w:val="212121"/>
        </w:rPr>
        <w:t>Opšti cilj:</w:t>
      </w:r>
      <w:r w:rsidR="00885BD4" w:rsidRPr="001E2B75">
        <w:rPr>
          <w:rFonts w:ascii="Arial" w:hAnsi="Arial" w:cs="Arial"/>
          <w:color w:val="212121"/>
        </w:rPr>
        <w:t xml:space="preserve"> </w:t>
      </w:r>
      <w:r w:rsidR="00AE0B25" w:rsidRPr="001E2B75">
        <w:rPr>
          <w:rFonts w:ascii="Arial" w:hAnsi="Arial" w:cs="Arial"/>
          <w:color w:val="212121"/>
        </w:rPr>
        <w:t>Unapređenje konkurentnosti privrede kao stuba rasta i razvoja ekonomije Crne Gore i jačanje njene ekonomske pozicije i prepoznatljivosti na regionalnom i evropskom nivou.</w:t>
      </w:r>
    </w:p>
    <w:p w:rsidR="00AE0B25" w:rsidRPr="001E2B75" w:rsidRDefault="00AE0B25" w:rsidP="00D8326F">
      <w:pPr>
        <w:pStyle w:val="NormalWeb"/>
        <w:ind w:left="720"/>
        <w:jc w:val="both"/>
        <w:rPr>
          <w:rFonts w:ascii="Arial" w:hAnsi="Arial" w:cs="Arial"/>
          <w:color w:val="000000"/>
        </w:rPr>
      </w:pPr>
    </w:p>
    <w:p w:rsidR="00781AEE" w:rsidRPr="00225EEC" w:rsidRDefault="001E2B75" w:rsidP="00D8326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212121"/>
        </w:rPr>
        <w:t>2.</w:t>
      </w:r>
      <w:r w:rsidR="00885BD4" w:rsidRPr="001E2B75">
        <w:rPr>
          <w:rFonts w:ascii="Arial" w:hAnsi="Arial" w:cs="Arial"/>
          <w:b/>
          <w:color w:val="212121"/>
        </w:rPr>
        <w:t xml:space="preserve">Posebni </w:t>
      </w:r>
      <w:r w:rsidR="00AE0B25" w:rsidRPr="001E2B75">
        <w:rPr>
          <w:rFonts w:ascii="Arial" w:hAnsi="Arial" w:cs="Arial"/>
          <w:b/>
          <w:color w:val="212121"/>
        </w:rPr>
        <w:t>cilj:</w:t>
      </w:r>
      <w:r w:rsidR="00885BD4" w:rsidRPr="001E2B75">
        <w:rPr>
          <w:rFonts w:ascii="Arial" w:hAnsi="Arial" w:cs="Arial"/>
          <w:color w:val="000000"/>
        </w:rPr>
        <w:t xml:space="preserve"> </w:t>
      </w:r>
      <w:r w:rsidR="00AE0B25" w:rsidRPr="001E2B75">
        <w:rPr>
          <w:rFonts w:ascii="Arial" w:hAnsi="Arial" w:cs="Arial"/>
          <w:color w:val="212121"/>
        </w:rPr>
        <w:t xml:space="preserve">Unapređenje poslovnog ambijenta uz stimulitavne mehanizme podrške koji imaju za cilj pokretanje sopstvenog biznisa, podršku razvoju preduzetničkog potencijala, otvaranje novih radnih mjesta, podsticanje kreativnosti, inovativnosti i znanja preduzetnika, sa posebnim osvrtom na ekonomsko osnaživanje mladih i žena u biznisu, sa ciljem stvaranja preduzetničkog, inovativnog </w:t>
      </w:r>
      <w:proofErr w:type="gramStart"/>
      <w:r w:rsidR="00AE0B25" w:rsidRPr="001E2B75">
        <w:rPr>
          <w:rFonts w:ascii="Arial" w:hAnsi="Arial" w:cs="Arial"/>
          <w:color w:val="212121"/>
        </w:rPr>
        <w:t>i  konkurentnog</w:t>
      </w:r>
      <w:proofErr w:type="gramEnd"/>
      <w:r w:rsidR="00AE0B25" w:rsidRPr="001E2B75">
        <w:rPr>
          <w:rFonts w:ascii="Arial" w:hAnsi="Arial" w:cs="Arial"/>
          <w:color w:val="212121"/>
        </w:rPr>
        <w:t> društva. </w:t>
      </w:r>
    </w:p>
    <w:p w:rsidR="001E2B75" w:rsidRPr="00595916" w:rsidRDefault="001E2B75" w:rsidP="008C74C3">
      <w:pPr>
        <w:rPr>
          <w:rFonts w:ascii="Arial" w:hAnsi="Arial" w:cs="Arial"/>
          <w:sz w:val="22"/>
        </w:rPr>
      </w:pPr>
    </w:p>
    <w:tbl>
      <w:tblPr>
        <w:tblStyle w:val="TableGrid1"/>
        <w:tblW w:w="13402" w:type="dxa"/>
        <w:tblInd w:w="31" w:type="dxa"/>
        <w:tblLayout w:type="fixed"/>
        <w:tblLook w:val="04A0" w:firstRow="1" w:lastRow="0" w:firstColumn="1" w:lastColumn="0" w:noHBand="0" w:noVBand="1"/>
      </w:tblPr>
      <w:tblGrid>
        <w:gridCol w:w="815"/>
        <w:gridCol w:w="1782"/>
        <w:gridCol w:w="1342"/>
        <w:gridCol w:w="368"/>
        <w:gridCol w:w="1183"/>
        <w:gridCol w:w="863"/>
        <w:gridCol w:w="1554"/>
        <w:gridCol w:w="2427"/>
        <w:gridCol w:w="1560"/>
        <w:gridCol w:w="1508"/>
      </w:tblGrid>
      <w:tr w:rsidR="00730D3F" w:rsidRPr="00D8326F" w:rsidTr="00750FA3">
        <w:trPr>
          <w:trHeight w:val="405"/>
        </w:trPr>
        <w:tc>
          <w:tcPr>
            <w:tcW w:w="815" w:type="dxa"/>
            <w:vMerge w:val="restart"/>
          </w:tcPr>
          <w:p w:rsidR="00730D3F" w:rsidRPr="00D8326F" w:rsidRDefault="00730D3F" w:rsidP="00730D3F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Red.br.</w:t>
            </w:r>
          </w:p>
        </w:tc>
        <w:tc>
          <w:tcPr>
            <w:tcW w:w="1782" w:type="dxa"/>
            <w:vMerge w:val="restart"/>
          </w:tcPr>
          <w:p w:rsidR="00730D3F" w:rsidRPr="00D8326F" w:rsidRDefault="00730D3F" w:rsidP="00730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Opis</w:t>
            </w:r>
          </w:p>
          <w:p w:rsidR="00730D3F" w:rsidRPr="00D8326F" w:rsidRDefault="00730D3F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rizika</w:t>
            </w:r>
          </w:p>
        </w:tc>
        <w:tc>
          <w:tcPr>
            <w:tcW w:w="1342" w:type="dxa"/>
            <w:vMerge w:val="restart"/>
          </w:tcPr>
          <w:p w:rsidR="00730D3F" w:rsidRPr="00D8326F" w:rsidRDefault="00730D3F" w:rsidP="00730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Vrsta</w:t>
            </w:r>
          </w:p>
          <w:p w:rsidR="00730D3F" w:rsidRPr="00D8326F" w:rsidRDefault="00730D3F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rizika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</w:tcPr>
          <w:p w:rsidR="00730D3F" w:rsidRPr="00D8326F" w:rsidRDefault="00730D3F" w:rsidP="00730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Rangiranje rizika</w:t>
            </w:r>
          </w:p>
        </w:tc>
        <w:tc>
          <w:tcPr>
            <w:tcW w:w="1554" w:type="dxa"/>
            <w:vMerge w:val="restart"/>
          </w:tcPr>
          <w:p w:rsidR="00730D3F" w:rsidRPr="00D8326F" w:rsidRDefault="00730D3F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Pregled postojećih kontrola</w:t>
            </w:r>
          </w:p>
        </w:tc>
        <w:tc>
          <w:tcPr>
            <w:tcW w:w="2427" w:type="dxa"/>
            <w:vMerge w:val="restart"/>
          </w:tcPr>
          <w:p w:rsidR="00730D3F" w:rsidRPr="00D8326F" w:rsidRDefault="00730D3F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Reagovanje na rizik</w:t>
            </w:r>
          </w:p>
        </w:tc>
        <w:tc>
          <w:tcPr>
            <w:tcW w:w="1560" w:type="dxa"/>
            <w:vMerge w:val="restart"/>
          </w:tcPr>
          <w:p w:rsidR="00730D3F" w:rsidRPr="00D8326F" w:rsidRDefault="00730D3F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Odgovorna osoba za rizik</w:t>
            </w:r>
          </w:p>
        </w:tc>
        <w:tc>
          <w:tcPr>
            <w:tcW w:w="1508" w:type="dxa"/>
            <w:vMerge w:val="restart"/>
          </w:tcPr>
          <w:p w:rsidR="00730D3F" w:rsidRPr="00D8326F" w:rsidRDefault="00730D3F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Rok za sprovođenje</w:t>
            </w:r>
          </w:p>
        </w:tc>
      </w:tr>
      <w:tr w:rsidR="00730D3F" w:rsidRPr="00D8326F" w:rsidTr="00750FA3">
        <w:trPr>
          <w:trHeight w:val="390"/>
        </w:trPr>
        <w:tc>
          <w:tcPr>
            <w:tcW w:w="815" w:type="dxa"/>
            <w:vMerge/>
          </w:tcPr>
          <w:p w:rsidR="00730D3F" w:rsidRPr="00D8326F" w:rsidRDefault="00730D3F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782" w:type="dxa"/>
            <w:vMerge/>
          </w:tcPr>
          <w:p w:rsidR="00730D3F" w:rsidRPr="00D8326F" w:rsidRDefault="00730D3F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342" w:type="dxa"/>
            <w:vMerge/>
          </w:tcPr>
          <w:p w:rsidR="00730D3F" w:rsidRPr="00D8326F" w:rsidRDefault="00730D3F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730D3F" w:rsidRPr="00D8326F" w:rsidRDefault="00730D3F" w:rsidP="00730D3F">
            <w:pPr>
              <w:spacing w:before="0" w:after="31" w:line="228" w:lineRule="auto"/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  <w:t>Uticaj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730D3F" w:rsidRPr="00D8326F" w:rsidRDefault="00730D3F" w:rsidP="00730D3F">
            <w:pPr>
              <w:spacing w:before="0" w:after="31" w:line="228" w:lineRule="auto"/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  <w:t>Vjerovatnoća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730D3F" w:rsidRPr="00D8326F" w:rsidRDefault="00730D3F" w:rsidP="00730D3F">
            <w:pPr>
              <w:spacing w:before="0" w:after="31" w:line="228" w:lineRule="auto"/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</w:pPr>
            <w:r w:rsidRPr="00D8326F"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  <w:t>Ukupno</w:t>
            </w:r>
          </w:p>
        </w:tc>
        <w:tc>
          <w:tcPr>
            <w:tcW w:w="1554" w:type="dxa"/>
            <w:vMerge/>
          </w:tcPr>
          <w:p w:rsidR="00730D3F" w:rsidRPr="00D8326F" w:rsidRDefault="00730D3F" w:rsidP="00730D3F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  <w:tc>
          <w:tcPr>
            <w:tcW w:w="2427" w:type="dxa"/>
            <w:vMerge/>
          </w:tcPr>
          <w:p w:rsidR="00730D3F" w:rsidRPr="00D8326F" w:rsidRDefault="00730D3F" w:rsidP="00730D3F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  <w:tc>
          <w:tcPr>
            <w:tcW w:w="1560" w:type="dxa"/>
            <w:vMerge/>
          </w:tcPr>
          <w:p w:rsidR="00730D3F" w:rsidRPr="00D8326F" w:rsidRDefault="00730D3F" w:rsidP="00730D3F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  <w:tc>
          <w:tcPr>
            <w:tcW w:w="1508" w:type="dxa"/>
            <w:vMerge/>
          </w:tcPr>
          <w:p w:rsidR="00730D3F" w:rsidRPr="00D8326F" w:rsidRDefault="00730D3F" w:rsidP="00730D3F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</w:tr>
      <w:tr w:rsidR="00C67787" w:rsidRPr="00B7751B" w:rsidTr="00B7751B">
        <w:tc>
          <w:tcPr>
            <w:tcW w:w="815" w:type="dxa"/>
            <w:shd w:val="clear" w:color="auto" w:fill="FFFFFF" w:themeFill="background1"/>
          </w:tcPr>
          <w:p w:rsidR="00C67787" w:rsidRPr="00B7751B" w:rsidRDefault="00124A08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1</w:t>
            </w:r>
            <w:r w:rsidR="00C67787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782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Nedovoljna objava o programima podrške na portalu Biznis.gov.me</w:t>
            </w:r>
          </w:p>
        </w:tc>
        <w:tc>
          <w:tcPr>
            <w:tcW w:w="1342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Reputacioni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1554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Priprema i praćenje objava</w:t>
            </w:r>
          </w:p>
        </w:tc>
        <w:tc>
          <w:tcPr>
            <w:tcW w:w="2427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Dono</w:t>
            </w: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šenje zaključka Vlade kojim se obavezuju resorna ministarstva da </w:t>
            </w:r>
            <w:r w:rsidR="00BE23C4"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MER-a </w:t>
            </w: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dostavljaju podatke o svojim programima podrške </w:t>
            </w:r>
          </w:p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Podsjećanje institucija mail-om</w:t>
            </w:r>
          </w:p>
        </w:tc>
        <w:tc>
          <w:tcPr>
            <w:tcW w:w="1560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Generalni direktor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Načelnici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Samostalni savjetnici</w:t>
            </w:r>
          </w:p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Kontinuirano</w:t>
            </w:r>
          </w:p>
        </w:tc>
      </w:tr>
      <w:tr w:rsidR="00C67787" w:rsidRPr="00B7751B" w:rsidTr="00B7751B">
        <w:tc>
          <w:tcPr>
            <w:tcW w:w="815" w:type="dxa"/>
            <w:shd w:val="clear" w:color="auto" w:fill="FFFFFF" w:themeFill="background1"/>
          </w:tcPr>
          <w:p w:rsidR="00C67787" w:rsidRPr="00B7751B" w:rsidRDefault="00124A08" w:rsidP="00C67787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  <w:r w:rsidR="00C67787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782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Nefunkcionisanje portala za prijem i obradu aplikacija za Program za unapre</w:t>
            </w: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đenje konkurentnosti privrede</w:t>
            </w:r>
          </w:p>
        </w:tc>
        <w:tc>
          <w:tcPr>
            <w:tcW w:w="1342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Spoljašnji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Reputacioni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Finansijski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1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1554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Program za unapre</w:t>
            </w: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đenje konkurentnosti privrede za </w:t>
            </w:r>
            <w:r w:rsidR="00BE23C4"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2024</w:t>
            </w: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.</w:t>
            </w:r>
          </w:p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2427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Kontrola i zaštita podataka 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Podizanje portala iz backupa, Obuka službenika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Prelazak na papirno podnošenje prijava i impementaciju </w:t>
            </w: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Programa</w:t>
            </w:r>
          </w:p>
        </w:tc>
        <w:tc>
          <w:tcPr>
            <w:tcW w:w="1560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Generalni direktor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Načelnici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Samostalni savjetnici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Kancelarija za IT</w:t>
            </w:r>
          </w:p>
        </w:tc>
        <w:tc>
          <w:tcPr>
            <w:tcW w:w="1508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Kontinuirano</w:t>
            </w:r>
          </w:p>
        </w:tc>
      </w:tr>
      <w:tr w:rsidR="00C67787" w:rsidRPr="00B7751B" w:rsidTr="00B7751B">
        <w:tc>
          <w:tcPr>
            <w:tcW w:w="815" w:type="dxa"/>
            <w:shd w:val="clear" w:color="auto" w:fill="FFFFFF" w:themeFill="background1"/>
          </w:tcPr>
          <w:p w:rsidR="00C67787" w:rsidRPr="00B7751B" w:rsidRDefault="00124A08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  <w:r w:rsidR="00C67787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782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Nefunkcionisanje web servisa sa ostalim institucijama u okviru portala za Program za unapre</w:t>
            </w: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đenje konkurentnosti privrede</w:t>
            </w:r>
          </w:p>
        </w:tc>
        <w:tc>
          <w:tcPr>
            <w:tcW w:w="1342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Reputacioni</w:t>
            </w:r>
          </w:p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12</w:t>
            </w:r>
          </w:p>
        </w:tc>
        <w:tc>
          <w:tcPr>
            <w:tcW w:w="1554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Program za unapre</w:t>
            </w: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đenje konkurentnosti privrede</w:t>
            </w:r>
          </w:p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2427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Kontinuirano dodatno informisanje i blagovremena edukacija državnih službenika i namještenika 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Obraćanje institucijama dopisom</w:t>
            </w:r>
          </w:p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Uklanjanje kontrole sa platforme, i prelazak na ručnu provjeru</w:t>
            </w:r>
          </w:p>
        </w:tc>
        <w:tc>
          <w:tcPr>
            <w:tcW w:w="1560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Generalni direktor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Načelnici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Samostalni savjetnici</w:t>
            </w:r>
          </w:p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Kancelarija za IT</w:t>
            </w:r>
          </w:p>
        </w:tc>
        <w:tc>
          <w:tcPr>
            <w:tcW w:w="1508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Kontinuirano</w:t>
            </w:r>
          </w:p>
        </w:tc>
      </w:tr>
      <w:tr w:rsidR="00C67787" w:rsidRPr="00B7751B" w:rsidTr="00B7751B">
        <w:tc>
          <w:tcPr>
            <w:tcW w:w="815" w:type="dxa"/>
            <w:shd w:val="clear" w:color="auto" w:fill="FFFFFF" w:themeFill="background1"/>
          </w:tcPr>
          <w:p w:rsidR="00C67787" w:rsidRPr="00B7751B" w:rsidRDefault="001B1EEE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  <w:r w:rsidR="00C67787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782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Sprovođenje programa podrške usmjerenih na poboljšanje performansi MMSP</w:t>
            </w:r>
          </w:p>
        </w:tc>
        <w:tc>
          <w:tcPr>
            <w:tcW w:w="1342" w:type="dxa"/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Finansijski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2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10</w:t>
            </w:r>
          </w:p>
        </w:tc>
        <w:tc>
          <w:tcPr>
            <w:tcW w:w="1554" w:type="dxa"/>
            <w:shd w:val="clear" w:color="auto" w:fill="FFFFFF" w:themeFill="background1"/>
          </w:tcPr>
          <w:p w:rsidR="004B32BA" w:rsidRPr="00B7751B" w:rsidRDefault="004B32BA" w:rsidP="004B32B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Kontrola dostavljene dokumentacije/faktura/zahtjeva za plaćanje i prateće dokumentacije u skladu sa procedurama</w:t>
            </w:r>
          </w:p>
          <w:p w:rsidR="004B32BA" w:rsidRPr="00B7751B" w:rsidRDefault="004B32BA" w:rsidP="004B32B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C67787" w:rsidRPr="00B7751B" w:rsidRDefault="004B32BA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Program za unapređenje MMSS</w:t>
            </w:r>
          </w:p>
        </w:tc>
        <w:tc>
          <w:tcPr>
            <w:tcW w:w="2427" w:type="dxa"/>
            <w:shd w:val="clear" w:color="auto" w:fill="FFFFFF" w:themeFill="background1"/>
          </w:tcPr>
          <w:p w:rsidR="004B32BA" w:rsidRPr="00B7751B" w:rsidRDefault="004B32BA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4B32BA" w:rsidRPr="00B7751B" w:rsidRDefault="004B32BA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Blagovremena priprema dokumentacije (ugovori/rješenja) i kontrola dokumentacije u skladu sa procedurama</w:t>
            </w:r>
          </w:p>
        </w:tc>
        <w:tc>
          <w:tcPr>
            <w:tcW w:w="1560" w:type="dxa"/>
            <w:shd w:val="clear" w:color="auto" w:fill="FFFFFF" w:themeFill="background1"/>
          </w:tcPr>
          <w:p w:rsidR="00D8326F" w:rsidRPr="00B7751B" w:rsidRDefault="004B32BA" w:rsidP="00D8326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Generalni direktor </w:t>
            </w:r>
            <w:r w:rsidR="00D8326F"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</w:t>
            </w: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ačelnik</w:t>
            </w:r>
          </w:p>
          <w:p w:rsidR="00D8326F" w:rsidRPr="00B7751B" w:rsidRDefault="00D8326F" w:rsidP="00D8326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Samostalni savjetnici</w:t>
            </w:r>
          </w:p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C67787" w:rsidRPr="00B7751B" w:rsidRDefault="004B32BA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Kontinuirano</w:t>
            </w:r>
          </w:p>
        </w:tc>
      </w:tr>
      <w:tr w:rsidR="00C67787" w:rsidRPr="00B7751B" w:rsidTr="00B7751B">
        <w:trPr>
          <w:trHeight w:val="98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7787" w:rsidRPr="00B7751B" w:rsidRDefault="00A30000" w:rsidP="00730D3F">
            <w:pPr>
              <w:spacing w:before="0" w:after="31" w:line="228" w:lineRule="auto"/>
              <w:ind w:firstLine="7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  <w:r w:rsidR="00C67787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7787" w:rsidRPr="00B7751B" w:rsidRDefault="00CE278B" w:rsidP="00730D3F">
            <w:pPr>
              <w:spacing w:before="0" w:after="31" w:line="228" w:lineRule="auto"/>
              <w:ind w:firstLine="7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Nemogućnost ostvarenja indikatora učinka Strategije razvoja nacionalnog </w:t>
            </w:r>
            <w:r w:rsidR="00C0238E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brenda</w:t>
            </w: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2022-2026 bez utvrđivanja vizuelnog </w:t>
            </w: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identiteta nacionalnog brenda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Operativni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25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Strategija razvoja nacionalnog brenda 2022-2026, Akcioni plan za realizaciju Strategije za 202</w:t>
            </w:r>
            <w:r w:rsidR="00CE278B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, Izvještaj o realizaciji </w:t>
            </w: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Akcionog plana za 202</w:t>
            </w:r>
            <w:r w:rsidR="00C0238E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Neophodno je izabrati vizuelni identitet nacionalnog brenda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7787" w:rsidRPr="00B7751B" w:rsidRDefault="00C67787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Generalni dire</w:t>
            </w:r>
            <w:r w:rsidR="001E2B75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k</w:t>
            </w: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tor</w:t>
            </w:r>
          </w:p>
          <w:p w:rsidR="00C67787" w:rsidRPr="00B7751B" w:rsidRDefault="00D8326F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N</w:t>
            </w:r>
            <w:r w:rsidR="00C67787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ačelnik</w:t>
            </w:r>
            <w:r w:rsidR="00750FA3" w:rsidRPr="00B7751B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r w:rsidR="00750FA3" w:rsidRPr="00B7751B">
              <w:rPr>
                <w:rFonts w:ascii="Arial" w:eastAsia="Arial" w:hAnsi="Arial" w:cs="Arial"/>
                <w:color w:val="000000"/>
                <w:sz w:val="22"/>
              </w:rPr>
              <w:t>Službe za pravne, opšte, kadrovske, finansijske poslove i javne nabavke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7787" w:rsidRPr="00B7751B" w:rsidRDefault="00CE278B" w:rsidP="00730D3F">
            <w:pPr>
              <w:spacing w:before="0" w:after="31" w:line="228" w:lineRule="auto"/>
              <w:ind w:firstLine="7"/>
              <w:jc w:val="left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I – I</w:t>
            </w:r>
            <w:r w:rsidR="00C0238E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V</w:t>
            </w: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kvartal 2024</w:t>
            </w:r>
          </w:p>
        </w:tc>
      </w:tr>
      <w:tr w:rsidR="00CE278B" w:rsidRPr="00B7751B" w:rsidTr="00B7751B">
        <w:trPr>
          <w:trHeight w:val="9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78B" w:rsidRPr="00B7751B" w:rsidRDefault="00A30000" w:rsidP="00730D3F">
            <w:pPr>
              <w:spacing w:before="0" w:after="31" w:line="228" w:lineRule="auto"/>
              <w:ind w:firstLine="7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bookmarkStart w:id="3" w:name="_Hlk156980204"/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6</w:t>
            </w:r>
            <w:r w:rsidR="00CE278B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78B" w:rsidRPr="00B7751B" w:rsidRDefault="00CE278B" w:rsidP="00730D3F">
            <w:pPr>
              <w:spacing w:before="0" w:after="31" w:line="228" w:lineRule="auto"/>
              <w:ind w:firstLine="7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Sprovođenje AP 2024 Strategije razvoja nacionalnog </w:t>
            </w:r>
            <w:r w:rsidR="00C0238E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brenda</w:t>
            </w: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2022-2026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78B" w:rsidRPr="00B7751B" w:rsidRDefault="00CE278B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Finansijski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78B" w:rsidRPr="00B7751B" w:rsidRDefault="00CE278B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78B" w:rsidRPr="00B7751B" w:rsidRDefault="00C0238E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78B" w:rsidRPr="00B7751B" w:rsidRDefault="00C0238E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78B" w:rsidRPr="00B7751B" w:rsidRDefault="00CE278B" w:rsidP="00CE278B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Zakon o budžetu.</w:t>
            </w:r>
          </w:p>
          <w:p w:rsidR="00CE278B" w:rsidRPr="00B7751B" w:rsidRDefault="00CE278B" w:rsidP="00CE278B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  <w:p w:rsidR="00CE278B" w:rsidRPr="00B7751B" w:rsidRDefault="00CE278B" w:rsidP="00CE278B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Blagovremeno preduzimanje propisanih radnji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78B" w:rsidRPr="00B7751B" w:rsidRDefault="00CE278B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Dodatno obrazloženje prema MF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26F" w:rsidRPr="00B7751B" w:rsidRDefault="00CE278B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Generalni direktor </w:t>
            </w:r>
            <w:r w:rsidR="00D8326F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N</w:t>
            </w: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ačelnik</w:t>
            </w:r>
          </w:p>
          <w:p w:rsidR="00CE278B" w:rsidRPr="00B7751B" w:rsidRDefault="00CE278B" w:rsidP="00730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Služb</w:t>
            </w:r>
            <w:r w:rsidR="00750FA3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e</w:t>
            </w: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</w:t>
            </w:r>
            <w:r w:rsidR="00A30000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za </w:t>
            </w:r>
            <w:r w:rsidR="00A30000" w:rsidRPr="00B7751B">
              <w:rPr>
                <w:rFonts w:ascii="Arial" w:eastAsia="Arial" w:hAnsi="Arial" w:cs="Arial"/>
                <w:color w:val="000000"/>
                <w:sz w:val="22"/>
              </w:rPr>
              <w:t>pravne, opšte, kadrovske, finansijske poslove i javne nabavke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78B" w:rsidRPr="00B7751B" w:rsidRDefault="00CE278B" w:rsidP="00730D3F">
            <w:pPr>
              <w:spacing w:before="0" w:after="31" w:line="228" w:lineRule="auto"/>
              <w:ind w:firstLine="7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Kontinuirano</w:t>
            </w:r>
          </w:p>
        </w:tc>
      </w:tr>
      <w:bookmarkEnd w:id="3"/>
      <w:tr w:rsidR="00EF0A96" w:rsidRPr="00B7751B" w:rsidTr="00B7751B">
        <w:trPr>
          <w:trHeight w:val="9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0A96" w:rsidRPr="00B7751B" w:rsidRDefault="00A30000" w:rsidP="00730D3F">
            <w:pPr>
              <w:spacing w:before="0" w:after="31" w:line="228" w:lineRule="auto"/>
              <w:ind w:firstLine="7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7</w:t>
            </w:r>
            <w:r w:rsidR="00A037EA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0A96" w:rsidRPr="00B7751B" w:rsidRDefault="00A037EA" w:rsidP="00730D3F">
            <w:pPr>
              <w:spacing w:before="0" w:after="31" w:line="228" w:lineRule="auto"/>
              <w:ind w:firstLine="7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Neažurne baze podataka i neadekvatno čuvanje dokumentacije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37EA" w:rsidRPr="00B7751B" w:rsidRDefault="00A037EA" w:rsidP="00A037E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EF0A96" w:rsidRPr="00B7751B" w:rsidRDefault="00EF0A96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0A96" w:rsidRPr="00B7751B" w:rsidRDefault="00A037EA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0A96" w:rsidRPr="00B7751B" w:rsidRDefault="00A037EA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0A96" w:rsidRPr="00B7751B" w:rsidRDefault="00A037EA" w:rsidP="00730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0A96" w:rsidRPr="00B7751B" w:rsidRDefault="004C4BBA" w:rsidP="00CE278B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Zakoni i podzakonska akta iz oblasti stečaja i privredno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BBA" w:rsidRPr="00B7751B" w:rsidRDefault="004C4BBA" w:rsidP="004C4BB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Obezbjeđivanje adekvatnog prostora i opreme </w:t>
            </w:r>
          </w:p>
          <w:p w:rsidR="00EF0A96" w:rsidRPr="00B7751B" w:rsidRDefault="00EF0A96" w:rsidP="00730D3F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BBA" w:rsidRPr="00B7751B" w:rsidRDefault="004C4BBA" w:rsidP="004C4BB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Sekretar Ministarstv</w:t>
            </w:r>
            <w:r w:rsidR="00D8326F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a</w:t>
            </w:r>
          </w:p>
          <w:p w:rsidR="00EF0A96" w:rsidRPr="00B7751B" w:rsidRDefault="004C4BBA" w:rsidP="004C4BB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Generalni direktor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0A96" w:rsidRPr="00B7751B" w:rsidRDefault="00A037EA" w:rsidP="00730D3F">
            <w:pPr>
              <w:spacing w:before="0" w:after="31" w:line="228" w:lineRule="auto"/>
              <w:ind w:firstLine="7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Kontinuirano</w:t>
            </w:r>
          </w:p>
        </w:tc>
      </w:tr>
      <w:tr w:rsidR="004C4BBA" w:rsidRPr="00595916" w:rsidTr="00B7751B">
        <w:trPr>
          <w:trHeight w:val="9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BBA" w:rsidRPr="00B7751B" w:rsidRDefault="00A30000" w:rsidP="004C4BBA">
            <w:pPr>
              <w:spacing w:before="0" w:after="31" w:line="228" w:lineRule="auto"/>
              <w:ind w:firstLine="7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8</w:t>
            </w:r>
            <w:r w:rsidR="004C4BBA"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BBA" w:rsidRPr="00B7751B" w:rsidRDefault="004C4BBA" w:rsidP="004C4BBA">
            <w:pPr>
              <w:spacing w:before="0" w:after="31" w:line="228" w:lineRule="auto"/>
              <w:ind w:firstLine="7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Nedostatak administrativnih kapaciteta za pripremu zakona i podzakonskih akata iz oblasti stečaja i privrednog prava kao i davanje stručnih mišljenja i zastupanje pred organima sudske vlasti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BBA" w:rsidRPr="00B7751B" w:rsidRDefault="004C4BBA" w:rsidP="004C4BB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4C4BBA" w:rsidRPr="00B7751B" w:rsidRDefault="004C4BBA" w:rsidP="004C4BB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BBA" w:rsidRPr="00B7751B" w:rsidRDefault="004C4BBA" w:rsidP="004C4BB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BBA" w:rsidRPr="00B7751B" w:rsidRDefault="004C4BBA" w:rsidP="004C4BB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BBA" w:rsidRPr="00B7751B" w:rsidRDefault="004C4BBA" w:rsidP="004C4BB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BBA" w:rsidRPr="00B7751B" w:rsidRDefault="004C4BBA" w:rsidP="004C4BB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Zakoni i podzakonska akta iz oblasti stečaja i privredno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BBA" w:rsidRPr="00B7751B" w:rsidRDefault="004C4BBA" w:rsidP="004C4BBA">
            <w:pPr>
              <w:spacing w:after="0" w:line="240" w:lineRule="auto"/>
              <w:rPr>
                <w:rFonts w:ascii="Arial" w:hAnsi="Arial" w:cs="Arial"/>
                <w:sz w:val="22"/>
                <w:lang w:val="sr-Latn-ME"/>
              </w:rPr>
            </w:pPr>
            <w:r w:rsidRPr="00B7751B">
              <w:rPr>
                <w:rFonts w:ascii="Arial" w:hAnsi="Arial" w:cs="Arial"/>
                <w:sz w:val="22"/>
                <w:lang w:val="sr-Latn-ME"/>
              </w:rPr>
              <w:t xml:space="preserve">Adekvatni stručni interni i eksterni kapaciteti MER-a za prirpremu zakona i podzakonskih akata iz oblasti stečaja i privrednog prava </w:t>
            </w:r>
          </w:p>
          <w:p w:rsidR="004C4BBA" w:rsidRPr="00B7751B" w:rsidRDefault="004C4BBA" w:rsidP="004C4BB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BBA" w:rsidRPr="00B7751B" w:rsidRDefault="004C4BBA" w:rsidP="004C4BB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Ministar</w:t>
            </w:r>
          </w:p>
          <w:p w:rsidR="004C4BBA" w:rsidRPr="00B7751B" w:rsidRDefault="004C4BBA" w:rsidP="004C4BB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  <w:p w:rsidR="004C4BBA" w:rsidRPr="00B7751B" w:rsidRDefault="004C4BBA" w:rsidP="004C4BB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Sekretar Ministarstva</w:t>
            </w:r>
          </w:p>
          <w:p w:rsidR="004C4BBA" w:rsidRPr="00B7751B" w:rsidRDefault="004C4BBA" w:rsidP="004C4BB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  <w:p w:rsidR="004C4BBA" w:rsidRPr="00B7751B" w:rsidRDefault="004C4BBA" w:rsidP="004C4BB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Generalni direktor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BBA" w:rsidRPr="00B7751B" w:rsidRDefault="004C4BBA" w:rsidP="004C4BBA">
            <w:pPr>
              <w:spacing w:before="0" w:after="31" w:line="228" w:lineRule="auto"/>
              <w:ind w:firstLine="7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B7751B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Kontinuirano</w:t>
            </w:r>
          </w:p>
        </w:tc>
      </w:tr>
    </w:tbl>
    <w:p w:rsidR="00D8326F" w:rsidRDefault="00D8326F" w:rsidP="00E02B83">
      <w:pPr>
        <w:rPr>
          <w:rFonts w:ascii="Arial" w:hAnsi="Arial" w:cs="Arial"/>
          <w:b/>
          <w:sz w:val="22"/>
          <w:u w:val="single"/>
        </w:rPr>
      </w:pPr>
    </w:p>
    <w:p w:rsidR="00D8326F" w:rsidRPr="00595916" w:rsidRDefault="00D8326F" w:rsidP="00E02B83">
      <w:pPr>
        <w:rPr>
          <w:rFonts w:ascii="Arial" w:hAnsi="Arial" w:cs="Arial"/>
          <w:b/>
          <w:sz w:val="22"/>
          <w:u w:val="single"/>
        </w:rPr>
      </w:pPr>
    </w:p>
    <w:p w:rsidR="00B538CA" w:rsidRPr="00B568F1" w:rsidRDefault="00BB543A" w:rsidP="00B568F1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EC5EF5">
        <w:rPr>
          <w:rFonts w:ascii="Arial" w:hAnsi="Arial" w:cs="Arial"/>
          <w:b/>
        </w:rPr>
        <w:t>DIREKTORAT ZA UNUTRAŠNJE TRŽIŠTE I KONKURENCIJU</w:t>
      </w:r>
    </w:p>
    <w:p w:rsidR="00B538CA" w:rsidRPr="00FF7353" w:rsidRDefault="00B538CA" w:rsidP="00B538CA">
      <w:pPr>
        <w:keepNext/>
        <w:keepLines/>
        <w:spacing w:after="0" w:line="240" w:lineRule="auto"/>
        <w:ind w:left="360"/>
        <w:rPr>
          <w:rFonts w:ascii="Arial" w:eastAsia="Times New Roman" w:hAnsi="Arial" w:cs="Arial"/>
          <w:sz w:val="22"/>
          <w:lang w:val="sr-Latn-ME"/>
        </w:rPr>
      </w:pPr>
      <w:r w:rsidRPr="00FF7353">
        <w:rPr>
          <w:rFonts w:ascii="Arial" w:eastAsiaTheme="majorEastAsia" w:hAnsi="Arial" w:cs="Arial"/>
          <w:b/>
          <w:sz w:val="22"/>
          <w:lang w:val="sr-Latn-ME"/>
        </w:rPr>
        <w:t xml:space="preserve">Opšti cilj: </w:t>
      </w:r>
      <w:r w:rsidRPr="00FF7353">
        <w:rPr>
          <w:rFonts w:ascii="Arial" w:eastAsiaTheme="majorEastAsia" w:hAnsi="Arial" w:cs="Arial"/>
          <w:sz w:val="22"/>
          <w:lang w:val="sr-Latn-ME"/>
        </w:rPr>
        <w:t>Razvoj unutrašnjeg tržišta i konkurencije</w:t>
      </w:r>
      <w:r>
        <w:rPr>
          <w:rFonts w:ascii="Arial" w:eastAsiaTheme="majorEastAsia" w:hAnsi="Arial" w:cs="Arial"/>
          <w:sz w:val="22"/>
          <w:lang w:val="sr-Latn-ME"/>
        </w:rPr>
        <w:t>.</w:t>
      </w:r>
      <w:r w:rsidRPr="00FF7353">
        <w:rPr>
          <w:rFonts w:ascii="Arial" w:eastAsia="Times New Roman" w:hAnsi="Arial" w:cs="Arial"/>
          <w:sz w:val="22"/>
          <w:lang w:val="sr-Latn-ME"/>
        </w:rPr>
        <w:t xml:space="preserve"> </w:t>
      </w:r>
    </w:p>
    <w:p w:rsidR="00B538CA" w:rsidRPr="00FF7353" w:rsidRDefault="00B538CA" w:rsidP="00B538CA">
      <w:pPr>
        <w:keepNext/>
        <w:keepLines/>
        <w:spacing w:before="0" w:after="0" w:line="240" w:lineRule="auto"/>
        <w:ind w:right="703"/>
        <w:jc w:val="left"/>
        <w:outlineLvl w:val="0"/>
        <w:rPr>
          <w:rFonts w:ascii="Arial" w:hAnsi="Arial" w:cs="Arial"/>
          <w:b/>
          <w:color w:val="000000"/>
          <w:sz w:val="22"/>
          <w:lang w:val="en-GB" w:eastAsia="en-GB"/>
        </w:rPr>
      </w:pPr>
    </w:p>
    <w:p w:rsidR="00B538CA" w:rsidRPr="00FF7353" w:rsidRDefault="00B538CA" w:rsidP="00B538CA">
      <w:pPr>
        <w:spacing w:before="0" w:after="0" w:line="240" w:lineRule="auto"/>
        <w:rPr>
          <w:rFonts w:ascii="Arial" w:eastAsiaTheme="minorHAnsi" w:hAnsi="Arial" w:cs="Arial"/>
          <w:b/>
          <w:sz w:val="22"/>
        </w:rPr>
      </w:pPr>
      <w:r>
        <w:rPr>
          <w:rFonts w:ascii="Arial" w:eastAsiaTheme="minorHAnsi" w:hAnsi="Arial" w:cs="Arial"/>
          <w:sz w:val="22"/>
        </w:rPr>
        <w:t xml:space="preserve">     </w:t>
      </w:r>
      <w:r w:rsidRPr="00DD4F78">
        <w:rPr>
          <w:rFonts w:ascii="Arial" w:eastAsiaTheme="minorHAnsi" w:hAnsi="Arial" w:cs="Arial"/>
          <w:b/>
          <w:sz w:val="22"/>
        </w:rPr>
        <w:t>P</w:t>
      </w:r>
      <w:r>
        <w:rPr>
          <w:rFonts w:ascii="Arial" w:eastAsiaTheme="minorHAnsi" w:hAnsi="Arial" w:cs="Arial"/>
          <w:b/>
          <w:sz w:val="22"/>
        </w:rPr>
        <w:t>osebni cilj</w:t>
      </w:r>
      <w:r w:rsidRPr="00DD4F78">
        <w:rPr>
          <w:rFonts w:ascii="Arial" w:eastAsiaTheme="minorHAnsi" w:hAnsi="Arial" w:cs="Arial"/>
          <w:b/>
          <w:sz w:val="22"/>
        </w:rPr>
        <w:t>:</w:t>
      </w:r>
      <w:r>
        <w:rPr>
          <w:rFonts w:ascii="Arial" w:eastAsiaTheme="minorHAnsi" w:hAnsi="Arial" w:cs="Arial"/>
          <w:b/>
          <w:sz w:val="22"/>
        </w:rPr>
        <w:t xml:space="preserve"> </w:t>
      </w:r>
      <w:r w:rsidRPr="00DD4F78">
        <w:rPr>
          <w:rFonts w:ascii="Arial" w:eastAsiaTheme="minorHAnsi" w:hAnsi="Arial" w:cs="Arial"/>
          <w:sz w:val="22"/>
        </w:rPr>
        <w:t xml:space="preserve">Jačanje administrativnih kapaciteta Ministarstva ekonomskog razvoja i dalji razvoj software-a PROTEX, </w:t>
      </w:r>
      <w:r w:rsidRPr="000802F0">
        <w:rPr>
          <w:rFonts w:ascii="Arial" w:eastAsiaTheme="minorHAnsi" w:hAnsi="Arial" w:cs="Arial"/>
          <w:sz w:val="22"/>
        </w:rPr>
        <w:t>e</w:t>
      </w:r>
      <w:r w:rsidRPr="00DD4F78">
        <w:rPr>
          <w:rFonts w:ascii="Arial" w:eastAsiaTheme="minorHAnsi" w:hAnsi="Arial" w:cs="Arial"/>
          <w:sz w:val="22"/>
        </w:rPr>
        <w:t xml:space="preserve">fikasnije sprovođenje prava u oblasti slobode kretanja roba, </w:t>
      </w:r>
      <w:r w:rsidRPr="000802F0">
        <w:rPr>
          <w:rFonts w:ascii="Arial" w:eastAsiaTheme="minorHAnsi" w:hAnsi="Arial" w:cs="Arial"/>
          <w:sz w:val="22"/>
        </w:rPr>
        <w:t>j</w:t>
      </w:r>
      <w:r w:rsidRPr="00FF7353">
        <w:rPr>
          <w:rFonts w:ascii="Arial" w:eastAsiaTheme="minorHAnsi" w:hAnsi="Arial" w:cs="Arial"/>
          <w:sz w:val="22"/>
        </w:rPr>
        <w:t xml:space="preserve">ačanje administrativnih kapaciteta Ministarstva ekonomskog razvoja i modernizacija registracije prava intelektualne svojine, </w:t>
      </w:r>
      <w:r w:rsidRPr="000802F0">
        <w:rPr>
          <w:rFonts w:ascii="Arial" w:eastAsiaTheme="minorHAnsi" w:hAnsi="Arial" w:cs="Arial"/>
          <w:sz w:val="22"/>
        </w:rPr>
        <w:t>e</w:t>
      </w:r>
      <w:r w:rsidRPr="00FF7353">
        <w:rPr>
          <w:rFonts w:ascii="Arial" w:eastAsiaTheme="minorHAnsi" w:hAnsi="Arial" w:cs="Arial"/>
          <w:sz w:val="22"/>
        </w:rPr>
        <w:t xml:space="preserve">fikasnije sprovođenje prava intelektualne svojine, </w:t>
      </w:r>
      <w:r>
        <w:rPr>
          <w:rFonts w:ascii="Arial" w:hAnsi="Arial" w:cs="Arial"/>
          <w:sz w:val="22"/>
        </w:rPr>
        <w:t>š</w:t>
      </w:r>
      <w:r w:rsidRPr="00FF7353">
        <w:rPr>
          <w:rFonts w:ascii="Arial" w:hAnsi="Arial" w:cs="Arial"/>
          <w:sz w:val="22"/>
        </w:rPr>
        <w:t xml:space="preserve">irenje svijesti javnosti o značaju prava intelektualne svojine, </w:t>
      </w:r>
      <w:r>
        <w:rPr>
          <w:rFonts w:ascii="Arial" w:eastAsiaTheme="minorHAnsi" w:hAnsi="Arial" w:cs="Arial"/>
          <w:sz w:val="22"/>
          <w:lang w:val="sr-Latn-ME"/>
        </w:rPr>
        <w:t>o</w:t>
      </w:r>
      <w:r w:rsidRPr="00FF7353">
        <w:rPr>
          <w:rFonts w:ascii="Arial" w:eastAsiaTheme="minorHAnsi" w:hAnsi="Arial" w:cs="Arial"/>
          <w:sz w:val="22"/>
          <w:lang w:val="sr-Latn-ME"/>
        </w:rPr>
        <w:t>bezbjeđen veći stepen zaštite potrošačkih prava i interesa kroz poboljšanje zakonodavnog okvira</w:t>
      </w:r>
      <w:r>
        <w:rPr>
          <w:rFonts w:ascii="Arial" w:eastAsiaTheme="minorHAnsi" w:hAnsi="Arial" w:cs="Arial"/>
          <w:sz w:val="22"/>
          <w:lang w:val="sr-Latn-ME"/>
        </w:rPr>
        <w:t>, u</w:t>
      </w:r>
      <w:r w:rsidRPr="00FF7353">
        <w:rPr>
          <w:rFonts w:ascii="Arial" w:eastAsiaTheme="minorHAnsi" w:hAnsi="Arial" w:cs="Arial"/>
          <w:sz w:val="22"/>
          <w:lang w:val="sr-Latn-ME"/>
        </w:rPr>
        <w:t>naprijeđeno znanje i informisanost potrošača i trgovaca  o njihovim pravima i obavezama kroz informativno-edukativne aktivnosti</w:t>
      </w:r>
      <w:r>
        <w:rPr>
          <w:rFonts w:ascii="Arial" w:eastAsiaTheme="minorHAnsi" w:hAnsi="Arial" w:cs="Arial"/>
          <w:b/>
          <w:sz w:val="22"/>
        </w:rPr>
        <w:t xml:space="preserve">, </w:t>
      </w:r>
      <w:r>
        <w:rPr>
          <w:rFonts w:ascii="Arial" w:eastAsiaTheme="minorHAnsi" w:hAnsi="Arial" w:cs="Arial"/>
          <w:sz w:val="22"/>
          <w:lang w:val="sr-Latn-ME"/>
        </w:rPr>
        <w:t>u</w:t>
      </w:r>
      <w:r w:rsidRPr="00FF7353">
        <w:rPr>
          <w:rFonts w:ascii="Arial" w:eastAsiaTheme="minorHAnsi" w:hAnsi="Arial" w:cs="Arial"/>
          <w:sz w:val="22"/>
          <w:lang w:val="sr-Latn-ME"/>
        </w:rPr>
        <w:t>spostavljanje efikasnog sistema saradnje i koordinacije sa različitim stejkholderima značajnim za implementaciju politike zaštite potrošača</w:t>
      </w:r>
      <w:r>
        <w:rPr>
          <w:rFonts w:ascii="Arial" w:eastAsiaTheme="minorHAnsi" w:hAnsi="Arial" w:cs="Arial"/>
          <w:sz w:val="22"/>
          <w:lang w:val="sr-Latn-ME"/>
        </w:rPr>
        <w:t>.</w:t>
      </w:r>
    </w:p>
    <w:p w:rsidR="00B538CA" w:rsidRPr="00FF7353" w:rsidRDefault="00B538CA" w:rsidP="00B538CA">
      <w:pPr>
        <w:spacing w:before="0" w:after="0" w:line="240" w:lineRule="auto"/>
        <w:rPr>
          <w:rFonts w:ascii="Arial" w:eastAsiaTheme="minorHAnsi" w:hAnsi="Arial" w:cs="Arial"/>
          <w:sz w:val="22"/>
        </w:rPr>
      </w:pPr>
    </w:p>
    <w:p w:rsidR="00B538CA" w:rsidRPr="00595916" w:rsidRDefault="00B538CA" w:rsidP="00B538CA">
      <w:pPr>
        <w:spacing w:before="0" w:after="31" w:line="228" w:lineRule="auto"/>
        <w:ind w:left="656" w:firstLine="7"/>
        <w:rPr>
          <w:rFonts w:ascii="Arial" w:hAnsi="Arial" w:cs="Arial"/>
          <w:color w:val="000000"/>
          <w:sz w:val="22"/>
          <w:lang w:val="en-GB" w:eastAsia="en-GB"/>
        </w:rPr>
      </w:pPr>
    </w:p>
    <w:tbl>
      <w:tblPr>
        <w:tblStyle w:val="TableGrid3"/>
        <w:tblW w:w="0" w:type="auto"/>
        <w:tblInd w:w="31" w:type="dxa"/>
        <w:tblLayout w:type="fixed"/>
        <w:tblLook w:val="04A0" w:firstRow="1" w:lastRow="0" w:firstColumn="1" w:lastColumn="0" w:noHBand="0" w:noVBand="1"/>
      </w:tblPr>
      <w:tblGrid>
        <w:gridCol w:w="943"/>
        <w:gridCol w:w="1576"/>
        <w:gridCol w:w="1428"/>
        <w:gridCol w:w="540"/>
        <w:gridCol w:w="1541"/>
        <w:gridCol w:w="1001"/>
        <w:gridCol w:w="1517"/>
        <w:gridCol w:w="1670"/>
        <w:gridCol w:w="1471"/>
        <w:gridCol w:w="1458"/>
      </w:tblGrid>
      <w:tr w:rsidR="00D8326F" w:rsidRPr="00595916" w:rsidTr="00750FA3">
        <w:trPr>
          <w:trHeight w:val="405"/>
        </w:trPr>
        <w:tc>
          <w:tcPr>
            <w:tcW w:w="943" w:type="dxa"/>
            <w:vMerge w:val="restart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Red.br</w:t>
            </w:r>
            <w:r w:rsidR="00D8326F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576" w:type="dxa"/>
            <w:vMerge w:val="restart"/>
          </w:tcPr>
          <w:p w:rsidR="00B538CA" w:rsidRPr="0059591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Opis</w:t>
            </w:r>
          </w:p>
          <w:p w:rsidR="00B538CA" w:rsidRPr="0059591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rizika</w:t>
            </w:r>
          </w:p>
        </w:tc>
        <w:tc>
          <w:tcPr>
            <w:tcW w:w="1428" w:type="dxa"/>
            <w:vMerge w:val="restart"/>
          </w:tcPr>
          <w:p w:rsidR="00B538CA" w:rsidRPr="0059591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Vrsta</w:t>
            </w:r>
          </w:p>
          <w:p w:rsidR="00B538CA" w:rsidRPr="0059591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rizika</w:t>
            </w:r>
          </w:p>
        </w:tc>
        <w:tc>
          <w:tcPr>
            <w:tcW w:w="3082" w:type="dxa"/>
            <w:gridSpan w:val="3"/>
            <w:tcBorders>
              <w:bottom w:val="single" w:sz="4" w:space="0" w:color="auto"/>
            </w:tcBorders>
          </w:tcPr>
          <w:p w:rsidR="00B538CA" w:rsidRPr="0059591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Rangiranje rizika</w:t>
            </w:r>
          </w:p>
        </w:tc>
        <w:tc>
          <w:tcPr>
            <w:tcW w:w="1517" w:type="dxa"/>
            <w:vMerge w:val="restart"/>
          </w:tcPr>
          <w:p w:rsidR="00B538CA" w:rsidRPr="0059591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Pregled postojećih kontrola</w:t>
            </w:r>
          </w:p>
        </w:tc>
        <w:tc>
          <w:tcPr>
            <w:tcW w:w="1670" w:type="dxa"/>
            <w:vMerge w:val="restart"/>
          </w:tcPr>
          <w:p w:rsidR="00B538CA" w:rsidRPr="0059591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Reagovanje na rizik</w:t>
            </w:r>
          </w:p>
        </w:tc>
        <w:tc>
          <w:tcPr>
            <w:tcW w:w="1471" w:type="dxa"/>
            <w:vMerge w:val="restart"/>
          </w:tcPr>
          <w:p w:rsidR="00B538CA" w:rsidRPr="0059591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Odgovorna osoba za rizik</w:t>
            </w:r>
          </w:p>
        </w:tc>
        <w:tc>
          <w:tcPr>
            <w:tcW w:w="1458" w:type="dxa"/>
            <w:vMerge w:val="restart"/>
          </w:tcPr>
          <w:p w:rsidR="00B538CA" w:rsidRPr="0059591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Rok za sprovođenje</w:t>
            </w:r>
          </w:p>
        </w:tc>
      </w:tr>
      <w:tr w:rsidR="00D8326F" w:rsidRPr="00595916" w:rsidTr="00750FA3">
        <w:trPr>
          <w:trHeight w:val="390"/>
        </w:trPr>
        <w:tc>
          <w:tcPr>
            <w:tcW w:w="943" w:type="dxa"/>
            <w:vMerge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576" w:type="dxa"/>
            <w:vMerge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428" w:type="dxa"/>
            <w:vMerge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  <w:t>Uticaj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  <w:t>Vjerovatnoća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  <w:t>Ukupno</w:t>
            </w:r>
          </w:p>
        </w:tc>
        <w:tc>
          <w:tcPr>
            <w:tcW w:w="1517" w:type="dxa"/>
            <w:vMerge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  <w:tc>
          <w:tcPr>
            <w:tcW w:w="1670" w:type="dxa"/>
            <w:vMerge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  <w:tc>
          <w:tcPr>
            <w:tcW w:w="1471" w:type="dxa"/>
            <w:vMerge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  <w:tc>
          <w:tcPr>
            <w:tcW w:w="1458" w:type="dxa"/>
            <w:vMerge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</w:tr>
      <w:tr w:rsidR="00D8326F" w:rsidRPr="00595916" w:rsidTr="00750FA3">
        <w:tc>
          <w:tcPr>
            <w:tcW w:w="943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1. </w:t>
            </w:r>
          </w:p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576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Održavanje i razvijanje informatičke infrastrukture</w:t>
            </w:r>
          </w:p>
        </w:tc>
        <w:tc>
          <w:tcPr>
            <w:tcW w:w="1428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IT</w:t>
            </w:r>
          </w:p>
        </w:tc>
        <w:tc>
          <w:tcPr>
            <w:tcW w:w="540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1541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1001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25</w:t>
            </w:r>
          </w:p>
        </w:tc>
        <w:tc>
          <w:tcPr>
            <w:tcW w:w="1517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Zakoni iz oblasti intelektualne svojine</w:t>
            </w:r>
          </w:p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Pravilnik o unutrašnjoj organizaciji i sistematizaciji Ministarstva ekonomskog razvoja </w:t>
            </w:r>
          </w:p>
        </w:tc>
        <w:tc>
          <w:tcPr>
            <w:tcW w:w="1670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Zapošljavanje IT eksperata,</w:t>
            </w:r>
          </w:p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Obuka za održavanje i ažuriranje baza i alata iz oblasti intelektualne svojine</w:t>
            </w:r>
          </w:p>
        </w:tc>
        <w:tc>
          <w:tcPr>
            <w:tcW w:w="1471" w:type="dxa"/>
          </w:tcPr>
          <w:p w:rsidR="00D8326F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Ministar</w:t>
            </w:r>
          </w:p>
          <w:p w:rsidR="00B538CA" w:rsidRPr="00885BD4" w:rsidRDefault="00D8326F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S</w:t>
            </w:r>
            <w:r w:rsidR="00B538CA"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ekretar 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Ministarstva</w:t>
            </w:r>
          </w:p>
        </w:tc>
        <w:tc>
          <w:tcPr>
            <w:tcW w:w="1458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Kontinuirano</w:t>
            </w:r>
          </w:p>
        </w:tc>
      </w:tr>
      <w:tr w:rsidR="00D8326F" w:rsidRPr="00595916" w:rsidTr="00750FA3">
        <w:tc>
          <w:tcPr>
            <w:tcW w:w="943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. </w:t>
            </w:r>
          </w:p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576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Neažurne baze podataka i registri</w:t>
            </w:r>
          </w:p>
        </w:tc>
        <w:tc>
          <w:tcPr>
            <w:tcW w:w="1428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IT</w:t>
            </w:r>
          </w:p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540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1541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1001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20</w:t>
            </w:r>
          </w:p>
        </w:tc>
        <w:tc>
          <w:tcPr>
            <w:tcW w:w="1517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Zakoni i podzakonska akta iz oblasti intelektualne svojine</w:t>
            </w:r>
          </w:p>
        </w:tc>
        <w:tc>
          <w:tcPr>
            <w:tcW w:w="1670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Unos i ažuriranje podataka u bazama i registrima,</w:t>
            </w:r>
          </w:p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Angažovanje </w:t>
            </w: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lica na određeni period</w:t>
            </w:r>
          </w:p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471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 xml:space="preserve">Ministar </w:t>
            </w:r>
            <w:r w:rsidR="00D8326F">
              <w:rPr>
                <w:rFonts w:ascii="Arial" w:hAnsi="Arial" w:cs="Arial"/>
                <w:color w:val="000000"/>
                <w:sz w:val="22"/>
                <w:lang w:val="en-GB" w:eastAsia="en-GB"/>
              </w:rPr>
              <w:t>S</w:t>
            </w: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ekretar </w:t>
            </w:r>
            <w:r w:rsidR="00D8326F">
              <w:rPr>
                <w:rFonts w:ascii="Arial" w:hAnsi="Arial" w:cs="Arial"/>
                <w:color w:val="000000"/>
                <w:sz w:val="22"/>
                <w:lang w:val="en-GB" w:eastAsia="en-GB"/>
              </w:rPr>
              <w:t>Ministarstva</w:t>
            </w:r>
          </w:p>
        </w:tc>
        <w:tc>
          <w:tcPr>
            <w:tcW w:w="1458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31</w:t>
            </w: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12</w:t>
            </w: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.2024.</w:t>
            </w:r>
          </w:p>
        </w:tc>
      </w:tr>
      <w:tr w:rsidR="00D8326F" w:rsidRPr="00595916" w:rsidTr="00750FA3">
        <w:tc>
          <w:tcPr>
            <w:tcW w:w="943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3. </w:t>
            </w:r>
          </w:p>
        </w:tc>
        <w:tc>
          <w:tcPr>
            <w:tcW w:w="1576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Ažuriranje</w:t>
            </w: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sajta</w:t>
            </w:r>
          </w:p>
        </w:tc>
        <w:tc>
          <w:tcPr>
            <w:tcW w:w="1428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IT</w:t>
            </w:r>
          </w:p>
        </w:tc>
        <w:tc>
          <w:tcPr>
            <w:tcW w:w="540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1541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1001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1517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Zakoni i podzakonska akta iz oblasti intelektualne svojine</w:t>
            </w:r>
          </w:p>
        </w:tc>
        <w:tc>
          <w:tcPr>
            <w:tcW w:w="1670" w:type="dxa"/>
          </w:tcPr>
          <w:p w:rsidR="00B538CA" w:rsidRPr="00885BD4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Konstantno ažuriranje, </w:t>
            </w:r>
            <w:r w:rsidRPr="00885BD4">
              <w:rPr>
                <w:rFonts w:ascii="Arial" w:hAnsi="Arial" w:cs="Arial"/>
                <w:color w:val="000000"/>
                <w:sz w:val="22"/>
                <w:lang w:val="en-GB" w:eastAsia="en-GB"/>
              </w:rPr>
              <w:t>Uspostavljanje sajta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na engleskom jeziku, zaduživanje službenika i angažovanje prevodioca</w:t>
            </w:r>
          </w:p>
        </w:tc>
        <w:tc>
          <w:tcPr>
            <w:tcW w:w="1471" w:type="dxa"/>
          </w:tcPr>
          <w:p w:rsidR="00B538CA" w:rsidRDefault="00D8326F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S</w:t>
            </w:r>
            <w:r w:rsidR="00B538CA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ekretar 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Ministarstva</w:t>
            </w:r>
          </w:p>
          <w:p w:rsidR="00B538CA" w:rsidRPr="00834757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834757">
              <w:rPr>
                <w:rFonts w:ascii="Arial" w:hAnsi="Arial" w:cs="Arial"/>
                <w:color w:val="000000"/>
                <w:sz w:val="22"/>
                <w:lang w:val="en-GB" w:eastAsia="en-GB"/>
              </w:rPr>
              <w:t>IT Služba</w:t>
            </w:r>
          </w:p>
        </w:tc>
        <w:tc>
          <w:tcPr>
            <w:tcW w:w="1458" w:type="dxa"/>
          </w:tcPr>
          <w:p w:rsidR="00B538CA" w:rsidRPr="00834757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Uspostavljanje sajta na engleskom jeziku 31.12.2024. Ažuriranje kontinuirano</w:t>
            </w:r>
          </w:p>
        </w:tc>
      </w:tr>
      <w:tr w:rsidR="00D8326F" w:rsidRPr="00595916" w:rsidTr="00750FA3">
        <w:tc>
          <w:tcPr>
            <w:tcW w:w="943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576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Usljed nedostatka adekvatnog prostora može doći do gubljenja i oštećenja dokumentacije</w:t>
            </w:r>
          </w:p>
        </w:tc>
        <w:tc>
          <w:tcPr>
            <w:tcW w:w="1428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540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1541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1001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1517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Zakoni i podzakonska akta iz oblasti intelektualne svojine</w:t>
            </w:r>
          </w:p>
        </w:tc>
        <w:tc>
          <w:tcPr>
            <w:tcW w:w="1670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Obezbjeđivanje adekvatnog prostora i opreme</w:t>
            </w:r>
          </w:p>
        </w:tc>
        <w:tc>
          <w:tcPr>
            <w:tcW w:w="1471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Sekretar </w:t>
            </w:r>
            <w:r w:rsidR="00D8326F">
              <w:rPr>
                <w:rFonts w:ascii="Arial" w:hAnsi="Arial" w:cs="Arial"/>
                <w:color w:val="000000"/>
                <w:sz w:val="22"/>
                <w:lang w:val="en-GB" w:eastAsia="en-GB"/>
              </w:rPr>
              <w:t>Ministarstva</w:t>
            </w:r>
          </w:p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Generalni direktor</w:t>
            </w:r>
          </w:p>
        </w:tc>
        <w:tc>
          <w:tcPr>
            <w:tcW w:w="1458" w:type="dxa"/>
          </w:tcPr>
          <w:p w:rsidR="00B538CA" w:rsidRPr="0059591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31.12.202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</w:tr>
    </w:tbl>
    <w:p w:rsidR="00834757" w:rsidRDefault="00834757" w:rsidP="00834757">
      <w:pPr>
        <w:keepNext/>
        <w:keepLines/>
        <w:spacing w:after="0" w:line="240" w:lineRule="auto"/>
        <w:ind w:left="360"/>
        <w:rPr>
          <w:rFonts w:ascii="Arial" w:eastAsiaTheme="majorEastAsia" w:hAnsi="Arial" w:cs="Arial"/>
          <w:b/>
          <w:lang w:val="sr-Latn-ME"/>
        </w:rPr>
      </w:pPr>
    </w:p>
    <w:p w:rsidR="00FF7353" w:rsidRPr="00FF7353" w:rsidRDefault="00FF7353" w:rsidP="00FF7353">
      <w:pPr>
        <w:spacing w:before="0" w:after="0" w:line="240" w:lineRule="auto"/>
        <w:rPr>
          <w:rFonts w:ascii="Arial" w:eastAsiaTheme="minorHAnsi" w:hAnsi="Arial" w:cs="Arial"/>
          <w:sz w:val="22"/>
        </w:rPr>
      </w:pPr>
    </w:p>
    <w:p w:rsidR="00730D3F" w:rsidRPr="00595916" w:rsidRDefault="00730D3F" w:rsidP="00730D3F">
      <w:pPr>
        <w:spacing w:before="0" w:after="31" w:line="228" w:lineRule="auto"/>
        <w:ind w:left="656" w:firstLine="7"/>
        <w:rPr>
          <w:rFonts w:ascii="Arial" w:hAnsi="Arial" w:cs="Arial"/>
          <w:color w:val="000000"/>
          <w:sz w:val="22"/>
          <w:lang w:val="en-GB" w:eastAsia="en-GB"/>
        </w:rPr>
      </w:pPr>
    </w:p>
    <w:p w:rsidR="006D397B" w:rsidRDefault="006D397B" w:rsidP="00E02B83">
      <w:pPr>
        <w:rPr>
          <w:rFonts w:ascii="Arial" w:hAnsi="Arial" w:cs="Arial"/>
          <w:b/>
          <w:sz w:val="22"/>
          <w:u w:val="single"/>
        </w:rPr>
      </w:pPr>
    </w:p>
    <w:p w:rsidR="009F6D9C" w:rsidRDefault="009F6D9C" w:rsidP="00E02B83">
      <w:pPr>
        <w:rPr>
          <w:rFonts w:ascii="Arial" w:hAnsi="Arial" w:cs="Arial"/>
          <w:b/>
          <w:sz w:val="22"/>
          <w:u w:val="single"/>
        </w:rPr>
      </w:pPr>
    </w:p>
    <w:p w:rsidR="00622301" w:rsidRDefault="00622301" w:rsidP="00E02B83">
      <w:pPr>
        <w:rPr>
          <w:rFonts w:ascii="Arial" w:hAnsi="Arial" w:cs="Arial"/>
          <w:b/>
          <w:sz w:val="22"/>
          <w:u w:val="single"/>
        </w:rPr>
      </w:pPr>
    </w:p>
    <w:p w:rsidR="00225EEC" w:rsidRDefault="00225EEC" w:rsidP="00E02B83">
      <w:pPr>
        <w:rPr>
          <w:rFonts w:ascii="Arial" w:hAnsi="Arial" w:cs="Arial"/>
          <w:b/>
          <w:sz w:val="22"/>
          <w:u w:val="single"/>
        </w:rPr>
      </w:pPr>
    </w:p>
    <w:p w:rsidR="00622301" w:rsidRDefault="00622301" w:rsidP="00E02B83">
      <w:pPr>
        <w:rPr>
          <w:rFonts w:ascii="Arial" w:hAnsi="Arial" w:cs="Arial"/>
          <w:b/>
          <w:sz w:val="22"/>
          <w:u w:val="single"/>
        </w:rPr>
      </w:pPr>
    </w:p>
    <w:p w:rsidR="00622301" w:rsidRDefault="00622301" w:rsidP="00E02B83">
      <w:pPr>
        <w:rPr>
          <w:rFonts w:ascii="Arial" w:hAnsi="Arial" w:cs="Arial"/>
          <w:b/>
          <w:sz w:val="22"/>
          <w:u w:val="single"/>
        </w:rPr>
      </w:pPr>
    </w:p>
    <w:p w:rsidR="00EC5EF5" w:rsidRDefault="00EC5EF5" w:rsidP="00E02B83">
      <w:pPr>
        <w:rPr>
          <w:rFonts w:ascii="Arial" w:hAnsi="Arial" w:cs="Arial"/>
          <w:b/>
          <w:sz w:val="22"/>
          <w:u w:val="single"/>
        </w:rPr>
      </w:pPr>
    </w:p>
    <w:p w:rsidR="00B568F1" w:rsidRPr="00595916" w:rsidRDefault="00B568F1" w:rsidP="00B568F1">
      <w:pPr>
        <w:overflowPunct w:val="0"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color w:val="000000"/>
          <w:sz w:val="22"/>
          <w:lang w:val="sr-Latn-ME" w:eastAsia="en-GB"/>
        </w:rPr>
      </w:pPr>
      <w:r>
        <w:rPr>
          <w:rFonts w:ascii="Arial" w:hAnsi="Arial" w:cs="Arial"/>
          <w:b/>
          <w:color w:val="000000"/>
          <w:sz w:val="22"/>
          <w:lang w:val="sr-Latn-ME" w:eastAsia="en-GB"/>
        </w:rPr>
        <w:t>3.</w:t>
      </w:r>
      <w:r w:rsidRPr="00595916">
        <w:rPr>
          <w:rFonts w:ascii="Arial" w:hAnsi="Arial" w:cs="Arial"/>
          <w:b/>
          <w:color w:val="000000"/>
          <w:sz w:val="22"/>
          <w:lang w:val="sr-Latn-ME" w:eastAsia="en-GB"/>
        </w:rPr>
        <w:t>DIREKTORAT ZA MEĐUNARODNU SARADNJU</w:t>
      </w:r>
      <w:r>
        <w:rPr>
          <w:rFonts w:ascii="Arial" w:hAnsi="Arial" w:cs="Arial"/>
          <w:b/>
          <w:color w:val="000000"/>
          <w:sz w:val="22"/>
          <w:lang w:val="sr-Latn-ME" w:eastAsia="en-GB"/>
        </w:rPr>
        <w:t>, EVROPSKE INTEGRACIJE I IMPLEMENTACIJU EU FONDOVA</w:t>
      </w: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lang w:val="sr-Latn-ME" w:eastAsia="en-GB"/>
        </w:rPr>
      </w:pPr>
    </w:p>
    <w:p w:rsidR="00B568F1" w:rsidRDefault="00B568F1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  <w:r w:rsidRPr="00595916">
        <w:rPr>
          <w:rFonts w:ascii="Arial" w:hAnsi="Arial" w:cs="Arial"/>
          <w:b/>
          <w:color w:val="000000"/>
          <w:sz w:val="22"/>
          <w:lang w:val="sr-Latn-ME" w:eastAsia="en-GB"/>
        </w:rPr>
        <w:t xml:space="preserve">Opšti cilj: 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 xml:space="preserve">Unaprjeđenje multilateralne i regionalne trgovinske saradnje u dijelu pristupa tržištu roba i usluga i ekonomske saradnje Crne Gore sa inostranstvom, implementacija međunarodno preuzetih obaveza, stvaranje stabilnog investicionog pravnog okvira u skladu s EU standardima i najboljom međunarodnom praksom, kao i podsticanje regionalne ekonomske integracije kroz Akcioni plan za </w:t>
      </w:r>
      <w:r>
        <w:rPr>
          <w:rFonts w:ascii="Arial" w:hAnsi="Arial" w:cs="Arial"/>
          <w:color w:val="000000"/>
          <w:sz w:val="22"/>
          <w:lang w:val="sr-Latn-ME" w:eastAsia="en-GB"/>
        </w:rPr>
        <w:t>Z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>ajedni</w:t>
      </w:r>
      <w:r>
        <w:rPr>
          <w:rFonts w:ascii="Arial" w:hAnsi="Arial" w:cs="Arial"/>
          <w:color w:val="000000"/>
          <w:sz w:val="22"/>
          <w:lang w:val="sr-Latn-ME" w:eastAsia="en-GB"/>
        </w:rPr>
        <w:t>č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 xml:space="preserve">ko regionalno tržište (CRM). Omogućiti pravnim i fizičkim licima tržišno </w:t>
      </w:r>
      <w:r w:rsidRPr="003D554B">
        <w:rPr>
          <w:rFonts w:ascii="Arial" w:hAnsi="Arial" w:cs="Arial"/>
          <w:color w:val="000000"/>
          <w:sz w:val="22"/>
          <w:lang w:val="sr-Latn-ME" w:eastAsia="en-GB"/>
        </w:rPr>
        <w:t xml:space="preserve">poslovanje u oblasti spoljno-trgovinskog prometa. Predstavljanje Crne </w:t>
      </w:r>
      <w:r w:rsidRPr="007D1A44">
        <w:rPr>
          <w:rFonts w:ascii="Arial" w:hAnsi="Arial" w:cs="Arial"/>
          <w:color w:val="000000"/>
          <w:sz w:val="22"/>
          <w:lang w:val="sr-Latn-ME" w:eastAsia="en-GB"/>
        </w:rPr>
        <w:t>G</w:t>
      </w:r>
      <w:r w:rsidRPr="00FA7B92">
        <w:rPr>
          <w:rFonts w:ascii="Arial" w:hAnsi="Arial" w:cs="Arial"/>
          <w:color w:val="000000"/>
          <w:sz w:val="22"/>
          <w:lang w:val="sr-Latn-ME" w:eastAsia="en-GB"/>
        </w:rPr>
        <w:t xml:space="preserve">ore na izložbama i sajmovima u inostranstvu, u cilju promocije investicionih i turističkih potencijala države i jačanje bilateralnih odnosa sa drugim državama. </w:t>
      </w:r>
      <w:r w:rsidRPr="003D554B">
        <w:rPr>
          <w:rFonts w:ascii="Arial" w:hAnsi="Arial" w:cs="Arial"/>
          <w:color w:val="000000"/>
          <w:sz w:val="22"/>
          <w:lang w:val="sr-Latn-ME" w:eastAsia="en-GB"/>
        </w:rPr>
        <w:t xml:space="preserve">Takođe, </w:t>
      </w:r>
      <w:r w:rsidRPr="00F23FB3">
        <w:rPr>
          <w:rFonts w:ascii="Arial" w:hAnsi="Arial" w:cs="Arial"/>
          <w:sz w:val="22"/>
          <w:lang w:val="sr-Latn-ME"/>
        </w:rPr>
        <w:t>efikasna k</w:t>
      </w:r>
      <w:r w:rsidRPr="00F23FB3">
        <w:rPr>
          <w:rFonts w:ascii="Arial" w:hAnsi="Arial" w:cs="Arial"/>
          <w:sz w:val="22"/>
        </w:rPr>
        <w:t xml:space="preserve">oordinacija procesa pristupanja Crne Gore EU u dijelu ekonomskih kriterijuma. </w:t>
      </w:r>
      <w:r w:rsidRPr="00F23FB3">
        <w:rPr>
          <w:rFonts w:ascii="Arial" w:hAnsi="Arial" w:cs="Arial"/>
          <w:sz w:val="22"/>
          <w:lang w:val="sr-Latn-ME"/>
        </w:rPr>
        <w:t>Efikasno ispunjavanje zadataka iz oblasti upravljanja nacionalnim i regionalnim IPA programima,</w:t>
      </w:r>
      <w:r w:rsidRPr="00F23FB3">
        <w:rPr>
          <w:rFonts w:ascii="Arial" w:hAnsi="Arial" w:cs="Arial"/>
          <w:sz w:val="22"/>
        </w:rPr>
        <w:t xml:space="preserve"> programima prekogranične saradnje i efikasna koordinacija sektora Konkure</w:t>
      </w:r>
      <w:r>
        <w:rPr>
          <w:rFonts w:ascii="Arial" w:hAnsi="Arial" w:cs="Arial"/>
          <w:sz w:val="22"/>
        </w:rPr>
        <w:t>n</w:t>
      </w:r>
      <w:r w:rsidRPr="00F23FB3">
        <w:rPr>
          <w:rFonts w:ascii="Arial" w:hAnsi="Arial" w:cs="Arial"/>
          <w:sz w:val="22"/>
        </w:rPr>
        <w:t>tnost i inovacije.</w:t>
      </w: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D8326F" w:rsidRPr="00D8326F" w:rsidRDefault="00D8326F" w:rsidP="00D8326F">
      <w:pPr>
        <w:tabs>
          <w:tab w:val="left" w:pos="720"/>
        </w:tabs>
        <w:spacing w:before="0" w:after="31" w:line="228" w:lineRule="auto"/>
        <w:rPr>
          <w:rFonts w:ascii="Arial" w:hAnsi="Arial" w:cs="Arial"/>
          <w:sz w:val="22"/>
        </w:rPr>
      </w:pPr>
    </w:p>
    <w:p w:rsidR="00B568F1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  <w:r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>3.1.</w:t>
      </w:r>
      <w:r w:rsidRPr="00595916"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>Direkcija za režim spoljne trgovine kontrolisanom robom</w:t>
      </w:r>
    </w:p>
    <w:p w:rsidR="00D8326F" w:rsidRPr="00595916" w:rsidRDefault="00D8326F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Default="00B568F1" w:rsidP="00B568F1">
      <w:pPr>
        <w:spacing w:before="0" w:after="31" w:line="228" w:lineRule="auto"/>
        <w:rPr>
          <w:rFonts w:ascii="Arial" w:hAnsi="Arial" w:cs="Arial"/>
          <w:color w:val="000000"/>
          <w:sz w:val="22"/>
          <w:lang w:val="sr-Latn-ME" w:eastAsia="en-GB"/>
        </w:rPr>
      </w:pPr>
      <w:r w:rsidRPr="00595916">
        <w:rPr>
          <w:rFonts w:ascii="Arial" w:hAnsi="Arial" w:cs="Arial"/>
          <w:b/>
          <w:color w:val="000000"/>
          <w:sz w:val="22"/>
          <w:lang w:val="sr-Latn-ME" w:eastAsia="en-GB"/>
        </w:rPr>
        <w:t>Posebni cilj: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 xml:space="preserve"> Efikasno sprovođenje upravnih postupaka u oblasti spoljno-trgovinskog prometa, u cilju izdavanja dozvola za vršenje spoljne trgovine kontrolisanom robom, a u skladu sa nacionalnim propisima i najboljom evropskom praksom. </w:t>
      </w:r>
    </w:p>
    <w:p w:rsidR="00D8326F" w:rsidRPr="00595916" w:rsidRDefault="00D8326F" w:rsidP="00B568F1">
      <w:pPr>
        <w:spacing w:before="0" w:after="31" w:line="228" w:lineRule="auto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color w:val="000000"/>
          <w:sz w:val="22"/>
          <w:lang w:val="sr-Latn-ME" w:eastAsia="en-GB"/>
        </w:rPr>
      </w:pPr>
    </w:p>
    <w:tbl>
      <w:tblPr>
        <w:tblW w:w="1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30"/>
        <w:gridCol w:w="1530"/>
        <w:gridCol w:w="540"/>
        <w:gridCol w:w="540"/>
        <w:gridCol w:w="538"/>
        <w:gridCol w:w="3332"/>
        <w:gridCol w:w="2520"/>
        <w:gridCol w:w="1620"/>
        <w:gridCol w:w="1535"/>
      </w:tblGrid>
      <w:tr w:rsidR="00B568F1" w:rsidRPr="00595916" w:rsidTr="00692D3F">
        <w:trPr>
          <w:trHeight w:val="242"/>
          <w:tblHeader/>
          <w:jc w:val="center"/>
        </w:trPr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Rb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Opis rizika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Vrsta rizika</w:t>
            </w:r>
          </w:p>
        </w:tc>
        <w:tc>
          <w:tcPr>
            <w:tcW w:w="16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Rangiranje rizika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sr-Latn-ME" w:eastAsia="en-GB"/>
              </w:rPr>
              <w:t>Pregled postojećih kontrola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Reagovanje na rizik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Odgovorna osoba za rizik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Rok za sprovođenje</w:t>
            </w:r>
          </w:p>
        </w:tc>
      </w:tr>
      <w:tr w:rsidR="00B568F1" w:rsidRPr="00595916" w:rsidTr="00692D3F">
        <w:trPr>
          <w:cantSplit/>
          <w:trHeight w:val="1259"/>
          <w:tblHeader/>
          <w:jc w:val="center"/>
        </w:trPr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Uticaj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Vjerovatnoća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Ukupno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</w:tr>
      <w:tr w:rsidR="00B568F1" w:rsidRPr="00595916" w:rsidTr="00692D3F">
        <w:trPr>
          <w:cantSplit/>
          <w:trHeight w:val="117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95916" w:rsidRDefault="00B568F1" w:rsidP="00692D3F">
            <w:pPr>
              <w:numPr>
                <w:ilvl w:val="0"/>
                <w:numId w:val="19"/>
              </w:numPr>
              <w:spacing w:before="0" w:after="200" w:line="276" w:lineRule="auto"/>
              <w:contextualSpacing/>
              <w:jc w:val="left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</w:p>
        </w:tc>
        <w:tc>
          <w:tcPr>
            <w:tcW w:w="2430" w:type="dxa"/>
          </w:tcPr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Usljed  zloupotrebe službenog položaja kao i nemarnosti službenika može doći do i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zdavanj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a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dozvole za spoljnu trgovinu naoružanjem i vojnom opremom kao i dozvole za izvoz robe dvostruke namjene, </w:t>
            </w: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bez 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neophodnih 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saglasnosti nadležnih organa, odnosno sa falsifikovanim saglasnostima</w:t>
            </w:r>
          </w:p>
        </w:tc>
        <w:tc>
          <w:tcPr>
            <w:tcW w:w="1530" w:type="dxa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Operativni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5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2</w:t>
            </w:r>
          </w:p>
        </w:tc>
        <w:tc>
          <w:tcPr>
            <w:tcW w:w="538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10</w:t>
            </w:r>
          </w:p>
        </w:tc>
        <w:tc>
          <w:tcPr>
            <w:tcW w:w="3332" w:type="dxa"/>
          </w:tcPr>
          <w:p w:rsidR="00B568F1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Zakon o spoljnoj trgovini naoružanjem i vojnom opremom</w:t>
            </w: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Interno pravilo u vezi postupka izdavanja dozvola i načinu vođenja evidencije o izdatim, poništenim, odbijenim dozvolama i odbačenim zahtjevima za izdavanje dozvola</w:t>
            </w:r>
          </w:p>
        </w:tc>
        <w:tc>
          <w:tcPr>
            <w:tcW w:w="2520" w:type="dxa"/>
          </w:tcPr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Dodjela zahtjeva za izdavanje dozvole u rad po utvrđenim kriterijumima, kako ne bi dolazilo do situacija da istom podnosiocu obrađuju zahtjeve isti ovlašćeni službenici</w:t>
            </w:r>
          </w:p>
        </w:tc>
        <w:tc>
          <w:tcPr>
            <w:tcW w:w="1620" w:type="dxa"/>
          </w:tcPr>
          <w:p w:rsidR="00B568F1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Ministar</w:t>
            </w: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Generalni direktor</w:t>
            </w: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Načelnik Direkcije</w:t>
            </w:r>
          </w:p>
        </w:tc>
        <w:tc>
          <w:tcPr>
            <w:tcW w:w="1535" w:type="dxa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Kontinuirano</w:t>
            </w:r>
          </w:p>
        </w:tc>
      </w:tr>
      <w:tr w:rsidR="00B568F1" w:rsidRPr="00595916" w:rsidTr="00692D3F">
        <w:trPr>
          <w:cantSplit/>
          <w:trHeight w:val="117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95916" w:rsidRDefault="00B568F1" w:rsidP="00692D3F">
            <w:pPr>
              <w:numPr>
                <w:ilvl w:val="0"/>
                <w:numId w:val="19"/>
              </w:numPr>
              <w:spacing w:before="0" w:after="200" w:line="276" w:lineRule="auto"/>
              <w:contextualSpacing/>
              <w:jc w:val="left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</w:p>
        </w:tc>
        <w:tc>
          <w:tcPr>
            <w:tcW w:w="2430" w:type="dxa"/>
          </w:tcPr>
          <w:p w:rsidR="00B568F1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Usljed neažurnosti službenika može doći do upisa lica koja po zakonu ne mogu da obavljaju spoljnu trgovinu u Registar lica za vršenje spoljne trgovine naoružanjem i vojnom opremom</w:t>
            </w:r>
          </w:p>
          <w:p w:rsidR="00B568F1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530" w:type="dxa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Operativni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5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2</w:t>
            </w:r>
          </w:p>
        </w:tc>
        <w:tc>
          <w:tcPr>
            <w:tcW w:w="538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10</w:t>
            </w:r>
          </w:p>
        </w:tc>
        <w:tc>
          <w:tcPr>
            <w:tcW w:w="3332" w:type="dxa"/>
          </w:tcPr>
          <w:p w:rsidR="00B568F1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Zakon o spoljnoj trgovini naoružanjem i vojnom opremom</w:t>
            </w: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Interno pravilo u vezi postupka izdavanja dozvola i načinu vođenja evidencije o izdatim, poništenim, odbijenim dozvolama i odbačenim zahtjevima za izdavanje dozvola</w:t>
            </w:r>
          </w:p>
        </w:tc>
        <w:tc>
          <w:tcPr>
            <w:tcW w:w="2520" w:type="dxa"/>
          </w:tcPr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Pribavljanje dokumenata neophodnih za upis u Registar po službenoj dužnosti i službenim poštom kako podnosioci zahtjeva ne bi ista podnosili samostalno</w:t>
            </w:r>
          </w:p>
        </w:tc>
        <w:tc>
          <w:tcPr>
            <w:tcW w:w="1620" w:type="dxa"/>
          </w:tcPr>
          <w:p w:rsidR="00B568F1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Ministar</w:t>
            </w: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Generalni direktor</w:t>
            </w: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Načelnik Direkcije</w:t>
            </w:r>
          </w:p>
        </w:tc>
        <w:tc>
          <w:tcPr>
            <w:tcW w:w="1535" w:type="dxa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Kontinuirano</w:t>
            </w:r>
          </w:p>
        </w:tc>
      </w:tr>
      <w:tr w:rsidR="00B568F1" w:rsidRPr="00595916" w:rsidTr="00692D3F">
        <w:trPr>
          <w:cantSplit/>
          <w:trHeight w:val="179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95916" w:rsidRDefault="00B568F1" w:rsidP="00692D3F">
            <w:pPr>
              <w:numPr>
                <w:ilvl w:val="0"/>
                <w:numId w:val="19"/>
              </w:numPr>
              <w:spacing w:before="0" w:after="200" w:line="276" w:lineRule="auto"/>
              <w:contextualSpacing/>
              <w:jc w:val="left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</w:p>
        </w:tc>
        <w:tc>
          <w:tcPr>
            <w:tcW w:w="2430" w:type="dxa"/>
          </w:tcPr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I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zrad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a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propisa iz nadležnosti Direkcije</w:t>
            </w:r>
          </w:p>
        </w:tc>
        <w:tc>
          <w:tcPr>
            <w:tcW w:w="1530" w:type="dxa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Operativni</w:t>
            </w:r>
          </w:p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Zakonodavni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5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3</w:t>
            </w:r>
          </w:p>
        </w:tc>
        <w:tc>
          <w:tcPr>
            <w:tcW w:w="538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5</w:t>
            </w:r>
          </w:p>
        </w:tc>
        <w:tc>
          <w:tcPr>
            <w:tcW w:w="3332" w:type="dxa"/>
          </w:tcPr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Interresorne radne grupe za izradu propisa</w:t>
            </w: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Sekretarijat za zakonodavstvo</w:t>
            </w:r>
          </w:p>
        </w:tc>
        <w:tc>
          <w:tcPr>
            <w:tcW w:w="2520" w:type="dxa"/>
          </w:tcPr>
          <w:p w:rsidR="00B568F1" w:rsidRPr="00595916" w:rsidRDefault="00B568F1" w:rsidP="00692D3F">
            <w:pPr>
              <w:spacing w:before="0" w:after="31" w:line="228" w:lineRule="auto"/>
              <w:ind w:firstLine="7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Formiranje radnih grupa sastavljenih od službenika iz više državnih organa</w:t>
            </w:r>
          </w:p>
        </w:tc>
        <w:tc>
          <w:tcPr>
            <w:tcW w:w="1620" w:type="dxa"/>
          </w:tcPr>
          <w:p w:rsidR="00B568F1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Ministar</w:t>
            </w: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Generalni direktor</w:t>
            </w: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Načelnik Direkcije</w:t>
            </w:r>
          </w:p>
        </w:tc>
        <w:tc>
          <w:tcPr>
            <w:tcW w:w="1535" w:type="dxa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Kontinuirano</w:t>
            </w:r>
          </w:p>
        </w:tc>
      </w:tr>
    </w:tbl>
    <w:p w:rsidR="00B568F1" w:rsidRPr="00595916" w:rsidRDefault="00B568F1" w:rsidP="00B568F1">
      <w:pPr>
        <w:keepNext/>
        <w:keepLines/>
        <w:spacing w:before="0" w:after="0" w:line="240" w:lineRule="auto"/>
        <w:ind w:right="703"/>
        <w:jc w:val="left"/>
        <w:outlineLvl w:val="0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ind w:left="656" w:firstLine="7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ind w:left="656" w:firstLine="7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Default="00B568F1" w:rsidP="00B568F1">
      <w:pPr>
        <w:spacing w:before="0" w:after="31" w:line="228" w:lineRule="auto"/>
        <w:ind w:left="656" w:firstLine="7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Default="00B568F1" w:rsidP="00B568F1">
      <w:pPr>
        <w:spacing w:before="0" w:after="31" w:line="228" w:lineRule="auto"/>
        <w:ind w:left="656" w:firstLine="7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Default="00B568F1" w:rsidP="00B568F1">
      <w:pPr>
        <w:spacing w:before="0" w:after="31" w:line="228" w:lineRule="auto"/>
        <w:ind w:left="656" w:firstLine="7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Default="00B568F1" w:rsidP="00B568F1">
      <w:pPr>
        <w:spacing w:before="0" w:after="31" w:line="228" w:lineRule="auto"/>
        <w:ind w:left="656" w:firstLine="7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ind w:left="656" w:firstLine="7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  <w:r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>3</w:t>
      </w:r>
      <w:r w:rsidRPr="00595916"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>.2 Direkcija za regionaln</w:t>
      </w:r>
      <w:r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>u</w:t>
      </w:r>
      <w:r w:rsidRPr="00595916"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 xml:space="preserve"> trgovin</w:t>
      </w:r>
      <w:r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>u</w:t>
      </w:r>
      <w:r w:rsidRPr="00595916"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 xml:space="preserve"> i pristup tržištu usluga</w:t>
      </w: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lang w:val="sr-Latn-ME" w:eastAsia="en-GB"/>
        </w:rPr>
      </w:pPr>
      <w:r w:rsidRPr="00595916">
        <w:rPr>
          <w:rFonts w:ascii="Arial" w:hAnsi="Arial" w:cs="Arial"/>
          <w:b/>
          <w:color w:val="000000"/>
          <w:sz w:val="22"/>
          <w:lang w:val="sr-Latn-ME" w:eastAsia="en-GB"/>
        </w:rPr>
        <w:t xml:space="preserve">Posebni cilj: 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>Koordinacija aktivnosti u vezi sprovođenja CEFTA Sporazuma (Revizija Dodatnog protokola 6; Pregovori za Dodatni protokol 7)</w:t>
      </w:r>
      <w:r>
        <w:rPr>
          <w:rFonts w:ascii="Arial" w:hAnsi="Arial" w:cs="Arial"/>
          <w:color w:val="000000"/>
          <w:sz w:val="22"/>
          <w:lang w:val="sr-Latn-ME" w:eastAsia="en-GB"/>
        </w:rPr>
        <w:t>;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 xml:space="preserve"> Implementacija CRM Akcionog plana 2021-2024</w:t>
      </w:r>
      <w:r>
        <w:rPr>
          <w:rFonts w:ascii="Arial" w:hAnsi="Arial" w:cs="Arial"/>
          <w:color w:val="000000"/>
          <w:sz w:val="22"/>
          <w:lang w:val="sr-Latn-ME" w:eastAsia="en-GB"/>
        </w:rPr>
        <w:t>;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 xml:space="preserve"> Usklađivanje nacionalnog zakonodavstva za legislativom EU u dijelu slobode pružanja usluga (JKT, IMI)</w:t>
      </w:r>
      <w:r>
        <w:rPr>
          <w:rFonts w:ascii="Arial" w:hAnsi="Arial" w:cs="Arial"/>
          <w:color w:val="000000"/>
          <w:sz w:val="22"/>
          <w:lang w:val="sr-Latn-ME" w:eastAsia="en-GB"/>
        </w:rPr>
        <w:t>;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 xml:space="preserve"> Obaveze koje proizilaze iz GATS-a, Unije za Mediteran (UzM) i Ekonomske komisije UN za Evropu (UNECE).</w:t>
      </w: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tbl>
      <w:tblPr>
        <w:tblW w:w="1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40"/>
        <w:gridCol w:w="1620"/>
        <w:gridCol w:w="540"/>
        <w:gridCol w:w="540"/>
        <w:gridCol w:w="540"/>
        <w:gridCol w:w="3330"/>
        <w:gridCol w:w="2520"/>
        <w:gridCol w:w="1620"/>
        <w:gridCol w:w="1535"/>
      </w:tblGrid>
      <w:tr w:rsidR="00B568F1" w:rsidRPr="00595916" w:rsidTr="00692D3F">
        <w:trPr>
          <w:trHeight w:val="242"/>
          <w:tblHeader/>
          <w:jc w:val="center"/>
        </w:trPr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Rb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Opis rizika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Vrsta rizika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Rangiranje rizika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sr-Latn-ME" w:eastAsia="en-GB"/>
              </w:rPr>
              <w:t>Pregled postojećih kontrola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Reagovanje na rizik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Odgovorna osoba za rizik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Rok za sprovođenje</w:t>
            </w:r>
          </w:p>
        </w:tc>
      </w:tr>
      <w:tr w:rsidR="00B568F1" w:rsidRPr="00595916" w:rsidTr="00692D3F">
        <w:trPr>
          <w:cantSplit/>
          <w:trHeight w:val="1277"/>
          <w:tblHeader/>
          <w:jc w:val="center"/>
        </w:trPr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right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Uticaj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Vjerovatnoća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Ukupno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</w:tr>
      <w:tr w:rsidR="00B568F1" w:rsidRPr="00595916" w:rsidTr="00692D3F">
        <w:trPr>
          <w:cantSplit/>
          <w:trHeight w:val="117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B0D6A" w:rsidRDefault="00B568F1" w:rsidP="00692D3F">
            <w:pPr>
              <w:spacing w:before="0" w:after="200" w:line="276" w:lineRule="auto"/>
              <w:contextualSpacing/>
              <w:jc w:val="right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  <w:r w:rsidRPr="005B0D6A"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  <w:t>1.</w:t>
            </w:r>
          </w:p>
        </w:tc>
        <w:tc>
          <w:tcPr>
            <w:tcW w:w="234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Propusti u proceduri izrade i utvrđivanja /usvajanja relevantnih propisa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Operativni</w:t>
            </w:r>
          </w:p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Poslovni</w:t>
            </w:r>
          </w:p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Zakonodavni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3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1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3</w:t>
            </w:r>
          </w:p>
        </w:tc>
        <w:tc>
          <w:tcPr>
            <w:tcW w:w="333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Monitoring pripreme propisa</w:t>
            </w:r>
          </w:p>
        </w:tc>
        <w:tc>
          <w:tcPr>
            <w:tcW w:w="25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Strogo poštovanje postupka pripreme predloga zakona i ostalih propisa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 xml:space="preserve">Generalni direktor </w:t>
            </w:r>
          </w:p>
        </w:tc>
        <w:tc>
          <w:tcPr>
            <w:tcW w:w="1535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Kontinuirano</w:t>
            </w:r>
          </w:p>
        </w:tc>
      </w:tr>
      <w:tr w:rsidR="00B568F1" w:rsidRPr="00595916" w:rsidTr="00692D3F">
        <w:trPr>
          <w:cantSplit/>
          <w:trHeight w:val="117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B0D6A" w:rsidRDefault="00B568F1" w:rsidP="00692D3F">
            <w:pPr>
              <w:spacing w:before="0"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  <w:r>
              <w:rPr>
                <w:rFonts w:ascii="Arial" w:eastAsiaTheme="minorHAnsi" w:hAnsi="Arial" w:cs="Arial"/>
                <w:bCs/>
                <w:sz w:val="22"/>
                <w:lang w:val="sr-Latn-ME"/>
              </w:rPr>
              <w:t xml:space="preserve"> </w:t>
            </w:r>
            <w:r w:rsidRPr="005B0D6A"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  <w:t>2.</w:t>
            </w:r>
          </w:p>
        </w:tc>
        <w:tc>
          <w:tcPr>
            <w:tcW w:w="234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 xml:space="preserve">Neadekvatna implementacija međunarodnih propisa 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Operativni</w:t>
            </w:r>
          </w:p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Zakonodavni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2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2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4</w:t>
            </w:r>
          </w:p>
        </w:tc>
        <w:tc>
          <w:tcPr>
            <w:tcW w:w="333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 xml:space="preserve">Uspostavljen monitoring implementacije propisa </w:t>
            </w:r>
          </w:p>
        </w:tc>
        <w:tc>
          <w:tcPr>
            <w:tcW w:w="25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Uspostavljanje sistema izvještavanja uz predlog mjera za prevazilaženje uočenih nepravilnosti</w:t>
            </w:r>
          </w:p>
        </w:tc>
        <w:tc>
          <w:tcPr>
            <w:tcW w:w="1620" w:type="dxa"/>
          </w:tcPr>
          <w:p w:rsidR="006F6DBB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Generalni direktor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Načelnik Direkcije</w:t>
            </w:r>
          </w:p>
        </w:tc>
        <w:tc>
          <w:tcPr>
            <w:tcW w:w="1535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Kontinuirano</w:t>
            </w:r>
          </w:p>
        </w:tc>
      </w:tr>
      <w:tr w:rsidR="00B568F1" w:rsidRPr="00595916" w:rsidTr="00692D3F">
        <w:trPr>
          <w:cantSplit/>
          <w:trHeight w:val="107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95916" w:rsidRDefault="00B568F1" w:rsidP="00692D3F">
            <w:pPr>
              <w:spacing w:before="0" w:after="200" w:line="276" w:lineRule="auto"/>
              <w:contextualSpacing/>
              <w:jc w:val="center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  <w:lastRenderedPageBreak/>
              <w:t>3.</w:t>
            </w:r>
          </w:p>
        </w:tc>
        <w:tc>
          <w:tcPr>
            <w:tcW w:w="234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Neadekvatna saradnja između Ditektorata MER-a, kao i inter-resorna saradnja sa ministarstvima / institucijama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Operativni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4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3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12</w:t>
            </w:r>
          </w:p>
        </w:tc>
        <w:tc>
          <w:tcPr>
            <w:tcW w:w="333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Saradnja između 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D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irektorata i institucija; slanje urgencija; praćenje potpunosti podataka; kontrola dostavljenih informacija</w:t>
            </w:r>
          </w:p>
        </w:tc>
        <w:tc>
          <w:tcPr>
            <w:tcW w:w="25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Unapređenje saradnje uz razmjenu informacija o aktivnostima u drugim resorima od značaja za ostvarenje zajedničkih ciljeva; kontrola procesa prikupljanja podataka; </w:t>
            </w:r>
            <w:r w:rsidRPr="00F91EBD">
              <w:rPr>
                <w:rFonts w:ascii="Arial" w:hAnsi="Arial" w:cs="Arial"/>
                <w:i/>
                <w:color w:val="000000"/>
                <w:sz w:val="22"/>
                <w:lang w:val="sr-Latn-ME" w:eastAsia="en-GB"/>
              </w:rPr>
              <w:t>Cheking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lista za prikupljanje podataka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Generalni direktor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Načelnik Direkcije</w:t>
            </w:r>
          </w:p>
        </w:tc>
        <w:tc>
          <w:tcPr>
            <w:tcW w:w="1535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Kontinuirano</w:t>
            </w:r>
          </w:p>
        </w:tc>
      </w:tr>
    </w:tbl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  <w:r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lastRenderedPageBreak/>
        <w:t>3</w:t>
      </w:r>
      <w:r w:rsidRPr="00595916"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>.3 Direkcija za multilateraln</w:t>
      </w:r>
      <w:r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>u trgovinu</w:t>
      </w:r>
      <w:r w:rsidRPr="00595916"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 xml:space="preserve"> i saradnju sa STO</w:t>
      </w: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Default="00B568F1" w:rsidP="00B568F1">
      <w:pPr>
        <w:spacing w:before="0" w:after="31" w:line="228" w:lineRule="auto"/>
        <w:rPr>
          <w:rFonts w:ascii="Arial" w:hAnsi="Arial" w:cs="Arial"/>
          <w:color w:val="000000"/>
          <w:sz w:val="22"/>
          <w:lang w:val="sr-Latn-ME" w:eastAsia="en-GB"/>
        </w:rPr>
      </w:pPr>
      <w:r w:rsidRPr="00595916">
        <w:rPr>
          <w:rFonts w:ascii="Arial" w:hAnsi="Arial" w:cs="Arial"/>
          <w:b/>
          <w:color w:val="000000"/>
          <w:sz w:val="22"/>
          <w:lang w:val="sr-Latn-ME" w:eastAsia="en-GB"/>
        </w:rPr>
        <w:t xml:space="preserve">Posebni cilj: 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>Im</w:t>
      </w:r>
      <w:r>
        <w:rPr>
          <w:rFonts w:ascii="Arial" w:hAnsi="Arial" w:cs="Arial"/>
          <w:color w:val="000000"/>
          <w:sz w:val="22"/>
          <w:lang w:val="sr-Latn-ME" w:eastAsia="en-GB"/>
        </w:rPr>
        <w:t>p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>lementacija obaveza</w:t>
      </w:r>
      <w:r>
        <w:rPr>
          <w:rFonts w:ascii="Arial" w:hAnsi="Arial" w:cs="Arial"/>
          <w:color w:val="000000"/>
          <w:sz w:val="22"/>
          <w:lang w:val="sr-Latn-ME" w:eastAsia="en-GB"/>
        </w:rPr>
        <w:t xml:space="preserve"> i pregovarački proces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 xml:space="preserve"> po osnovu sporazuma o slobodnoj trgovini u dijelu pristupa tržištu roba, Sporazuma iz Marakeša o osnivanju Svjetske tgovinske organizacije (STO), kao i STO Sporazuma o trgovinskim olakšicama. Rast transparentnosti i dalja implementacija obaveza po osnovu aktuelnih pregovora u okviru STO, kao i</w:t>
      </w:r>
      <w:r>
        <w:rPr>
          <w:rFonts w:ascii="Arial" w:hAnsi="Arial" w:cs="Arial"/>
          <w:color w:val="000000"/>
          <w:sz w:val="22"/>
          <w:lang w:val="sr-Latn-ME" w:eastAsia="en-GB"/>
        </w:rPr>
        <w:t xml:space="preserve"> koordinacija aktivnosti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 xml:space="preserve"> i dalje usaglašavanje pozicija u okviru poglavlja 30 sa pozicijama EU.</w:t>
      </w:r>
    </w:p>
    <w:p w:rsidR="00B568F1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tbl>
      <w:tblPr>
        <w:tblW w:w="1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40"/>
        <w:gridCol w:w="1620"/>
        <w:gridCol w:w="540"/>
        <w:gridCol w:w="540"/>
        <w:gridCol w:w="538"/>
        <w:gridCol w:w="3332"/>
        <w:gridCol w:w="2520"/>
        <w:gridCol w:w="1620"/>
        <w:gridCol w:w="1535"/>
      </w:tblGrid>
      <w:tr w:rsidR="00B568F1" w:rsidRPr="00595916" w:rsidTr="00692D3F">
        <w:trPr>
          <w:trHeight w:val="242"/>
          <w:tblHeader/>
          <w:jc w:val="center"/>
        </w:trPr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Rb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Opis rizika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Vr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s</w:t>
            </w: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ta rizika</w:t>
            </w:r>
          </w:p>
        </w:tc>
        <w:tc>
          <w:tcPr>
            <w:tcW w:w="16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Rangiranje rizika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sr-Latn-ME" w:eastAsia="en-GB"/>
              </w:rPr>
              <w:t>Pregled postojećih kontrola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Reagovanje na rizik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Odgovorna osoba za rizik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Rok za sprovođenje</w:t>
            </w:r>
          </w:p>
        </w:tc>
      </w:tr>
      <w:tr w:rsidR="00B568F1" w:rsidRPr="00595916" w:rsidTr="00692D3F">
        <w:trPr>
          <w:cantSplit/>
          <w:trHeight w:val="1259"/>
          <w:tblHeader/>
          <w:jc w:val="center"/>
        </w:trPr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Uticaj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Vjerovatnoća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Ukupno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</w:tr>
      <w:tr w:rsidR="00B568F1" w:rsidRPr="00595916" w:rsidTr="00692D3F">
        <w:trPr>
          <w:cantSplit/>
          <w:trHeight w:val="107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95916" w:rsidRDefault="00B568F1" w:rsidP="00692D3F">
            <w:pPr>
              <w:numPr>
                <w:ilvl w:val="0"/>
                <w:numId w:val="21"/>
              </w:numPr>
              <w:spacing w:before="0" w:after="200" w:line="276" w:lineRule="auto"/>
              <w:contextualSpacing/>
              <w:jc w:val="left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</w:p>
        </w:tc>
        <w:tc>
          <w:tcPr>
            <w:tcW w:w="234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Propusti u proceduri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izrade i utvrđivanja / usvajanja propisa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Operativni</w:t>
            </w:r>
          </w:p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Zakonodavni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3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1</w:t>
            </w:r>
          </w:p>
        </w:tc>
        <w:tc>
          <w:tcPr>
            <w:tcW w:w="538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3</w:t>
            </w:r>
          </w:p>
        </w:tc>
        <w:tc>
          <w:tcPr>
            <w:tcW w:w="3332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  <w:lang w:val="sr-Latn-ME" w:eastAsia="en-GB"/>
              </w:rPr>
              <w:t>Praćenje procesa izrade i utvrđivanja / usvajanja propisa</w:t>
            </w:r>
          </w:p>
        </w:tc>
        <w:tc>
          <w:tcPr>
            <w:tcW w:w="25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Strogo poštovanje  postupka pripreme  predloga zakona i ostalih propisa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Generalni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 xml:space="preserve">direktor 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Načelnik Direkcije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535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Kontinuirano</w:t>
            </w:r>
          </w:p>
        </w:tc>
      </w:tr>
      <w:tr w:rsidR="00B568F1" w:rsidRPr="00595916" w:rsidTr="00692D3F">
        <w:trPr>
          <w:cantSplit/>
          <w:trHeight w:val="107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95916" w:rsidRDefault="00B568F1" w:rsidP="00692D3F">
            <w:pPr>
              <w:numPr>
                <w:ilvl w:val="0"/>
                <w:numId w:val="21"/>
              </w:numPr>
              <w:spacing w:before="0" w:after="200" w:line="276" w:lineRule="auto"/>
              <w:contextualSpacing/>
              <w:jc w:val="left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</w:p>
        </w:tc>
        <w:tc>
          <w:tcPr>
            <w:tcW w:w="234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Nedovoljna budžetska sredstva za realizaciju i prać</w:t>
            </w:r>
            <w:r>
              <w:rPr>
                <w:rFonts w:ascii="Arial" w:hAnsi="Arial" w:cs="Arial"/>
                <w:sz w:val="22"/>
                <w:lang w:val="sr-Latn-ME" w:eastAsia="en-GB"/>
              </w:rPr>
              <w:t>e</w:t>
            </w:r>
            <w:r w:rsidRPr="00595916">
              <w:rPr>
                <w:rFonts w:ascii="Arial" w:hAnsi="Arial" w:cs="Arial"/>
                <w:sz w:val="22"/>
                <w:lang w:val="sr-Latn-ME" w:eastAsia="en-GB"/>
              </w:rPr>
              <w:t xml:space="preserve">nje međunarodno preuzetih obaveza i plaćanja kontribucija 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Finansijski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4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2</w:t>
            </w:r>
          </w:p>
        </w:tc>
        <w:tc>
          <w:tcPr>
            <w:tcW w:w="538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8</w:t>
            </w:r>
          </w:p>
        </w:tc>
        <w:tc>
          <w:tcPr>
            <w:tcW w:w="3332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Zakon o budžetu.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Blagovremeno preduzimanje propisanih radnji</w:t>
            </w:r>
          </w:p>
        </w:tc>
        <w:tc>
          <w:tcPr>
            <w:tcW w:w="25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Planiranje prihoda i rashoda</w:t>
            </w:r>
          </w:p>
        </w:tc>
        <w:tc>
          <w:tcPr>
            <w:tcW w:w="1620" w:type="dxa"/>
          </w:tcPr>
          <w:p w:rsidR="006F6DBB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Generalni direktor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Načelnik Direkcije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B33B7D">
              <w:rPr>
                <w:rFonts w:ascii="Arial" w:hAnsi="Arial" w:cs="Arial"/>
                <w:sz w:val="22"/>
              </w:rPr>
              <w:t>Služba za pravne, opšte, kadrovske, finansijske poslove i javne nabavke</w:t>
            </w:r>
            <w:r w:rsidRPr="00595916" w:rsidDel="00B90749">
              <w:rPr>
                <w:rFonts w:ascii="Arial" w:hAnsi="Arial" w:cs="Arial"/>
                <w:sz w:val="22"/>
                <w:lang w:val="sr-Latn-ME" w:eastAsia="en-GB"/>
              </w:rPr>
              <w:t xml:space="preserve"> </w:t>
            </w:r>
          </w:p>
        </w:tc>
        <w:tc>
          <w:tcPr>
            <w:tcW w:w="1535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Kontinuirano</w:t>
            </w:r>
          </w:p>
        </w:tc>
      </w:tr>
      <w:tr w:rsidR="00B568F1" w:rsidRPr="00595916" w:rsidTr="00692D3F">
        <w:trPr>
          <w:cantSplit/>
          <w:trHeight w:val="107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95916" w:rsidRDefault="00B568F1" w:rsidP="00692D3F">
            <w:pPr>
              <w:numPr>
                <w:ilvl w:val="0"/>
                <w:numId w:val="21"/>
              </w:numPr>
              <w:spacing w:before="0" w:after="200" w:line="276" w:lineRule="auto"/>
              <w:contextualSpacing/>
              <w:jc w:val="left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</w:p>
        </w:tc>
        <w:tc>
          <w:tcPr>
            <w:tcW w:w="234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Neuskladjivanje i neimplementacija politika Crne Gore sa politikama EU u dijelu nadležnosti poglavlja 30 – Vanjski odnosi / Ministarstva</w:t>
            </w:r>
            <w:r>
              <w:rPr>
                <w:rFonts w:ascii="Arial" w:hAnsi="Arial" w:cs="Arial"/>
                <w:sz w:val="22"/>
                <w:lang w:val="sr-Latn-ME" w:eastAsia="en-GB"/>
              </w:rPr>
              <w:t xml:space="preserve"> / Direkcije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Operativni</w:t>
            </w:r>
          </w:p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Spoljašnji</w:t>
            </w:r>
          </w:p>
          <w:p w:rsidR="00B568F1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Zakonodavni</w:t>
            </w:r>
          </w:p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Reputacioni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4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2</w:t>
            </w:r>
          </w:p>
        </w:tc>
        <w:tc>
          <w:tcPr>
            <w:tcW w:w="538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8</w:t>
            </w:r>
          </w:p>
        </w:tc>
        <w:tc>
          <w:tcPr>
            <w:tcW w:w="3332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 xml:space="preserve">Praćenje implementacije preuzetih obaveza i dalje usaglašavanje sa politikama EU kroz  pregovarački proces, a koje su definisane </w:t>
            </w:r>
            <w:r>
              <w:rPr>
                <w:rFonts w:ascii="Arial" w:hAnsi="Arial" w:cs="Arial"/>
                <w:sz w:val="22"/>
                <w:lang w:val="sr-Latn-ME" w:eastAsia="en-GB"/>
              </w:rPr>
              <w:t xml:space="preserve">Pozicijom, završnim mjerilom, ali i </w:t>
            </w:r>
            <w:r w:rsidRPr="00595916">
              <w:rPr>
                <w:rFonts w:ascii="Arial" w:hAnsi="Arial" w:cs="Arial"/>
                <w:sz w:val="22"/>
                <w:lang w:val="sr-Latn-ME" w:eastAsia="en-GB"/>
              </w:rPr>
              <w:t xml:space="preserve">dokumentima koje priprema Radna grupa kao i različiti izvještaji  EK  (Izvještaj EK za poglavlje 30, zapisnici sa sastanaka i dr.) </w:t>
            </w:r>
          </w:p>
        </w:tc>
        <w:tc>
          <w:tcPr>
            <w:tcW w:w="25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Poštovanje rokova, kontinuirana razmjena informacija i različite forme izvještavanja i praćenja obaveza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Star</w:t>
            </w:r>
            <w:r>
              <w:rPr>
                <w:rFonts w:ascii="Arial" w:hAnsi="Arial" w:cs="Arial"/>
                <w:sz w:val="22"/>
                <w:lang w:val="sr-Latn-ME" w:eastAsia="en-GB"/>
              </w:rPr>
              <w:t>j</w:t>
            </w:r>
            <w:r w:rsidRPr="00595916">
              <w:rPr>
                <w:rFonts w:ascii="Arial" w:hAnsi="Arial" w:cs="Arial"/>
                <w:sz w:val="22"/>
                <w:lang w:val="sr-Latn-ME" w:eastAsia="en-GB"/>
              </w:rPr>
              <w:t>ešina organa relevantnih institucija,</w:t>
            </w:r>
          </w:p>
          <w:p w:rsidR="00B568F1" w:rsidRPr="00595916" w:rsidRDefault="00B568F1" w:rsidP="00692D3F">
            <w:pPr>
              <w:spacing w:before="0" w:after="0" w:line="240" w:lineRule="auto"/>
              <w:ind w:right="-104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Članovi pregovaračke strukture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535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Kontinuirano</w:t>
            </w:r>
          </w:p>
        </w:tc>
      </w:tr>
      <w:tr w:rsidR="00B568F1" w:rsidRPr="00595916" w:rsidTr="00692D3F">
        <w:trPr>
          <w:cantSplit/>
          <w:trHeight w:val="107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95916" w:rsidRDefault="00B568F1" w:rsidP="00692D3F">
            <w:pPr>
              <w:numPr>
                <w:ilvl w:val="0"/>
                <w:numId w:val="21"/>
              </w:numPr>
              <w:spacing w:before="0" w:after="200" w:line="276" w:lineRule="auto"/>
              <w:contextualSpacing/>
              <w:jc w:val="left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</w:p>
        </w:tc>
        <w:tc>
          <w:tcPr>
            <w:tcW w:w="234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Izazovi u dijelu kašnjenja u izradi i implementaciji Programa pristupanja Crne Gore EU</w:t>
            </w:r>
            <w:r>
              <w:rPr>
                <w:rFonts w:ascii="Arial" w:hAnsi="Arial" w:cs="Arial"/>
                <w:sz w:val="22"/>
                <w:lang w:val="sr-Latn-ME" w:eastAsia="en-GB"/>
              </w:rPr>
              <w:t xml:space="preserve"> u odnosu na poglavlje 30 – Vanjski odnosi u nadležnosti Ministarstva 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Operativni</w:t>
            </w:r>
          </w:p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Reputacioni</w:t>
            </w:r>
          </w:p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Informacije i komunikacije</w:t>
            </w:r>
          </w:p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Finansijski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3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2</w:t>
            </w:r>
          </w:p>
        </w:tc>
        <w:tc>
          <w:tcPr>
            <w:tcW w:w="538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6</w:t>
            </w:r>
          </w:p>
        </w:tc>
        <w:tc>
          <w:tcPr>
            <w:tcW w:w="3332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Odluka o obrazovanju (pregovaračke) radne grupe za poglavlj</w:t>
            </w:r>
            <w:r>
              <w:rPr>
                <w:rFonts w:ascii="Arial" w:hAnsi="Arial" w:cs="Arial"/>
                <w:sz w:val="22"/>
                <w:lang w:val="sr-Latn-ME" w:eastAsia="en-GB"/>
              </w:rPr>
              <w:t>e</w:t>
            </w:r>
            <w:r w:rsidRPr="00595916">
              <w:rPr>
                <w:rFonts w:ascii="Arial" w:hAnsi="Arial" w:cs="Arial"/>
                <w:sz w:val="22"/>
                <w:lang w:val="sr-Latn-ME" w:eastAsia="en-GB"/>
              </w:rPr>
              <w:t xml:space="preserve"> 30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Program pristupanja Crne Gore Evropskoj uniji u dijelu poglavlja 30</w:t>
            </w:r>
            <w:r>
              <w:rPr>
                <w:rFonts w:ascii="Arial" w:hAnsi="Arial" w:cs="Arial"/>
                <w:sz w:val="22"/>
                <w:lang w:val="sr-Latn-ME" w:eastAsia="en-GB"/>
              </w:rPr>
              <w:t xml:space="preserve"> (PPCG)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25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 xml:space="preserve">Kvalitetna saradnja s državnim institucijama odgovornim za pripremu dokumenta 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Blagovremena organizacija sastanaka radne grupe na temu izvještavanja po osnovu PPCG-a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Star</w:t>
            </w:r>
            <w:r>
              <w:rPr>
                <w:rFonts w:ascii="Arial" w:hAnsi="Arial" w:cs="Arial"/>
                <w:sz w:val="22"/>
                <w:lang w:val="sr-Latn-ME" w:eastAsia="en-GB"/>
              </w:rPr>
              <w:t>j</w:t>
            </w:r>
            <w:r w:rsidRPr="00595916">
              <w:rPr>
                <w:rFonts w:ascii="Arial" w:hAnsi="Arial" w:cs="Arial"/>
                <w:sz w:val="22"/>
                <w:lang w:val="sr-Latn-ME" w:eastAsia="en-GB"/>
              </w:rPr>
              <w:t>ešina organa relevantnih institucija,</w:t>
            </w:r>
          </w:p>
          <w:p w:rsidR="00B568F1" w:rsidRPr="00595916" w:rsidRDefault="00B568F1" w:rsidP="00692D3F">
            <w:pPr>
              <w:spacing w:before="0" w:after="0" w:line="240" w:lineRule="auto"/>
              <w:ind w:right="-104"/>
              <w:rPr>
                <w:rFonts w:ascii="Arial" w:hAnsi="Arial" w:cs="Arial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Članovi pregovaračke strukture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 xml:space="preserve">Načelnik Direkcije - Šef </w:t>
            </w:r>
            <w:r>
              <w:rPr>
                <w:rFonts w:ascii="Arial" w:hAnsi="Arial" w:cs="Arial"/>
                <w:sz w:val="22"/>
                <w:lang w:val="sr-Latn-ME" w:eastAsia="en-GB"/>
              </w:rPr>
              <w:t>Pregovaračke</w:t>
            </w:r>
            <w:r w:rsidRPr="00595916">
              <w:rPr>
                <w:rFonts w:ascii="Arial" w:hAnsi="Arial" w:cs="Arial"/>
                <w:sz w:val="22"/>
                <w:lang w:val="sr-Latn-ME" w:eastAsia="en-GB"/>
              </w:rPr>
              <w:t>rad</w:t>
            </w:r>
            <w:r>
              <w:rPr>
                <w:rFonts w:ascii="Arial" w:hAnsi="Arial" w:cs="Arial"/>
                <w:sz w:val="22"/>
                <w:lang w:val="sr-Latn-ME" w:eastAsia="en-GB"/>
              </w:rPr>
              <w:t>n</w:t>
            </w:r>
            <w:r w:rsidRPr="00595916">
              <w:rPr>
                <w:rFonts w:ascii="Arial" w:hAnsi="Arial" w:cs="Arial"/>
                <w:sz w:val="22"/>
                <w:lang w:val="sr-Latn-ME" w:eastAsia="en-GB"/>
              </w:rPr>
              <w:t>e grupe</w:t>
            </w:r>
          </w:p>
        </w:tc>
        <w:tc>
          <w:tcPr>
            <w:tcW w:w="1535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sz w:val="22"/>
                <w:lang w:val="sr-Latn-ME" w:eastAsia="en-GB"/>
              </w:rPr>
              <w:t>Kontinuirano</w:t>
            </w:r>
          </w:p>
        </w:tc>
      </w:tr>
    </w:tbl>
    <w:p w:rsidR="00B568F1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Pr="00595916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  <w:r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lastRenderedPageBreak/>
        <w:t>3</w:t>
      </w:r>
      <w:r w:rsidRPr="00595916"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>.4 Direkcija za međunarodn</w:t>
      </w:r>
      <w:r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>u</w:t>
      </w:r>
      <w:r w:rsidRPr="00595916"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 xml:space="preserve"> ekonomsku saradnju</w:t>
      </w: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Pr="00595916" w:rsidRDefault="00B568F1" w:rsidP="00B568F1">
      <w:pPr>
        <w:tabs>
          <w:tab w:val="left" w:pos="1080"/>
        </w:tabs>
        <w:spacing w:before="0" w:after="31" w:line="228" w:lineRule="auto"/>
        <w:ind w:left="1170" w:hanging="1620"/>
        <w:rPr>
          <w:rFonts w:ascii="Arial" w:hAnsi="Arial" w:cs="Arial"/>
          <w:color w:val="000000"/>
          <w:sz w:val="22"/>
          <w:lang w:val="sr-Latn-ME" w:eastAsia="en-GB"/>
        </w:rPr>
      </w:pPr>
      <w:r w:rsidRPr="00595916">
        <w:rPr>
          <w:rFonts w:ascii="Arial" w:hAnsi="Arial" w:cs="Arial"/>
          <w:b/>
          <w:color w:val="000000"/>
          <w:sz w:val="22"/>
          <w:lang w:val="sr-Latn-ME" w:eastAsia="en-GB"/>
        </w:rPr>
        <w:t xml:space="preserve">Posebni cilj:   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>•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ab/>
        <w:t>Unapređenje bilateralne ekonomske saradnje Crne Gore sa drugim državama</w:t>
      </w:r>
    </w:p>
    <w:p w:rsidR="00B568F1" w:rsidRPr="00595916" w:rsidRDefault="00B568F1" w:rsidP="00B568F1">
      <w:pPr>
        <w:tabs>
          <w:tab w:val="left" w:pos="900"/>
          <w:tab w:val="left" w:pos="990"/>
          <w:tab w:val="left" w:pos="1170"/>
        </w:tabs>
        <w:spacing w:before="0" w:after="31" w:line="228" w:lineRule="auto"/>
        <w:rPr>
          <w:rFonts w:ascii="Arial" w:hAnsi="Arial" w:cs="Arial"/>
          <w:color w:val="000000"/>
          <w:sz w:val="22"/>
          <w:lang w:val="sr-Latn-ME" w:eastAsia="en-GB"/>
        </w:rPr>
      </w:pPr>
      <w:r w:rsidRPr="00595916">
        <w:rPr>
          <w:rFonts w:ascii="Arial" w:hAnsi="Arial" w:cs="Arial"/>
          <w:color w:val="000000"/>
          <w:sz w:val="22"/>
          <w:lang w:val="sr-Latn-ME" w:eastAsia="en-GB"/>
        </w:rPr>
        <w:t xml:space="preserve">                •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ab/>
        <w:t>Efikasna regionalna i multilateralna ekonomska saradnja</w:t>
      </w:r>
      <w:r>
        <w:rPr>
          <w:rFonts w:ascii="Arial" w:hAnsi="Arial" w:cs="Arial"/>
          <w:color w:val="000000"/>
          <w:sz w:val="22"/>
          <w:lang w:val="sr-Latn-ME" w:eastAsia="en-GB"/>
        </w:rPr>
        <w:t>.</w:t>
      </w: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tbl>
      <w:tblPr>
        <w:tblW w:w="1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38"/>
        <w:gridCol w:w="1622"/>
        <w:gridCol w:w="540"/>
        <w:gridCol w:w="540"/>
        <w:gridCol w:w="538"/>
        <w:gridCol w:w="3329"/>
        <w:gridCol w:w="2523"/>
        <w:gridCol w:w="1619"/>
        <w:gridCol w:w="1536"/>
      </w:tblGrid>
      <w:tr w:rsidR="00B568F1" w:rsidRPr="00595916" w:rsidTr="00692D3F">
        <w:trPr>
          <w:trHeight w:val="242"/>
          <w:tblHeader/>
          <w:jc w:val="center"/>
        </w:trPr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Rb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Opis rizika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Vrsta rizika</w:t>
            </w:r>
          </w:p>
        </w:tc>
        <w:tc>
          <w:tcPr>
            <w:tcW w:w="16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Rangiranje rizika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sr-Latn-ME" w:eastAsia="en-GB"/>
              </w:rPr>
              <w:t>Pregled postojećih kontrola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Reagovanje na rizik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Odgovorna osoba za rizik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Rok za sprovođenje</w:t>
            </w:r>
          </w:p>
        </w:tc>
      </w:tr>
      <w:tr w:rsidR="00B568F1" w:rsidRPr="00595916" w:rsidTr="00692D3F">
        <w:trPr>
          <w:cantSplit/>
          <w:trHeight w:val="1259"/>
          <w:tblHeader/>
          <w:jc w:val="center"/>
        </w:trPr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Uticaj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Vjerovatnoća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Ukupno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</w:tr>
      <w:tr w:rsidR="00B568F1" w:rsidRPr="00595916" w:rsidTr="00692D3F">
        <w:trPr>
          <w:cantSplit/>
          <w:trHeight w:val="107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95916" w:rsidRDefault="00B568F1" w:rsidP="00692D3F">
            <w:pPr>
              <w:numPr>
                <w:ilvl w:val="0"/>
                <w:numId w:val="22"/>
              </w:numPr>
              <w:spacing w:before="0" w:after="200" w:line="276" w:lineRule="auto"/>
              <w:contextualSpacing/>
              <w:jc w:val="left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</w:p>
        </w:tc>
        <w:tc>
          <w:tcPr>
            <w:tcW w:w="2338" w:type="dxa"/>
          </w:tcPr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Nemogućnost realizacije inicijative/konferencije/projekta 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i 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realizaciju mješovitih komisija za ekonomsku saradnju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usled nedostatka finansijskih sredstava</w:t>
            </w:r>
          </w:p>
        </w:tc>
        <w:tc>
          <w:tcPr>
            <w:tcW w:w="1622" w:type="dxa"/>
          </w:tcPr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Finansijski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3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3</w:t>
            </w:r>
          </w:p>
        </w:tc>
        <w:tc>
          <w:tcPr>
            <w:tcW w:w="538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9</w:t>
            </w:r>
          </w:p>
        </w:tc>
        <w:tc>
          <w:tcPr>
            <w:tcW w:w="3329" w:type="dxa"/>
          </w:tcPr>
          <w:p w:rsidR="00B568F1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B568F1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Zakon o budžetu</w:t>
            </w:r>
          </w:p>
          <w:p w:rsidR="00B568F1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Planiranje prihoda i rashoda</w:t>
            </w: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2523" w:type="dxa"/>
          </w:tcPr>
          <w:p w:rsidR="00B568F1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F9489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Planiranje aktivnosti u budžetu, dodatna usaglašavanja i blagovremeno preduzimanje propisanih radnji</w:t>
            </w:r>
          </w:p>
        </w:tc>
        <w:tc>
          <w:tcPr>
            <w:tcW w:w="1619" w:type="dxa"/>
          </w:tcPr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Generalni 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direktor</w:t>
            </w:r>
          </w:p>
        </w:tc>
        <w:tc>
          <w:tcPr>
            <w:tcW w:w="1536" w:type="dxa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Kontinuirano</w:t>
            </w:r>
          </w:p>
        </w:tc>
      </w:tr>
      <w:tr w:rsidR="00B568F1" w:rsidRPr="00595916" w:rsidTr="00692D3F">
        <w:trPr>
          <w:cantSplit/>
          <w:trHeight w:val="107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95916" w:rsidRDefault="00B568F1" w:rsidP="00692D3F">
            <w:pPr>
              <w:numPr>
                <w:ilvl w:val="0"/>
                <w:numId w:val="22"/>
              </w:numPr>
              <w:spacing w:before="0" w:after="200" w:line="276" w:lineRule="auto"/>
              <w:contextualSpacing/>
              <w:jc w:val="left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</w:p>
        </w:tc>
        <w:tc>
          <w:tcPr>
            <w:tcW w:w="2338" w:type="dxa"/>
          </w:tcPr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Propusti u proceduri pripreme predloga za davanje saglasnosti za osnivanje slobodne zone ili skladišta</w:t>
            </w:r>
          </w:p>
        </w:tc>
        <w:tc>
          <w:tcPr>
            <w:tcW w:w="1622" w:type="dxa"/>
          </w:tcPr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Operativni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2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2</w:t>
            </w:r>
          </w:p>
        </w:tc>
        <w:tc>
          <w:tcPr>
            <w:tcW w:w="538" w:type="dxa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4</w:t>
            </w:r>
          </w:p>
        </w:tc>
        <w:tc>
          <w:tcPr>
            <w:tcW w:w="3329" w:type="dxa"/>
          </w:tcPr>
          <w:p w:rsidR="00B568F1" w:rsidRPr="006F6DBB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 w:themeColor="text1"/>
                <w:sz w:val="22"/>
                <w:lang w:val="sr-Latn-ME" w:eastAsia="en-GB"/>
              </w:rPr>
            </w:pPr>
            <w:r w:rsidRPr="006F6DBB">
              <w:rPr>
                <w:rFonts w:ascii="Arial" w:hAnsi="Arial" w:cs="Arial"/>
                <w:color w:val="000000" w:themeColor="text1"/>
                <w:sz w:val="22"/>
                <w:lang w:val="sr-Latn-ME" w:eastAsia="en-GB"/>
              </w:rPr>
              <w:t>Zakon o slobodnim zonama</w:t>
            </w:r>
          </w:p>
          <w:p w:rsidR="00B568F1" w:rsidRPr="006F6DBB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 w:themeColor="text1"/>
                <w:sz w:val="22"/>
                <w:lang w:val="sr-Latn-ME" w:eastAsia="en-GB"/>
              </w:rPr>
            </w:pPr>
            <w:r w:rsidRPr="006F6DBB">
              <w:rPr>
                <w:rFonts w:ascii="Arial" w:hAnsi="Arial" w:cs="Arial"/>
                <w:color w:val="000000" w:themeColor="text1"/>
                <w:sz w:val="22"/>
                <w:lang w:val="sr-Latn-ME" w:eastAsia="en-GB"/>
              </w:rPr>
              <w:t>Odluka o sadržini elaborata o ekonomskoj opravdanosti za osnivanje slobodnih zona i slobodnih skladišta</w:t>
            </w:r>
          </w:p>
        </w:tc>
        <w:tc>
          <w:tcPr>
            <w:tcW w:w="2523" w:type="dxa"/>
          </w:tcPr>
          <w:p w:rsidR="00B568F1" w:rsidRPr="006F6DBB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 w:themeColor="text1"/>
                <w:sz w:val="22"/>
                <w:lang w:val="sr-Latn-ME" w:eastAsia="en-GB"/>
              </w:rPr>
            </w:pPr>
            <w:r w:rsidRPr="006F6DBB">
              <w:rPr>
                <w:rFonts w:ascii="Arial" w:hAnsi="Arial" w:cs="Arial"/>
                <w:color w:val="000000" w:themeColor="text1"/>
                <w:sz w:val="22"/>
                <w:lang w:val="sr-Latn-ME" w:eastAsia="en-GB"/>
              </w:rPr>
              <w:t>Strogo poštovanje  postupka pripreme  predloga o davanju saglasnosti</w:t>
            </w:r>
          </w:p>
          <w:p w:rsidR="00B568F1" w:rsidRPr="006F6DBB" w:rsidRDefault="00B568F1" w:rsidP="00692D3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lang w:val="sr-Latn-ME" w:eastAsia="en-GB"/>
              </w:rPr>
            </w:pPr>
            <w:r w:rsidRPr="006F6DBB">
              <w:rPr>
                <w:rFonts w:ascii="Arial" w:hAnsi="Arial" w:cs="Arial"/>
                <w:color w:val="000000" w:themeColor="text1"/>
                <w:sz w:val="22"/>
                <w:lang w:val="sr-Latn-ME" w:eastAsia="en-GB"/>
              </w:rPr>
              <w:t>Kvalitetna saradnja s nadležnim državnim institucijama</w:t>
            </w:r>
          </w:p>
          <w:p w:rsidR="00B568F1" w:rsidRPr="006F6DBB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 w:themeColor="text1"/>
                <w:sz w:val="22"/>
                <w:lang w:val="sr-Latn-ME" w:eastAsia="en-GB"/>
              </w:rPr>
            </w:pPr>
          </w:p>
        </w:tc>
        <w:tc>
          <w:tcPr>
            <w:tcW w:w="1619" w:type="dxa"/>
          </w:tcPr>
          <w:p w:rsidR="00B568F1" w:rsidRPr="00595916" w:rsidRDefault="00B568F1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Generalni direktor</w:t>
            </w:r>
          </w:p>
        </w:tc>
        <w:tc>
          <w:tcPr>
            <w:tcW w:w="1536" w:type="dxa"/>
          </w:tcPr>
          <w:p w:rsidR="00B568F1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Kontinuirano</w:t>
            </w:r>
          </w:p>
        </w:tc>
      </w:tr>
    </w:tbl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6F6DBB" w:rsidRPr="00595916" w:rsidRDefault="006F6DBB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  <w:r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lastRenderedPageBreak/>
        <w:t>3</w:t>
      </w:r>
      <w:r w:rsidRPr="00595916"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>.5 Direkcija za</w:t>
      </w:r>
      <w:r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 xml:space="preserve"> pripremu učešća na Svjetskoj izložbi Expo</w:t>
      </w:r>
      <w:r w:rsidRPr="00595916"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  <w:t xml:space="preserve"> </w:t>
      </w: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color w:val="000000"/>
          <w:sz w:val="22"/>
          <w:lang w:val="sr-Latn-ME" w:eastAsia="en-GB"/>
        </w:rPr>
      </w:pPr>
      <w:r w:rsidRPr="00595916">
        <w:rPr>
          <w:rFonts w:ascii="Arial" w:hAnsi="Arial" w:cs="Arial"/>
          <w:b/>
          <w:color w:val="000000"/>
          <w:sz w:val="22"/>
          <w:lang w:val="sr-Latn-ME" w:eastAsia="en-GB"/>
        </w:rPr>
        <w:t xml:space="preserve">Posebni cilj: </w:t>
      </w:r>
      <w:r w:rsidRPr="00595916">
        <w:rPr>
          <w:rFonts w:ascii="Arial" w:hAnsi="Arial" w:cs="Arial"/>
          <w:color w:val="000000"/>
          <w:sz w:val="22"/>
          <w:lang w:val="sr-Latn-ME" w:eastAsia="en-GB"/>
        </w:rPr>
        <w:t>Relizacija projekta predstavljanja Crne Gore na Svjetskoj izložbi „Expo 2025 Osaka“</w:t>
      </w:r>
      <w:r>
        <w:rPr>
          <w:rFonts w:ascii="Arial" w:hAnsi="Arial" w:cs="Arial"/>
          <w:color w:val="000000"/>
          <w:sz w:val="22"/>
          <w:lang w:val="sr-Latn-ME" w:eastAsia="en-GB"/>
        </w:rPr>
        <w:t>.</w:t>
      </w:r>
    </w:p>
    <w:p w:rsidR="00B568F1" w:rsidRPr="00595916" w:rsidRDefault="00B568F1" w:rsidP="00B568F1">
      <w:pPr>
        <w:spacing w:before="0" w:after="31" w:line="228" w:lineRule="auto"/>
        <w:rPr>
          <w:rFonts w:ascii="Arial" w:hAnsi="Arial" w:cs="Arial"/>
          <w:b/>
          <w:color w:val="000000"/>
          <w:sz w:val="22"/>
          <w:u w:val="single"/>
          <w:lang w:val="sr-Latn-ME" w:eastAsia="en-GB"/>
        </w:rPr>
      </w:pPr>
    </w:p>
    <w:tbl>
      <w:tblPr>
        <w:tblW w:w="1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38"/>
        <w:gridCol w:w="1622"/>
        <w:gridCol w:w="540"/>
        <w:gridCol w:w="540"/>
        <w:gridCol w:w="540"/>
        <w:gridCol w:w="3327"/>
        <w:gridCol w:w="2523"/>
        <w:gridCol w:w="1620"/>
        <w:gridCol w:w="1535"/>
      </w:tblGrid>
      <w:tr w:rsidR="00B568F1" w:rsidRPr="00595916" w:rsidTr="00692D3F">
        <w:trPr>
          <w:trHeight w:val="242"/>
          <w:tblHeader/>
          <w:jc w:val="center"/>
        </w:trPr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Rb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Opis rizika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Vrsta rizika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Rangiranje rizika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sr-Latn-ME" w:eastAsia="en-GB"/>
              </w:rPr>
              <w:t>Pregled postojećih kontrola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Reagovanje na rizik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Odgovorna osoba za rizik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Rok za sprovođenje</w:t>
            </w:r>
          </w:p>
        </w:tc>
      </w:tr>
      <w:tr w:rsidR="00B568F1" w:rsidRPr="00595916" w:rsidTr="00692D3F">
        <w:trPr>
          <w:cantSplit/>
          <w:trHeight w:val="1259"/>
          <w:tblHeader/>
          <w:jc w:val="center"/>
        </w:trPr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Uticaj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Vjerovatnoća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b/>
                <w:bCs/>
                <w:color w:val="000000"/>
                <w:sz w:val="22"/>
                <w:lang w:val="sr-Latn-ME" w:eastAsia="en-GB"/>
              </w:rPr>
              <w:t>Ukupno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568F1" w:rsidRPr="00595916" w:rsidRDefault="00B568F1" w:rsidP="00692D3F">
            <w:pPr>
              <w:spacing w:before="0" w:after="31" w:line="228" w:lineRule="auto"/>
              <w:jc w:val="center"/>
              <w:rPr>
                <w:rFonts w:ascii="Arial" w:hAnsi="Arial" w:cs="Arial"/>
                <w:bCs/>
                <w:color w:val="000000"/>
                <w:sz w:val="22"/>
                <w:lang w:val="sr-Latn-ME" w:eastAsia="en-GB"/>
              </w:rPr>
            </w:pPr>
          </w:p>
        </w:tc>
      </w:tr>
      <w:tr w:rsidR="00B568F1" w:rsidRPr="00595916" w:rsidTr="00692D3F">
        <w:trPr>
          <w:cantSplit/>
          <w:trHeight w:val="117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95916" w:rsidRDefault="00B568F1" w:rsidP="00692D3F">
            <w:pPr>
              <w:numPr>
                <w:ilvl w:val="0"/>
                <w:numId w:val="23"/>
              </w:numPr>
              <w:spacing w:before="0" w:after="200" w:line="276" w:lineRule="auto"/>
              <w:contextualSpacing/>
              <w:jc w:val="left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</w:p>
        </w:tc>
        <w:tc>
          <w:tcPr>
            <w:tcW w:w="2338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Nemogućnost usaglašavanja projektnih zadataka i postojeće legislative vezane za javne nabavke</w:t>
            </w:r>
          </w:p>
        </w:tc>
        <w:tc>
          <w:tcPr>
            <w:tcW w:w="1622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Operativni</w:t>
            </w:r>
          </w:p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Zakonodavni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5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3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15</w:t>
            </w:r>
          </w:p>
        </w:tc>
        <w:tc>
          <w:tcPr>
            <w:tcW w:w="3327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Primjena Zakona o javnim nabavkama.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Istraživanje tržišta radi što boljeg određivanja predmeta nabavke i njegove procijenjene vrijednosti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Blagovremena i kvalitetna priprema tenderske dokumentacije</w:t>
            </w:r>
          </w:p>
        </w:tc>
        <w:tc>
          <w:tcPr>
            <w:tcW w:w="2523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Blagovremeno preduzimanje propisanih radnji – ponovno pokretanje postupka javne nabavke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Sekretar,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Generalni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direktor 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Načelnik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Direkcije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Službenik za 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javne nabavke</w:t>
            </w:r>
          </w:p>
        </w:tc>
        <w:tc>
          <w:tcPr>
            <w:tcW w:w="1535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1. maj 2024. godine.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(godinu dana prije početka sljedeće Svjetske izložbe Expo)</w:t>
            </w:r>
          </w:p>
        </w:tc>
      </w:tr>
      <w:tr w:rsidR="00B568F1" w:rsidRPr="00595916" w:rsidTr="00692D3F">
        <w:trPr>
          <w:cantSplit/>
          <w:trHeight w:val="107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568F1" w:rsidRPr="00595916" w:rsidRDefault="00B568F1" w:rsidP="00692D3F">
            <w:pPr>
              <w:numPr>
                <w:ilvl w:val="0"/>
                <w:numId w:val="23"/>
              </w:numPr>
              <w:spacing w:before="0" w:after="200" w:line="276" w:lineRule="auto"/>
              <w:contextualSpacing/>
              <w:jc w:val="left"/>
              <w:rPr>
                <w:rFonts w:ascii="Arial" w:eastAsiaTheme="minorHAnsi" w:hAnsi="Arial" w:cs="Arial"/>
                <w:b/>
                <w:bCs/>
                <w:sz w:val="22"/>
                <w:lang w:val="sr-Latn-ME"/>
              </w:rPr>
            </w:pPr>
          </w:p>
        </w:tc>
        <w:tc>
          <w:tcPr>
            <w:tcW w:w="2338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Nedovoljna budžetska sredstva za realizaciju projekata</w:t>
            </w:r>
          </w:p>
        </w:tc>
        <w:tc>
          <w:tcPr>
            <w:tcW w:w="1622" w:type="dxa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Operativni</w:t>
            </w:r>
          </w:p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Finansijski</w:t>
            </w:r>
          </w:p>
          <w:p w:rsidR="00B568F1" w:rsidRPr="00595916" w:rsidRDefault="00B568F1" w:rsidP="00692D3F">
            <w:pPr>
              <w:spacing w:before="0" w:after="0" w:line="240" w:lineRule="auto"/>
              <w:ind w:left="656" w:firstLine="7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4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3</w:t>
            </w:r>
          </w:p>
        </w:tc>
        <w:tc>
          <w:tcPr>
            <w:tcW w:w="540" w:type="dxa"/>
            <w:vAlign w:val="center"/>
          </w:tcPr>
          <w:p w:rsidR="00B568F1" w:rsidRPr="00595916" w:rsidRDefault="00B568F1" w:rsidP="00692D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12</w:t>
            </w:r>
          </w:p>
        </w:tc>
        <w:tc>
          <w:tcPr>
            <w:tcW w:w="3327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Usaglašavanje prijedloga budžeta projekta sa optimalnim prioritetima i ciljevima projekta 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Planiranje prihoda i rashoda</w:t>
            </w:r>
          </w:p>
        </w:tc>
        <w:tc>
          <w:tcPr>
            <w:tcW w:w="2523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Animacija potencijalnih donatora i sponzora u cilju obezbijeđivanja dodatnih sredstava za realizaciju projekta</w:t>
            </w:r>
          </w:p>
        </w:tc>
        <w:tc>
          <w:tcPr>
            <w:tcW w:w="1620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Sekretar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Generalni 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direktor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Načelnik</w:t>
            </w:r>
          </w:p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Direkcije</w:t>
            </w:r>
          </w:p>
        </w:tc>
        <w:tc>
          <w:tcPr>
            <w:tcW w:w="1535" w:type="dxa"/>
          </w:tcPr>
          <w:p w:rsidR="00B568F1" w:rsidRPr="00595916" w:rsidRDefault="00B568F1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Kontinuirano</w:t>
            </w:r>
          </w:p>
        </w:tc>
      </w:tr>
    </w:tbl>
    <w:p w:rsidR="00B568F1" w:rsidRDefault="00B568F1" w:rsidP="00B568F1">
      <w:pPr>
        <w:spacing w:before="0" w:after="31" w:line="228" w:lineRule="auto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Default="00B568F1" w:rsidP="00B568F1">
      <w:pPr>
        <w:spacing w:before="0" w:after="31" w:line="228" w:lineRule="auto"/>
        <w:rPr>
          <w:rFonts w:ascii="Arial" w:hAnsi="Arial" w:cs="Arial"/>
          <w:color w:val="000000"/>
          <w:sz w:val="22"/>
          <w:lang w:val="sr-Latn-ME" w:eastAsia="en-GB"/>
        </w:rPr>
      </w:pPr>
    </w:p>
    <w:p w:rsidR="006F6DBB" w:rsidRDefault="006F6DBB" w:rsidP="00B568F1">
      <w:pPr>
        <w:spacing w:before="0" w:after="31" w:line="228" w:lineRule="auto"/>
        <w:rPr>
          <w:rFonts w:ascii="Arial" w:hAnsi="Arial" w:cs="Arial"/>
          <w:color w:val="000000"/>
          <w:sz w:val="22"/>
          <w:lang w:val="sr-Latn-ME" w:eastAsia="en-GB"/>
        </w:rPr>
      </w:pPr>
    </w:p>
    <w:p w:rsidR="00B568F1" w:rsidRPr="00595916" w:rsidRDefault="00B568F1" w:rsidP="00B568F1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3.</w:t>
      </w:r>
      <w:proofErr w:type="gramStart"/>
      <w:r>
        <w:rPr>
          <w:rFonts w:ascii="Arial" w:hAnsi="Arial" w:cs="Arial"/>
          <w:b/>
          <w:sz w:val="22"/>
          <w:u w:val="single"/>
        </w:rPr>
        <w:t>6..</w:t>
      </w:r>
      <w:proofErr w:type="gramEnd"/>
      <w:r w:rsidRPr="00595916">
        <w:rPr>
          <w:rFonts w:ascii="Arial" w:hAnsi="Arial" w:cs="Arial"/>
          <w:b/>
          <w:sz w:val="22"/>
          <w:u w:val="single"/>
        </w:rPr>
        <w:t>Direkcija za evropske integracije</w:t>
      </w:r>
    </w:p>
    <w:p w:rsidR="00B568F1" w:rsidRDefault="00B568F1" w:rsidP="00B568F1">
      <w:pPr>
        <w:rPr>
          <w:rFonts w:ascii="Arial" w:hAnsi="Arial" w:cs="Arial"/>
          <w:sz w:val="22"/>
        </w:rPr>
      </w:pPr>
      <w:r w:rsidRPr="00595916">
        <w:rPr>
          <w:rFonts w:ascii="Arial" w:hAnsi="Arial" w:cs="Arial"/>
          <w:b/>
          <w:sz w:val="22"/>
        </w:rPr>
        <w:t>Posebni cilj</w:t>
      </w:r>
      <w:r w:rsidRPr="00595916">
        <w:rPr>
          <w:rFonts w:ascii="Arial" w:hAnsi="Arial" w:cs="Arial"/>
          <w:sz w:val="22"/>
        </w:rPr>
        <w:t xml:space="preserve">: Kvalitetna realizacija obaveza koje proističu iz pristupnih pregovora u dijelu poglavlja 1, 3, 6, 7, 8, 10, 20, 22, 28, 30 blagovremena i kvalitetna izrada relevantnih dokumenata iz pregovaračkog procesa u dijelu datih </w:t>
      </w:r>
      <w:r>
        <w:rPr>
          <w:rFonts w:ascii="Arial" w:hAnsi="Arial" w:cs="Arial"/>
          <w:sz w:val="22"/>
        </w:rPr>
        <w:t>poglavlja.</w:t>
      </w:r>
    </w:p>
    <w:tbl>
      <w:tblPr>
        <w:tblW w:w="1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430"/>
        <w:gridCol w:w="1350"/>
        <w:gridCol w:w="445"/>
        <w:gridCol w:w="450"/>
        <w:gridCol w:w="545"/>
        <w:gridCol w:w="985"/>
        <w:gridCol w:w="2795"/>
        <w:gridCol w:w="2610"/>
        <w:gridCol w:w="1530"/>
        <w:gridCol w:w="1530"/>
      </w:tblGrid>
      <w:tr w:rsidR="00B568F1" w:rsidRPr="006C6716" w:rsidTr="00692D3F">
        <w:trPr>
          <w:trHeight w:val="242"/>
          <w:tblHeader/>
          <w:jc w:val="center"/>
        </w:trPr>
        <w:tc>
          <w:tcPr>
            <w:tcW w:w="45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lastRenderedPageBreak/>
              <w:t>Rb</w:t>
            </w:r>
          </w:p>
        </w:tc>
        <w:tc>
          <w:tcPr>
            <w:tcW w:w="243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Opis rizika</w:t>
            </w:r>
          </w:p>
        </w:tc>
        <w:tc>
          <w:tcPr>
            <w:tcW w:w="135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Vrsta rizika</w:t>
            </w: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Rangiranje rizika</w:t>
            </w:r>
          </w:p>
        </w:tc>
        <w:tc>
          <w:tcPr>
            <w:tcW w:w="2795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sz w:val="22"/>
                <w:u w:val="single"/>
              </w:rPr>
              <w:t>Pregled postojećih kontrola</w:t>
            </w:r>
          </w:p>
        </w:tc>
        <w:tc>
          <w:tcPr>
            <w:tcW w:w="261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Reagovanje na rizik / mjere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Odgovorna osoba za rizik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Rok za sprovođenje</w:t>
            </w:r>
          </w:p>
        </w:tc>
      </w:tr>
      <w:tr w:rsidR="00B568F1" w:rsidRPr="006C6716" w:rsidTr="00692D3F">
        <w:trPr>
          <w:cantSplit/>
          <w:trHeight w:val="1502"/>
          <w:tblHeader/>
          <w:jc w:val="center"/>
        </w:trPr>
        <w:tc>
          <w:tcPr>
            <w:tcW w:w="450" w:type="dxa"/>
            <w:vMerge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Uticaj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Vjerovatnoća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Ukupno</w:t>
            </w:r>
          </w:p>
        </w:tc>
        <w:tc>
          <w:tcPr>
            <w:tcW w:w="985" w:type="dxa"/>
            <w:shd w:val="clear" w:color="auto" w:fill="FBE4D5" w:themeFill="accent2" w:themeFillTint="33"/>
            <w:textDirection w:val="btLr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Rang</w:t>
            </w:r>
          </w:p>
        </w:tc>
        <w:tc>
          <w:tcPr>
            <w:tcW w:w="2795" w:type="dxa"/>
            <w:vMerge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  <w:tr w:rsidR="00B568F1" w:rsidRPr="006C6716" w:rsidTr="00692D3F">
        <w:trPr>
          <w:cantSplit/>
          <w:trHeight w:val="1070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1.</w:t>
            </w:r>
          </w:p>
        </w:tc>
        <w:tc>
          <w:tcPr>
            <w:tcW w:w="2430" w:type="dxa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Izazovi tokom procesa izrade Priloga izvještaju EK (nepouzdanost i neodgovarajući kvalitet priloga, nepoštovanje rokova za dostavljanje informacija)</w:t>
            </w:r>
          </w:p>
        </w:tc>
        <w:tc>
          <w:tcPr>
            <w:tcW w:w="1350" w:type="dxa"/>
          </w:tcPr>
          <w:p w:rsidR="00B568F1" w:rsidRPr="00595916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Spoljašnji</w:t>
            </w:r>
          </w:p>
          <w:p w:rsidR="00B568F1" w:rsidRPr="00595916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Operativni</w:t>
            </w:r>
          </w:p>
          <w:p w:rsidR="00B568F1" w:rsidRPr="00595916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Reputacioni</w:t>
            </w: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Informacije i komunikacije</w:t>
            </w:r>
          </w:p>
        </w:tc>
        <w:tc>
          <w:tcPr>
            <w:tcW w:w="445" w:type="dxa"/>
            <w:vAlign w:val="center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3</w:t>
            </w:r>
          </w:p>
        </w:tc>
        <w:tc>
          <w:tcPr>
            <w:tcW w:w="450" w:type="dxa"/>
            <w:vAlign w:val="center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3</w:t>
            </w:r>
          </w:p>
        </w:tc>
        <w:tc>
          <w:tcPr>
            <w:tcW w:w="545" w:type="dxa"/>
            <w:vAlign w:val="center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9</w:t>
            </w:r>
          </w:p>
        </w:tc>
        <w:tc>
          <w:tcPr>
            <w:tcW w:w="985" w:type="dxa"/>
            <w:textDirection w:val="btLr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  <w:tc>
          <w:tcPr>
            <w:tcW w:w="2795" w:type="dxa"/>
          </w:tcPr>
          <w:p w:rsidR="00B568F1" w:rsidRPr="007D1A44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Odluka o uspostavljanju strukture za pregovore o pristupanju Crne Gore Evropskoj uniji (''Sl. </w:t>
            </w:r>
            <w:r>
              <w:rPr>
                <w:rFonts w:ascii="Arial" w:hAnsi="Arial" w:cs="Arial"/>
                <w:sz w:val="22"/>
                <w:lang w:val="sr-Latn-ME"/>
              </w:rPr>
              <w:t>l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ist </w:t>
            </w:r>
            <w:r w:rsidRPr="003D554B">
              <w:rPr>
                <w:rFonts w:ascii="Arial" w:hAnsi="Arial" w:cs="Arial"/>
                <w:sz w:val="22"/>
                <w:lang w:val="sr-Latn-ME"/>
              </w:rPr>
              <w:t>CG'', broj 112/23</w:t>
            </w:r>
            <w:r w:rsidRPr="007D1A44">
              <w:rPr>
                <w:rFonts w:ascii="Arial" w:hAnsi="Arial" w:cs="Arial"/>
                <w:sz w:val="22"/>
                <w:lang w:val="sr-Latn-ME"/>
              </w:rPr>
              <w:t>)</w:t>
            </w:r>
          </w:p>
          <w:p w:rsidR="00B568F1" w:rsidRPr="003D554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F91EBD">
              <w:rPr>
                <w:rFonts w:ascii="Arial" w:hAnsi="Arial" w:cs="Arial"/>
                <w:sz w:val="22"/>
              </w:rPr>
              <w:t>Odluke o obrazovanju radnih grupa za pripremu i vođenje pregovora o pristupanju Crne Gore Evropskoj Uniji za oblast pravne tekovine Evropske Unije koje se odnosi na pregovaračka poglavlja</w:t>
            </w: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</w:tc>
        <w:tc>
          <w:tcPr>
            <w:tcW w:w="2610" w:type="dxa"/>
          </w:tcPr>
          <w:p w:rsidR="00B568F1" w:rsidRPr="00595916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Kompletiranje pregovaračke strukture u skladu s Odlukom o uspostavljanju strukture za pregovore o pristupanju Crne Gore Evropskoj uniji (''Sl. </w:t>
            </w:r>
            <w:r>
              <w:rPr>
                <w:rFonts w:ascii="Arial" w:hAnsi="Arial" w:cs="Arial"/>
                <w:sz w:val="22"/>
                <w:lang w:val="sr-Latn-ME"/>
              </w:rPr>
              <w:t>l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>ist CG'', broj 112/2</w:t>
            </w:r>
            <w:r>
              <w:rPr>
                <w:rFonts w:ascii="Arial" w:hAnsi="Arial" w:cs="Arial"/>
                <w:sz w:val="22"/>
                <w:lang w:val="sr-Latn-ME"/>
              </w:rPr>
              <w:t>3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>)</w:t>
            </w:r>
          </w:p>
          <w:p w:rsidR="00B568F1" w:rsidRPr="00595916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Obezbjeđivanje finansijskog stimulansa za članove pregovaračke strukture</w:t>
            </w: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 w:rsidRPr="00C66F60">
              <w:rPr>
                <w:rFonts w:ascii="Arial" w:hAnsi="Arial" w:cs="Arial"/>
                <w:sz w:val="22"/>
                <w:lang w:val="sr-Latn-ME"/>
              </w:rPr>
              <w:t>Kvali</w:t>
            </w:r>
            <w:r w:rsidRPr="00F91EBD">
              <w:rPr>
                <w:rFonts w:ascii="Arial" w:hAnsi="Arial" w:cs="Arial"/>
                <w:sz w:val="22"/>
                <w:lang w:val="sr-Latn-ME"/>
              </w:rPr>
              <w:t>tetna</w:t>
            </w:r>
            <w:r w:rsidRPr="00C66F60">
              <w:rPr>
                <w:rFonts w:ascii="Arial" w:hAnsi="Arial" w:cs="Arial"/>
                <w:sz w:val="22"/>
                <w:lang w:val="sr-Latn-ME"/>
              </w:rPr>
              <w:t xml:space="preserve"> i efikasna </w:t>
            </w:r>
            <w:r w:rsidRPr="006C4B50">
              <w:rPr>
                <w:rFonts w:ascii="Arial" w:hAnsi="Arial" w:cs="Arial"/>
                <w:sz w:val="22"/>
                <w:lang w:val="sr-Latn-ME"/>
              </w:rPr>
              <w:t>saradnja sa državnim institucijama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 odgovornim za pripremu Priloga izvještaju EK</w:t>
            </w:r>
            <w:r>
              <w:rPr>
                <w:rFonts w:ascii="Arial" w:hAnsi="Arial" w:cs="Arial"/>
                <w:sz w:val="22"/>
                <w:lang w:val="sr-Latn-ME"/>
              </w:rPr>
              <w:t>, Priloga shodno dostavljenoj Agendi EK  za potrebe sastanka Pododbora  za pregovaračka poglavlja</w:t>
            </w:r>
          </w:p>
        </w:tc>
        <w:tc>
          <w:tcPr>
            <w:tcW w:w="1530" w:type="dxa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  <w:p w:rsidR="00B568F1" w:rsidRPr="00595916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Ministar </w:t>
            </w: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Direktor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i 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lang w:val="sr-Latn-ME"/>
              </w:rPr>
              <w:t>D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>irektorata u čijim su nadležnostima pregovaračka poglavlja i čiji su služb</w:t>
            </w:r>
            <w:r>
              <w:rPr>
                <w:rFonts w:ascii="Arial" w:hAnsi="Arial" w:cs="Arial"/>
                <w:sz w:val="22"/>
                <w:lang w:val="sr-Latn-ME"/>
              </w:rPr>
              <w:t>e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nici ili koji su sami šefovi </w:t>
            </w:r>
            <w:r>
              <w:rPr>
                <w:rFonts w:ascii="Arial" w:hAnsi="Arial" w:cs="Arial"/>
                <w:sz w:val="22"/>
                <w:lang w:val="sr-Latn-ME"/>
              </w:rPr>
              <w:t>Pregovaračkih radnih grupa</w:t>
            </w:r>
          </w:p>
        </w:tc>
        <w:tc>
          <w:tcPr>
            <w:tcW w:w="1530" w:type="dxa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Kontinuirano</w:t>
            </w:r>
          </w:p>
        </w:tc>
      </w:tr>
      <w:tr w:rsidR="00B568F1" w:rsidRPr="006C6716" w:rsidTr="00692D3F">
        <w:trPr>
          <w:cantSplit/>
          <w:trHeight w:val="1070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sz w:val="22"/>
                <w:u w:val="single"/>
              </w:rPr>
              <w:lastRenderedPageBreak/>
              <w:t>2.</w:t>
            </w:r>
          </w:p>
        </w:tc>
        <w:tc>
          <w:tcPr>
            <w:tcW w:w="2430" w:type="dxa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Kašnjenje u realizaciji </w:t>
            </w:r>
            <w:r w:rsidRPr="006C4B50">
              <w:rPr>
                <w:rFonts w:ascii="Arial" w:hAnsi="Arial" w:cs="Arial"/>
                <w:sz w:val="22"/>
                <w:lang w:val="sr-Latn-ME"/>
              </w:rPr>
              <w:t>ključnih obaveza koje proizilaze iz Programa pristupanja Crne Gore Evropskoj uniji</w:t>
            </w:r>
          </w:p>
        </w:tc>
        <w:tc>
          <w:tcPr>
            <w:tcW w:w="1350" w:type="dxa"/>
          </w:tcPr>
          <w:p w:rsidR="00B568F1" w:rsidRPr="00F91EBD" w:rsidRDefault="00B568F1" w:rsidP="00692D3F">
            <w:pPr>
              <w:rPr>
                <w:rFonts w:ascii="Arial" w:hAnsi="Arial" w:cs="Arial"/>
                <w:sz w:val="22"/>
                <w:u w:val="single"/>
                <w:lang w:val="sr-Latn-ME"/>
              </w:rPr>
            </w:pPr>
            <w:r w:rsidRPr="00F91EBD">
              <w:rPr>
                <w:rFonts w:ascii="Arial" w:hAnsi="Arial" w:cs="Arial"/>
                <w:sz w:val="22"/>
                <w:u w:val="single"/>
                <w:lang w:val="sr-Latn-ME"/>
              </w:rPr>
              <w:t>Operativni</w:t>
            </w:r>
          </w:p>
          <w:p w:rsidR="00B568F1" w:rsidRPr="00F91EBD" w:rsidRDefault="00B568F1" w:rsidP="00692D3F">
            <w:pPr>
              <w:rPr>
                <w:rFonts w:ascii="Arial" w:hAnsi="Arial" w:cs="Arial"/>
                <w:sz w:val="22"/>
                <w:u w:val="single"/>
                <w:lang w:val="sr-Latn-ME"/>
              </w:rPr>
            </w:pPr>
            <w:r w:rsidRPr="00F91EBD">
              <w:rPr>
                <w:rFonts w:ascii="Arial" w:hAnsi="Arial" w:cs="Arial"/>
                <w:sz w:val="22"/>
                <w:u w:val="single"/>
                <w:lang w:val="sr-Latn-ME"/>
              </w:rPr>
              <w:t>Reputacioni</w:t>
            </w:r>
          </w:p>
          <w:p w:rsidR="00B568F1" w:rsidRPr="00F91EBD" w:rsidRDefault="00B568F1" w:rsidP="00692D3F">
            <w:pPr>
              <w:rPr>
                <w:rFonts w:ascii="Arial" w:hAnsi="Arial" w:cs="Arial"/>
                <w:sz w:val="22"/>
                <w:u w:val="single"/>
                <w:lang w:val="sr-Latn-ME"/>
              </w:rPr>
            </w:pPr>
            <w:r w:rsidRPr="00F91EBD">
              <w:rPr>
                <w:rFonts w:ascii="Arial" w:hAnsi="Arial" w:cs="Arial"/>
                <w:sz w:val="22"/>
                <w:u w:val="single"/>
                <w:lang w:val="sr-Latn-ME"/>
              </w:rPr>
              <w:t>Finansijski</w:t>
            </w:r>
          </w:p>
        </w:tc>
        <w:tc>
          <w:tcPr>
            <w:tcW w:w="445" w:type="dxa"/>
            <w:vAlign w:val="center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5</w:t>
            </w:r>
          </w:p>
        </w:tc>
        <w:tc>
          <w:tcPr>
            <w:tcW w:w="450" w:type="dxa"/>
            <w:vAlign w:val="center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5</w:t>
            </w:r>
          </w:p>
        </w:tc>
        <w:tc>
          <w:tcPr>
            <w:tcW w:w="545" w:type="dxa"/>
            <w:vAlign w:val="center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25</w:t>
            </w:r>
          </w:p>
        </w:tc>
        <w:tc>
          <w:tcPr>
            <w:tcW w:w="985" w:type="dxa"/>
            <w:textDirection w:val="btLr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  <w:tc>
          <w:tcPr>
            <w:tcW w:w="2795" w:type="dxa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Program pristupanja Crne Gore Evropskoj uniji 2022-2023</w:t>
            </w:r>
            <w:r>
              <w:rPr>
                <w:rFonts w:ascii="Arial" w:hAnsi="Arial" w:cs="Arial"/>
                <w:sz w:val="22"/>
                <w:lang w:val="sr-Latn-ME"/>
              </w:rPr>
              <w:t>.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 i 2023 </w:t>
            </w:r>
            <w:r>
              <w:rPr>
                <w:rFonts w:ascii="Arial" w:hAnsi="Arial" w:cs="Arial"/>
                <w:sz w:val="22"/>
                <w:lang w:val="sr-Latn-ME"/>
              </w:rPr>
              <w:t>–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 2024</w:t>
            </w:r>
            <w:r>
              <w:rPr>
                <w:rFonts w:ascii="Arial" w:hAnsi="Arial" w:cs="Arial"/>
                <w:sz w:val="22"/>
                <w:lang w:val="sr-Latn-ME"/>
              </w:rPr>
              <w:t>.</w:t>
            </w:r>
          </w:p>
        </w:tc>
        <w:tc>
          <w:tcPr>
            <w:tcW w:w="2610" w:type="dxa"/>
          </w:tcPr>
          <w:p w:rsidR="00B568F1" w:rsidRPr="00595916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Kvalitetan rad na pripremi zakona.</w:t>
            </w:r>
          </w:p>
          <w:p w:rsidR="00B568F1" w:rsidRPr="00595916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</w:p>
          <w:p w:rsidR="00B568F1" w:rsidRPr="00595916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Adekvatni stručni interni i eksterni kapaciteti M</w:t>
            </w:r>
            <w:r>
              <w:rPr>
                <w:rFonts w:ascii="Arial" w:hAnsi="Arial" w:cs="Arial"/>
                <w:sz w:val="22"/>
                <w:lang w:val="sr-Latn-ME"/>
              </w:rPr>
              <w:t>inistarstva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 za prirpremu zakona</w:t>
            </w:r>
            <w:r>
              <w:rPr>
                <w:rFonts w:ascii="Arial" w:hAnsi="Arial" w:cs="Arial"/>
                <w:sz w:val="22"/>
                <w:lang w:val="sr-Latn-ME"/>
              </w:rPr>
              <w:t>.</w:t>
            </w:r>
          </w:p>
          <w:p w:rsidR="00B568F1" w:rsidRPr="00595916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Stvaranje uslova za finalizaciju zakonodavnog akta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>i usaglašavanje sa S</w:t>
            </w:r>
            <w:r>
              <w:rPr>
                <w:rFonts w:ascii="Arial" w:hAnsi="Arial" w:cs="Arial"/>
                <w:sz w:val="22"/>
                <w:lang w:val="sr-Latn-ME"/>
              </w:rPr>
              <w:t>ekretarijatom za zakonodavstvo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 i </w:t>
            </w:r>
            <w:r>
              <w:rPr>
                <w:rFonts w:ascii="Arial" w:hAnsi="Arial" w:cs="Arial"/>
                <w:sz w:val="22"/>
                <w:lang w:val="sr-Latn-ME"/>
              </w:rPr>
              <w:t>Pregovaračkih radnih grupa</w:t>
            </w: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Blagovremena organizacija javnih konsultacija u vezi zakona</w:t>
            </w:r>
          </w:p>
        </w:tc>
        <w:tc>
          <w:tcPr>
            <w:tcW w:w="1530" w:type="dxa"/>
          </w:tcPr>
          <w:p w:rsidR="00B568F1" w:rsidRPr="00595916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>Ministar</w:t>
            </w:r>
          </w:p>
          <w:p w:rsidR="00B568F1" w:rsidRPr="00595916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Gen</w:t>
            </w:r>
            <w:r>
              <w:rPr>
                <w:rFonts w:ascii="Arial" w:hAnsi="Arial" w:cs="Arial"/>
                <w:sz w:val="22"/>
                <w:lang w:val="sr-Latn-ME"/>
              </w:rPr>
              <w:t>e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ralni direktori </w:t>
            </w:r>
            <w:r>
              <w:rPr>
                <w:rFonts w:ascii="Arial" w:hAnsi="Arial" w:cs="Arial"/>
                <w:sz w:val="22"/>
                <w:lang w:val="sr-Latn-ME"/>
              </w:rPr>
              <w:t>D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irektorata u čijoj su nadležnosti 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propisi 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lang w:val="sr-Latn-ME"/>
              </w:rPr>
              <w:t>na nivou Ministarstva</w:t>
            </w: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</w:p>
        </w:tc>
        <w:tc>
          <w:tcPr>
            <w:tcW w:w="1530" w:type="dxa"/>
          </w:tcPr>
          <w:p w:rsidR="00B568F1" w:rsidRPr="00F91EBD" w:rsidRDefault="00B568F1" w:rsidP="00692D3F">
            <w:pPr>
              <w:rPr>
                <w:rFonts w:ascii="Arial" w:hAnsi="Arial" w:cs="Arial"/>
                <w:sz w:val="22"/>
                <w:u w:val="single"/>
                <w:lang w:val="sr-Latn-ME"/>
              </w:rPr>
            </w:pPr>
            <w:r w:rsidRPr="00F91EBD">
              <w:rPr>
                <w:rFonts w:ascii="Arial" w:hAnsi="Arial" w:cs="Arial"/>
                <w:sz w:val="22"/>
                <w:u w:val="single"/>
                <w:lang w:val="sr-Latn-ME"/>
              </w:rPr>
              <w:t>I - IV kvartal 2024.</w:t>
            </w:r>
          </w:p>
        </w:tc>
      </w:tr>
    </w:tbl>
    <w:p w:rsidR="00B568F1" w:rsidRDefault="00B568F1" w:rsidP="00B568F1">
      <w:pPr>
        <w:rPr>
          <w:rFonts w:ascii="Arial" w:hAnsi="Arial" w:cs="Arial"/>
          <w:b/>
          <w:sz w:val="22"/>
          <w:u w:val="single"/>
        </w:rPr>
      </w:pPr>
    </w:p>
    <w:p w:rsidR="00853F4F" w:rsidRDefault="00853F4F" w:rsidP="00B568F1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/>
      </w:r>
    </w:p>
    <w:p w:rsidR="00B568F1" w:rsidRPr="006C6716" w:rsidRDefault="00B568F1" w:rsidP="00B568F1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3.</w:t>
      </w:r>
      <w:proofErr w:type="gramStart"/>
      <w:r>
        <w:rPr>
          <w:rFonts w:ascii="Arial" w:hAnsi="Arial" w:cs="Arial"/>
          <w:b/>
          <w:sz w:val="22"/>
          <w:u w:val="single"/>
        </w:rPr>
        <w:t>7</w:t>
      </w:r>
      <w:r w:rsidRPr="006C6716">
        <w:rPr>
          <w:rFonts w:ascii="Arial" w:hAnsi="Arial" w:cs="Arial"/>
          <w:b/>
          <w:sz w:val="22"/>
          <w:u w:val="single"/>
        </w:rPr>
        <w:t>.Direkcija</w:t>
      </w:r>
      <w:proofErr w:type="gramEnd"/>
      <w:r w:rsidRPr="006C6716">
        <w:rPr>
          <w:rFonts w:ascii="Arial" w:hAnsi="Arial" w:cs="Arial"/>
          <w:b/>
          <w:sz w:val="22"/>
          <w:u w:val="single"/>
        </w:rPr>
        <w:t xml:space="preserve"> za programiranje i implementaciju IPA fondova</w:t>
      </w:r>
    </w:p>
    <w:p w:rsidR="00B568F1" w:rsidRDefault="00B568F1" w:rsidP="00B568F1">
      <w:pPr>
        <w:rPr>
          <w:rFonts w:ascii="Arial" w:hAnsi="Arial" w:cs="Arial"/>
          <w:sz w:val="22"/>
          <w:u w:val="single"/>
        </w:rPr>
      </w:pPr>
      <w:r w:rsidRPr="0001167B">
        <w:rPr>
          <w:rFonts w:ascii="Arial" w:hAnsi="Arial" w:cs="Arial"/>
          <w:b/>
          <w:sz w:val="22"/>
          <w:u w:val="single"/>
        </w:rPr>
        <w:t>Posebni cilj</w:t>
      </w:r>
      <w:r w:rsidRPr="00F91EBD">
        <w:rPr>
          <w:rFonts w:ascii="Arial" w:hAnsi="Arial" w:cs="Arial"/>
          <w:sz w:val="22"/>
          <w:u w:val="single"/>
        </w:rPr>
        <w:t xml:space="preserve">: Koordinacija učešća Crne Gore u nacionalnim i inter-regionalnim prekograničnim programima, programiranje, nadgledanje sprovođenja programa, ocjenjivanje projektnih predloga, sprovođenje projekata tehničke podrške u oblasti jačananja konkuretnosti i inovacija. </w:t>
      </w:r>
    </w:p>
    <w:p w:rsidR="006F6DBB" w:rsidRPr="00F91EBD" w:rsidRDefault="006F6DBB" w:rsidP="00B568F1">
      <w:pPr>
        <w:rPr>
          <w:rFonts w:ascii="Arial" w:hAnsi="Arial" w:cs="Arial"/>
          <w:sz w:val="22"/>
          <w:u w:val="single"/>
        </w:rPr>
      </w:pPr>
    </w:p>
    <w:tbl>
      <w:tblPr>
        <w:tblW w:w="1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430"/>
        <w:gridCol w:w="1350"/>
        <w:gridCol w:w="445"/>
        <w:gridCol w:w="450"/>
        <w:gridCol w:w="545"/>
        <w:gridCol w:w="450"/>
        <w:gridCol w:w="3330"/>
        <w:gridCol w:w="2610"/>
        <w:gridCol w:w="1530"/>
        <w:gridCol w:w="1530"/>
      </w:tblGrid>
      <w:tr w:rsidR="00B568F1" w:rsidRPr="006C6716" w:rsidTr="00692D3F">
        <w:trPr>
          <w:trHeight w:val="242"/>
          <w:tblHeader/>
          <w:jc w:val="center"/>
        </w:trPr>
        <w:tc>
          <w:tcPr>
            <w:tcW w:w="45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Rb</w:t>
            </w:r>
          </w:p>
        </w:tc>
        <w:tc>
          <w:tcPr>
            <w:tcW w:w="243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Opis rizika</w:t>
            </w:r>
          </w:p>
        </w:tc>
        <w:tc>
          <w:tcPr>
            <w:tcW w:w="135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Vrsta rizika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Rangiranje rizika</w:t>
            </w:r>
          </w:p>
        </w:tc>
        <w:tc>
          <w:tcPr>
            <w:tcW w:w="333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sz w:val="22"/>
                <w:u w:val="single"/>
              </w:rPr>
              <w:t>Pregled postojećih kontrola</w:t>
            </w:r>
          </w:p>
        </w:tc>
        <w:tc>
          <w:tcPr>
            <w:tcW w:w="261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Reagovanje na rizik / mjere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Odgovorna osoba za rizik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Rok za sprovođenje</w:t>
            </w:r>
          </w:p>
        </w:tc>
      </w:tr>
      <w:tr w:rsidR="00B568F1" w:rsidRPr="006C6716" w:rsidTr="00692D3F">
        <w:trPr>
          <w:cantSplit/>
          <w:trHeight w:val="1502"/>
          <w:tblHeader/>
          <w:jc w:val="center"/>
        </w:trPr>
        <w:tc>
          <w:tcPr>
            <w:tcW w:w="450" w:type="dxa"/>
            <w:vMerge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Uticaj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Vjerovatnoća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Ukupno</w:t>
            </w:r>
          </w:p>
        </w:tc>
        <w:tc>
          <w:tcPr>
            <w:tcW w:w="450" w:type="dxa"/>
            <w:shd w:val="clear" w:color="auto" w:fill="FBE4D5" w:themeFill="accent2" w:themeFillTint="33"/>
            <w:textDirection w:val="btLr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Rang</w:t>
            </w:r>
          </w:p>
        </w:tc>
        <w:tc>
          <w:tcPr>
            <w:tcW w:w="3330" w:type="dxa"/>
            <w:vMerge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</w:tbl>
    <w:p w:rsidR="00B568F1" w:rsidRPr="006C6716" w:rsidRDefault="00B568F1" w:rsidP="00B568F1">
      <w:pPr>
        <w:rPr>
          <w:rFonts w:ascii="Arial" w:hAnsi="Arial" w:cs="Arial"/>
          <w:b/>
          <w:sz w:val="22"/>
          <w:u w:val="single"/>
        </w:rPr>
      </w:pPr>
    </w:p>
    <w:tbl>
      <w:tblPr>
        <w:tblW w:w="1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430"/>
        <w:gridCol w:w="1255"/>
        <w:gridCol w:w="540"/>
        <w:gridCol w:w="450"/>
        <w:gridCol w:w="545"/>
        <w:gridCol w:w="450"/>
        <w:gridCol w:w="3330"/>
        <w:gridCol w:w="2610"/>
        <w:gridCol w:w="1530"/>
        <w:gridCol w:w="1530"/>
      </w:tblGrid>
      <w:tr w:rsidR="00B568F1" w:rsidRPr="006C6716" w:rsidTr="00692D3F">
        <w:trPr>
          <w:cantSplit/>
          <w:trHeight w:val="1070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1.</w:t>
            </w:r>
          </w:p>
        </w:tc>
        <w:tc>
          <w:tcPr>
            <w:tcW w:w="2430" w:type="dxa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Nedostatak zrelih i strateški relevantnih projekata</w:t>
            </w:r>
          </w:p>
        </w:tc>
        <w:tc>
          <w:tcPr>
            <w:tcW w:w="1255" w:type="dxa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Operativni</w:t>
            </w:r>
          </w:p>
        </w:tc>
        <w:tc>
          <w:tcPr>
            <w:tcW w:w="540" w:type="dxa"/>
            <w:vAlign w:val="center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2</w:t>
            </w:r>
          </w:p>
        </w:tc>
        <w:tc>
          <w:tcPr>
            <w:tcW w:w="450" w:type="dxa"/>
            <w:vAlign w:val="center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2</w:t>
            </w:r>
          </w:p>
        </w:tc>
        <w:tc>
          <w:tcPr>
            <w:tcW w:w="545" w:type="dxa"/>
            <w:vAlign w:val="center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4</w:t>
            </w:r>
          </w:p>
        </w:tc>
        <w:tc>
          <w:tcPr>
            <w:tcW w:w="450" w:type="dxa"/>
            <w:textDirection w:val="btLr"/>
            <w:vAlign w:val="center"/>
          </w:tcPr>
          <w:p w:rsidR="00B568F1" w:rsidRPr="00F91EBD" w:rsidRDefault="00B568F1" w:rsidP="00692D3F">
            <w:pPr>
              <w:jc w:val="right"/>
              <w:rPr>
                <w:rFonts w:ascii="Arial" w:hAnsi="Arial" w:cs="Arial"/>
                <w:bCs/>
                <w:sz w:val="22"/>
                <w:u w:val="single"/>
              </w:rPr>
            </w:pPr>
            <w:r w:rsidRPr="00F91EBD">
              <w:rPr>
                <w:rFonts w:ascii="Arial" w:hAnsi="Arial" w:cs="Arial"/>
                <w:bCs/>
                <w:sz w:val="22"/>
                <w:u w:val="single"/>
              </w:rPr>
              <w:t>Nizak</w:t>
            </w:r>
          </w:p>
        </w:tc>
        <w:tc>
          <w:tcPr>
            <w:tcW w:w="3330" w:type="dxa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Metodologija za izbor i prioritizaciju IPA projekata</w:t>
            </w:r>
          </w:p>
        </w:tc>
        <w:tc>
          <w:tcPr>
            <w:tcW w:w="2610" w:type="dxa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Intenzivnija komunikacija sa sektorima zaduženim za sprovođenje sektorskih ekonomskih politika</w:t>
            </w:r>
          </w:p>
        </w:tc>
        <w:tc>
          <w:tcPr>
            <w:tcW w:w="1530" w:type="dxa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</w:p>
          <w:p w:rsidR="00B568F1" w:rsidRPr="006F6DBB" w:rsidRDefault="006F6DBB" w:rsidP="00692D3F">
            <w:pPr>
              <w:rPr>
                <w:rFonts w:ascii="Arial" w:hAnsi="Arial" w:cs="Arial"/>
                <w:b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Generalni direktori</w:t>
            </w:r>
          </w:p>
        </w:tc>
        <w:tc>
          <w:tcPr>
            <w:tcW w:w="1530" w:type="dxa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Kontinuirano</w:t>
            </w:r>
          </w:p>
        </w:tc>
      </w:tr>
      <w:tr w:rsidR="00B568F1" w:rsidRPr="006C6716" w:rsidTr="00692D3F">
        <w:trPr>
          <w:cantSplit/>
          <w:trHeight w:val="1070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6C6716">
              <w:rPr>
                <w:rFonts w:ascii="Arial" w:hAnsi="Arial" w:cs="Arial"/>
                <w:b/>
                <w:bCs/>
                <w:sz w:val="22"/>
                <w:u w:val="single"/>
              </w:rPr>
              <w:lastRenderedPageBreak/>
              <w:t>2.</w:t>
            </w:r>
          </w:p>
        </w:tc>
        <w:tc>
          <w:tcPr>
            <w:tcW w:w="2430" w:type="dxa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Sprovođenje projekata Interreg i izvšenje dospjelih obaveza</w:t>
            </w:r>
          </w:p>
        </w:tc>
        <w:tc>
          <w:tcPr>
            <w:tcW w:w="1255" w:type="dxa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Finansijski</w:t>
            </w:r>
          </w:p>
        </w:tc>
        <w:tc>
          <w:tcPr>
            <w:tcW w:w="540" w:type="dxa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 w:rsidRPr="006C6716">
              <w:rPr>
                <w:rFonts w:ascii="Arial" w:hAnsi="Arial" w:cs="Arial"/>
                <w:b/>
                <w:sz w:val="22"/>
                <w:u w:val="single"/>
                <w:lang w:val="sr-Latn-ME"/>
              </w:rPr>
              <w:t>3</w:t>
            </w:r>
          </w:p>
        </w:tc>
        <w:tc>
          <w:tcPr>
            <w:tcW w:w="450" w:type="dxa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 w:rsidRPr="006C6716">
              <w:rPr>
                <w:rFonts w:ascii="Arial" w:hAnsi="Arial" w:cs="Arial"/>
                <w:b/>
                <w:sz w:val="22"/>
                <w:u w:val="single"/>
                <w:lang w:val="sr-Latn-ME"/>
              </w:rPr>
              <w:t>2</w:t>
            </w:r>
          </w:p>
        </w:tc>
        <w:tc>
          <w:tcPr>
            <w:tcW w:w="545" w:type="dxa"/>
            <w:vAlign w:val="center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 w:rsidRPr="006C6716">
              <w:rPr>
                <w:rFonts w:ascii="Arial" w:hAnsi="Arial" w:cs="Arial"/>
                <w:b/>
                <w:sz w:val="22"/>
                <w:u w:val="single"/>
                <w:lang w:val="sr-Latn-ME"/>
              </w:rPr>
              <w:t>6</w:t>
            </w:r>
          </w:p>
        </w:tc>
        <w:tc>
          <w:tcPr>
            <w:tcW w:w="450" w:type="dxa"/>
            <w:textDirection w:val="btLr"/>
            <w:vAlign w:val="center"/>
          </w:tcPr>
          <w:p w:rsidR="00B568F1" w:rsidRPr="00F91EBD" w:rsidRDefault="00B568F1" w:rsidP="00692D3F">
            <w:pPr>
              <w:jc w:val="right"/>
              <w:rPr>
                <w:rFonts w:ascii="Arial" w:hAnsi="Arial" w:cs="Arial"/>
                <w:bCs/>
                <w:sz w:val="22"/>
                <w:u w:val="single"/>
              </w:rPr>
            </w:pPr>
            <w:r w:rsidRPr="00F91EBD">
              <w:rPr>
                <w:rFonts w:ascii="Arial" w:hAnsi="Arial" w:cs="Arial"/>
                <w:bCs/>
                <w:sz w:val="22"/>
                <w:u w:val="single"/>
              </w:rPr>
              <w:t>Srednji</w:t>
            </w:r>
          </w:p>
        </w:tc>
        <w:tc>
          <w:tcPr>
            <w:tcW w:w="3330" w:type="dxa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Kontrola faktura/zahtjeva za plaćanje i prateće dokumentacije u skladu sa procedurama i pretfnansiranje dospjelih obaveza iz nacionalnog budžeta</w:t>
            </w:r>
          </w:p>
        </w:tc>
        <w:tc>
          <w:tcPr>
            <w:tcW w:w="2610" w:type="dxa"/>
          </w:tcPr>
          <w:p w:rsidR="00B568F1" w:rsidRPr="006C6716" w:rsidRDefault="00B568F1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Blagovreme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no izmirivanje finansijskih </w:t>
            </w:r>
            <w:r w:rsidRPr="00595916">
              <w:rPr>
                <w:rFonts w:ascii="Arial" w:hAnsi="Arial" w:cs="Arial"/>
                <w:sz w:val="22"/>
                <w:lang w:val="sr-Latn-ME"/>
              </w:rPr>
              <w:t>obaveza iz projekta u cilju dobijanja refundacije u budućnosti</w:t>
            </w:r>
          </w:p>
        </w:tc>
        <w:tc>
          <w:tcPr>
            <w:tcW w:w="1530" w:type="dxa"/>
          </w:tcPr>
          <w:p w:rsid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>Ovlašćeno lice za potpisivanje dokumentacije</w:t>
            </w:r>
          </w:p>
          <w:p w:rsid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595916">
              <w:rPr>
                <w:rFonts w:ascii="Arial" w:hAnsi="Arial" w:cs="Arial"/>
                <w:sz w:val="22"/>
                <w:lang w:val="sr-Latn-ME"/>
              </w:rPr>
              <w:t>Generalni direktor</w:t>
            </w:r>
          </w:p>
          <w:p w:rsidR="00B568F1" w:rsidRPr="006C6716" w:rsidRDefault="006F6DBB" w:rsidP="00692D3F">
            <w:pPr>
              <w:rPr>
                <w:rFonts w:ascii="Arial" w:hAnsi="Arial" w:cs="Arial"/>
                <w:b/>
                <w:sz w:val="22"/>
                <w:u w:val="single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>Na</w:t>
            </w:r>
            <w:r w:rsidR="00B568F1" w:rsidRPr="00595916">
              <w:rPr>
                <w:rFonts w:ascii="Arial" w:hAnsi="Arial" w:cs="Arial"/>
                <w:sz w:val="22"/>
                <w:lang w:val="sr-Latn-ME"/>
              </w:rPr>
              <w:t xml:space="preserve">čelnik </w:t>
            </w:r>
            <w:r>
              <w:rPr>
                <w:rFonts w:ascii="Arial" w:hAnsi="Arial" w:cs="Arial"/>
                <w:sz w:val="22"/>
                <w:lang w:val="sr-Latn-ME"/>
              </w:rPr>
              <w:t>Samostalni savjetnici</w:t>
            </w:r>
          </w:p>
        </w:tc>
        <w:tc>
          <w:tcPr>
            <w:tcW w:w="1530" w:type="dxa"/>
          </w:tcPr>
          <w:p w:rsidR="00B568F1" w:rsidRPr="006F6DBB" w:rsidRDefault="00B568F1" w:rsidP="00692D3F">
            <w:pPr>
              <w:rPr>
                <w:rFonts w:ascii="Arial" w:hAnsi="Arial" w:cs="Arial"/>
                <w:sz w:val="22"/>
                <w:lang w:val="sr-Latn-ME"/>
              </w:rPr>
            </w:pPr>
            <w:r w:rsidRPr="006F6DBB">
              <w:rPr>
                <w:rFonts w:ascii="Arial" w:hAnsi="Arial" w:cs="Arial"/>
                <w:sz w:val="22"/>
                <w:lang w:val="sr-Latn-ME"/>
              </w:rPr>
              <w:t>Kontinuirano</w:t>
            </w:r>
          </w:p>
        </w:tc>
      </w:tr>
    </w:tbl>
    <w:p w:rsidR="00B568F1" w:rsidRPr="006C6716" w:rsidRDefault="00B568F1" w:rsidP="00B568F1">
      <w:pPr>
        <w:rPr>
          <w:rFonts w:ascii="Arial" w:hAnsi="Arial" w:cs="Arial"/>
          <w:b/>
          <w:sz w:val="22"/>
          <w:u w:val="single"/>
        </w:rPr>
      </w:pPr>
    </w:p>
    <w:p w:rsidR="00781AEE" w:rsidRPr="00595916" w:rsidRDefault="00781AEE" w:rsidP="00E02B83">
      <w:pPr>
        <w:rPr>
          <w:rFonts w:ascii="Arial" w:hAnsi="Arial" w:cs="Arial"/>
          <w:b/>
          <w:sz w:val="22"/>
          <w:u w:val="single"/>
        </w:rPr>
      </w:pPr>
    </w:p>
    <w:p w:rsidR="00F94896" w:rsidRDefault="00F94896" w:rsidP="00E02B83">
      <w:pPr>
        <w:rPr>
          <w:rFonts w:ascii="Arial" w:hAnsi="Arial" w:cs="Arial"/>
          <w:b/>
          <w:sz w:val="22"/>
          <w:u w:val="single"/>
        </w:rPr>
      </w:pPr>
    </w:p>
    <w:p w:rsidR="00225EEC" w:rsidRDefault="00225EEC" w:rsidP="00E02B83">
      <w:pPr>
        <w:rPr>
          <w:rFonts w:ascii="Arial" w:hAnsi="Arial" w:cs="Arial"/>
          <w:b/>
          <w:sz w:val="22"/>
          <w:u w:val="single"/>
        </w:rPr>
      </w:pPr>
    </w:p>
    <w:p w:rsidR="00225EEC" w:rsidRDefault="00225EEC" w:rsidP="00E02B83">
      <w:pPr>
        <w:rPr>
          <w:rFonts w:ascii="Arial" w:hAnsi="Arial" w:cs="Arial"/>
          <w:b/>
          <w:sz w:val="22"/>
          <w:u w:val="single"/>
        </w:rPr>
      </w:pPr>
    </w:p>
    <w:p w:rsidR="00225EEC" w:rsidRDefault="00225EEC" w:rsidP="00E02B83">
      <w:pPr>
        <w:rPr>
          <w:rFonts w:ascii="Arial" w:hAnsi="Arial" w:cs="Arial"/>
          <w:b/>
          <w:sz w:val="22"/>
          <w:u w:val="single"/>
        </w:rPr>
      </w:pPr>
    </w:p>
    <w:p w:rsidR="00225EEC" w:rsidRDefault="00225EEC" w:rsidP="00E02B83">
      <w:pPr>
        <w:rPr>
          <w:rFonts w:ascii="Arial" w:hAnsi="Arial" w:cs="Arial"/>
          <w:b/>
          <w:sz w:val="22"/>
          <w:u w:val="single"/>
        </w:rPr>
      </w:pPr>
    </w:p>
    <w:p w:rsidR="00853F4F" w:rsidRDefault="00853F4F" w:rsidP="00E02B83">
      <w:pPr>
        <w:rPr>
          <w:rFonts w:ascii="Arial" w:hAnsi="Arial" w:cs="Arial"/>
          <w:b/>
          <w:sz w:val="22"/>
          <w:u w:val="single"/>
        </w:rPr>
      </w:pPr>
    </w:p>
    <w:p w:rsidR="00853F4F" w:rsidRDefault="00853F4F" w:rsidP="00E02B83">
      <w:pPr>
        <w:rPr>
          <w:rFonts w:ascii="Arial" w:hAnsi="Arial" w:cs="Arial"/>
          <w:b/>
          <w:sz w:val="22"/>
          <w:u w:val="single"/>
        </w:rPr>
      </w:pPr>
    </w:p>
    <w:p w:rsidR="00853F4F" w:rsidRDefault="00853F4F" w:rsidP="00E02B83">
      <w:pPr>
        <w:rPr>
          <w:rFonts w:ascii="Arial" w:hAnsi="Arial" w:cs="Arial"/>
          <w:b/>
          <w:sz w:val="22"/>
          <w:u w:val="single"/>
        </w:rPr>
      </w:pPr>
    </w:p>
    <w:p w:rsidR="00853F4F" w:rsidRDefault="00853F4F" w:rsidP="00E02B83">
      <w:pPr>
        <w:rPr>
          <w:rFonts w:ascii="Arial" w:hAnsi="Arial" w:cs="Arial"/>
          <w:b/>
          <w:sz w:val="22"/>
          <w:u w:val="single"/>
        </w:rPr>
      </w:pPr>
    </w:p>
    <w:p w:rsidR="00853F4F" w:rsidRDefault="00853F4F" w:rsidP="00E02B83">
      <w:pPr>
        <w:rPr>
          <w:rFonts w:ascii="Arial" w:hAnsi="Arial" w:cs="Arial"/>
          <w:b/>
          <w:sz w:val="22"/>
          <w:u w:val="single"/>
        </w:rPr>
      </w:pPr>
    </w:p>
    <w:p w:rsidR="00853F4F" w:rsidRDefault="00853F4F" w:rsidP="00E02B83">
      <w:pPr>
        <w:rPr>
          <w:rFonts w:ascii="Arial" w:hAnsi="Arial" w:cs="Arial"/>
          <w:b/>
          <w:sz w:val="22"/>
          <w:u w:val="single"/>
        </w:rPr>
      </w:pPr>
    </w:p>
    <w:p w:rsidR="00853F4F" w:rsidRPr="00595916" w:rsidRDefault="00853F4F" w:rsidP="00E02B83">
      <w:pPr>
        <w:rPr>
          <w:rFonts w:ascii="Arial" w:hAnsi="Arial" w:cs="Arial"/>
          <w:b/>
          <w:sz w:val="22"/>
          <w:u w:val="single"/>
        </w:rPr>
      </w:pPr>
    </w:p>
    <w:p w:rsidR="00730D3F" w:rsidRPr="00595916" w:rsidRDefault="00730D3F" w:rsidP="00E02B83">
      <w:pPr>
        <w:rPr>
          <w:rFonts w:ascii="Arial" w:hAnsi="Arial" w:cs="Arial"/>
          <w:b/>
          <w:sz w:val="22"/>
          <w:u w:val="single"/>
        </w:rPr>
      </w:pPr>
    </w:p>
    <w:p w:rsidR="00730D3F" w:rsidRPr="00595916" w:rsidRDefault="00730D3F" w:rsidP="00E02B83">
      <w:pPr>
        <w:rPr>
          <w:rFonts w:ascii="Arial" w:hAnsi="Arial" w:cs="Arial"/>
          <w:b/>
          <w:sz w:val="22"/>
          <w:u w:val="single"/>
        </w:rPr>
      </w:pPr>
    </w:p>
    <w:p w:rsidR="007F0FDF" w:rsidRPr="007F0FDF" w:rsidRDefault="00B568F1" w:rsidP="00B568F1">
      <w:pPr>
        <w:pStyle w:val="Heading1"/>
        <w:numPr>
          <w:ilvl w:val="0"/>
          <w:numId w:val="0"/>
        </w:numPr>
        <w:ind w:right="703"/>
        <w:rPr>
          <w:b/>
          <w:sz w:val="22"/>
        </w:rPr>
      </w:pPr>
      <w:r>
        <w:rPr>
          <w:b/>
          <w:sz w:val="22"/>
        </w:rPr>
        <w:t>4.</w:t>
      </w:r>
      <w:r w:rsidR="00BB543A" w:rsidRPr="00595916">
        <w:rPr>
          <w:b/>
          <w:sz w:val="22"/>
        </w:rPr>
        <w:t xml:space="preserve">DIREKTORAT ZA </w:t>
      </w:r>
      <w:r w:rsidR="00BB543A" w:rsidRPr="007F0FDF">
        <w:rPr>
          <w:b/>
          <w:sz w:val="22"/>
        </w:rPr>
        <w:t>ELEKTRONSKE KOMUNIKACIJE, POŠTANSKU DJELATNOST I RADIO SPEKTAR</w:t>
      </w:r>
    </w:p>
    <w:p w:rsidR="007F0FDF" w:rsidRDefault="007F0FDF" w:rsidP="00BB543A">
      <w:pPr>
        <w:pStyle w:val="Heading1"/>
        <w:numPr>
          <w:ilvl w:val="0"/>
          <w:numId w:val="0"/>
        </w:numPr>
        <w:ind w:right="703"/>
        <w:rPr>
          <w:b/>
          <w:sz w:val="22"/>
        </w:rPr>
      </w:pPr>
    </w:p>
    <w:p w:rsidR="007F0FDF" w:rsidRDefault="007F0FDF" w:rsidP="00BB543A">
      <w:pPr>
        <w:pStyle w:val="Heading1"/>
        <w:numPr>
          <w:ilvl w:val="0"/>
          <w:numId w:val="0"/>
        </w:numPr>
        <w:ind w:right="703"/>
        <w:rPr>
          <w:b/>
          <w:sz w:val="22"/>
        </w:rPr>
      </w:pPr>
    </w:p>
    <w:p w:rsidR="00692D3F" w:rsidRPr="001E2B75" w:rsidRDefault="00692D3F" w:rsidP="00692D3F">
      <w:pPr>
        <w:rPr>
          <w:rFonts w:ascii="Arial" w:eastAsiaTheme="minorHAnsi" w:hAnsi="Arial" w:cs="Arial"/>
          <w:b/>
          <w:bCs/>
          <w:sz w:val="22"/>
          <w:lang w:val="sr-Latn-ME"/>
        </w:rPr>
      </w:pPr>
      <w:r w:rsidRPr="001E2B75">
        <w:rPr>
          <w:rFonts w:ascii="Arial" w:hAnsi="Arial" w:cs="Arial"/>
          <w:b/>
          <w:bCs/>
          <w:sz w:val="22"/>
          <w:lang w:val="sr-Latn-ME"/>
        </w:rPr>
        <w:t>•             Opšti cilj:</w:t>
      </w:r>
      <w:r w:rsidRPr="001E2B75">
        <w:rPr>
          <w:rFonts w:ascii="Arial" w:hAnsi="Arial" w:cs="Arial"/>
          <w:sz w:val="22"/>
          <w:lang w:val="sr-Latn-ME"/>
        </w:rPr>
        <w:t xml:space="preserve"> </w:t>
      </w:r>
      <w:r w:rsidRPr="001E2B75">
        <w:rPr>
          <w:rFonts w:ascii="Arial" w:hAnsi="Arial" w:cs="Arial"/>
          <w:sz w:val="22"/>
          <w:lang w:val="sr-Latn-RS"/>
        </w:rPr>
        <w:t xml:space="preserve">Uspješno definisanje, planiranje i </w:t>
      </w:r>
      <w:r w:rsidRPr="001E2B75">
        <w:rPr>
          <w:rFonts w:ascii="Arial" w:hAnsi="Arial" w:cs="Arial"/>
          <w:sz w:val="22"/>
        </w:rPr>
        <w:t>ispunjavanje zadataka iz oblasti</w:t>
      </w:r>
      <w:r>
        <w:rPr>
          <w:rFonts w:ascii="Arial" w:hAnsi="Arial" w:cs="Arial"/>
          <w:sz w:val="22"/>
        </w:rPr>
        <w:t xml:space="preserve"> elektronskih komunikacija i digitalne radio-difuzije i </w:t>
      </w:r>
      <w:r w:rsidRPr="001E2B75">
        <w:rPr>
          <w:rFonts w:ascii="Arial" w:hAnsi="Arial" w:cs="Arial"/>
          <w:sz w:val="22"/>
        </w:rPr>
        <w:t xml:space="preserve">upravljanja poštanskim saobraćajem; praćenje stanja  </w:t>
      </w:r>
      <w:r>
        <w:rPr>
          <w:rFonts w:ascii="Arial" w:hAnsi="Arial" w:cs="Arial"/>
          <w:sz w:val="22"/>
        </w:rPr>
        <w:t>u</w:t>
      </w:r>
      <w:r w:rsidRPr="001E2B75">
        <w:rPr>
          <w:rFonts w:ascii="Arial" w:hAnsi="Arial" w:cs="Arial"/>
          <w:sz w:val="22"/>
        </w:rPr>
        <w:t xml:space="preserve"> oblasti elektronskih komunikacija</w:t>
      </w:r>
      <w:r>
        <w:rPr>
          <w:rFonts w:ascii="Arial" w:hAnsi="Arial" w:cs="Arial"/>
          <w:sz w:val="22"/>
        </w:rPr>
        <w:t xml:space="preserve"> i elektronske trgovine</w:t>
      </w:r>
      <w:r w:rsidRPr="001E2B7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 </w:t>
      </w:r>
      <w:r w:rsidRPr="001E2B75">
        <w:rPr>
          <w:rFonts w:ascii="Arial" w:hAnsi="Arial" w:cs="Arial"/>
          <w:sz w:val="22"/>
        </w:rPr>
        <w:t>pružanja poštanskih usluga</w:t>
      </w:r>
      <w:r>
        <w:rPr>
          <w:rFonts w:ascii="Arial" w:hAnsi="Arial" w:cs="Arial"/>
          <w:sz w:val="22"/>
        </w:rPr>
        <w:t>, kao i</w:t>
      </w:r>
      <w:r w:rsidRPr="001E2B75">
        <w:rPr>
          <w:rFonts w:ascii="Arial" w:hAnsi="Arial" w:cs="Arial"/>
          <w:sz w:val="22"/>
        </w:rPr>
        <w:t xml:space="preserve"> davanje strate</w:t>
      </w:r>
      <w:r w:rsidRPr="001E2B75">
        <w:rPr>
          <w:rFonts w:ascii="Arial" w:hAnsi="Arial" w:cs="Arial"/>
          <w:sz w:val="22"/>
          <w:lang w:val="sr-Latn-ME"/>
        </w:rPr>
        <w:t>š</w:t>
      </w:r>
      <w:r w:rsidRPr="001E2B75">
        <w:rPr>
          <w:rFonts w:ascii="Arial" w:hAnsi="Arial" w:cs="Arial"/>
          <w:sz w:val="22"/>
        </w:rPr>
        <w:t xml:space="preserve">kih smjernica za razvoj tržišta elektronskih komunikacija </w:t>
      </w:r>
      <w:r>
        <w:rPr>
          <w:rFonts w:ascii="Arial" w:hAnsi="Arial" w:cs="Arial"/>
          <w:sz w:val="22"/>
        </w:rPr>
        <w:t xml:space="preserve">i razvoja </w:t>
      </w:r>
      <w:r w:rsidRPr="001E2B75">
        <w:rPr>
          <w:rFonts w:ascii="Arial" w:hAnsi="Arial" w:cs="Arial"/>
          <w:sz w:val="22"/>
        </w:rPr>
        <w:t>poštanske djelatnosti , kao i liberalizacij</w:t>
      </w:r>
      <w:r>
        <w:rPr>
          <w:rFonts w:ascii="Arial" w:hAnsi="Arial" w:cs="Arial"/>
          <w:sz w:val="22"/>
        </w:rPr>
        <w:t>e</w:t>
      </w:r>
      <w:r w:rsidRPr="001E2B75">
        <w:rPr>
          <w:rFonts w:ascii="Arial" w:hAnsi="Arial" w:cs="Arial"/>
          <w:sz w:val="22"/>
        </w:rPr>
        <w:t xml:space="preserve"> tržišta.</w:t>
      </w:r>
      <w:r w:rsidRPr="001E2B75">
        <w:rPr>
          <w:rFonts w:ascii="Arial" w:hAnsi="Arial" w:cs="Arial"/>
          <w:b/>
          <w:bCs/>
          <w:sz w:val="22"/>
        </w:rPr>
        <w:t xml:space="preserve"> </w:t>
      </w:r>
    </w:p>
    <w:p w:rsidR="00692D3F" w:rsidRDefault="00692D3F" w:rsidP="00692D3F">
      <w:pPr>
        <w:rPr>
          <w:rFonts w:ascii="Arial" w:hAnsi="Arial" w:cs="Arial"/>
          <w:sz w:val="22"/>
        </w:rPr>
      </w:pPr>
      <w:r w:rsidRPr="001E2B75">
        <w:rPr>
          <w:rFonts w:ascii="Arial" w:hAnsi="Arial" w:cs="Arial"/>
          <w:b/>
          <w:bCs/>
          <w:sz w:val="22"/>
          <w:lang w:val="sr-Latn-ME"/>
        </w:rPr>
        <w:t>•             Posebni cilj</w:t>
      </w:r>
      <w:r w:rsidRPr="001E2B75">
        <w:rPr>
          <w:rFonts w:ascii="Arial" w:hAnsi="Arial" w:cs="Arial"/>
          <w:sz w:val="22"/>
          <w:lang w:val="sr-Latn-ME"/>
        </w:rPr>
        <w:t xml:space="preserve">: </w:t>
      </w:r>
      <w:r w:rsidRPr="001E2B75">
        <w:rPr>
          <w:rFonts w:ascii="Arial" w:hAnsi="Arial" w:cs="Arial"/>
          <w:sz w:val="22"/>
        </w:rPr>
        <w:t>Praćenje zakona i drugih propisa, izrada odgovarajućih akata, učešće u programima bilateralne prekogranične saradnje, sprovođenje projekata tehničke podrške.</w:t>
      </w:r>
    </w:p>
    <w:p w:rsidR="00692D3F" w:rsidRPr="00225EEC" w:rsidRDefault="00692D3F" w:rsidP="00225EEC">
      <w:pPr>
        <w:pStyle w:val="Heading1"/>
        <w:numPr>
          <w:ilvl w:val="0"/>
          <w:numId w:val="0"/>
        </w:numPr>
        <w:ind w:right="703"/>
        <w:rPr>
          <w:rFonts w:eastAsia="Calibri"/>
          <w:bCs w:val="0"/>
          <w:color w:val="000000"/>
          <w:sz w:val="22"/>
          <w:lang w:val="en-GB" w:eastAsia="en-GB"/>
        </w:rPr>
      </w:pPr>
    </w:p>
    <w:tbl>
      <w:tblPr>
        <w:tblStyle w:val="TableGrid6"/>
        <w:tblW w:w="14395" w:type="dxa"/>
        <w:tblInd w:w="31" w:type="dxa"/>
        <w:tblLook w:val="04A0" w:firstRow="1" w:lastRow="0" w:firstColumn="1" w:lastColumn="0" w:noHBand="0" w:noVBand="1"/>
      </w:tblPr>
      <w:tblGrid>
        <w:gridCol w:w="974"/>
        <w:gridCol w:w="1696"/>
        <w:gridCol w:w="110"/>
        <w:gridCol w:w="1111"/>
        <w:gridCol w:w="464"/>
        <w:gridCol w:w="352"/>
        <w:gridCol w:w="464"/>
        <w:gridCol w:w="1134"/>
        <w:gridCol w:w="464"/>
        <w:gridCol w:w="571"/>
        <w:gridCol w:w="464"/>
        <w:gridCol w:w="868"/>
        <w:gridCol w:w="1014"/>
        <w:gridCol w:w="731"/>
        <w:gridCol w:w="1063"/>
        <w:gridCol w:w="486"/>
        <w:gridCol w:w="904"/>
        <w:gridCol w:w="621"/>
        <w:gridCol w:w="904"/>
      </w:tblGrid>
      <w:tr w:rsidR="00692D3F" w:rsidRPr="00595916" w:rsidTr="00692D3F">
        <w:trPr>
          <w:trHeight w:val="405"/>
        </w:trPr>
        <w:tc>
          <w:tcPr>
            <w:tcW w:w="974" w:type="dxa"/>
            <w:vMerge w:val="restart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Red.br.</w:t>
            </w:r>
          </w:p>
        </w:tc>
        <w:tc>
          <w:tcPr>
            <w:tcW w:w="1806" w:type="dxa"/>
            <w:gridSpan w:val="2"/>
            <w:vMerge w:val="restart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Opis</w:t>
            </w:r>
          </w:p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rizika</w:t>
            </w:r>
          </w:p>
        </w:tc>
        <w:tc>
          <w:tcPr>
            <w:tcW w:w="1575" w:type="dxa"/>
            <w:gridSpan w:val="2"/>
            <w:vMerge w:val="restart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Vrsta</w:t>
            </w:r>
          </w:p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rizika</w:t>
            </w:r>
          </w:p>
        </w:tc>
        <w:tc>
          <w:tcPr>
            <w:tcW w:w="3449" w:type="dxa"/>
            <w:gridSpan w:val="6"/>
            <w:tcBorders>
              <w:bottom w:val="single" w:sz="4" w:space="0" w:color="auto"/>
            </w:tcBorders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Rangiranje rizika</w:t>
            </w:r>
          </w:p>
        </w:tc>
        <w:tc>
          <w:tcPr>
            <w:tcW w:w="1882" w:type="dxa"/>
            <w:gridSpan w:val="2"/>
            <w:vMerge w:val="restart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Pregled postojećih kontrola</w:t>
            </w:r>
          </w:p>
        </w:tc>
        <w:tc>
          <w:tcPr>
            <w:tcW w:w="1794" w:type="dxa"/>
            <w:gridSpan w:val="2"/>
            <w:vMerge w:val="restart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Reagovanje na rizik</w:t>
            </w:r>
          </w:p>
        </w:tc>
        <w:tc>
          <w:tcPr>
            <w:tcW w:w="1390" w:type="dxa"/>
            <w:gridSpan w:val="2"/>
            <w:vMerge w:val="restart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Odgovorna osoba za rizik</w:t>
            </w:r>
          </w:p>
        </w:tc>
        <w:tc>
          <w:tcPr>
            <w:tcW w:w="1525" w:type="dxa"/>
            <w:gridSpan w:val="2"/>
            <w:vMerge w:val="restart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Rok za sprovođenje</w:t>
            </w:r>
          </w:p>
        </w:tc>
      </w:tr>
      <w:tr w:rsidR="00692D3F" w:rsidRPr="00595916" w:rsidTr="00692D3F">
        <w:trPr>
          <w:trHeight w:val="323"/>
        </w:trPr>
        <w:tc>
          <w:tcPr>
            <w:tcW w:w="974" w:type="dxa"/>
            <w:vMerge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806" w:type="dxa"/>
            <w:gridSpan w:val="2"/>
            <w:vMerge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575" w:type="dxa"/>
            <w:gridSpan w:val="2"/>
            <w:vMerge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  <w:t>Uticaj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  <w:t>Vjerovatnoća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  <w:t>Ukupno</w:t>
            </w:r>
          </w:p>
        </w:tc>
        <w:tc>
          <w:tcPr>
            <w:tcW w:w="1882" w:type="dxa"/>
            <w:gridSpan w:val="2"/>
            <w:vMerge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  <w:tc>
          <w:tcPr>
            <w:tcW w:w="1794" w:type="dxa"/>
            <w:gridSpan w:val="2"/>
            <w:vMerge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  <w:tc>
          <w:tcPr>
            <w:tcW w:w="1390" w:type="dxa"/>
            <w:gridSpan w:val="2"/>
            <w:vMerge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  <w:tc>
          <w:tcPr>
            <w:tcW w:w="1525" w:type="dxa"/>
            <w:gridSpan w:val="2"/>
            <w:vMerge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</w:tr>
      <w:tr w:rsidR="00692D3F" w:rsidRPr="00595916" w:rsidTr="00692D3F">
        <w:trPr>
          <w:trHeight w:val="4400"/>
        </w:trPr>
        <w:tc>
          <w:tcPr>
            <w:tcW w:w="974" w:type="dxa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1</w:t>
            </w: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806" w:type="dxa"/>
            <w:gridSpan w:val="2"/>
          </w:tcPr>
          <w:p w:rsidR="00853F4F" w:rsidRDefault="00853F4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853F4F" w:rsidRDefault="00853F4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U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sljed 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nedostatka adekvatnih kadrova može doći do kašnjenja izrade novog </w:t>
            </w:r>
          </w:p>
          <w:p w:rsidR="00853F4F" w:rsidRDefault="00692D3F" w:rsidP="00853F4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Zakona o elektronskim komunikacijama</w:t>
            </w:r>
          </w:p>
          <w:p w:rsidR="00853F4F" w:rsidRDefault="00853F4F" w:rsidP="00853F4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853F4F" w:rsidRDefault="00853F4F" w:rsidP="00853F4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692D3F" w:rsidRDefault="00692D3F" w:rsidP="00853F4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</w:t>
            </w:r>
          </w:p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  Spoljašnji</w:t>
            </w:r>
          </w:p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Reputacioni</w:t>
            </w:r>
          </w:p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692D3F" w:rsidRPr="00595916" w:rsidRDefault="00853F4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1598" w:type="dxa"/>
            <w:gridSpan w:val="2"/>
            <w:vAlign w:val="center"/>
          </w:tcPr>
          <w:p w:rsidR="00692D3F" w:rsidRPr="00595916" w:rsidRDefault="00853F4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1035" w:type="dxa"/>
            <w:gridSpan w:val="2"/>
            <w:textDirection w:val="btLr"/>
            <w:vAlign w:val="center"/>
          </w:tcPr>
          <w:p w:rsidR="00692D3F" w:rsidRPr="00595916" w:rsidRDefault="006F6DBB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6</w:t>
            </w:r>
          </w:p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882" w:type="dxa"/>
            <w:gridSpan w:val="2"/>
          </w:tcPr>
          <w:p w:rsidR="00692D3F" w:rsidRPr="00595916" w:rsidRDefault="00692D3F" w:rsidP="00692D3F">
            <w:pPr>
              <w:spacing w:before="0" w:after="31" w:line="228" w:lineRule="auto"/>
              <w:ind w:left="46" w:firstLine="7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Zakon o elektronskim komunikacijama</w:t>
            </w:r>
          </w:p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794" w:type="dxa"/>
            <w:gridSpan w:val="2"/>
          </w:tcPr>
          <w:p w:rsidR="00692D3F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692D3F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Formiranje radne grupa za izradu Zakona o elektronskim komunikacijama</w:t>
            </w:r>
          </w:p>
          <w:p w:rsidR="00692D3F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Poštovanje obaveza i neophodne dinamike rada shodno rokovima</w:t>
            </w:r>
          </w:p>
        </w:tc>
        <w:tc>
          <w:tcPr>
            <w:tcW w:w="1390" w:type="dxa"/>
            <w:gridSpan w:val="2"/>
          </w:tcPr>
          <w:p w:rsidR="00692D3F" w:rsidRPr="00595916" w:rsidRDefault="00692D3F" w:rsidP="00692D3F">
            <w:pPr>
              <w:spacing w:before="0" w:after="31" w:line="228" w:lineRule="auto"/>
              <w:ind w:left="-14" w:firstLine="7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Ministar</w:t>
            </w:r>
          </w:p>
          <w:p w:rsidR="00692D3F" w:rsidRPr="00595916" w:rsidRDefault="00692D3F" w:rsidP="00692D3F">
            <w:pPr>
              <w:spacing w:before="0" w:after="31" w:line="228" w:lineRule="auto"/>
              <w:ind w:left="-14" w:firstLine="7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Načelnik Direkcije</w:t>
            </w:r>
          </w:p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525" w:type="dxa"/>
            <w:gridSpan w:val="2"/>
          </w:tcPr>
          <w:p w:rsidR="00692D3F" w:rsidRPr="00595916" w:rsidRDefault="00A30000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IV </w:t>
            </w:r>
            <w:r w:rsidR="00692D3F"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kvartal 202</w:t>
            </w:r>
            <w:r w:rsidR="00692D3F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</w:tr>
      <w:tr w:rsidR="00692D3F" w:rsidRPr="00595916" w:rsidTr="00692D3F">
        <w:trPr>
          <w:gridAfter w:val="1"/>
          <w:wAfter w:w="904" w:type="dxa"/>
          <w:trHeight w:val="4233"/>
        </w:trPr>
        <w:tc>
          <w:tcPr>
            <w:tcW w:w="974" w:type="dxa"/>
          </w:tcPr>
          <w:p w:rsidR="00692D3F" w:rsidRPr="00595916" w:rsidRDefault="006F6DBB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2</w:t>
            </w:r>
            <w:r w:rsidR="00692D3F"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696" w:type="dxa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Nesprovođenje aktivnosti predviđenih </w:t>
            </w:r>
            <w:r w:rsidRPr="00152A2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Strategij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om</w:t>
            </w:r>
            <w:r w:rsidRPr="00152A2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razvoja poštanske djelatnosti za period 2024 -2028.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i Akcionim planom 2024-2025, zbog nedostatka finansijskih sredstava</w:t>
            </w:r>
          </w:p>
        </w:tc>
        <w:tc>
          <w:tcPr>
            <w:tcW w:w="1221" w:type="dxa"/>
            <w:gridSpan w:val="2"/>
            <w:vAlign w:val="center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  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Operativni Zakonski</w:t>
            </w: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</w:t>
            </w:r>
          </w:p>
        </w:tc>
        <w:tc>
          <w:tcPr>
            <w:tcW w:w="816" w:type="dxa"/>
            <w:gridSpan w:val="2"/>
            <w:vAlign w:val="center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1035" w:type="dxa"/>
            <w:gridSpan w:val="2"/>
            <w:vAlign w:val="center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4</w:t>
            </w:r>
          </w:p>
        </w:tc>
        <w:tc>
          <w:tcPr>
            <w:tcW w:w="1332" w:type="dxa"/>
            <w:gridSpan w:val="2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Zakon o poštanskim uslugama</w:t>
            </w:r>
          </w:p>
        </w:tc>
        <w:tc>
          <w:tcPr>
            <w:tcW w:w="1745" w:type="dxa"/>
            <w:gridSpan w:val="2"/>
          </w:tcPr>
          <w:p w:rsidR="00692D3F" w:rsidRPr="00595916" w:rsidRDefault="00692D3F" w:rsidP="00692D3F">
            <w:pPr>
              <w:spacing w:before="0" w:after="31" w:line="240" w:lineRule="auto"/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en-GB"/>
              </w:rPr>
              <w:t>Strateški plan rada Direkcije za poštansku djelatnost</w:t>
            </w:r>
          </w:p>
          <w:p w:rsidR="00692D3F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Program rada Vlade Crne Gore za 202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4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. godinu</w:t>
            </w:r>
          </w:p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Formiranje Koordinacionog tijela za praćenje realizacije aktivnosti predviđenih Strategijom</w:t>
            </w:r>
          </w:p>
        </w:tc>
        <w:tc>
          <w:tcPr>
            <w:tcW w:w="1549" w:type="dxa"/>
            <w:gridSpan w:val="2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Koordinator Direktorata za elektronske komunikacije, poštansku djelatnost i radio spektar</w:t>
            </w:r>
          </w:p>
        </w:tc>
        <w:tc>
          <w:tcPr>
            <w:tcW w:w="1525" w:type="dxa"/>
            <w:gridSpan w:val="2"/>
          </w:tcPr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I-IV kvartal 2024.</w:t>
            </w:r>
          </w:p>
        </w:tc>
      </w:tr>
    </w:tbl>
    <w:p w:rsidR="00692D3F" w:rsidRPr="00595916" w:rsidRDefault="00692D3F" w:rsidP="006F6DBB">
      <w:pPr>
        <w:spacing w:before="0" w:after="31" w:line="228" w:lineRule="auto"/>
        <w:rPr>
          <w:rFonts w:ascii="Arial" w:hAnsi="Arial" w:cs="Arial"/>
          <w:color w:val="000000"/>
          <w:sz w:val="22"/>
          <w:lang w:val="en-GB" w:eastAsia="en-GB"/>
        </w:rPr>
      </w:pPr>
    </w:p>
    <w:p w:rsidR="00692D3F" w:rsidRPr="00595916" w:rsidRDefault="00692D3F" w:rsidP="00692D3F">
      <w:pPr>
        <w:spacing w:before="0" w:after="31" w:line="228" w:lineRule="auto"/>
        <w:ind w:left="656" w:firstLine="7"/>
        <w:rPr>
          <w:rFonts w:ascii="Arial" w:hAnsi="Arial" w:cs="Arial"/>
          <w:color w:val="000000"/>
          <w:sz w:val="22"/>
          <w:lang w:val="sr-Latn-ME" w:eastAsia="en-GB"/>
        </w:rPr>
      </w:pPr>
    </w:p>
    <w:tbl>
      <w:tblPr>
        <w:tblStyle w:val="TableGrid7"/>
        <w:tblW w:w="14394" w:type="dxa"/>
        <w:tblInd w:w="31" w:type="dxa"/>
        <w:tblLook w:val="04A0" w:firstRow="1" w:lastRow="0" w:firstColumn="1" w:lastColumn="0" w:noHBand="0" w:noVBand="1"/>
      </w:tblPr>
      <w:tblGrid>
        <w:gridCol w:w="1029"/>
        <w:gridCol w:w="2161"/>
        <w:gridCol w:w="1517"/>
        <w:gridCol w:w="790"/>
        <w:gridCol w:w="1417"/>
        <w:gridCol w:w="1041"/>
        <w:gridCol w:w="1802"/>
        <w:gridCol w:w="1635"/>
        <w:gridCol w:w="1549"/>
        <w:gridCol w:w="1453"/>
      </w:tblGrid>
      <w:tr w:rsidR="00692D3F" w:rsidRPr="00595916" w:rsidTr="00692D3F">
        <w:tc>
          <w:tcPr>
            <w:tcW w:w="1113" w:type="dxa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   </w:t>
            </w:r>
            <w:r w:rsidR="006F6DBB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.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</w:t>
            </w:r>
          </w:p>
        </w:tc>
        <w:tc>
          <w:tcPr>
            <w:tcW w:w="1660" w:type="dxa"/>
          </w:tcPr>
          <w:p w:rsidR="00692D3F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Usled kašnjenje ažurnosti u pripremi aktivnosti u strateškom dokumentu može doći do</w:t>
            </w:r>
          </w:p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eusvoj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anja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Strategij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e</w:t>
            </w: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razvoja poštanske djelatnosti za period 2024 -2028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.</w:t>
            </w:r>
          </w:p>
        </w:tc>
        <w:tc>
          <w:tcPr>
            <w:tcW w:w="1557" w:type="dxa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Operativni Zakonski</w:t>
            </w:r>
          </w:p>
        </w:tc>
        <w:tc>
          <w:tcPr>
            <w:tcW w:w="850" w:type="dxa"/>
            <w:vAlign w:val="center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2</w:t>
            </w:r>
          </w:p>
        </w:tc>
        <w:tc>
          <w:tcPr>
            <w:tcW w:w="1560" w:type="dxa"/>
            <w:vAlign w:val="center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2</w:t>
            </w:r>
          </w:p>
        </w:tc>
        <w:tc>
          <w:tcPr>
            <w:tcW w:w="1134" w:type="dxa"/>
            <w:vAlign w:val="center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4</w:t>
            </w:r>
          </w:p>
        </w:tc>
        <w:tc>
          <w:tcPr>
            <w:tcW w:w="1842" w:type="dxa"/>
            <w:vAlign w:val="center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Zakon o poštanskim uslugama</w:t>
            </w:r>
          </w:p>
        </w:tc>
        <w:tc>
          <w:tcPr>
            <w:tcW w:w="1600" w:type="dxa"/>
          </w:tcPr>
          <w:p w:rsidR="00692D3F" w:rsidRPr="00595916" w:rsidRDefault="00692D3F" w:rsidP="00692D3F">
            <w:pPr>
              <w:spacing w:before="0" w:after="31" w:line="240" w:lineRule="auto"/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en-GB"/>
              </w:rPr>
              <w:t>Strateški plan rada Direkcije za poštansku djelatnost</w:t>
            </w:r>
          </w:p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Program rada Vlade Crne Gore za 2023. godinu</w:t>
            </w:r>
          </w:p>
        </w:tc>
        <w:tc>
          <w:tcPr>
            <w:tcW w:w="1549" w:type="dxa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Koordinator Direktorata za elektronske komunikacije, poštansku djelatnost i radio spektar </w:t>
            </w:r>
          </w:p>
        </w:tc>
        <w:tc>
          <w:tcPr>
            <w:tcW w:w="1529" w:type="dxa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31.12. tekuće godine</w:t>
            </w:r>
          </w:p>
        </w:tc>
      </w:tr>
      <w:tr w:rsidR="00692D3F" w:rsidRPr="00595916" w:rsidTr="00692D3F">
        <w:tc>
          <w:tcPr>
            <w:tcW w:w="1113" w:type="dxa"/>
          </w:tcPr>
          <w:p w:rsidR="00692D3F" w:rsidRPr="00595916" w:rsidRDefault="00A30000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4.</w:t>
            </w:r>
          </w:p>
        </w:tc>
        <w:tc>
          <w:tcPr>
            <w:tcW w:w="1660" w:type="dxa"/>
          </w:tcPr>
          <w:p w:rsidR="00692D3F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Eventualna kašnjenja u izradi Nacionalnog plana razvoja mreža za širokopjani pristup internetu s obzirom da se radi u  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lastRenderedPageBreak/>
              <w:t>partnerstvu sa ITU(International telecommunications Union) i izrađuje se u saradni sa međunarodnim ekspertima.</w:t>
            </w:r>
          </w:p>
        </w:tc>
        <w:tc>
          <w:tcPr>
            <w:tcW w:w="1557" w:type="dxa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Spoljašnji</w:t>
            </w:r>
          </w:p>
          <w:p w:rsidR="00692D3F" w:rsidRPr="00595916" w:rsidRDefault="00692D3F" w:rsidP="00692D3F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850" w:type="dxa"/>
            <w:vAlign w:val="center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3</w:t>
            </w:r>
          </w:p>
        </w:tc>
        <w:tc>
          <w:tcPr>
            <w:tcW w:w="1560" w:type="dxa"/>
            <w:vAlign w:val="center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3</w:t>
            </w:r>
          </w:p>
        </w:tc>
        <w:tc>
          <w:tcPr>
            <w:tcW w:w="1134" w:type="dxa"/>
            <w:vAlign w:val="center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9</w:t>
            </w:r>
          </w:p>
        </w:tc>
        <w:tc>
          <w:tcPr>
            <w:tcW w:w="1842" w:type="dxa"/>
            <w:vAlign w:val="center"/>
          </w:tcPr>
          <w:p w:rsidR="00692D3F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Nacionalni plan razvoja mreža za širokopojasni pristup internetu.</w:t>
            </w:r>
          </w:p>
        </w:tc>
        <w:tc>
          <w:tcPr>
            <w:tcW w:w="1600" w:type="dxa"/>
          </w:tcPr>
          <w:p w:rsidR="00692D3F" w:rsidRPr="00595916" w:rsidRDefault="00692D3F" w:rsidP="00692D3F">
            <w:pPr>
              <w:spacing w:before="0" w:after="31" w:line="240" w:lineRule="auto"/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en-GB"/>
              </w:rPr>
              <w:t>Blagovremeno urgiranje kod partnera na ispoštovanje zadatih rokova</w:t>
            </w:r>
          </w:p>
        </w:tc>
        <w:tc>
          <w:tcPr>
            <w:tcW w:w="1549" w:type="dxa"/>
          </w:tcPr>
          <w:p w:rsidR="00692D3F" w:rsidRDefault="00692D3F" w:rsidP="00692D3F">
            <w:pPr>
              <w:spacing w:before="0" w:after="31" w:line="228" w:lineRule="auto"/>
              <w:ind w:left="-14" w:firstLine="7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Načelnik Direkcije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</w:t>
            </w:r>
          </w:p>
          <w:p w:rsidR="00692D3F" w:rsidRDefault="00692D3F" w:rsidP="00692D3F">
            <w:pPr>
              <w:spacing w:before="0" w:after="31" w:line="228" w:lineRule="auto"/>
              <w:ind w:left="-14" w:firstLine="7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Koordinator Direktorata</w:t>
            </w:r>
          </w:p>
          <w:p w:rsidR="00692D3F" w:rsidRPr="00595916" w:rsidRDefault="00692D3F" w:rsidP="00692D3F">
            <w:pPr>
              <w:spacing w:before="0" w:after="31" w:line="228" w:lineRule="auto"/>
              <w:ind w:left="-14" w:firstLine="7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</w:tc>
        <w:tc>
          <w:tcPr>
            <w:tcW w:w="1529" w:type="dxa"/>
          </w:tcPr>
          <w:p w:rsidR="00692D3F" w:rsidRPr="00595916" w:rsidRDefault="00692D3F" w:rsidP="00692D3F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 </w:t>
            </w:r>
            <w:r w:rsidR="00A30000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IV kvartal 2024.</w:t>
            </w:r>
          </w:p>
        </w:tc>
      </w:tr>
    </w:tbl>
    <w:p w:rsidR="00692D3F" w:rsidRPr="003A2336" w:rsidRDefault="00692D3F" w:rsidP="003A2336">
      <w:pPr>
        <w:keepNext/>
        <w:keepLines/>
        <w:spacing w:after="0" w:line="240" w:lineRule="auto"/>
        <w:ind w:right="703"/>
        <w:outlineLvl w:val="0"/>
        <w:rPr>
          <w:rFonts w:ascii="Arial" w:hAnsi="Arial" w:cs="Arial"/>
          <w:b/>
          <w:color w:val="000000"/>
          <w:lang w:val="en-GB" w:eastAsia="en-GB"/>
        </w:rPr>
      </w:pPr>
    </w:p>
    <w:p w:rsidR="00692D3F" w:rsidRDefault="00692D3F" w:rsidP="00692D3F">
      <w:pPr>
        <w:pStyle w:val="ListParagraph"/>
        <w:keepNext/>
        <w:keepLines/>
        <w:spacing w:after="0" w:line="240" w:lineRule="auto"/>
        <w:ind w:right="703"/>
        <w:outlineLvl w:val="0"/>
        <w:rPr>
          <w:rFonts w:ascii="Arial" w:hAnsi="Arial" w:cs="Arial"/>
          <w:b/>
          <w:color w:val="000000"/>
          <w:lang w:val="en-GB" w:eastAsia="en-GB"/>
        </w:rPr>
      </w:pPr>
    </w:p>
    <w:p w:rsidR="00B538CA" w:rsidRPr="00692D3F" w:rsidRDefault="00692D3F" w:rsidP="00692D3F">
      <w:pPr>
        <w:pStyle w:val="ListParagraph"/>
        <w:keepNext/>
        <w:keepLines/>
        <w:spacing w:after="0" w:line="240" w:lineRule="auto"/>
        <w:ind w:right="703"/>
        <w:outlineLvl w:val="0"/>
        <w:rPr>
          <w:rFonts w:ascii="Arial" w:hAnsi="Arial" w:cs="Arial"/>
          <w:b/>
          <w:color w:val="000000"/>
          <w:lang w:val="en-GB" w:eastAsia="en-GB"/>
        </w:rPr>
      </w:pPr>
      <w:r>
        <w:rPr>
          <w:rFonts w:ascii="Arial" w:hAnsi="Arial" w:cs="Arial"/>
          <w:b/>
          <w:color w:val="000000"/>
          <w:lang w:val="en-GB" w:eastAsia="en-GB"/>
        </w:rPr>
        <w:t>5.</w:t>
      </w:r>
      <w:r w:rsidR="00B538CA" w:rsidRPr="00692D3F">
        <w:rPr>
          <w:rFonts w:ascii="Arial" w:hAnsi="Arial" w:cs="Arial"/>
          <w:b/>
          <w:color w:val="000000"/>
          <w:lang w:val="en-GB" w:eastAsia="en-GB"/>
        </w:rPr>
        <w:t>DIREKTORAT ZA INVESTICIONI I REGIONALNI RAZVOJ</w:t>
      </w:r>
    </w:p>
    <w:p w:rsidR="00B538CA" w:rsidRDefault="00B538CA" w:rsidP="00B538CA">
      <w:pPr>
        <w:keepNext/>
        <w:keepLines/>
        <w:spacing w:before="0" w:after="0" w:line="240" w:lineRule="auto"/>
        <w:ind w:right="703"/>
        <w:jc w:val="left"/>
        <w:outlineLvl w:val="0"/>
        <w:rPr>
          <w:rFonts w:ascii="Arial" w:hAnsi="Arial" w:cs="Arial"/>
          <w:b/>
          <w:color w:val="000000"/>
          <w:sz w:val="22"/>
          <w:lang w:val="en-GB" w:eastAsia="en-GB"/>
        </w:rPr>
      </w:pPr>
    </w:p>
    <w:p w:rsidR="00B538CA" w:rsidRPr="001004EC" w:rsidRDefault="00B538CA" w:rsidP="00B538CA">
      <w:pPr>
        <w:keepNext/>
        <w:keepLines/>
        <w:spacing w:after="0" w:line="240" w:lineRule="auto"/>
        <w:rPr>
          <w:rFonts w:ascii="Arial" w:eastAsiaTheme="majorEastAsia" w:hAnsi="Arial" w:cs="Arial"/>
          <w:sz w:val="22"/>
          <w:lang w:val="sr-Latn-ME"/>
        </w:rPr>
      </w:pPr>
      <w:r w:rsidRPr="001E2B75">
        <w:rPr>
          <w:rFonts w:ascii="Arial" w:eastAsiaTheme="majorEastAsia" w:hAnsi="Arial" w:cs="Arial"/>
          <w:b/>
          <w:sz w:val="22"/>
          <w:lang w:val="sr-Latn-ME"/>
        </w:rPr>
        <w:t xml:space="preserve">Opšti cilj: </w:t>
      </w:r>
      <w:r w:rsidRPr="001004EC">
        <w:rPr>
          <w:rFonts w:ascii="Arial" w:eastAsiaTheme="majorEastAsia" w:hAnsi="Arial" w:cs="Arial"/>
          <w:sz w:val="22"/>
          <w:lang w:val="sr-Latn-ME"/>
        </w:rPr>
        <w:t xml:space="preserve">Kreiranje i koordinacija implementacije politike regionalnog razvoja, podsticanje investicija i uspješne realizacije </w:t>
      </w:r>
      <w:r w:rsidRPr="001004EC">
        <w:rPr>
          <w:rFonts w:ascii="Arial" w:eastAsia="Times New Roman" w:hAnsi="Arial" w:cs="Arial"/>
          <w:sz w:val="22"/>
          <w:lang w:val="sr-Latn-ME"/>
        </w:rPr>
        <w:t xml:space="preserve">investicionih projekata u okviru Posebnog programa ulaganja od posebnog značaja za privredni i ekonomski interes Crne Gore, unapređenje pravnog okvira oblasti zanatstva. </w:t>
      </w:r>
    </w:p>
    <w:p w:rsidR="00B538CA" w:rsidRDefault="00B538CA" w:rsidP="00B538CA">
      <w:pPr>
        <w:keepNext/>
        <w:keepLines/>
        <w:spacing w:after="0" w:line="240" w:lineRule="auto"/>
        <w:rPr>
          <w:rFonts w:ascii="Arial" w:eastAsiaTheme="majorEastAsia" w:hAnsi="Arial" w:cs="Arial"/>
          <w:sz w:val="22"/>
          <w:lang w:val="sr-Latn-ME"/>
        </w:rPr>
      </w:pPr>
    </w:p>
    <w:p w:rsidR="00B538CA" w:rsidRDefault="00B538CA" w:rsidP="00B538CA">
      <w:pPr>
        <w:keepNext/>
        <w:keepLines/>
        <w:spacing w:after="0" w:line="240" w:lineRule="auto"/>
        <w:rPr>
          <w:rFonts w:ascii="Arial" w:eastAsiaTheme="majorEastAsia" w:hAnsi="Arial" w:cs="Arial"/>
          <w:sz w:val="22"/>
          <w:lang w:val="sr-Latn-ME"/>
        </w:rPr>
      </w:pPr>
      <w:r w:rsidRPr="001004EC">
        <w:rPr>
          <w:rFonts w:ascii="Arial" w:eastAsiaTheme="majorEastAsia" w:hAnsi="Arial" w:cs="Arial"/>
          <w:b/>
          <w:sz w:val="22"/>
          <w:lang w:val="sr-Latn-ME"/>
        </w:rPr>
        <w:t>Poseban cilj</w:t>
      </w:r>
      <w:r>
        <w:rPr>
          <w:rFonts w:ascii="Arial" w:eastAsiaTheme="majorEastAsia" w:hAnsi="Arial" w:cs="Arial"/>
          <w:sz w:val="22"/>
          <w:lang w:val="sr-Latn-ME"/>
        </w:rPr>
        <w:t xml:space="preserve">: Unapređenje aktivnosti politike regionalnog razvoja, kreiranje programskih linija za podršku privredi, posebno zanatlijama i konstinuirano praćenje i monitoring </w:t>
      </w:r>
      <w:r w:rsidRPr="001004EC">
        <w:rPr>
          <w:rFonts w:ascii="Arial" w:eastAsia="Times New Roman" w:hAnsi="Arial" w:cs="Arial"/>
          <w:sz w:val="22"/>
          <w:lang w:val="sr-Latn-ME"/>
        </w:rPr>
        <w:t>investicionih projekata u okviru Posebnog programa ulaganja od posebnog značaja za privredni i ekonomski interes Crne Go</w:t>
      </w:r>
      <w:r>
        <w:rPr>
          <w:rFonts w:ascii="Arial" w:eastAsia="Times New Roman" w:hAnsi="Arial" w:cs="Arial"/>
          <w:sz w:val="22"/>
          <w:lang w:val="sr-Latn-ME"/>
        </w:rPr>
        <w:t>re,</w:t>
      </w:r>
    </w:p>
    <w:p w:rsidR="00B538CA" w:rsidRDefault="00B538CA" w:rsidP="00B538CA">
      <w:pPr>
        <w:keepNext/>
        <w:keepLines/>
        <w:spacing w:before="0" w:after="0" w:line="240" w:lineRule="auto"/>
        <w:ind w:right="703"/>
        <w:jc w:val="left"/>
        <w:outlineLvl w:val="0"/>
        <w:rPr>
          <w:rFonts w:ascii="Arial" w:hAnsi="Arial" w:cs="Arial"/>
          <w:b/>
          <w:color w:val="000000"/>
          <w:sz w:val="22"/>
          <w:lang w:val="en-GB" w:eastAsia="en-GB"/>
        </w:rPr>
      </w:pPr>
    </w:p>
    <w:p w:rsidR="00B538CA" w:rsidRDefault="00B538CA" w:rsidP="00B538CA">
      <w:pPr>
        <w:keepNext/>
        <w:keepLines/>
        <w:spacing w:before="0" w:after="0" w:line="240" w:lineRule="auto"/>
        <w:ind w:right="703"/>
        <w:jc w:val="left"/>
        <w:outlineLvl w:val="0"/>
        <w:rPr>
          <w:rFonts w:ascii="Arial" w:hAnsi="Arial" w:cs="Arial"/>
          <w:b/>
          <w:color w:val="000000"/>
          <w:sz w:val="22"/>
          <w:lang w:val="en-GB" w:eastAsia="en-GB"/>
        </w:rPr>
      </w:pPr>
    </w:p>
    <w:tbl>
      <w:tblPr>
        <w:tblStyle w:val="TableGrid1"/>
        <w:tblW w:w="13572" w:type="dxa"/>
        <w:tblInd w:w="31" w:type="dxa"/>
        <w:tblLayout w:type="fixed"/>
        <w:tblLook w:val="04A0" w:firstRow="1" w:lastRow="0" w:firstColumn="1" w:lastColumn="0" w:noHBand="0" w:noVBand="1"/>
      </w:tblPr>
      <w:tblGrid>
        <w:gridCol w:w="815"/>
        <w:gridCol w:w="1672"/>
        <w:gridCol w:w="1305"/>
        <w:gridCol w:w="850"/>
        <w:gridCol w:w="848"/>
        <w:gridCol w:w="711"/>
        <w:gridCol w:w="1519"/>
        <w:gridCol w:w="2614"/>
        <w:gridCol w:w="1679"/>
        <w:gridCol w:w="1559"/>
      </w:tblGrid>
      <w:tr w:rsidR="00B538CA" w:rsidRPr="00397F06" w:rsidTr="00B538CA">
        <w:trPr>
          <w:trHeight w:val="405"/>
        </w:trPr>
        <w:tc>
          <w:tcPr>
            <w:tcW w:w="815" w:type="dxa"/>
            <w:vMerge w:val="restart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Red.br.</w:t>
            </w:r>
          </w:p>
        </w:tc>
        <w:tc>
          <w:tcPr>
            <w:tcW w:w="1672" w:type="dxa"/>
            <w:vMerge w:val="restart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Opis</w:t>
            </w:r>
          </w:p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rizika</w:t>
            </w:r>
          </w:p>
        </w:tc>
        <w:tc>
          <w:tcPr>
            <w:tcW w:w="1305" w:type="dxa"/>
            <w:vMerge w:val="restart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Vrsta</w:t>
            </w:r>
          </w:p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rizika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Rangiranje rizika</w:t>
            </w:r>
          </w:p>
        </w:tc>
        <w:tc>
          <w:tcPr>
            <w:tcW w:w="1519" w:type="dxa"/>
            <w:vMerge w:val="restart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Pregled postojećih kontrola</w:t>
            </w:r>
          </w:p>
        </w:tc>
        <w:tc>
          <w:tcPr>
            <w:tcW w:w="2614" w:type="dxa"/>
            <w:vMerge w:val="restart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Reagovanje na rizik</w:t>
            </w:r>
          </w:p>
        </w:tc>
        <w:tc>
          <w:tcPr>
            <w:tcW w:w="1679" w:type="dxa"/>
            <w:vMerge w:val="restart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Odgovorna osoba za rizik</w:t>
            </w:r>
          </w:p>
        </w:tc>
        <w:tc>
          <w:tcPr>
            <w:tcW w:w="1559" w:type="dxa"/>
            <w:vMerge w:val="restart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  <w:t>Rok za sprovođenje</w:t>
            </w:r>
          </w:p>
        </w:tc>
      </w:tr>
      <w:tr w:rsidR="00B538CA" w:rsidRPr="00397F06" w:rsidTr="00B538CA">
        <w:trPr>
          <w:trHeight w:val="390"/>
        </w:trPr>
        <w:tc>
          <w:tcPr>
            <w:tcW w:w="815" w:type="dxa"/>
            <w:vMerge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672" w:type="dxa"/>
            <w:vMerge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305" w:type="dxa"/>
            <w:vMerge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  <w:t>Uticaj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  <w:t>Vjerovatnoća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b/>
                <w:i/>
                <w:color w:val="000000"/>
                <w:sz w:val="22"/>
                <w:lang w:val="en-GB" w:eastAsia="en-GB"/>
              </w:rPr>
              <w:t>Ukupno</w:t>
            </w:r>
          </w:p>
        </w:tc>
        <w:tc>
          <w:tcPr>
            <w:tcW w:w="1519" w:type="dxa"/>
            <w:vMerge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  <w:tc>
          <w:tcPr>
            <w:tcW w:w="2614" w:type="dxa"/>
            <w:vMerge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  <w:tc>
          <w:tcPr>
            <w:tcW w:w="1679" w:type="dxa"/>
            <w:vMerge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  <w:tc>
          <w:tcPr>
            <w:tcW w:w="1559" w:type="dxa"/>
            <w:vMerge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b/>
                <w:color w:val="000000"/>
                <w:sz w:val="22"/>
                <w:lang w:val="en-GB" w:eastAsia="en-GB"/>
              </w:rPr>
            </w:pPr>
          </w:p>
        </w:tc>
      </w:tr>
      <w:tr w:rsidR="00B538CA" w:rsidRPr="00397F06" w:rsidTr="00B538CA">
        <w:tc>
          <w:tcPr>
            <w:tcW w:w="815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cs="Calibri"/>
                <w:color w:val="000000"/>
                <w:sz w:val="22"/>
                <w:lang w:val="en-GB" w:eastAsia="en-GB"/>
              </w:rPr>
              <w:t>1.</w:t>
            </w:r>
          </w:p>
        </w:tc>
        <w:tc>
          <w:tcPr>
            <w:tcW w:w="1672" w:type="dxa"/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Nedovoljne informacije  o programima podrške na portalu Biznis.gov.me</w:t>
            </w:r>
          </w:p>
        </w:tc>
        <w:tc>
          <w:tcPr>
            <w:tcW w:w="1305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Reputacioni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1519" w:type="dxa"/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Priprema i praćenje objava</w:t>
            </w:r>
          </w:p>
        </w:tc>
        <w:tc>
          <w:tcPr>
            <w:tcW w:w="2614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Dono</w:t>
            </w: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šenje zaključka Vlade kojim se obavezuju resorna ministarstva da MER-u dostavljaju podatke o svojim programima podrške </w:t>
            </w:r>
          </w:p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Podsjećanje institucija mail-om</w:t>
            </w:r>
          </w:p>
        </w:tc>
        <w:tc>
          <w:tcPr>
            <w:tcW w:w="1679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Generalni direktor</w:t>
            </w:r>
          </w:p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Načelnici</w:t>
            </w:r>
          </w:p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Samostalni savjetnici</w:t>
            </w:r>
          </w:p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559" w:type="dxa"/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Kontinuirano</w:t>
            </w:r>
          </w:p>
        </w:tc>
      </w:tr>
      <w:tr w:rsidR="00B538CA" w:rsidRPr="00397F06" w:rsidTr="00B538CA">
        <w:tc>
          <w:tcPr>
            <w:tcW w:w="815" w:type="dxa"/>
          </w:tcPr>
          <w:p w:rsidR="00B538CA" w:rsidRPr="00062FD3" w:rsidRDefault="006F6DBB" w:rsidP="00B538CA">
            <w:pPr>
              <w:spacing w:before="0" w:after="31" w:line="228" w:lineRule="auto"/>
              <w:rPr>
                <w:rFonts w:cs="Calibri"/>
                <w:color w:val="000000"/>
                <w:sz w:val="22"/>
                <w:lang w:val="en-GB" w:eastAsia="en-GB"/>
              </w:rPr>
            </w:pPr>
            <w:r>
              <w:rPr>
                <w:rFonts w:cs="Calibri"/>
                <w:color w:val="000000"/>
                <w:sz w:val="22"/>
                <w:lang w:val="en-GB" w:eastAsia="en-GB"/>
              </w:rPr>
              <w:lastRenderedPageBreak/>
              <w:t>2.</w:t>
            </w:r>
          </w:p>
        </w:tc>
        <w:tc>
          <w:tcPr>
            <w:tcW w:w="1672" w:type="dxa"/>
          </w:tcPr>
          <w:p w:rsidR="00B538CA" w:rsidRPr="00062FD3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062FD3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Nedovoljan broj zainteresovanih subjekata za apliciranje na ponuđene 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P</w:t>
            </w:r>
            <w:r w:rsidRPr="00062FD3">
              <w:rPr>
                <w:rFonts w:ascii="Arial" w:hAnsi="Arial" w:cs="Arial"/>
                <w:color w:val="000000"/>
                <w:sz w:val="22"/>
                <w:lang w:val="en-GB" w:eastAsia="en-GB"/>
              </w:rPr>
              <w:t>rograme podrške/nedovoljan broj kvalitetnih aplikacija</w:t>
            </w:r>
          </w:p>
        </w:tc>
        <w:tc>
          <w:tcPr>
            <w:tcW w:w="1305" w:type="dxa"/>
          </w:tcPr>
          <w:p w:rsidR="00B538CA" w:rsidRPr="00062FD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062FD3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Operativini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CA" w:rsidRPr="00062FD3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062FD3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CA" w:rsidRPr="00062FD3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062FD3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</w:tcPr>
          <w:p w:rsidR="00B538CA" w:rsidRPr="00062FD3" w:rsidRDefault="00A30000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16</w:t>
            </w:r>
          </w:p>
        </w:tc>
        <w:tc>
          <w:tcPr>
            <w:tcW w:w="1519" w:type="dxa"/>
          </w:tcPr>
          <w:p w:rsidR="00B538CA" w:rsidRPr="00062FD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062FD3">
              <w:rPr>
                <w:rFonts w:ascii="Arial" w:hAnsi="Arial" w:cs="Arial"/>
                <w:color w:val="000000"/>
                <w:sz w:val="22"/>
                <w:lang w:val="en-GB" w:eastAsia="en-GB"/>
              </w:rPr>
              <w:t>Izvještaji o realizaciji Program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a</w:t>
            </w:r>
          </w:p>
        </w:tc>
        <w:tc>
          <w:tcPr>
            <w:tcW w:w="2614" w:type="dxa"/>
          </w:tcPr>
          <w:p w:rsidR="00B538CA" w:rsidRPr="00062FD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062FD3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Kontinuirana komunikacija i predstavljanje programske podrške zainteresovanim privrednim udruženjima/subjektima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/zanatlijama</w:t>
            </w:r>
          </w:p>
        </w:tc>
        <w:tc>
          <w:tcPr>
            <w:tcW w:w="1679" w:type="dxa"/>
          </w:tcPr>
          <w:p w:rsidR="00B538CA" w:rsidRPr="00062FD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062FD3">
              <w:rPr>
                <w:rFonts w:ascii="Arial" w:hAnsi="Arial" w:cs="Arial"/>
                <w:color w:val="000000"/>
                <w:sz w:val="22"/>
                <w:lang w:val="en-GB" w:eastAsia="en-GB"/>
              </w:rPr>
              <w:t>Generalni direktor</w:t>
            </w:r>
          </w:p>
          <w:p w:rsidR="00923DC3" w:rsidRDefault="00923DC3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062FD3">
              <w:rPr>
                <w:rFonts w:ascii="Arial" w:hAnsi="Arial" w:cs="Arial"/>
                <w:color w:val="000000"/>
                <w:sz w:val="22"/>
                <w:lang w:val="en-GB" w:eastAsia="en-GB"/>
              </w:rPr>
              <w:t>N</w:t>
            </w:r>
            <w:r w:rsidR="00B538CA" w:rsidRPr="00062FD3">
              <w:rPr>
                <w:rFonts w:ascii="Arial" w:hAnsi="Arial" w:cs="Arial"/>
                <w:color w:val="000000"/>
                <w:sz w:val="22"/>
                <w:lang w:val="en-GB" w:eastAsia="en-GB"/>
              </w:rPr>
              <w:t>ačelnici</w:t>
            </w:r>
          </w:p>
          <w:p w:rsidR="00B538CA" w:rsidRPr="00062FD3" w:rsidRDefault="00923DC3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S</w:t>
            </w: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amostalni savjetnici</w:t>
            </w:r>
          </w:p>
        </w:tc>
        <w:tc>
          <w:tcPr>
            <w:tcW w:w="1559" w:type="dxa"/>
          </w:tcPr>
          <w:p w:rsidR="00B538CA" w:rsidRPr="00062FD3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062FD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Kontinuirano</w:t>
            </w:r>
          </w:p>
        </w:tc>
      </w:tr>
      <w:tr w:rsidR="00B538CA" w:rsidRPr="00397F06" w:rsidTr="00B538CA">
        <w:tc>
          <w:tcPr>
            <w:tcW w:w="815" w:type="dxa"/>
            <w:tcBorders>
              <w:bottom w:val="single" w:sz="4" w:space="0" w:color="auto"/>
            </w:tcBorders>
          </w:tcPr>
          <w:p w:rsidR="00B538CA" w:rsidRPr="00397F06" w:rsidRDefault="00923DC3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cs="Calibri"/>
                <w:color w:val="000000"/>
                <w:sz w:val="22"/>
                <w:lang w:val="en-GB" w:eastAsia="en-GB"/>
              </w:rPr>
              <w:t>3</w:t>
            </w:r>
            <w:r w:rsidR="00B538CA" w:rsidRPr="00397F06">
              <w:rPr>
                <w:rFonts w:cs="Calibri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538CA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Sprovođenje 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P</w:t>
            </w: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rograma za unapređenje konkurentnosti</w:t>
            </w:r>
          </w:p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i Programa za razvoj i promociju zanatstva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Finansijski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10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Kontrola dostavljene dokumentacije/faktura/zahtjeva za plaćanje i prateće dokumentacije u skladu sa procedurama</w:t>
            </w:r>
          </w:p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Blagovremena priprema dokumentacije (ugovori/rješenja) i kontrola dokumentacije u skladu sa procedurama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Generalni direktor</w:t>
            </w:r>
          </w:p>
          <w:p w:rsidR="00B538CA" w:rsidRPr="00397F06" w:rsidRDefault="00923DC3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</w:t>
            </w:r>
            <w:r w:rsidR="00B538CA"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ačelni</w:t>
            </w:r>
            <w:r w:rsidR="00B538CA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ci</w:t>
            </w:r>
          </w:p>
          <w:p w:rsidR="00B538CA" w:rsidRPr="00397F06" w:rsidRDefault="00923DC3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S</w:t>
            </w:r>
            <w:r w:rsidR="00B538CA"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amostalni savjetnici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Kontinuirano</w:t>
            </w:r>
          </w:p>
        </w:tc>
      </w:tr>
      <w:tr w:rsidR="00B538CA" w:rsidRPr="00397F06" w:rsidTr="00B538CA"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538CA" w:rsidRPr="00397F06" w:rsidRDefault="00923DC3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cs="Calibri"/>
                <w:color w:val="000000"/>
                <w:sz w:val="22"/>
                <w:lang w:val="en-GB" w:eastAsia="en-GB"/>
              </w:rPr>
              <w:t>4</w:t>
            </w:r>
            <w:r w:rsidR="00B538CA" w:rsidRPr="00397F06">
              <w:rPr>
                <w:rFonts w:cs="Calibri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672" w:type="dxa"/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Ažuriranje registra nameta</w:t>
            </w:r>
          </w:p>
        </w:tc>
        <w:tc>
          <w:tcPr>
            <w:tcW w:w="1305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Reputacioni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20</w:t>
            </w:r>
          </w:p>
        </w:tc>
        <w:tc>
          <w:tcPr>
            <w:tcW w:w="1519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Kontrola kataloga propisa i unos identifikovanih nameta</w:t>
            </w:r>
          </w:p>
        </w:tc>
        <w:tc>
          <w:tcPr>
            <w:tcW w:w="2614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Kontinurane konsultacije i podrška prilikom preuzimanja registra/ </w:t>
            </w:r>
            <w:r w:rsidRPr="00397F06">
              <w:rPr>
                <w:rFonts w:cs="Calibri"/>
                <w:color w:val="000000"/>
                <w:sz w:val="22"/>
                <w:lang w:val="en-GB" w:eastAsia="en-GB"/>
              </w:rPr>
              <w:t xml:space="preserve"> </w:t>
            </w: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zaduženje odgovornih lica iz institucija koja čine Partnerski savjet za regionalni razvoj</w:t>
            </w:r>
            <w:r w:rsidRPr="00397F06" w:rsidDel="00E46294">
              <w:rPr>
                <w:rFonts w:ascii="Arial" w:hAnsi="Arial" w:cs="Arial"/>
                <w:color w:val="000000"/>
                <w:sz w:val="22"/>
                <w:highlight w:val="yellow"/>
                <w:lang w:val="en-GB" w:eastAsia="en-GB"/>
              </w:rPr>
              <w:t xml:space="preserve"> </w:t>
            </w:r>
          </w:p>
        </w:tc>
        <w:tc>
          <w:tcPr>
            <w:tcW w:w="1679" w:type="dxa"/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G</w:t>
            </w: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eneralni direktor</w:t>
            </w:r>
          </w:p>
          <w:p w:rsidR="00B538CA" w:rsidRPr="00397F06" w:rsidRDefault="00923DC3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N</w:t>
            </w:r>
            <w:r w:rsidR="00B538CA"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ačelnik</w:t>
            </w:r>
          </w:p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Samostalni savjetnici</w:t>
            </w:r>
          </w:p>
        </w:tc>
        <w:tc>
          <w:tcPr>
            <w:tcW w:w="1559" w:type="dxa"/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Kontinuirano</w:t>
            </w:r>
          </w:p>
        </w:tc>
      </w:tr>
      <w:tr w:rsidR="00B538CA" w:rsidRPr="00397F06" w:rsidTr="00B538CA"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538CA" w:rsidRDefault="00923DC3" w:rsidP="00B538CA">
            <w:pPr>
              <w:spacing w:before="0" w:after="31" w:line="228" w:lineRule="auto"/>
              <w:rPr>
                <w:rFonts w:cs="Calibri"/>
                <w:color w:val="000000"/>
                <w:sz w:val="22"/>
                <w:lang w:val="en-GB" w:eastAsia="en-GB"/>
              </w:rPr>
            </w:pPr>
            <w:r>
              <w:rPr>
                <w:rFonts w:cs="Calibri"/>
                <w:color w:val="000000"/>
                <w:sz w:val="22"/>
                <w:lang w:val="en-GB" w:eastAsia="en-GB"/>
              </w:rPr>
              <w:t>5</w:t>
            </w:r>
            <w:r w:rsidR="00B538CA">
              <w:rPr>
                <w:rFonts w:cs="Calibri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672" w:type="dxa"/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Nepostojanje registra zanatlija</w:t>
            </w:r>
          </w:p>
        </w:tc>
        <w:tc>
          <w:tcPr>
            <w:tcW w:w="1305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20</w:t>
            </w:r>
          </w:p>
        </w:tc>
        <w:tc>
          <w:tcPr>
            <w:tcW w:w="1519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Zakon o zanatstvu I podzakonski akti</w:t>
            </w:r>
          </w:p>
        </w:tc>
        <w:tc>
          <w:tcPr>
            <w:tcW w:w="2614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Kontinurane konsultacije i podrška 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Zanatskoj komori Crne Gore za izradu registra zanatlija </w:t>
            </w:r>
          </w:p>
        </w:tc>
        <w:tc>
          <w:tcPr>
            <w:tcW w:w="1679" w:type="dxa"/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Generalni direktor</w:t>
            </w:r>
          </w:p>
          <w:p w:rsidR="00B538CA" w:rsidRPr="00397F06" w:rsidRDefault="00923DC3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</w:t>
            </w:r>
            <w:r w:rsidR="00B538CA"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ačelni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</w:t>
            </w:r>
          </w:p>
          <w:p w:rsidR="00B538CA" w:rsidRPr="00397F06" w:rsidRDefault="00923DC3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S</w:t>
            </w:r>
            <w:r w:rsidR="00B538CA"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amostalni savjetnici</w:t>
            </w:r>
          </w:p>
        </w:tc>
        <w:tc>
          <w:tcPr>
            <w:tcW w:w="1559" w:type="dxa"/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397F06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Kontinuirano</w:t>
            </w:r>
          </w:p>
        </w:tc>
      </w:tr>
      <w:tr w:rsidR="00B538CA" w:rsidRPr="00397F06" w:rsidTr="00B538CA"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538CA" w:rsidRPr="004E285C" w:rsidRDefault="00923DC3" w:rsidP="00B538CA">
            <w:pPr>
              <w:spacing w:before="0" w:after="31" w:line="228" w:lineRule="auto"/>
              <w:rPr>
                <w:rFonts w:cs="Calibri"/>
                <w:color w:val="000000"/>
                <w:sz w:val="22"/>
                <w:lang w:val="en-GB" w:eastAsia="en-GB"/>
              </w:rPr>
            </w:pPr>
            <w:r>
              <w:rPr>
                <w:rFonts w:cs="Calibri"/>
                <w:color w:val="000000"/>
                <w:sz w:val="22"/>
                <w:lang w:val="en-GB" w:eastAsia="en-GB"/>
              </w:rPr>
              <w:t>6</w:t>
            </w:r>
            <w:r w:rsidR="00B538CA" w:rsidRPr="004E285C">
              <w:rPr>
                <w:rFonts w:cs="Calibri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672" w:type="dxa"/>
          </w:tcPr>
          <w:p w:rsidR="00B538CA" w:rsidRPr="004E285C" w:rsidRDefault="0054752B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Usled n</w:t>
            </w:r>
            <w:r w:rsidR="00B538CA"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t>epredvidivost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i</w:t>
            </w:r>
            <w:r w:rsidR="00B538CA"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odluk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e</w:t>
            </w:r>
            <w:r w:rsidR="00B538CA"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sud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a</w:t>
            </w:r>
            <w:r w:rsidR="00B538CA"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</w:t>
            </w:r>
            <w:r w:rsidR="00B538CA"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 xml:space="preserve">kao i finansijskih troškova koji su neohodni za plaćanje pravnih zastupnika Crne Gore </w:t>
            </w: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može doći do kašnjenja izvršenja </w:t>
            </w:r>
            <w:r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t>arbitražnih postupaka I prinudnog izvršenja za čije praćenje je zadužen MER</w:t>
            </w:r>
          </w:p>
        </w:tc>
        <w:tc>
          <w:tcPr>
            <w:tcW w:w="1305" w:type="dxa"/>
          </w:tcPr>
          <w:p w:rsidR="00B538CA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Operativni</w:t>
            </w:r>
          </w:p>
          <w:p w:rsidR="00B538CA" w:rsidRPr="004E285C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Finansijski</w:t>
            </w:r>
          </w:p>
          <w:p w:rsidR="00B538CA" w:rsidRPr="004E285C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4E285C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4E285C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8CA" w:rsidRPr="004E285C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t>9</w:t>
            </w:r>
          </w:p>
        </w:tc>
        <w:tc>
          <w:tcPr>
            <w:tcW w:w="1519" w:type="dxa"/>
          </w:tcPr>
          <w:p w:rsidR="00B538CA" w:rsidRPr="004E285C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Analiza podnesaka u procesima i </w:t>
            </w:r>
            <w:r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konačnih odluka arbitražnih tribunala/sudova</w:t>
            </w:r>
          </w:p>
        </w:tc>
        <w:tc>
          <w:tcPr>
            <w:tcW w:w="2614" w:type="dxa"/>
          </w:tcPr>
          <w:p w:rsidR="00B538CA" w:rsidRPr="004E285C" w:rsidRDefault="00B538CA" w:rsidP="00B538CA">
            <w:pPr>
              <w:rPr>
                <w:rFonts w:ascii="Arial" w:hAnsi="Arial" w:cs="Arial"/>
                <w:sz w:val="22"/>
                <w:lang w:val="sr-Latn-ME"/>
              </w:rPr>
            </w:pPr>
            <w:r w:rsidRPr="004E285C">
              <w:rPr>
                <w:rFonts w:ascii="Arial" w:hAnsi="Arial" w:cs="Arial"/>
                <w:sz w:val="22"/>
                <w:lang w:val="sr-Latn-ME"/>
              </w:rPr>
              <w:lastRenderedPageBreak/>
              <w:t xml:space="preserve">Planiranje neophodnih budžetskih sredstava </w:t>
            </w:r>
            <w:r w:rsidRPr="004E285C">
              <w:rPr>
                <w:rFonts w:ascii="Arial" w:hAnsi="Arial" w:cs="Arial"/>
                <w:sz w:val="22"/>
                <w:lang w:val="sr-Latn-ME"/>
              </w:rPr>
              <w:lastRenderedPageBreak/>
              <w:t>MER-a</w:t>
            </w:r>
          </w:p>
          <w:p w:rsidR="00B538CA" w:rsidRPr="004E285C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679" w:type="dxa"/>
          </w:tcPr>
          <w:p w:rsidR="00B538CA" w:rsidRPr="004E285C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 xml:space="preserve">Ministar </w:t>
            </w:r>
            <w:r w:rsidR="00923DC3">
              <w:rPr>
                <w:rFonts w:ascii="Arial" w:hAnsi="Arial" w:cs="Arial"/>
                <w:color w:val="000000"/>
                <w:sz w:val="22"/>
                <w:lang w:val="en-GB" w:eastAsia="en-GB"/>
              </w:rPr>
              <w:t>S</w:t>
            </w:r>
            <w:r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t>ekretar Ministarstva</w:t>
            </w:r>
          </w:p>
          <w:p w:rsidR="00B538CA" w:rsidRPr="004E285C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Načelnik</w:t>
            </w:r>
          </w:p>
        </w:tc>
        <w:tc>
          <w:tcPr>
            <w:tcW w:w="1559" w:type="dxa"/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Kontinuirano</w:t>
            </w:r>
          </w:p>
        </w:tc>
      </w:tr>
      <w:tr w:rsidR="00B538CA" w:rsidRPr="00397F06" w:rsidTr="00B538CA"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538CA" w:rsidRPr="002E1D12" w:rsidRDefault="00923DC3" w:rsidP="00B538CA">
            <w:pPr>
              <w:spacing w:before="0" w:after="31" w:line="228" w:lineRule="auto"/>
              <w:rPr>
                <w:rFonts w:cs="Calibri"/>
                <w:color w:val="000000"/>
                <w:sz w:val="22"/>
                <w:lang w:val="en-GB" w:eastAsia="en-GB"/>
              </w:rPr>
            </w:pPr>
            <w:r>
              <w:rPr>
                <w:rFonts w:cs="Calibri"/>
                <w:color w:val="000000"/>
                <w:sz w:val="22"/>
                <w:lang w:val="en-GB" w:eastAsia="en-GB"/>
              </w:rPr>
              <w:t>7</w:t>
            </w:r>
            <w:r w:rsidR="00B538CA" w:rsidRPr="002E1D12">
              <w:rPr>
                <w:rFonts w:cs="Calibri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672" w:type="dxa"/>
          </w:tcPr>
          <w:p w:rsidR="009500FA" w:rsidRDefault="009500F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  <w:p w:rsidR="00B538CA" w:rsidRPr="002E1D12" w:rsidRDefault="009500F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Nedovoljan proctor za odlaganje I čuvanje dokumentacije iz oblasti regionalnog razvoja.</w:t>
            </w:r>
          </w:p>
        </w:tc>
        <w:tc>
          <w:tcPr>
            <w:tcW w:w="1305" w:type="dxa"/>
          </w:tcPr>
          <w:p w:rsidR="00B538CA" w:rsidRPr="002E1D12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2E1D12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  <w:p w:rsidR="00B538CA" w:rsidRPr="002E1D12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2E1D12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2E1D12">
              <w:rPr>
                <w:rFonts w:ascii="Arial" w:hAnsi="Arial" w:cs="Arial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2E1D12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2E1D12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8CA" w:rsidRPr="002E1D12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2E1D12">
              <w:rPr>
                <w:rFonts w:ascii="Arial" w:hAnsi="Arial" w:cs="Arial"/>
                <w:color w:val="000000"/>
                <w:sz w:val="22"/>
                <w:lang w:val="en-GB" w:eastAsia="en-GB"/>
              </w:rPr>
              <w:t>12</w:t>
            </w:r>
          </w:p>
        </w:tc>
        <w:tc>
          <w:tcPr>
            <w:tcW w:w="1519" w:type="dxa"/>
          </w:tcPr>
          <w:p w:rsidR="00B538CA" w:rsidRPr="002E1D12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Zakoni i podzakonska akta iz oblasti regionalnog razvoja</w:t>
            </w: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,zanatstva,transformacije privrede</w:t>
            </w:r>
          </w:p>
        </w:tc>
        <w:tc>
          <w:tcPr>
            <w:tcW w:w="2614" w:type="dxa"/>
          </w:tcPr>
          <w:p w:rsidR="00B538CA" w:rsidRPr="002E1D12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2E1D12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Obezbjeđivanje adekvatnog prostora i opreme </w:t>
            </w:r>
          </w:p>
          <w:p w:rsidR="00B538CA" w:rsidRPr="002E1D12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679" w:type="dxa"/>
          </w:tcPr>
          <w:p w:rsidR="00B538CA" w:rsidRPr="002E1D12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2E1D12">
              <w:rPr>
                <w:rFonts w:ascii="Arial" w:hAnsi="Arial" w:cs="Arial"/>
                <w:color w:val="000000"/>
                <w:sz w:val="22"/>
                <w:lang w:val="en-GB" w:eastAsia="en-GB"/>
              </w:rPr>
              <w:t>Sekretar Ministarstva</w:t>
            </w:r>
          </w:p>
          <w:p w:rsidR="00923DC3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2E1D12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Generalni </w:t>
            </w:r>
            <w:r w:rsidR="00923DC3">
              <w:rPr>
                <w:rFonts w:ascii="Arial" w:hAnsi="Arial" w:cs="Arial"/>
                <w:color w:val="000000"/>
                <w:sz w:val="22"/>
                <w:lang w:val="en-GB" w:eastAsia="en-GB"/>
              </w:rPr>
              <w:t>director</w:t>
            </w:r>
          </w:p>
          <w:p w:rsidR="00B538CA" w:rsidRDefault="00923DC3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N</w:t>
            </w:r>
            <w:r w:rsidR="00B538CA">
              <w:rPr>
                <w:rFonts w:ascii="Arial" w:hAnsi="Arial" w:cs="Arial"/>
                <w:color w:val="000000"/>
                <w:sz w:val="22"/>
                <w:lang w:val="en-GB" w:eastAsia="en-GB"/>
              </w:rPr>
              <w:t>ačelnici</w:t>
            </w:r>
          </w:p>
          <w:p w:rsidR="00B538CA" w:rsidRPr="002E1D12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Samostalni savjetnici</w:t>
            </w:r>
          </w:p>
        </w:tc>
        <w:tc>
          <w:tcPr>
            <w:tcW w:w="1559" w:type="dxa"/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2E1D12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Kontinuirano</w:t>
            </w:r>
          </w:p>
        </w:tc>
      </w:tr>
      <w:tr w:rsidR="00B538CA" w:rsidRPr="00397F06" w:rsidTr="00B538CA"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538CA" w:rsidRPr="00397F06" w:rsidRDefault="00923DC3" w:rsidP="00B538CA">
            <w:pPr>
              <w:spacing w:before="0" w:after="31" w:line="228" w:lineRule="auto"/>
              <w:rPr>
                <w:rFonts w:cs="Calibri"/>
                <w:color w:val="000000"/>
                <w:sz w:val="22"/>
                <w:lang w:val="en-GB" w:eastAsia="en-GB"/>
              </w:rPr>
            </w:pPr>
            <w:r>
              <w:rPr>
                <w:rFonts w:cs="Calibri"/>
                <w:color w:val="000000"/>
                <w:sz w:val="22"/>
                <w:lang w:val="en-GB" w:eastAsia="en-GB"/>
              </w:rPr>
              <w:t>8</w:t>
            </w:r>
            <w:r w:rsidR="00B538CA">
              <w:rPr>
                <w:rFonts w:cs="Calibri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672" w:type="dxa"/>
          </w:tcPr>
          <w:p w:rsidR="00B538CA" w:rsidRPr="00397F06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Neblagovremeno dostavljanje podataka od resornih ministarstava  i JLS</w:t>
            </w:r>
          </w:p>
        </w:tc>
        <w:tc>
          <w:tcPr>
            <w:tcW w:w="1305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Operativni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8CA" w:rsidRPr="00397F06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en-GB" w:eastAsia="en-GB"/>
              </w:rPr>
              <w:t>9</w:t>
            </w:r>
          </w:p>
        </w:tc>
        <w:tc>
          <w:tcPr>
            <w:tcW w:w="1519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Zakoni i podzakonska akta iz oblasti regionalnog razvoja</w:t>
            </w:r>
          </w:p>
        </w:tc>
        <w:tc>
          <w:tcPr>
            <w:tcW w:w="2614" w:type="dxa"/>
          </w:tcPr>
          <w:p w:rsidR="00B538CA" w:rsidRPr="00397F06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Kontinuirana komunikacija sa resornim ministarstvima i JLS</w:t>
            </w:r>
          </w:p>
        </w:tc>
        <w:tc>
          <w:tcPr>
            <w:tcW w:w="1679" w:type="dxa"/>
          </w:tcPr>
          <w:p w:rsidR="00B538CA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Generalni direktor</w:t>
            </w:r>
          </w:p>
          <w:p w:rsidR="00923DC3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595916">
              <w:rPr>
                <w:rFonts w:ascii="Arial" w:hAnsi="Arial" w:cs="Arial"/>
                <w:color w:val="000000"/>
                <w:sz w:val="22"/>
                <w:lang w:val="en-GB" w:eastAsia="en-GB"/>
              </w:rPr>
              <w:t>načelnici</w:t>
            </w:r>
          </w:p>
          <w:p w:rsidR="00B538CA" w:rsidRPr="00397F06" w:rsidRDefault="00923DC3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S</w:t>
            </w:r>
            <w:r w:rsidRPr="00397F06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amostalni savjetnici</w:t>
            </w:r>
          </w:p>
        </w:tc>
        <w:tc>
          <w:tcPr>
            <w:tcW w:w="1559" w:type="dxa"/>
          </w:tcPr>
          <w:p w:rsidR="00B538CA" w:rsidRPr="004E285C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4E285C">
              <w:rPr>
                <w:rFonts w:ascii="Arial" w:hAnsi="Arial" w:cs="Arial"/>
                <w:color w:val="000000"/>
                <w:sz w:val="22"/>
                <w:lang w:val="en-GB" w:eastAsia="en-GB"/>
              </w:rPr>
              <w:t>Kontinuirano</w:t>
            </w:r>
          </w:p>
        </w:tc>
      </w:tr>
      <w:tr w:rsidR="00B538CA" w:rsidRPr="00397F06" w:rsidTr="00B538CA"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538CA" w:rsidRPr="00923DC3" w:rsidRDefault="00923DC3" w:rsidP="00B538CA">
            <w:pPr>
              <w:spacing w:before="0" w:after="31" w:line="228" w:lineRule="auto"/>
              <w:rPr>
                <w:rFonts w:cs="Calibri"/>
                <w:color w:val="000000"/>
                <w:sz w:val="22"/>
                <w:lang w:val="en-GB" w:eastAsia="en-GB"/>
              </w:rPr>
            </w:pPr>
            <w:r w:rsidRPr="00923DC3">
              <w:rPr>
                <w:rFonts w:cs="Calibri"/>
                <w:color w:val="000000"/>
                <w:sz w:val="22"/>
                <w:lang w:val="en-GB" w:eastAsia="en-GB"/>
              </w:rPr>
              <w:t>9</w:t>
            </w:r>
          </w:p>
        </w:tc>
        <w:tc>
          <w:tcPr>
            <w:tcW w:w="1672" w:type="dxa"/>
          </w:tcPr>
          <w:p w:rsidR="00B538CA" w:rsidRPr="00923DC3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Nerealizacija obaveza Investitora </w:t>
            </w: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lastRenderedPageBreak/>
              <w:t>shodno uslovima iz Javnog poziva za iskazivanje interesovanja za kvalifikovanje projekata na Listu razvojnih projekata u oblasti turizma  u vezi dostavljanja izvještaja nezavisnih kontrolora o realizaciji investicije</w:t>
            </w:r>
          </w:p>
        </w:tc>
        <w:tc>
          <w:tcPr>
            <w:tcW w:w="1305" w:type="dxa"/>
          </w:tcPr>
          <w:p w:rsidR="00B538CA" w:rsidRPr="00923DC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lastRenderedPageBreak/>
              <w:t>Spoljašnji</w:t>
            </w:r>
          </w:p>
          <w:p w:rsidR="00B538CA" w:rsidRPr="00923DC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Operativni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923DC3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923DC3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8CA" w:rsidRPr="00923DC3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en-GB" w:eastAsia="en-GB"/>
              </w:rPr>
              <w:t>9</w:t>
            </w:r>
          </w:p>
        </w:tc>
        <w:tc>
          <w:tcPr>
            <w:tcW w:w="1519" w:type="dxa"/>
          </w:tcPr>
          <w:p w:rsidR="00B538CA" w:rsidRPr="00923DC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Kontinuirana saradnja sa investitorima</w:t>
            </w:r>
          </w:p>
        </w:tc>
        <w:tc>
          <w:tcPr>
            <w:tcW w:w="2614" w:type="dxa"/>
          </w:tcPr>
          <w:p w:rsidR="00B538CA" w:rsidRPr="00923DC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Dostavljanje urgencija</w:t>
            </w:r>
          </w:p>
        </w:tc>
        <w:tc>
          <w:tcPr>
            <w:tcW w:w="1679" w:type="dxa"/>
          </w:tcPr>
          <w:p w:rsidR="00B538CA" w:rsidRPr="00923DC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Generalni direktor </w:t>
            </w:r>
          </w:p>
          <w:p w:rsidR="00B538CA" w:rsidRPr="00923DC3" w:rsidRDefault="00923DC3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</w:t>
            </w:r>
            <w:r w:rsidR="00B538CA"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ačelnik </w:t>
            </w:r>
            <w:r w:rsidR="00B538CA"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lastRenderedPageBreak/>
              <w:t>Direkcije</w:t>
            </w:r>
          </w:p>
          <w:p w:rsidR="00B538CA" w:rsidRPr="00923DC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559" w:type="dxa"/>
          </w:tcPr>
          <w:p w:rsidR="00B538CA" w:rsidRPr="009500FA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highlight w:val="yellow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en-GB" w:eastAsia="en-GB"/>
              </w:rPr>
              <w:lastRenderedPageBreak/>
              <w:t>Kontinuirano</w:t>
            </w:r>
          </w:p>
        </w:tc>
      </w:tr>
      <w:tr w:rsidR="00B538CA" w:rsidRPr="00210FA0" w:rsidTr="00B538CA"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538CA" w:rsidRPr="00923DC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en-GB" w:eastAsia="en-GB"/>
              </w:rPr>
              <w:t>1</w:t>
            </w:r>
            <w:r w:rsidR="00923DC3">
              <w:rPr>
                <w:rFonts w:ascii="Arial" w:hAnsi="Arial" w:cs="Arial"/>
                <w:color w:val="000000"/>
                <w:sz w:val="22"/>
                <w:lang w:val="en-GB" w:eastAsia="en-GB"/>
              </w:rPr>
              <w:t>0</w:t>
            </w:r>
            <w:r w:rsidRPr="00923DC3">
              <w:rPr>
                <w:rFonts w:ascii="Arial" w:hAnsi="Arial" w:cs="Arial"/>
                <w:color w:val="000000"/>
                <w:sz w:val="22"/>
                <w:lang w:val="en-GB" w:eastAsia="en-GB"/>
              </w:rPr>
              <w:t>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538CA" w:rsidRPr="00923DC3" w:rsidRDefault="00B538CA" w:rsidP="00B538CA">
            <w:pPr>
              <w:spacing w:before="0" w:after="31" w:line="228" w:lineRule="auto"/>
              <w:jc w:val="left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Neblagovremeno i nepotpuno dostavljane polugodišnjih izvještaja nezavisnih kontrolora o realizaciji investicije za projekte sa Liste razvojnih projekata u oblasti turizma</w:t>
            </w:r>
          </w:p>
        </w:tc>
        <w:tc>
          <w:tcPr>
            <w:tcW w:w="1305" w:type="dxa"/>
          </w:tcPr>
          <w:p w:rsidR="00B538CA" w:rsidRPr="00923DC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Spoljašnji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923DC3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CA" w:rsidRPr="00923DC3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8CA" w:rsidRPr="00923DC3" w:rsidRDefault="00B538CA" w:rsidP="00B538CA">
            <w:pPr>
              <w:spacing w:before="0" w:after="31" w:line="228" w:lineRule="auto"/>
              <w:jc w:val="center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en-GB" w:eastAsia="en-GB"/>
              </w:rPr>
              <w:t>9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B538CA" w:rsidRPr="00923DC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Kontinuirana saradnja sa investitorima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B538CA" w:rsidRPr="00923DC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Dostavljanje urgencija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B538CA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 xml:space="preserve">Generalni direktor </w:t>
            </w:r>
          </w:p>
          <w:p w:rsidR="00923DC3" w:rsidRPr="00923DC3" w:rsidRDefault="00923DC3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</w:p>
          <w:p w:rsidR="00B538CA" w:rsidRPr="00923DC3" w:rsidRDefault="00923DC3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N</w:t>
            </w:r>
            <w:r w:rsidR="00B538CA"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ačelnik Direkcije</w:t>
            </w:r>
          </w:p>
          <w:p w:rsidR="00B538CA" w:rsidRPr="00923DC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38CA" w:rsidRPr="00923DC3" w:rsidRDefault="00B538CA" w:rsidP="00B538CA">
            <w:pPr>
              <w:spacing w:before="0" w:after="31" w:line="228" w:lineRule="auto"/>
              <w:rPr>
                <w:rFonts w:ascii="Arial" w:hAnsi="Arial" w:cs="Arial"/>
                <w:color w:val="000000"/>
                <w:sz w:val="22"/>
                <w:lang w:val="sr-Latn-ME" w:eastAsia="en-GB"/>
              </w:rPr>
            </w:pPr>
            <w:r w:rsidRPr="00923DC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Kontinuirano</w:t>
            </w:r>
          </w:p>
        </w:tc>
      </w:tr>
    </w:tbl>
    <w:p w:rsidR="00692D3F" w:rsidRDefault="00692D3F" w:rsidP="00B538CA">
      <w:pPr>
        <w:pStyle w:val="Heading1"/>
        <w:numPr>
          <w:ilvl w:val="0"/>
          <w:numId w:val="0"/>
        </w:numPr>
        <w:ind w:right="703"/>
        <w:rPr>
          <w:rFonts w:ascii="Calibri" w:eastAsia="Calibri" w:hAnsi="Calibri" w:cs="Times New Roman"/>
          <w:bCs w:val="0"/>
        </w:rPr>
      </w:pPr>
    </w:p>
    <w:p w:rsidR="00B538CA" w:rsidRPr="00595916" w:rsidRDefault="00730D3F" w:rsidP="00B538CA">
      <w:pPr>
        <w:pStyle w:val="Heading1"/>
        <w:numPr>
          <w:ilvl w:val="0"/>
          <w:numId w:val="0"/>
        </w:numPr>
        <w:ind w:right="703"/>
        <w:rPr>
          <w:b/>
          <w:sz w:val="22"/>
        </w:rPr>
      </w:pPr>
      <w:r w:rsidRPr="00595916">
        <w:rPr>
          <w:b/>
          <w:sz w:val="22"/>
          <w:u w:val="single"/>
        </w:rPr>
        <w:br/>
      </w:r>
    </w:p>
    <w:p w:rsidR="00932283" w:rsidRPr="00595916" w:rsidRDefault="00F33601" w:rsidP="00932283">
      <w:pPr>
        <w:pStyle w:val="Heading2"/>
        <w:numPr>
          <w:ilvl w:val="0"/>
          <w:numId w:val="0"/>
        </w:numPr>
        <w:rPr>
          <w:b/>
        </w:rPr>
      </w:pPr>
      <w:bookmarkStart w:id="4" w:name="_Toc91589439"/>
      <w:bookmarkEnd w:id="2"/>
      <w:r>
        <w:rPr>
          <w:b/>
        </w:rPr>
        <w:t>6</w:t>
      </w:r>
      <w:r w:rsidR="00E64CD0">
        <w:rPr>
          <w:b/>
        </w:rPr>
        <w:t>.</w:t>
      </w:r>
      <w:r w:rsidR="0019683A">
        <w:rPr>
          <w:b/>
        </w:rPr>
        <w:t>K</w:t>
      </w:r>
      <w:r w:rsidR="008050BA" w:rsidRPr="00595916">
        <w:rPr>
          <w:b/>
        </w:rPr>
        <w:t>ABINET</w:t>
      </w:r>
      <w:bookmarkEnd w:id="4"/>
      <w:r w:rsidR="008851A5">
        <w:rPr>
          <w:b/>
        </w:rPr>
        <w:t xml:space="preserve"> MINISTRA</w:t>
      </w:r>
    </w:p>
    <w:p w:rsidR="00932283" w:rsidRPr="00595916" w:rsidRDefault="00932283" w:rsidP="00932283">
      <w:pPr>
        <w:numPr>
          <w:ilvl w:val="0"/>
          <w:numId w:val="14"/>
        </w:numPr>
        <w:pBdr>
          <w:left w:val="none" w:sz="0" w:space="8" w:color="auto"/>
        </w:pBdr>
        <w:spacing w:before="0" w:after="0" w:line="240" w:lineRule="atLeast"/>
        <w:ind w:left="810"/>
        <w:jc w:val="left"/>
        <w:rPr>
          <w:rFonts w:ascii="Arial" w:eastAsia="Arial" w:hAnsi="Arial" w:cs="Arial"/>
          <w:bCs/>
          <w:sz w:val="22"/>
        </w:rPr>
      </w:pPr>
      <w:r w:rsidRPr="00595916">
        <w:rPr>
          <w:rFonts w:ascii="Arial" w:eastAsia="Arial" w:hAnsi="Arial" w:cs="Arial"/>
          <w:b/>
          <w:bCs/>
          <w:sz w:val="22"/>
        </w:rPr>
        <w:lastRenderedPageBreak/>
        <w:t xml:space="preserve">Opšti cilj: </w:t>
      </w:r>
      <w:r w:rsidRPr="00595916">
        <w:rPr>
          <w:rFonts w:ascii="Arial" w:eastAsia="Arial" w:hAnsi="Arial" w:cs="Arial"/>
          <w:bCs/>
          <w:sz w:val="22"/>
        </w:rPr>
        <w:t>Stručno, odgovorno i blagovremeno realizovanje svih aktivnosti za potrebe ministra, a u isključivoj su nadležnosti Kabineta.</w:t>
      </w:r>
    </w:p>
    <w:p w:rsidR="00932283" w:rsidRPr="00595916" w:rsidRDefault="00932283" w:rsidP="00932283">
      <w:pPr>
        <w:numPr>
          <w:ilvl w:val="0"/>
          <w:numId w:val="14"/>
        </w:numPr>
        <w:pBdr>
          <w:left w:val="none" w:sz="0" w:space="8" w:color="auto"/>
        </w:pBdr>
        <w:spacing w:before="0" w:after="0" w:line="240" w:lineRule="atLeast"/>
        <w:ind w:left="810"/>
        <w:rPr>
          <w:rFonts w:ascii="Arial" w:eastAsia="Arial" w:hAnsi="Arial" w:cs="Arial"/>
          <w:b/>
          <w:bCs/>
          <w:sz w:val="22"/>
        </w:rPr>
      </w:pPr>
      <w:r w:rsidRPr="00595916">
        <w:rPr>
          <w:rFonts w:ascii="Arial" w:eastAsia="Arial" w:hAnsi="Arial" w:cs="Arial"/>
          <w:b/>
          <w:bCs/>
          <w:sz w:val="22"/>
        </w:rPr>
        <w:t xml:space="preserve">Posebni cilj: </w:t>
      </w:r>
      <w:r w:rsidRPr="00595916">
        <w:rPr>
          <w:rFonts w:ascii="Arial" w:eastAsia="Arial" w:hAnsi="Arial" w:cs="Arial"/>
          <w:bCs/>
          <w:sz w:val="22"/>
        </w:rPr>
        <w:t>Ostvarivanje poslova na efektivan i efikasan nacin. Savjesno ophođenje prema matrijalima u cilju zaštite dokumentacije od gubitka koji može biti prouzrokovan neadekvatnim upravljanjem, neblagovremenom koordinacijom, kao i zaštita od drugih nepravilnosti sa kojima se, u toku radnog procesa, može zaposleni sustresti.</w:t>
      </w:r>
    </w:p>
    <w:p w:rsidR="00932283" w:rsidRPr="00595916" w:rsidRDefault="00932283" w:rsidP="00932283">
      <w:pPr>
        <w:pBdr>
          <w:left w:val="none" w:sz="0" w:space="8" w:color="auto"/>
        </w:pBdr>
        <w:spacing w:before="0" w:after="0" w:line="240" w:lineRule="atLeast"/>
        <w:ind w:left="810"/>
        <w:rPr>
          <w:rFonts w:ascii="Arial" w:eastAsia="Arial" w:hAnsi="Arial" w:cs="Arial"/>
          <w:b/>
          <w:bCs/>
          <w:sz w:val="22"/>
        </w:rPr>
      </w:pPr>
    </w:p>
    <w:tbl>
      <w:tblPr>
        <w:tblW w:w="1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430"/>
        <w:gridCol w:w="1413"/>
        <w:gridCol w:w="477"/>
        <w:gridCol w:w="450"/>
        <w:gridCol w:w="450"/>
        <w:gridCol w:w="450"/>
        <w:gridCol w:w="3330"/>
        <w:gridCol w:w="2610"/>
        <w:gridCol w:w="1530"/>
        <w:gridCol w:w="1530"/>
      </w:tblGrid>
      <w:tr w:rsidR="00932283" w:rsidRPr="00595916" w:rsidTr="00956A9E">
        <w:trPr>
          <w:trHeight w:val="242"/>
          <w:tblHeader/>
          <w:jc w:val="center"/>
        </w:trPr>
        <w:tc>
          <w:tcPr>
            <w:tcW w:w="450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ind w:left="-93" w:right="-108" w:firstLine="9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Rb</w:t>
            </w:r>
          </w:p>
        </w:tc>
        <w:tc>
          <w:tcPr>
            <w:tcW w:w="2430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Opis rizika</w:t>
            </w:r>
          </w:p>
        </w:tc>
        <w:tc>
          <w:tcPr>
            <w:tcW w:w="1413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Vrsta rizika</w:t>
            </w: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Rangiranje rizika</w:t>
            </w:r>
          </w:p>
        </w:tc>
        <w:tc>
          <w:tcPr>
            <w:tcW w:w="3330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95916">
              <w:rPr>
                <w:rFonts w:ascii="Arial" w:hAnsi="Arial" w:cs="Arial"/>
                <w:b/>
                <w:sz w:val="22"/>
              </w:rPr>
              <w:t>Pregled postojećih kontrola</w:t>
            </w:r>
          </w:p>
        </w:tc>
        <w:tc>
          <w:tcPr>
            <w:tcW w:w="2610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ind w:left="-189" w:firstLine="189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Reagovanje na rizik / mjere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Odgovorna osoba za rizik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Rok za sprovođenje</w:t>
            </w:r>
          </w:p>
        </w:tc>
      </w:tr>
      <w:tr w:rsidR="00932283" w:rsidRPr="00595916" w:rsidTr="00956A9E">
        <w:trPr>
          <w:cantSplit/>
          <w:trHeight w:val="1502"/>
          <w:tblHeader/>
          <w:jc w:val="center"/>
        </w:trPr>
        <w:tc>
          <w:tcPr>
            <w:tcW w:w="450" w:type="dxa"/>
            <w:vMerge/>
            <w:shd w:val="clear" w:color="auto" w:fill="auto"/>
            <w:vAlign w:val="center"/>
          </w:tcPr>
          <w:p w:rsidR="00932283" w:rsidRPr="00595916" w:rsidRDefault="00932283" w:rsidP="008C4CE9">
            <w:pPr>
              <w:spacing w:after="0" w:line="360" w:lineRule="auto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32283" w:rsidRPr="00595916" w:rsidRDefault="00932283" w:rsidP="008C4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932283" w:rsidRPr="00595916" w:rsidRDefault="00932283" w:rsidP="008C4C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932283" w:rsidRPr="00595916" w:rsidRDefault="00932283" w:rsidP="008C4CE9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  <w:t>Uticaj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932283" w:rsidRPr="00595916" w:rsidRDefault="00932283" w:rsidP="008C4CE9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  <w:t>Vjerovatnoća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932283" w:rsidRPr="00595916" w:rsidRDefault="00932283" w:rsidP="008C4CE9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  <w:t>Ukupno</w:t>
            </w:r>
          </w:p>
        </w:tc>
        <w:tc>
          <w:tcPr>
            <w:tcW w:w="450" w:type="dxa"/>
            <w:shd w:val="clear" w:color="auto" w:fill="FBE4D5" w:themeFill="accent2" w:themeFillTint="33"/>
            <w:textDirection w:val="btLr"/>
            <w:vAlign w:val="center"/>
          </w:tcPr>
          <w:p w:rsidR="00932283" w:rsidRPr="00595916" w:rsidRDefault="00932283" w:rsidP="008C4CE9">
            <w:pPr>
              <w:spacing w:after="0" w:line="360" w:lineRule="auto"/>
              <w:ind w:left="-8" w:right="113" w:firstLine="121"/>
              <w:jc w:val="center"/>
              <w:rPr>
                <w:rFonts w:ascii="Arial" w:eastAsia="Times New Roman" w:hAnsi="Arial" w:cs="Arial"/>
                <w:b/>
                <w:bCs/>
                <w:i/>
                <w:spacing w:val="-6"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pacing w:val="-6"/>
                <w:sz w:val="22"/>
              </w:rPr>
              <w:t>Rang</w:t>
            </w:r>
          </w:p>
        </w:tc>
        <w:tc>
          <w:tcPr>
            <w:tcW w:w="3330" w:type="dxa"/>
            <w:vMerge/>
          </w:tcPr>
          <w:p w:rsidR="00932283" w:rsidRPr="00595916" w:rsidRDefault="00932283" w:rsidP="008C4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932283" w:rsidRPr="00595916" w:rsidRDefault="00932283" w:rsidP="008C4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32283" w:rsidRPr="00595916" w:rsidRDefault="00932283" w:rsidP="008C4CE9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sz w:val="22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32283" w:rsidRPr="00595916" w:rsidRDefault="00932283" w:rsidP="008C4CE9">
            <w:pPr>
              <w:spacing w:after="0" w:line="360" w:lineRule="auto"/>
              <w:rPr>
                <w:rFonts w:ascii="Arial" w:eastAsia="Times New Roman" w:hAnsi="Arial" w:cs="Arial"/>
                <w:bCs/>
                <w:sz w:val="22"/>
              </w:rPr>
            </w:pPr>
          </w:p>
        </w:tc>
      </w:tr>
      <w:tr w:rsidR="00932283" w:rsidRPr="00595916" w:rsidTr="008C4CE9">
        <w:trPr>
          <w:cantSplit/>
          <w:trHeight w:val="1779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932283" w:rsidRPr="00595916" w:rsidRDefault="00932283" w:rsidP="008C4CE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1.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2283" w:rsidRPr="00595916" w:rsidRDefault="00932283" w:rsidP="008C4CE9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Nedostatak informacija i komunikacije sa trećim licima; kašnjenje u dostavljanju informacija, odnosno nedostavljanje informacija u predviđenom roku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32283" w:rsidRPr="00595916" w:rsidRDefault="00932283" w:rsidP="008C4CE9">
            <w:pPr>
              <w:autoSpaceDE w:val="0"/>
              <w:autoSpaceDN w:val="0"/>
              <w:adjustRightInd w:val="0"/>
              <w:spacing w:after="0" w:line="240" w:lineRule="atLeast"/>
              <w:ind w:left="-82"/>
              <w:jc w:val="center"/>
              <w:rPr>
                <w:rFonts w:ascii="Arial" w:hAnsi="Arial" w:cs="Arial"/>
                <w:sz w:val="22"/>
              </w:rPr>
            </w:pPr>
            <w:r w:rsidRPr="00595916">
              <w:rPr>
                <w:rFonts w:ascii="Arial" w:hAnsi="Arial" w:cs="Arial"/>
                <w:sz w:val="22"/>
              </w:rPr>
              <w:t>Informacije i komunikacije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3" w:rsidRPr="00595916" w:rsidRDefault="00932283" w:rsidP="008C4CE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pacing w:val="-4"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pacing w:val="-4"/>
                <w:sz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3" w:rsidRPr="00595916" w:rsidRDefault="00932283" w:rsidP="008C4CE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pacing w:val="-6"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pacing w:val="-6"/>
                <w:sz w:val="22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283" w:rsidRPr="00595916" w:rsidRDefault="00567C99" w:rsidP="008C4CE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pacing w:val="-6"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pacing w:val="-6"/>
                <w:sz w:val="22"/>
              </w:rPr>
              <w:t>9</w:t>
            </w:r>
          </w:p>
        </w:tc>
        <w:tc>
          <w:tcPr>
            <w:tcW w:w="450" w:type="dxa"/>
            <w:textDirection w:val="btLr"/>
            <w:vAlign w:val="center"/>
          </w:tcPr>
          <w:p w:rsidR="00932283" w:rsidRPr="00595916" w:rsidRDefault="00932283" w:rsidP="008C4CE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932283" w:rsidRPr="00595916" w:rsidRDefault="00932283" w:rsidP="008C4CE9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595916">
              <w:rPr>
                <w:rFonts w:ascii="Arial" w:hAnsi="Arial" w:cs="Arial"/>
                <w:sz w:val="22"/>
              </w:rPr>
              <w:t>Kontinuirano dodatno informisanje i blagovremena edukacija državnih službenika i namještenika o svrsi i ulozi koje se odnose na rad u Kabinetu ministra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32283" w:rsidRPr="00595916" w:rsidRDefault="00932283" w:rsidP="008C4CE9">
            <w:pPr>
              <w:tabs>
                <w:tab w:val="left" w:pos="1251"/>
              </w:tabs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Dodatna edukacija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32283" w:rsidRPr="00595916" w:rsidRDefault="00932283" w:rsidP="008C4CE9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Šef kabineta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32283" w:rsidRPr="00595916" w:rsidRDefault="000F7D06" w:rsidP="008C4CE9">
            <w:pPr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Kontinuirano</w:t>
            </w:r>
          </w:p>
        </w:tc>
      </w:tr>
      <w:tr w:rsidR="00A10826" w:rsidRPr="00595916" w:rsidTr="008C4CE9">
        <w:trPr>
          <w:cantSplit/>
          <w:trHeight w:val="1779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A10826" w:rsidRPr="00595916" w:rsidRDefault="0082081B" w:rsidP="008C4CE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lastRenderedPageBreak/>
              <w:t>2.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10826" w:rsidRPr="00A10826" w:rsidRDefault="00A10826" w:rsidP="00A10826">
            <w:pPr>
              <w:spacing w:before="0" w:after="14" w:line="240" w:lineRule="auto"/>
              <w:ind w:left="360" w:right="57"/>
              <w:rPr>
                <w:rFonts w:ascii="Arial" w:eastAsia="Times New Roman" w:hAnsi="Arial" w:cs="Arial"/>
                <w:color w:val="000000"/>
                <w:sz w:val="22"/>
              </w:rPr>
            </w:pPr>
          </w:p>
          <w:p w:rsidR="00A10826" w:rsidRPr="00A10826" w:rsidRDefault="00A10826" w:rsidP="00A10826">
            <w:pPr>
              <w:spacing w:before="0" w:after="145" w:line="240" w:lineRule="auto"/>
              <w:ind w:left="28" w:right="57" w:firstLine="4"/>
              <w:rPr>
                <w:rFonts w:ascii="Arial" w:eastAsia="Times New Roman" w:hAnsi="Arial" w:cs="Arial"/>
                <w:color w:val="FF0000"/>
                <w:sz w:val="22"/>
              </w:rPr>
            </w:pPr>
          </w:p>
          <w:p w:rsidR="00A10826" w:rsidRPr="00A30000" w:rsidRDefault="00A10826" w:rsidP="00A10826">
            <w:pPr>
              <w:spacing w:before="0" w:after="145" w:line="240" w:lineRule="auto"/>
              <w:ind w:left="28" w:right="57" w:firstLine="4"/>
              <w:rPr>
                <w:rFonts w:ascii="Arial" w:eastAsia="Times New Roman" w:hAnsi="Arial" w:cs="Arial"/>
                <w:sz w:val="22"/>
              </w:rPr>
            </w:pPr>
            <w:r w:rsidRPr="00A30000">
              <w:rPr>
                <w:rFonts w:ascii="Arial" w:eastAsia="Times New Roman" w:hAnsi="Arial" w:cs="Arial"/>
                <w:sz w:val="22"/>
              </w:rPr>
              <w:t>Usled nedovoljne kontrole može doći do greške u objavi materijala</w:t>
            </w:r>
            <w:r w:rsidR="0082081B" w:rsidRPr="00A30000">
              <w:rPr>
                <w:rFonts w:ascii="Arial" w:eastAsia="Times New Roman" w:hAnsi="Arial" w:cs="Arial"/>
                <w:sz w:val="22"/>
              </w:rPr>
              <w:t xml:space="preserve"> na web stranici Ministarstva</w:t>
            </w:r>
          </w:p>
          <w:p w:rsidR="00A10826" w:rsidRDefault="00A10826" w:rsidP="00A10826">
            <w:pPr>
              <w:spacing w:before="0" w:after="145" w:line="240" w:lineRule="auto"/>
              <w:ind w:left="28" w:right="57" w:firstLine="4"/>
              <w:rPr>
                <w:rFonts w:ascii="Arial" w:eastAsia="Times New Roman" w:hAnsi="Arial" w:cs="Arial"/>
                <w:color w:val="000000"/>
                <w:sz w:val="22"/>
              </w:rPr>
            </w:pPr>
          </w:p>
          <w:p w:rsidR="00A10826" w:rsidRDefault="00A10826" w:rsidP="00A10826">
            <w:pPr>
              <w:spacing w:before="0" w:after="145" w:line="240" w:lineRule="auto"/>
              <w:ind w:left="28" w:right="57" w:firstLine="4"/>
              <w:rPr>
                <w:rFonts w:ascii="Arial" w:eastAsia="Times New Roman" w:hAnsi="Arial" w:cs="Arial"/>
                <w:color w:val="000000"/>
                <w:sz w:val="22"/>
              </w:rPr>
            </w:pPr>
          </w:p>
          <w:p w:rsidR="00A10826" w:rsidRPr="00595916" w:rsidRDefault="00A10826" w:rsidP="0082081B">
            <w:pPr>
              <w:spacing w:before="0" w:after="145" w:line="240" w:lineRule="auto"/>
              <w:ind w:left="28" w:right="57" w:firstLine="4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A10826" w:rsidRPr="00595916" w:rsidRDefault="00A10826" w:rsidP="008C4CE9">
            <w:pPr>
              <w:autoSpaceDE w:val="0"/>
              <w:autoSpaceDN w:val="0"/>
              <w:adjustRightInd w:val="0"/>
              <w:spacing w:after="0" w:line="240" w:lineRule="atLeast"/>
              <w:ind w:left="-82"/>
              <w:jc w:val="center"/>
              <w:rPr>
                <w:rFonts w:ascii="Arial" w:hAnsi="Arial" w:cs="Arial"/>
                <w:sz w:val="22"/>
              </w:rPr>
            </w:pPr>
            <w:r w:rsidRPr="00595916">
              <w:rPr>
                <w:rFonts w:ascii="Arial" w:hAnsi="Arial" w:cs="Arial"/>
                <w:sz w:val="22"/>
              </w:rPr>
              <w:t>Informacije i komunikacije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26" w:rsidRPr="00595916" w:rsidRDefault="00A10826" w:rsidP="008C4CE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pacing w:val="-4"/>
                <w:sz w:val="22"/>
              </w:rPr>
            </w:pPr>
            <w:r>
              <w:rPr>
                <w:rFonts w:ascii="Arial" w:eastAsia="Times New Roman" w:hAnsi="Arial" w:cs="Arial"/>
                <w:bCs/>
                <w:spacing w:val="-4"/>
                <w:sz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26" w:rsidRPr="00595916" w:rsidRDefault="00A10826" w:rsidP="008C4CE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pacing w:val="-6"/>
                <w:sz w:val="22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22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0826" w:rsidRPr="00595916" w:rsidRDefault="00A10826" w:rsidP="008C4CE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pacing w:val="-6"/>
                <w:sz w:val="22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22"/>
              </w:rPr>
              <w:t>9</w:t>
            </w:r>
          </w:p>
        </w:tc>
        <w:tc>
          <w:tcPr>
            <w:tcW w:w="450" w:type="dxa"/>
            <w:textDirection w:val="btLr"/>
            <w:vAlign w:val="center"/>
          </w:tcPr>
          <w:p w:rsidR="00A10826" w:rsidRPr="00595916" w:rsidRDefault="00A10826" w:rsidP="008C4CE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A10826" w:rsidRPr="00A10826" w:rsidRDefault="00A10826" w:rsidP="00A10826">
            <w:pPr>
              <w:spacing w:before="0" w:after="145" w:line="240" w:lineRule="auto"/>
              <w:ind w:left="28" w:right="57" w:firstLine="4"/>
              <w:rPr>
                <w:rFonts w:ascii="Arial" w:eastAsiaTheme="minorHAnsi" w:hAnsi="Arial" w:cs="Arial"/>
                <w:sz w:val="22"/>
              </w:rPr>
            </w:pPr>
            <w:r w:rsidRPr="00A10826">
              <w:rPr>
                <w:rFonts w:ascii="Arial" w:eastAsiaTheme="minorHAnsi" w:hAnsi="Arial" w:cs="Arial"/>
                <w:sz w:val="22"/>
              </w:rPr>
              <w:t>Službenici, putem maila dostavljaju web administratoru odgovarajući materijal na objavljivanje, u skladu sa svojom nadležnošću. Materijal mora biti odobren od strane rukovodioca organizacione jedinice u službi/direkciji/direktorat.</w:t>
            </w:r>
          </w:p>
          <w:p w:rsidR="00A10826" w:rsidRPr="00595916" w:rsidRDefault="00A10826" w:rsidP="008C4CE9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82081B" w:rsidRDefault="0082081B" w:rsidP="0082081B">
            <w:pPr>
              <w:keepNext/>
              <w:keepLines/>
              <w:spacing w:after="82" w:line="240" w:lineRule="auto"/>
              <w:ind w:left="511" w:right="364" w:hanging="10"/>
              <w:jc w:val="center"/>
              <w:outlineLvl w:val="1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Donošenje Pravilnika za upravljanje informacijama na web portalu Ministarstva za ekonomski razvoj</w:t>
            </w:r>
          </w:p>
          <w:p w:rsidR="0082081B" w:rsidRDefault="0082081B" w:rsidP="0082081B">
            <w:pPr>
              <w:keepNext/>
              <w:keepLines/>
              <w:spacing w:after="82" w:line="240" w:lineRule="auto"/>
              <w:ind w:left="511" w:right="364" w:hanging="10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</w:p>
          <w:p w:rsidR="0082081B" w:rsidRDefault="0082081B" w:rsidP="0082081B">
            <w:pPr>
              <w:keepNext/>
              <w:keepLines/>
              <w:spacing w:after="82" w:line="240" w:lineRule="auto"/>
              <w:ind w:left="511" w:right="364" w:hanging="10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</w:p>
          <w:p w:rsidR="00A10826" w:rsidRPr="00595916" w:rsidRDefault="00A10826" w:rsidP="0082081B">
            <w:pPr>
              <w:spacing w:before="0" w:after="58" w:line="240" w:lineRule="auto"/>
              <w:ind w:left="511" w:right="429" w:hanging="10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10826" w:rsidRDefault="0082081B" w:rsidP="008C4CE9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Šef Kabiteta</w:t>
            </w:r>
          </w:p>
          <w:p w:rsidR="0082081B" w:rsidRPr="00595916" w:rsidRDefault="0082081B" w:rsidP="008C4CE9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Šef Biroa sa javnošću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0826" w:rsidRDefault="0082081B" w:rsidP="008C4CE9">
            <w:pPr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Kontinuirano</w:t>
            </w:r>
          </w:p>
        </w:tc>
      </w:tr>
      <w:tr w:rsidR="00932283" w:rsidRPr="00595916" w:rsidTr="008C4CE9">
        <w:trPr>
          <w:cantSplit/>
          <w:trHeight w:val="3320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932283" w:rsidRPr="00595916" w:rsidRDefault="00932283" w:rsidP="008C4CE9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 </w:t>
            </w:r>
            <w:r w:rsidR="0082081B">
              <w:rPr>
                <w:rFonts w:ascii="Arial" w:eastAsia="Times New Roman" w:hAnsi="Arial" w:cs="Arial"/>
                <w:bCs/>
                <w:sz w:val="22"/>
              </w:rPr>
              <w:t>3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</w:tc>
        <w:tc>
          <w:tcPr>
            <w:tcW w:w="2430" w:type="dxa"/>
            <w:shd w:val="clear" w:color="auto" w:fill="auto"/>
          </w:tcPr>
          <w:p w:rsidR="009500FA" w:rsidRDefault="009500FA" w:rsidP="008C4CE9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:rsidR="009500FA" w:rsidRDefault="009500FA" w:rsidP="008C4CE9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:rsidR="009500FA" w:rsidRDefault="009500FA" w:rsidP="008C4CE9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:rsidR="00932283" w:rsidRPr="00595916" w:rsidRDefault="009500FA" w:rsidP="008C4CE9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Usled neadekvatne</w:t>
            </w:r>
            <w:r w:rsidR="00932283" w:rsidRPr="00595916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4E0081" w:rsidRPr="00595916">
              <w:rPr>
                <w:rFonts w:ascii="Arial" w:hAnsi="Arial" w:cs="Arial"/>
                <w:color w:val="000000"/>
                <w:sz w:val="22"/>
              </w:rPr>
              <w:t>k</w:t>
            </w:r>
            <w:r w:rsidR="00932283" w:rsidRPr="00595916">
              <w:rPr>
                <w:rFonts w:ascii="Arial" w:hAnsi="Arial" w:cs="Arial"/>
                <w:color w:val="000000"/>
                <w:sz w:val="22"/>
              </w:rPr>
              <w:t>omunikacije sa organizatorima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može doći do kašnjenja organizacije </w:t>
            </w:r>
            <w:r w:rsidR="00932283" w:rsidRPr="00595916">
              <w:rPr>
                <w:rFonts w:ascii="Arial" w:hAnsi="Arial" w:cs="Arial"/>
                <w:color w:val="000000"/>
                <w:sz w:val="22"/>
              </w:rPr>
              <w:t>službenog putovanja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za ministra</w:t>
            </w:r>
          </w:p>
        </w:tc>
        <w:tc>
          <w:tcPr>
            <w:tcW w:w="1413" w:type="dxa"/>
            <w:shd w:val="clear" w:color="auto" w:fill="auto"/>
          </w:tcPr>
          <w:p w:rsidR="00932283" w:rsidRPr="00595916" w:rsidRDefault="00932283" w:rsidP="008C4CE9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Informacije i komunikacije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3" w:rsidRPr="00595916" w:rsidRDefault="004E0081" w:rsidP="008C4CE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3" w:rsidRPr="00595916" w:rsidRDefault="00932283" w:rsidP="008C4CE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283" w:rsidRPr="00595916" w:rsidRDefault="004E0081" w:rsidP="008C4CE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8</w:t>
            </w:r>
          </w:p>
        </w:tc>
        <w:tc>
          <w:tcPr>
            <w:tcW w:w="450" w:type="dxa"/>
            <w:textDirection w:val="btLr"/>
            <w:vAlign w:val="center"/>
          </w:tcPr>
          <w:p w:rsidR="00932283" w:rsidRPr="00595916" w:rsidRDefault="00932283" w:rsidP="008C4CE9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3330" w:type="dxa"/>
          </w:tcPr>
          <w:p w:rsidR="00932283" w:rsidRPr="00595916" w:rsidRDefault="00932283" w:rsidP="008C4CE9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Pravilnik o unutrašnjoj organizaciji i sistematizaciji radnih mjesta Ministarstva </w:t>
            </w:r>
            <w:r w:rsidR="00A9724E" w:rsidRPr="00595916">
              <w:rPr>
                <w:rFonts w:ascii="Arial" w:eastAsia="Times New Roman" w:hAnsi="Arial" w:cs="Arial"/>
                <w:bCs/>
                <w:sz w:val="22"/>
              </w:rPr>
              <w:t>evropskih poslova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32283" w:rsidRPr="00595916" w:rsidRDefault="00932283" w:rsidP="008C4CE9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Dodatna edukacija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32283" w:rsidRPr="00595916" w:rsidRDefault="00932283" w:rsidP="008C4CE9">
            <w:pPr>
              <w:rPr>
                <w:rFonts w:ascii="Arial" w:eastAsia="Times New Roman" w:hAnsi="Arial" w:cs="Arial"/>
                <w:sz w:val="22"/>
              </w:rPr>
            </w:pPr>
            <w:r w:rsidRPr="00595916">
              <w:rPr>
                <w:rFonts w:ascii="Arial" w:eastAsia="Times New Roman" w:hAnsi="Arial" w:cs="Arial"/>
                <w:sz w:val="22"/>
              </w:rPr>
              <w:t>Šef kabineta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32283" w:rsidRPr="00595916" w:rsidRDefault="0061053B" w:rsidP="008C4CE9">
            <w:pPr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Kontinuirano</w:t>
            </w:r>
            <w:r w:rsidR="00113092" w:rsidRPr="00595916">
              <w:rPr>
                <w:rFonts w:ascii="Arial" w:eastAsia="Times New Roman" w:hAnsi="Arial" w:cs="Arial"/>
                <w:sz w:val="22"/>
              </w:rPr>
              <w:t xml:space="preserve">  </w:t>
            </w:r>
          </w:p>
        </w:tc>
      </w:tr>
    </w:tbl>
    <w:p w:rsidR="00BB543A" w:rsidRDefault="00BB543A" w:rsidP="00785F6E">
      <w:pPr>
        <w:jc w:val="left"/>
        <w:rPr>
          <w:rFonts w:ascii="Arial" w:hAnsi="Arial" w:cs="Arial"/>
          <w:sz w:val="22"/>
        </w:rPr>
      </w:pPr>
    </w:p>
    <w:p w:rsidR="009500FA" w:rsidRDefault="009500FA" w:rsidP="00785F6E">
      <w:pPr>
        <w:jc w:val="left"/>
        <w:rPr>
          <w:rFonts w:ascii="Arial" w:hAnsi="Arial" w:cs="Arial"/>
          <w:sz w:val="22"/>
        </w:rPr>
      </w:pPr>
    </w:p>
    <w:p w:rsidR="00104DE7" w:rsidRDefault="00104DE7" w:rsidP="00104DE7">
      <w:pPr>
        <w:jc w:val="left"/>
        <w:rPr>
          <w:rFonts w:ascii="Arial" w:hAnsi="Arial" w:cs="Arial"/>
          <w:sz w:val="22"/>
        </w:rPr>
      </w:pPr>
    </w:p>
    <w:p w:rsidR="00104DE7" w:rsidRPr="00C2049E" w:rsidRDefault="00104DE7" w:rsidP="00104DE7">
      <w:pPr>
        <w:tabs>
          <w:tab w:val="left" w:pos="1134"/>
        </w:tabs>
        <w:outlineLvl w:val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7. </w:t>
      </w:r>
      <w:r w:rsidRPr="00C2049E">
        <w:rPr>
          <w:rFonts w:cstheme="minorHAnsi"/>
          <w:b/>
          <w:sz w:val="28"/>
          <w:szCs w:val="28"/>
        </w:rPr>
        <w:t>ODJELJENJE ZA UN</w:t>
      </w:r>
      <w:r>
        <w:rPr>
          <w:rFonts w:cstheme="minorHAnsi"/>
          <w:b/>
          <w:sz w:val="28"/>
          <w:szCs w:val="28"/>
        </w:rPr>
        <w:t>U</w:t>
      </w:r>
      <w:r w:rsidRPr="00C2049E">
        <w:rPr>
          <w:rFonts w:cstheme="minorHAnsi"/>
          <w:b/>
          <w:sz w:val="28"/>
          <w:szCs w:val="28"/>
        </w:rPr>
        <w:t>TRAŠNJU REVIZIJ</w:t>
      </w:r>
      <w:r>
        <w:rPr>
          <w:rFonts w:cstheme="minorHAnsi"/>
          <w:b/>
          <w:sz w:val="28"/>
          <w:szCs w:val="28"/>
        </w:rPr>
        <w:t>U</w:t>
      </w:r>
    </w:p>
    <w:p w:rsidR="00104DE7" w:rsidRPr="00781AEE" w:rsidRDefault="00104DE7" w:rsidP="00104DE7">
      <w:pPr>
        <w:numPr>
          <w:ilvl w:val="0"/>
          <w:numId w:val="13"/>
        </w:numPr>
        <w:spacing w:after="200" w:line="240" w:lineRule="atLeast"/>
        <w:ind w:left="810"/>
        <w:contextualSpacing/>
        <w:rPr>
          <w:rFonts w:ascii="Arial" w:hAnsi="Arial" w:cs="Arial"/>
          <w:noProof/>
          <w:sz w:val="22"/>
          <w:lang w:val="sr-Latn-ME"/>
        </w:rPr>
      </w:pPr>
      <w:r w:rsidRPr="00781AEE">
        <w:rPr>
          <w:rFonts w:ascii="Arial" w:hAnsi="Arial" w:cs="Arial"/>
          <w:b/>
          <w:noProof/>
          <w:sz w:val="22"/>
          <w:lang w:val="sr-Latn-ME"/>
        </w:rPr>
        <w:t>Opšti cilj:</w:t>
      </w:r>
      <w:r w:rsidRPr="00781AEE">
        <w:rPr>
          <w:rFonts w:ascii="Arial" w:hAnsi="Arial" w:cs="Arial"/>
          <w:noProof/>
          <w:sz w:val="22"/>
          <w:lang w:val="sr-Latn-ME"/>
        </w:rPr>
        <w:t xml:space="preserve"> nezavisno i objektivno uvjeravanje i pružanje savjetodavnih usluga u cilju doprinosa unaprijeđenju poslovanja i ostvarivanje ciljeva Ministarstva</w:t>
      </w:r>
    </w:p>
    <w:p w:rsidR="00104DE7" w:rsidRPr="00923DC3" w:rsidRDefault="00104DE7" w:rsidP="00104DE7">
      <w:pPr>
        <w:numPr>
          <w:ilvl w:val="0"/>
          <w:numId w:val="13"/>
        </w:numPr>
        <w:spacing w:after="200" w:line="240" w:lineRule="atLeast"/>
        <w:ind w:left="810"/>
        <w:contextualSpacing/>
        <w:jc w:val="left"/>
        <w:rPr>
          <w:rFonts w:ascii="Arial" w:hAnsi="Arial" w:cs="Arial"/>
          <w:sz w:val="22"/>
        </w:rPr>
      </w:pPr>
      <w:r w:rsidRPr="007F6F35">
        <w:rPr>
          <w:rFonts w:ascii="Arial" w:hAnsi="Arial" w:cs="Arial"/>
          <w:b/>
          <w:noProof/>
          <w:sz w:val="22"/>
          <w:lang w:val="sr-Latn-ME"/>
        </w:rPr>
        <w:t xml:space="preserve">Posebni cilj: </w:t>
      </w:r>
      <w:r w:rsidRPr="007F6F35">
        <w:rPr>
          <w:rFonts w:ascii="Arial" w:hAnsi="Arial" w:cs="Arial"/>
          <w:sz w:val="22"/>
          <w:lang w:val="sr-Latn-CS"/>
        </w:rPr>
        <w:t xml:space="preserve">obavljanje poslova unutrašnje revizije na ekonomičan, efikasan i efektivan način; zaštita sredstava od gubitaka </w:t>
      </w:r>
    </w:p>
    <w:p w:rsidR="00104DE7" w:rsidRPr="00923DC3" w:rsidRDefault="00104DE7" w:rsidP="00104DE7">
      <w:pPr>
        <w:spacing w:after="200" w:line="240" w:lineRule="atLeast"/>
        <w:ind w:left="810"/>
        <w:contextualSpacing/>
        <w:jc w:val="left"/>
        <w:rPr>
          <w:rFonts w:ascii="Arial" w:hAnsi="Arial" w:cs="Arial"/>
          <w:sz w:val="22"/>
        </w:rPr>
      </w:pPr>
      <w:r w:rsidRPr="007F6F35">
        <w:rPr>
          <w:rFonts w:ascii="Arial" w:hAnsi="Arial" w:cs="Arial"/>
          <w:sz w:val="22"/>
          <w:lang w:val="sr-Latn-CS"/>
        </w:rPr>
        <w:t>prouzrokovanih nepravilnim upravljanjem, neopravdanim raspologanjem kao i zaštita od drugih nepravilnosti.</w:t>
      </w:r>
    </w:p>
    <w:p w:rsidR="00104DE7" w:rsidRDefault="00104DE7" w:rsidP="00785F6E">
      <w:pPr>
        <w:jc w:val="left"/>
        <w:rPr>
          <w:rFonts w:ascii="Arial" w:hAnsi="Arial" w:cs="Arial"/>
          <w:sz w:val="22"/>
        </w:rPr>
      </w:pPr>
    </w:p>
    <w:p w:rsidR="00104DE7" w:rsidRDefault="00104DE7" w:rsidP="00785F6E">
      <w:pPr>
        <w:jc w:val="left"/>
        <w:rPr>
          <w:rFonts w:ascii="Arial" w:hAnsi="Arial" w:cs="Arial"/>
          <w:sz w:val="22"/>
        </w:rPr>
      </w:pPr>
    </w:p>
    <w:p w:rsidR="00104DE7" w:rsidRDefault="00104DE7" w:rsidP="00785F6E">
      <w:pPr>
        <w:jc w:val="left"/>
        <w:rPr>
          <w:rFonts w:ascii="Arial" w:hAnsi="Arial" w:cs="Arial"/>
          <w:sz w:val="22"/>
        </w:rPr>
      </w:pPr>
    </w:p>
    <w:p w:rsidR="003A275F" w:rsidRDefault="003A275F" w:rsidP="00785F6E">
      <w:pPr>
        <w:jc w:val="left"/>
        <w:rPr>
          <w:rFonts w:ascii="Arial" w:hAnsi="Arial" w:cs="Arial"/>
          <w:sz w:val="22"/>
        </w:rPr>
      </w:pPr>
    </w:p>
    <w:p w:rsidR="009500FA" w:rsidRDefault="009500FA" w:rsidP="00785F6E">
      <w:pPr>
        <w:jc w:val="left"/>
        <w:rPr>
          <w:rFonts w:ascii="Arial" w:hAnsi="Arial" w:cs="Arial"/>
          <w:sz w:val="22"/>
        </w:rPr>
      </w:pPr>
    </w:p>
    <w:p w:rsidR="009500FA" w:rsidRDefault="009500FA" w:rsidP="00785F6E">
      <w:pPr>
        <w:jc w:val="left"/>
        <w:rPr>
          <w:rFonts w:ascii="Arial" w:hAnsi="Arial" w:cs="Arial"/>
          <w:sz w:val="22"/>
        </w:rPr>
      </w:pPr>
    </w:p>
    <w:p w:rsidR="009500FA" w:rsidRDefault="009500FA" w:rsidP="00785F6E">
      <w:pPr>
        <w:jc w:val="left"/>
        <w:rPr>
          <w:rFonts w:ascii="Arial" w:hAnsi="Arial" w:cs="Arial"/>
          <w:sz w:val="22"/>
        </w:rPr>
      </w:pPr>
    </w:p>
    <w:p w:rsidR="00923DC3" w:rsidRDefault="00923DC3" w:rsidP="00785F6E">
      <w:pPr>
        <w:jc w:val="left"/>
        <w:rPr>
          <w:rFonts w:ascii="Arial" w:hAnsi="Arial" w:cs="Arial"/>
          <w:sz w:val="22"/>
        </w:rPr>
      </w:pPr>
    </w:p>
    <w:p w:rsidR="00923DC3" w:rsidRDefault="00923DC3" w:rsidP="00785F6E">
      <w:pPr>
        <w:jc w:val="left"/>
        <w:rPr>
          <w:rFonts w:ascii="Arial" w:hAnsi="Arial" w:cs="Arial"/>
          <w:sz w:val="22"/>
        </w:rPr>
      </w:pPr>
    </w:p>
    <w:p w:rsidR="00923DC3" w:rsidRDefault="00923DC3" w:rsidP="00785F6E">
      <w:pPr>
        <w:jc w:val="left"/>
        <w:rPr>
          <w:rFonts w:ascii="Arial" w:hAnsi="Arial" w:cs="Arial"/>
          <w:sz w:val="22"/>
        </w:rPr>
      </w:pPr>
    </w:p>
    <w:p w:rsidR="00923DC3" w:rsidRPr="007F6F35" w:rsidRDefault="00923DC3" w:rsidP="00923DC3">
      <w:pPr>
        <w:spacing w:after="200" w:line="240" w:lineRule="atLeast"/>
        <w:contextualSpacing/>
        <w:jc w:val="left"/>
        <w:rPr>
          <w:rFonts w:ascii="Arial" w:hAnsi="Arial" w:cs="Arial"/>
          <w:sz w:val="22"/>
        </w:rPr>
      </w:pPr>
    </w:p>
    <w:tbl>
      <w:tblPr>
        <w:tblpPr w:leftFromText="180" w:rightFromText="180" w:vertAnchor="page" w:horzAnchor="margin" w:tblpXSpec="center" w:tblpY="1801"/>
        <w:tblW w:w="15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703"/>
        <w:gridCol w:w="1502"/>
        <w:gridCol w:w="601"/>
        <w:gridCol w:w="501"/>
        <w:gridCol w:w="501"/>
        <w:gridCol w:w="501"/>
        <w:gridCol w:w="3705"/>
        <w:gridCol w:w="2904"/>
        <w:gridCol w:w="1702"/>
      </w:tblGrid>
      <w:tr w:rsidR="00692D3F" w:rsidRPr="007F6F35" w:rsidTr="00923DC3">
        <w:trPr>
          <w:cantSplit/>
          <w:trHeight w:val="1178"/>
        </w:trPr>
        <w:tc>
          <w:tcPr>
            <w:tcW w:w="500" w:type="dxa"/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lastRenderedPageBreak/>
              <w:t>1.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lang w:val="sr-Latn-ME"/>
              </w:rPr>
            </w:pPr>
            <w:r w:rsidRPr="007F6F35">
              <w:t>Usled Nedovoljnog broja popunjenih radnih mjesta u Odjeljenju za unutra</w:t>
            </w:r>
            <w:r w:rsidRPr="007F6F35">
              <w:rPr>
                <w:lang w:val="sr-Latn-ME"/>
              </w:rPr>
              <w:t>šnju reviziju, može doći do  neizvršenja Godišnjeg plana rada unutrašnje revizije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92D3F" w:rsidRPr="007F6F35" w:rsidRDefault="00692D3F" w:rsidP="00692D3F">
            <w:r w:rsidRPr="007F6F35">
              <w:t>Operativni Zakonodavni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4</w:t>
            </w: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12</w:t>
            </w:r>
          </w:p>
        </w:tc>
        <w:tc>
          <w:tcPr>
            <w:tcW w:w="501" w:type="dxa"/>
            <w:textDirection w:val="btLr"/>
            <w:vAlign w:val="center"/>
          </w:tcPr>
          <w:p w:rsidR="00692D3F" w:rsidRPr="007F6F35" w:rsidRDefault="00692D3F" w:rsidP="00692D3F"/>
        </w:tc>
        <w:tc>
          <w:tcPr>
            <w:tcW w:w="3705" w:type="dxa"/>
            <w:vAlign w:val="center"/>
          </w:tcPr>
          <w:p w:rsidR="00692D3F" w:rsidRPr="007F6F35" w:rsidRDefault="00692D3F" w:rsidP="00692D3F">
            <w:r w:rsidRPr="007F6F35">
              <w:t>Pravilnik o unutrašnjoj organizaciji i sistematizaciji Ministarstva ekonomskog razvoja i turizma</w:t>
            </w:r>
          </w:p>
          <w:p w:rsidR="00692D3F" w:rsidRPr="007F6F35" w:rsidRDefault="00692D3F" w:rsidP="00692D3F">
            <w:r w:rsidRPr="007F6F35">
              <w:t>Rješenje o rasporedu službenika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Angažovanjem lica sa stučnim znanjem iz oblasti koja je predmet revizije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Ministar,</w:t>
            </w:r>
          </w:p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Rukovodilac Odjeljenja</w:t>
            </w:r>
          </w:p>
        </w:tc>
      </w:tr>
      <w:tr w:rsidR="00692D3F" w:rsidRPr="007F6F35" w:rsidTr="00923DC3">
        <w:trPr>
          <w:cantSplit/>
          <w:trHeight w:val="1070"/>
        </w:trPr>
        <w:tc>
          <w:tcPr>
            <w:tcW w:w="500" w:type="dxa"/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 xml:space="preserve"> 2.</w:t>
            </w:r>
          </w:p>
        </w:tc>
        <w:tc>
          <w:tcPr>
            <w:tcW w:w="2703" w:type="dxa"/>
            <w:shd w:val="clear" w:color="auto" w:fill="auto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Rukovodilac odjeljenja i unutrašnji revizori ne primjenjuju metodologiju rada unutrašnje revizije koju je pripremilo Ministarstvo finansija</w:t>
            </w:r>
          </w:p>
        </w:tc>
        <w:tc>
          <w:tcPr>
            <w:tcW w:w="1502" w:type="dxa"/>
            <w:shd w:val="clear" w:color="auto" w:fill="auto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 xml:space="preserve">Operativni </w:t>
            </w:r>
          </w:p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Zakonodavni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1</w:t>
            </w: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3</w:t>
            </w:r>
          </w:p>
        </w:tc>
        <w:tc>
          <w:tcPr>
            <w:tcW w:w="501" w:type="dxa"/>
            <w:textDirection w:val="btLr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</w:p>
        </w:tc>
        <w:tc>
          <w:tcPr>
            <w:tcW w:w="3705" w:type="dxa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Zakon o upravljanju i unutrašnjim kontrolama u javnom sektoru</w:t>
            </w:r>
          </w:p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Pravilnik o metodologiji rada unutrašnje revizije u javnom sektoru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Stručno usavršavanje unutrašnjih revozora</w:t>
            </w:r>
          </w:p>
        </w:tc>
        <w:tc>
          <w:tcPr>
            <w:tcW w:w="1702" w:type="dxa"/>
            <w:shd w:val="clear" w:color="auto" w:fill="auto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Rukovodilac Odjeljenja</w:t>
            </w:r>
          </w:p>
        </w:tc>
      </w:tr>
      <w:tr w:rsidR="00692D3F" w:rsidRPr="007F6F35" w:rsidTr="00923DC3">
        <w:trPr>
          <w:cantSplit/>
          <w:trHeight w:val="1070"/>
        </w:trPr>
        <w:tc>
          <w:tcPr>
            <w:tcW w:w="500" w:type="dxa"/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3.</w:t>
            </w:r>
          </w:p>
        </w:tc>
        <w:tc>
          <w:tcPr>
            <w:tcW w:w="2703" w:type="dxa"/>
            <w:shd w:val="clear" w:color="auto" w:fill="auto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 xml:space="preserve">Ne donošenje strateškog i godišnjeg plana rada u zakonom propisanom roku </w:t>
            </w:r>
          </w:p>
        </w:tc>
        <w:tc>
          <w:tcPr>
            <w:tcW w:w="1502" w:type="dxa"/>
            <w:shd w:val="clear" w:color="auto" w:fill="auto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Operativni Zakonodavni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1</w:t>
            </w: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4</w:t>
            </w:r>
          </w:p>
        </w:tc>
        <w:tc>
          <w:tcPr>
            <w:tcW w:w="501" w:type="dxa"/>
            <w:textDirection w:val="btLr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</w:p>
        </w:tc>
        <w:tc>
          <w:tcPr>
            <w:tcW w:w="3705" w:type="dxa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Zakon o upravljanju i unutrašnjim kontrolama u javnom sektoru</w:t>
            </w:r>
          </w:p>
          <w:p w:rsidR="00692D3F" w:rsidRPr="007F6F35" w:rsidRDefault="00692D3F" w:rsidP="00692D3F">
            <w:pPr>
              <w:rPr>
                <w:bCs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Strateški plan rada Odjeljenja za unutrašnju reviziju</w:t>
            </w:r>
          </w:p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 xml:space="preserve">Godišnji plan rada Odjeljenja za unutrašnju reviziju </w:t>
            </w:r>
          </w:p>
        </w:tc>
        <w:tc>
          <w:tcPr>
            <w:tcW w:w="1702" w:type="dxa"/>
            <w:shd w:val="clear" w:color="auto" w:fill="auto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Rukovodilac Odjeljenja</w:t>
            </w:r>
          </w:p>
        </w:tc>
      </w:tr>
      <w:tr w:rsidR="00692D3F" w:rsidRPr="007F6F35" w:rsidTr="00923DC3">
        <w:trPr>
          <w:cantSplit/>
          <w:trHeight w:val="1070"/>
        </w:trPr>
        <w:tc>
          <w:tcPr>
            <w:tcW w:w="500" w:type="dxa"/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lastRenderedPageBreak/>
              <w:t>4.</w:t>
            </w:r>
          </w:p>
        </w:tc>
        <w:tc>
          <w:tcPr>
            <w:tcW w:w="2703" w:type="dxa"/>
            <w:shd w:val="clear" w:color="auto" w:fill="auto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Usled neažurnosti rukovodioca organizacionih jedinica kod kojih je vršena revizija može doći do Neblagovremene realizacija datih preporuka od strane unu</w:t>
            </w:r>
            <w:r>
              <w:rPr>
                <w:bCs/>
              </w:rPr>
              <w:t>t</w:t>
            </w:r>
            <w:r w:rsidRPr="007F6F35">
              <w:rPr>
                <w:bCs/>
              </w:rPr>
              <w:t>rašnje revizije</w:t>
            </w:r>
          </w:p>
        </w:tc>
        <w:tc>
          <w:tcPr>
            <w:tcW w:w="1502" w:type="dxa"/>
            <w:shd w:val="clear" w:color="auto" w:fill="auto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Operativni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3</w:t>
            </w: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15</w:t>
            </w:r>
          </w:p>
        </w:tc>
        <w:tc>
          <w:tcPr>
            <w:tcW w:w="501" w:type="dxa"/>
            <w:textDirection w:val="btLr"/>
            <w:vAlign w:val="center"/>
          </w:tcPr>
          <w:p w:rsidR="00692D3F" w:rsidRPr="007F6F35" w:rsidRDefault="00692D3F" w:rsidP="00692D3F"/>
        </w:tc>
        <w:tc>
          <w:tcPr>
            <w:tcW w:w="3705" w:type="dxa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Zakon o upravljanju i unutrašnjim kontrolama u javnom sektoru</w:t>
            </w:r>
          </w:p>
          <w:p w:rsidR="00692D3F" w:rsidRPr="007F6F35" w:rsidRDefault="00692D3F" w:rsidP="00692D3F">
            <w:pPr>
              <w:rPr>
                <w:bCs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Informisanje i edukacija državnih službenika i namještenika o svrsi, ulozi i načinu rada unutrašnjih revizora i značaju realizacije datih preporuka</w:t>
            </w:r>
          </w:p>
        </w:tc>
        <w:tc>
          <w:tcPr>
            <w:tcW w:w="1702" w:type="dxa"/>
            <w:shd w:val="clear" w:color="auto" w:fill="auto"/>
          </w:tcPr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 xml:space="preserve">Rukovodilac Odjeljenja </w:t>
            </w:r>
          </w:p>
          <w:p w:rsidR="00692D3F" w:rsidRPr="007F6F35" w:rsidRDefault="00692D3F" w:rsidP="00692D3F">
            <w:pPr>
              <w:rPr>
                <w:bCs/>
              </w:rPr>
            </w:pPr>
            <w:r w:rsidRPr="007F6F35">
              <w:rPr>
                <w:bCs/>
              </w:rPr>
              <w:t>Rukovodioci organizacionih jedinica</w:t>
            </w:r>
          </w:p>
        </w:tc>
      </w:tr>
    </w:tbl>
    <w:p w:rsidR="003A275F" w:rsidRDefault="003A275F" w:rsidP="003A275F"/>
    <w:p w:rsidR="003A275F" w:rsidRDefault="003A275F" w:rsidP="00785F6E">
      <w:pPr>
        <w:jc w:val="left"/>
        <w:rPr>
          <w:rFonts w:ascii="Arial" w:hAnsi="Arial" w:cs="Arial"/>
          <w:sz w:val="22"/>
        </w:rPr>
      </w:pPr>
    </w:p>
    <w:p w:rsidR="003A275F" w:rsidRDefault="003A275F" w:rsidP="00785F6E">
      <w:pPr>
        <w:jc w:val="left"/>
        <w:rPr>
          <w:rFonts w:ascii="Arial" w:hAnsi="Arial" w:cs="Arial"/>
          <w:sz w:val="22"/>
        </w:rPr>
      </w:pPr>
    </w:p>
    <w:p w:rsidR="003A275F" w:rsidRDefault="003A275F" w:rsidP="00785F6E">
      <w:pPr>
        <w:jc w:val="left"/>
        <w:rPr>
          <w:rFonts w:ascii="Arial" w:hAnsi="Arial" w:cs="Arial"/>
          <w:sz w:val="22"/>
        </w:rPr>
      </w:pPr>
    </w:p>
    <w:p w:rsidR="003A275F" w:rsidRDefault="003A275F" w:rsidP="00785F6E">
      <w:pPr>
        <w:jc w:val="left"/>
        <w:rPr>
          <w:rFonts w:ascii="Arial" w:hAnsi="Arial" w:cs="Arial"/>
          <w:sz w:val="22"/>
        </w:rPr>
      </w:pPr>
    </w:p>
    <w:p w:rsidR="003A275F" w:rsidRDefault="003A275F" w:rsidP="00785F6E">
      <w:pPr>
        <w:jc w:val="left"/>
        <w:rPr>
          <w:rFonts w:ascii="Arial" w:hAnsi="Arial" w:cs="Arial"/>
          <w:sz w:val="22"/>
        </w:rPr>
      </w:pPr>
    </w:p>
    <w:p w:rsidR="003A275F" w:rsidRDefault="003A275F" w:rsidP="00785F6E">
      <w:pPr>
        <w:jc w:val="left"/>
        <w:rPr>
          <w:rFonts w:ascii="Arial" w:hAnsi="Arial" w:cs="Arial"/>
          <w:sz w:val="22"/>
        </w:rPr>
      </w:pPr>
    </w:p>
    <w:p w:rsidR="003A275F" w:rsidRPr="00595916" w:rsidRDefault="003A275F" w:rsidP="00785F6E">
      <w:pPr>
        <w:jc w:val="left"/>
        <w:rPr>
          <w:rFonts w:ascii="Arial" w:hAnsi="Arial" w:cs="Arial"/>
          <w:sz w:val="22"/>
        </w:rPr>
      </w:pPr>
    </w:p>
    <w:p w:rsidR="00E64CD0" w:rsidRDefault="00E64CD0" w:rsidP="00932283">
      <w:pPr>
        <w:pStyle w:val="Heading2"/>
        <w:numPr>
          <w:ilvl w:val="0"/>
          <w:numId w:val="0"/>
        </w:numPr>
        <w:rPr>
          <w:b/>
        </w:rPr>
      </w:pPr>
      <w:bookmarkStart w:id="5" w:name="_Toc91589440"/>
    </w:p>
    <w:p w:rsidR="00E64CD0" w:rsidRDefault="00E64CD0" w:rsidP="00932283">
      <w:pPr>
        <w:pStyle w:val="Heading2"/>
        <w:numPr>
          <w:ilvl w:val="0"/>
          <w:numId w:val="0"/>
        </w:numPr>
        <w:rPr>
          <w:b/>
        </w:rPr>
      </w:pPr>
    </w:p>
    <w:p w:rsidR="00E64CD0" w:rsidRDefault="00E64CD0" w:rsidP="00932283">
      <w:pPr>
        <w:pStyle w:val="Heading2"/>
        <w:numPr>
          <w:ilvl w:val="0"/>
          <w:numId w:val="0"/>
        </w:numPr>
        <w:rPr>
          <w:b/>
        </w:rPr>
      </w:pPr>
    </w:p>
    <w:p w:rsidR="00E64CD0" w:rsidRDefault="00E64CD0" w:rsidP="00932283">
      <w:pPr>
        <w:pStyle w:val="Heading2"/>
        <w:numPr>
          <w:ilvl w:val="0"/>
          <w:numId w:val="0"/>
        </w:numPr>
        <w:rPr>
          <w:b/>
        </w:rPr>
      </w:pPr>
    </w:p>
    <w:p w:rsidR="00E64CD0" w:rsidRDefault="00E64CD0" w:rsidP="00932283">
      <w:pPr>
        <w:pStyle w:val="Heading2"/>
        <w:numPr>
          <w:ilvl w:val="0"/>
          <w:numId w:val="0"/>
        </w:numPr>
        <w:rPr>
          <w:b/>
        </w:rPr>
      </w:pPr>
    </w:p>
    <w:p w:rsidR="00E64CD0" w:rsidRDefault="00E64CD0" w:rsidP="00932283">
      <w:pPr>
        <w:pStyle w:val="Heading2"/>
        <w:numPr>
          <w:ilvl w:val="0"/>
          <w:numId w:val="0"/>
        </w:numPr>
        <w:rPr>
          <w:b/>
        </w:rPr>
      </w:pPr>
    </w:p>
    <w:p w:rsidR="00E64CD0" w:rsidRDefault="00E64CD0" w:rsidP="00932283">
      <w:pPr>
        <w:pStyle w:val="Heading2"/>
        <w:numPr>
          <w:ilvl w:val="0"/>
          <w:numId w:val="0"/>
        </w:numPr>
        <w:rPr>
          <w:b/>
        </w:rPr>
      </w:pPr>
    </w:p>
    <w:p w:rsidR="00932283" w:rsidRPr="00595916" w:rsidRDefault="00F33601" w:rsidP="00932283">
      <w:pPr>
        <w:pStyle w:val="Heading2"/>
        <w:numPr>
          <w:ilvl w:val="0"/>
          <w:numId w:val="0"/>
        </w:numPr>
        <w:rPr>
          <w:b/>
        </w:rPr>
      </w:pPr>
      <w:r>
        <w:rPr>
          <w:b/>
        </w:rPr>
        <w:lastRenderedPageBreak/>
        <w:t>8</w:t>
      </w:r>
      <w:r w:rsidR="00E64CD0">
        <w:rPr>
          <w:b/>
        </w:rPr>
        <w:t xml:space="preserve">. </w:t>
      </w:r>
      <w:r w:rsidR="008050BA" w:rsidRPr="00595916">
        <w:rPr>
          <w:b/>
        </w:rPr>
        <w:t xml:space="preserve">SLUŽBA ZA </w:t>
      </w:r>
      <w:bookmarkEnd w:id="5"/>
      <w:r w:rsidR="0083494D">
        <w:rPr>
          <w:b/>
        </w:rPr>
        <w:t>PRAVNE</w:t>
      </w:r>
      <w:r w:rsidR="00923DC3">
        <w:rPr>
          <w:b/>
        </w:rPr>
        <w:t>, OPŠTE, KADROVSKE, FINANSIJSKE POSLOVE I JAVNE NABAVKE</w:t>
      </w:r>
    </w:p>
    <w:p w:rsidR="00932283" w:rsidRPr="00595916" w:rsidRDefault="00932283" w:rsidP="00932283">
      <w:pPr>
        <w:pStyle w:val="ListParagraph"/>
        <w:spacing w:line="240" w:lineRule="atLeast"/>
        <w:ind w:left="810"/>
        <w:jc w:val="both"/>
        <w:rPr>
          <w:rFonts w:ascii="Arial" w:eastAsia="Calibri" w:hAnsi="Arial" w:cs="Arial"/>
          <w:lang w:val="sr-Latn-CS"/>
        </w:rPr>
      </w:pPr>
      <w:r w:rsidRPr="00595916">
        <w:rPr>
          <w:rFonts w:ascii="Arial" w:eastAsia="Calibri" w:hAnsi="Arial" w:cs="Arial"/>
          <w:b/>
          <w:lang w:val="sr-Latn-CS"/>
        </w:rPr>
        <w:t xml:space="preserve">Opšti cilj: </w:t>
      </w:r>
      <w:r w:rsidRPr="00595916">
        <w:rPr>
          <w:rFonts w:ascii="Arial" w:eastAsia="Calibri" w:hAnsi="Arial" w:cs="Arial"/>
          <w:lang w:val="sr-Latn-CS"/>
        </w:rPr>
        <w:t xml:space="preserve">Uspješno definisanje, planiranje i izvršenje zadataka iz oblasti </w:t>
      </w:r>
      <w:r w:rsidR="004857B9">
        <w:rPr>
          <w:rFonts w:ascii="Arial" w:eastAsia="Calibri" w:hAnsi="Arial" w:cs="Arial"/>
          <w:lang w:val="sr-Latn-CS"/>
        </w:rPr>
        <w:t xml:space="preserve">pravnih, </w:t>
      </w:r>
      <w:r w:rsidRPr="00595916">
        <w:rPr>
          <w:rFonts w:ascii="Arial" w:eastAsia="Calibri" w:hAnsi="Arial" w:cs="Arial"/>
          <w:lang w:val="sr-Latn-CS"/>
        </w:rPr>
        <w:t>opštih poslova, finansija i javnih nabavki, a sve u cilju doprinošenja unaprijeđenja poslovanja i ostvarivanje ciljeva Ministarstva</w:t>
      </w:r>
      <w:r w:rsidR="00781AEE">
        <w:rPr>
          <w:rFonts w:ascii="Arial" w:eastAsia="Calibri" w:hAnsi="Arial" w:cs="Arial"/>
          <w:lang w:val="sr-Latn-CS"/>
        </w:rPr>
        <w:t>.</w:t>
      </w:r>
    </w:p>
    <w:p w:rsidR="00932283" w:rsidRPr="00923DC3" w:rsidRDefault="00932283" w:rsidP="00923DC3">
      <w:pPr>
        <w:pStyle w:val="ListParagraph"/>
        <w:numPr>
          <w:ilvl w:val="0"/>
          <w:numId w:val="13"/>
        </w:numPr>
        <w:spacing w:line="240" w:lineRule="atLeast"/>
        <w:ind w:left="810"/>
        <w:jc w:val="both"/>
        <w:rPr>
          <w:rFonts w:ascii="Arial" w:eastAsia="Calibri" w:hAnsi="Arial" w:cs="Arial"/>
          <w:b/>
          <w:lang w:val="sr-Latn-CS"/>
        </w:rPr>
      </w:pPr>
      <w:r w:rsidRPr="00595916">
        <w:rPr>
          <w:rFonts w:ascii="Arial" w:eastAsia="Calibri" w:hAnsi="Arial" w:cs="Arial"/>
          <w:b/>
          <w:lang w:val="sr-Latn-CS"/>
        </w:rPr>
        <w:t xml:space="preserve">Posebni cilj: </w:t>
      </w:r>
      <w:r w:rsidRPr="00595916">
        <w:rPr>
          <w:rFonts w:ascii="Arial" w:eastAsia="Calibri" w:hAnsi="Arial" w:cs="Arial"/>
          <w:lang w:val="sr-Latn-CS"/>
        </w:rPr>
        <w:t>Uspješno projektovanje, planiranje i realizacija budžeta; Namjenska upotreba sredstava iz svih izvora finansiranja; Adekvatno planiranje i realizacija javnih nabavki;</w:t>
      </w:r>
      <w:r w:rsidRPr="00595916">
        <w:rPr>
          <w:rFonts w:ascii="Arial" w:hAnsi="Arial" w:cs="Arial"/>
          <w:lang w:val="sr-Latn-CS"/>
        </w:rPr>
        <w:t xml:space="preserve"> O</w:t>
      </w:r>
      <w:r w:rsidRPr="00595916">
        <w:rPr>
          <w:rFonts w:ascii="Arial" w:eastAsia="Calibri" w:hAnsi="Arial" w:cs="Arial"/>
          <w:lang w:val="sr-Latn-CS"/>
        </w:rPr>
        <w:t>bavljanje poslovanja na ekonomičan, efektivan i efikasan način</w:t>
      </w:r>
      <w:r w:rsidR="000F7D06">
        <w:rPr>
          <w:rFonts w:ascii="Arial" w:eastAsia="Calibri" w:hAnsi="Arial" w:cs="Arial"/>
          <w:lang w:val="sr-Latn-CS"/>
        </w:rPr>
        <w:t>.</w:t>
      </w:r>
    </w:p>
    <w:tbl>
      <w:tblPr>
        <w:tblW w:w="15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18"/>
        <w:gridCol w:w="1529"/>
        <w:gridCol w:w="361"/>
        <w:gridCol w:w="445"/>
        <w:gridCol w:w="540"/>
        <w:gridCol w:w="540"/>
        <w:gridCol w:w="3155"/>
        <w:gridCol w:w="2610"/>
        <w:gridCol w:w="1636"/>
        <w:gridCol w:w="1559"/>
      </w:tblGrid>
      <w:tr w:rsidR="00932283" w:rsidRPr="00595916" w:rsidTr="00781AEE">
        <w:trPr>
          <w:trHeight w:val="242"/>
          <w:tblHeader/>
          <w:jc w:val="center"/>
        </w:trPr>
        <w:tc>
          <w:tcPr>
            <w:tcW w:w="562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C130DD">
            <w:pPr>
              <w:spacing w:after="0" w:line="240" w:lineRule="auto"/>
              <w:ind w:right="-108" w:firstLine="9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Rb</w:t>
            </w:r>
          </w:p>
        </w:tc>
        <w:tc>
          <w:tcPr>
            <w:tcW w:w="2318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Opis rizika</w:t>
            </w:r>
          </w:p>
        </w:tc>
        <w:tc>
          <w:tcPr>
            <w:tcW w:w="1529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Vrsta rizika</w:t>
            </w:r>
          </w:p>
        </w:tc>
        <w:tc>
          <w:tcPr>
            <w:tcW w:w="1886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Rangiranje rizika</w:t>
            </w:r>
          </w:p>
        </w:tc>
        <w:tc>
          <w:tcPr>
            <w:tcW w:w="3155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95916">
              <w:rPr>
                <w:rFonts w:ascii="Arial" w:hAnsi="Arial" w:cs="Arial"/>
                <w:b/>
                <w:sz w:val="22"/>
              </w:rPr>
              <w:t>Pregled postojećih kontrola</w:t>
            </w:r>
          </w:p>
        </w:tc>
        <w:tc>
          <w:tcPr>
            <w:tcW w:w="2610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ind w:left="-189" w:firstLine="189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Reagovanje na rizik / mjere</w:t>
            </w:r>
          </w:p>
        </w:tc>
        <w:tc>
          <w:tcPr>
            <w:tcW w:w="1636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Odgovorna osoba za rizik</w:t>
            </w:r>
          </w:p>
        </w:tc>
        <w:tc>
          <w:tcPr>
            <w:tcW w:w="1559" w:type="dxa"/>
            <w:vMerge w:val="restart"/>
            <w:shd w:val="clear" w:color="auto" w:fill="FBE4D5" w:themeFill="accent2" w:themeFillTint="33"/>
            <w:vAlign w:val="center"/>
          </w:tcPr>
          <w:p w:rsidR="00932283" w:rsidRPr="00595916" w:rsidRDefault="00932283" w:rsidP="008C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z w:val="22"/>
              </w:rPr>
              <w:t>Rok za sprovođenje</w:t>
            </w:r>
          </w:p>
        </w:tc>
      </w:tr>
      <w:tr w:rsidR="00932283" w:rsidRPr="00595916" w:rsidTr="00781AEE">
        <w:trPr>
          <w:cantSplit/>
          <w:trHeight w:val="1579"/>
          <w:tblHeader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32283" w:rsidRPr="00595916" w:rsidRDefault="00932283" w:rsidP="00C130D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</w:tcPr>
          <w:p w:rsidR="00932283" w:rsidRPr="00595916" w:rsidRDefault="00932283" w:rsidP="008C4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932283" w:rsidRPr="00595916" w:rsidRDefault="00932283" w:rsidP="008C4C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932283" w:rsidRPr="00595916" w:rsidRDefault="00932283" w:rsidP="008C4CE9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  <w:t>Uticaj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932283" w:rsidRPr="00595916" w:rsidRDefault="00932283" w:rsidP="008C4CE9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  <w:t>Vjerovatnoća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932283" w:rsidRPr="00595916" w:rsidRDefault="00932283" w:rsidP="008C4CE9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  <w:t>Ukupno</w:t>
            </w:r>
          </w:p>
        </w:tc>
        <w:tc>
          <w:tcPr>
            <w:tcW w:w="540" w:type="dxa"/>
            <w:shd w:val="clear" w:color="auto" w:fill="FBE4D5" w:themeFill="accent2" w:themeFillTint="33"/>
            <w:textDirection w:val="btLr"/>
            <w:vAlign w:val="center"/>
          </w:tcPr>
          <w:p w:rsidR="00932283" w:rsidRPr="00595916" w:rsidRDefault="00932283" w:rsidP="008C4CE9">
            <w:pPr>
              <w:spacing w:after="0" w:line="360" w:lineRule="auto"/>
              <w:ind w:left="-8" w:right="113" w:firstLine="121"/>
              <w:jc w:val="center"/>
              <w:rPr>
                <w:rFonts w:ascii="Arial" w:eastAsia="Times New Roman" w:hAnsi="Arial" w:cs="Arial"/>
                <w:b/>
                <w:bCs/>
                <w:i/>
                <w:spacing w:val="-6"/>
                <w:sz w:val="22"/>
              </w:rPr>
            </w:pPr>
            <w:r w:rsidRPr="00595916">
              <w:rPr>
                <w:rFonts w:ascii="Arial" w:eastAsia="Times New Roman" w:hAnsi="Arial" w:cs="Arial"/>
                <w:b/>
                <w:bCs/>
                <w:i/>
                <w:spacing w:val="-6"/>
                <w:sz w:val="22"/>
              </w:rPr>
              <w:t>Rang</w:t>
            </w:r>
          </w:p>
        </w:tc>
        <w:tc>
          <w:tcPr>
            <w:tcW w:w="3155" w:type="dxa"/>
            <w:vMerge/>
          </w:tcPr>
          <w:p w:rsidR="00932283" w:rsidRPr="00595916" w:rsidRDefault="00932283" w:rsidP="008C4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932283" w:rsidRPr="00595916" w:rsidRDefault="00932283" w:rsidP="008C4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932283" w:rsidRPr="00595916" w:rsidRDefault="00932283" w:rsidP="008C4CE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2283" w:rsidRPr="00595916" w:rsidRDefault="00932283" w:rsidP="008C4CE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</w:tr>
      <w:tr w:rsidR="00113092" w:rsidRPr="00595916" w:rsidTr="00781AEE">
        <w:trPr>
          <w:cantSplit/>
          <w:trHeight w:val="17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3092" w:rsidRPr="00595916" w:rsidRDefault="001E73E4" w:rsidP="0011309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1.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Pripremanje pojedinačnih akata o ostvarivanju prava iz radnih i službeničkih odnosa u propisanom roku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Operativni</w:t>
            </w:r>
          </w:p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Zakonodavni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540" w:type="dxa"/>
            <w:textDirection w:val="btLr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155" w:type="dxa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 xml:space="preserve">Zakon o državnim službenicima i namještenicima </w:t>
            </w:r>
          </w:p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Zakon o upravnom postupku</w:t>
            </w:r>
          </w:p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Zakon o zaradama zaposlenih u javnom sektoru</w:t>
            </w:r>
          </w:p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Zakon o radu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Svakodnevno upoznavanje sa propisima iz ove oblasti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 w:themeColor="text1"/>
                <w:sz w:val="22"/>
              </w:rPr>
              <w:t xml:space="preserve">Sekretar </w:t>
            </w:r>
            <w:r w:rsidR="00217E10">
              <w:rPr>
                <w:rFonts w:ascii="Arial" w:hAnsi="Arial" w:cs="Arial"/>
                <w:color w:val="000000"/>
                <w:sz w:val="22"/>
              </w:rPr>
              <w:t>Načelnik</w:t>
            </w:r>
            <w:r w:rsidRPr="00595916">
              <w:rPr>
                <w:rFonts w:ascii="Arial" w:hAnsi="Arial" w:cs="Arial"/>
                <w:color w:val="000000"/>
                <w:sz w:val="22"/>
              </w:rPr>
              <w:t xml:space="preserve"> Službe</w:t>
            </w:r>
          </w:p>
          <w:p w:rsidR="00113092" w:rsidRPr="00595916" w:rsidRDefault="00113092" w:rsidP="0011309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Službenici u Službi zaduženi za ove poslove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092" w:rsidRPr="00595916" w:rsidRDefault="0019683A" w:rsidP="001130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Kontinuirano</w:t>
            </w:r>
          </w:p>
        </w:tc>
      </w:tr>
      <w:tr w:rsidR="00113092" w:rsidRPr="00595916" w:rsidTr="00781AEE">
        <w:trPr>
          <w:cantSplit/>
          <w:trHeight w:val="17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3092" w:rsidRPr="00595916" w:rsidRDefault="0019683A" w:rsidP="0011309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2</w:t>
            </w:r>
            <w:r w:rsidR="001E73E4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Neobjavljivanje na internet stranici informacija u skladu sa zakonom</w:t>
            </w:r>
          </w:p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Informacije i komunikacije</w:t>
            </w:r>
          </w:p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Operativni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540" w:type="dxa"/>
            <w:textDirection w:val="btLr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155" w:type="dxa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Zakon o slobodnom pristupu informacijama</w:t>
            </w:r>
          </w:p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ab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 xml:space="preserve">Svakodnevno objavljivanje informacija na internet stranici </w:t>
            </w:r>
          </w:p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Ovlašćeno lice za slobodan pristup informacijama</w:t>
            </w:r>
          </w:p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3092" w:rsidRPr="00595916" w:rsidRDefault="0019683A" w:rsidP="001130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Kontinuirano</w:t>
            </w:r>
            <w:r w:rsidR="00113092" w:rsidRPr="00595916">
              <w:rPr>
                <w:rFonts w:ascii="Arial" w:eastAsia="Times New Roman" w:hAnsi="Arial" w:cs="Arial"/>
                <w:sz w:val="22"/>
              </w:rPr>
              <w:t xml:space="preserve">  </w:t>
            </w:r>
          </w:p>
        </w:tc>
      </w:tr>
      <w:tr w:rsidR="00113092" w:rsidRPr="00595916" w:rsidTr="00781AEE">
        <w:trPr>
          <w:cantSplit/>
          <w:trHeight w:val="17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3092" w:rsidRPr="00595916" w:rsidRDefault="0019683A" w:rsidP="0011309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lastRenderedPageBreak/>
              <w:t>3</w:t>
            </w:r>
            <w:r w:rsidR="001E73E4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 xml:space="preserve">Neblagovremeno </w:t>
            </w:r>
            <w:r w:rsidR="004857B9">
              <w:rPr>
                <w:rFonts w:ascii="Arial" w:hAnsi="Arial" w:cs="Arial"/>
                <w:color w:val="000000"/>
                <w:sz w:val="22"/>
              </w:rPr>
              <w:t>davanja</w:t>
            </w:r>
            <w:r w:rsidRPr="00595916">
              <w:rPr>
                <w:rFonts w:ascii="Arial" w:hAnsi="Arial" w:cs="Arial"/>
                <w:color w:val="000000"/>
                <w:sz w:val="22"/>
              </w:rPr>
              <w:t xml:space="preserve"> informacija</w:t>
            </w:r>
            <w:r w:rsidR="004857B9">
              <w:rPr>
                <w:rFonts w:ascii="Arial" w:hAnsi="Arial" w:cs="Arial"/>
                <w:color w:val="000000"/>
                <w:sz w:val="22"/>
              </w:rPr>
              <w:t xml:space="preserve"> na nivou Ministarstva službeniku ovlašćenom za slobodan pristup informacijama</w:t>
            </w:r>
            <w:r w:rsidRPr="00595916">
              <w:rPr>
                <w:rFonts w:ascii="Arial" w:hAnsi="Arial" w:cs="Arial"/>
                <w:color w:val="000000"/>
                <w:sz w:val="22"/>
              </w:rPr>
              <w:t xml:space="preserve"> po zahtjevima za slobodan pristup informacijama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Informacije i komunikacije</w:t>
            </w:r>
          </w:p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Operativni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540" w:type="dxa"/>
            <w:textDirection w:val="btLr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155" w:type="dxa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Zakon o slobodnom pristupu informacijama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Blagovremeno i pravilno omogućavanje pristupu informacijama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13092" w:rsidRPr="00595916" w:rsidRDefault="00113092" w:rsidP="001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Ovlašćeno lice za slobodan pristup informacijama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092" w:rsidRPr="00595916" w:rsidRDefault="0019683A" w:rsidP="001130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Kontinuirano</w:t>
            </w:r>
            <w:r w:rsidR="00113092" w:rsidRPr="00595916">
              <w:rPr>
                <w:rFonts w:ascii="Arial" w:eastAsia="Times New Roman" w:hAnsi="Arial" w:cs="Arial"/>
                <w:sz w:val="22"/>
              </w:rPr>
              <w:t xml:space="preserve">  </w:t>
            </w:r>
          </w:p>
        </w:tc>
      </w:tr>
      <w:tr w:rsidR="00A9724E" w:rsidRPr="00595916" w:rsidTr="00781AEE">
        <w:trPr>
          <w:cantSplit/>
          <w:trHeight w:val="17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724E" w:rsidRPr="00595916" w:rsidRDefault="0019683A" w:rsidP="00C130D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4</w:t>
            </w:r>
            <w:r w:rsidR="00A9724E" w:rsidRPr="00595916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A9724E" w:rsidRPr="00595916" w:rsidRDefault="00A9724E" w:rsidP="00A9724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595916">
              <w:rPr>
                <w:rFonts w:ascii="Arial" w:hAnsi="Arial" w:cs="Arial"/>
                <w:color w:val="000000"/>
                <w:sz w:val="22"/>
              </w:rPr>
              <w:t>Kašnjenje u pripremi budžeta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9724E" w:rsidRPr="00595916" w:rsidRDefault="00A9724E" w:rsidP="00A9724E">
            <w:pPr>
              <w:autoSpaceDE w:val="0"/>
              <w:autoSpaceDN w:val="0"/>
              <w:adjustRightInd w:val="0"/>
              <w:spacing w:after="0" w:line="240" w:lineRule="atLeast"/>
              <w:ind w:left="-82"/>
              <w:jc w:val="center"/>
              <w:rPr>
                <w:rFonts w:ascii="Arial" w:hAnsi="Arial" w:cs="Arial"/>
                <w:sz w:val="22"/>
              </w:rPr>
            </w:pPr>
            <w:r w:rsidRPr="00595916">
              <w:rPr>
                <w:rFonts w:ascii="Arial" w:hAnsi="Arial" w:cs="Arial"/>
                <w:sz w:val="22"/>
              </w:rPr>
              <w:t>Operativn i/ Finansijski/ Informacije i komunikacije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4E" w:rsidRPr="00595916" w:rsidRDefault="00A9724E" w:rsidP="00A9724E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pacing w:val="-4"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pacing w:val="-4"/>
                <w:sz w:val="2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4E" w:rsidRPr="00595916" w:rsidRDefault="00A9724E" w:rsidP="00A9724E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pacing w:val="-6"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pacing w:val="-6"/>
                <w:sz w:val="22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4E" w:rsidRPr="00595916" w:rsidRDefault="00A9724E" w:rsidP="00A9724E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pacing w:val="-6"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pacing w:val="-6"/>
                <w:sz w:val="22"/>
              </w:rPr>
              <w:t>15</w:t>
            </w:r>
          </w:p>
        </w:tc>
        <w:tc>
          <w:tcPr>
            <w:tcW w:w="540" w:type="dxa"/>
            <w:textDirection w:val="btLr"/>
            <w:vAlign w:val="center"/>
          </w:tcPr>
          <w:p w:rsidR="00A9724E" w:rsidRPr="00595916" w:rsidRDefault="00A9724E" w:rsidP="00A972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5" w:type="dxa"/>
            <w:vAlign w:val="center"/>
          </w:tcPr>
          <w:p w:rsidR="00A9724E" w:rsidRPr="00595916" w:rsidRDefault="00A9724E" w:rsidP="00A9724E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595916">
              <w:rPr>
                <w:rFonts w:ascii="Arial" w:hAnsi="Arial" w:cs="Arial"/>
                <w:sz w:val="22"/>
              </w:rPr>
              <w:t>Zakon o budžetu i fiskalnoj odgovornosti</w:t>
            </w:r>
          </w:p>
          <w:p w:rsidR="00A9724E" w:rsidRPr="00595916" w:rsidRDefault="00A9724E" w:rsidP="00A9724E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595916">
              <w:rPr>
                <w:rFonts w:ascii="Arial" w:hAnsi="Arial" w:cs="Arial"/>
                <w:sz w:val="22"/>
              </w:rPr>
              <w:t>Smjernice Ministarstva finansija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9724E" w:rsidRPr="00595916" w:rsidRDefault="00A9724E" w:rsidP="00A9724E">
            <w:pPr>
              <w:tabs>
                <w:tab w:val="left" w:pos="1251"/>
              </w:tabs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Kontinuirano upoznavanje zaposlenih sa propisima</w:t>
            </w:r>
          </w:p>
          <w:p w:rsidR="00A9724E" w:rsidRPr="00595916" w:rsidRDefault="00A9724E" w:rsidP="00A9724E">
            <w:pPr>
              <w:tabs>
                <w:tab w:val="left" w:pos="1251"/>
              </w:tabs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Blagovremena komunikacija između organizacionih jedinica</w:t>
            </w:r>
          </w:p>
          <w:p w:rsidR="00A9724E" w:rsidRPr="00595916" w:rsidRDefault="00A9724E" w:rsidP="00A9724E">
            <w:pPr>
              <w:tabs>
                <w:tab w:val="left" w:pos="1251"/>
              </w:tabs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Poštovanje propisanih limita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17E10" w:rsidRDefault="00217E10" w:rsidP="00217E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Sekretar</w:t>
            </w:r>
            <w:r w:rsidR="00A9724E" w:rsidRPr="00595916">
              <w:rPr>
                <w:rFonts w:ascii="Arial" w:eastAsia="Times New Roman" w:hAnsi="Arial" w:cs="Arial"/>
                <w:bCs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2"/>
              </w:rPr>
              <w:t>Ministarstva</w:t>
            </w:r>
          </w:p>
          <w:p w:rsidR="00A9724E" w:rsidRPr="00595916" w:rsidRDefault="00217E10" w:rsidP="00217E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Šef Kancelarije za finansijsko računovodstvene poslove</w:t>
            </w:r>
            <w:r w:rsidR="00A9724E" w:rsidRPr="00595916">
              <w:rPr>
                <w:rFonts w:ascii="Arial" w:eastAsia="Times New Roman" w:hAnsi="Arial" w:cs="Arial"/>
                <w:bCs/>
                <w:sz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24E" w:rsidRPr="00595916" w:rsidRDefault="0019683A" w:rsidP="00A9724E">
            <w:pPr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Kontinuirano</w:t>
            </w:r>
            <w:r w:rsidR="00113092" w:rsidRPr="00595916">
              <w:rPr>
                <w:rFonts w:ascii="Arial" w:eastAsia="Times New Roman" w:hAnsi="Arial" w:cs="Arial"/>
                <w:sz w:val="22"/>
              </w:rPr>
              <w:t xml:space="preserve">  </w:t>
            </w:r>
          </w:p>
        </w:tc>
      </w:tr>
      <w:tr w:rsidR="00113092" w:rsidRPr="00595916" w:rsidTr="00781AEE">
        <w:trPr>
          <w:cantSplit/>
          <w:trHeight w:val="17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3092" w:rsidRPr="00595916" w:rsidRDefault="0019683A" w:rsidP="0011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lastRenderedPageBreak/>
              <w:t>5</w:t>
            </w:r>
            <w:r w:rsidR="001E73E4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</w:tc>
        <w:tc>
          <w:tcPr>
            <w:tcW w:w="2318" w:type="dxa"/>
            <w:shd w:val="clear" w:color="auto" w:fill="auto"/>
          </w:tcPr>
          <w:p w:rsidR="00113092" w:rsidRPr="00595916" w:rsidRDefault="00113092" w:rsidP="00113092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Pogrešno    obračunati</w:t>
            </w:r>
          </w:p>
          <w:p w:rsidR="00113092" w:rsidRPr="00595916" w:rsidRDefault="00113092" w:rsidP="00113092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troškovi za službena putovanja u zemlji i inostranstvu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ab/>
              <w:t xml:space="preserve">usljed nedovoljnog poznavanja procesa i propisa iz obračuna dnevnica i troškova zaposlenih u </w:t>
            </w:r>
            <w:r w:rsidR="000F7D06">
              <w:rPr>
                <w:rFonts w:ascii="Arial" w:eastAsia="Times New Roman" w:hAnsi="Arial" w:cs="Arial"/>
                <w:bCs/>
                <w:sz w:val="22"/>
              </w:rPr>
              <w:t>j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>avnom sektoru</w:t>
            </w:r>
          </w:p>
        </w:tc>
        <w:tc>
          <w:tcPr>
            <w:tcW w:w="1529" w:type="dxa"/>
            <w:shd w:val="clear" w:color="auto" w:fill="auto"/>
          </w:tcPr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Finansijski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8</w:t>
            </w:r>
          </w:p>
        </w:tc>
        <w:tc>
          <w:tcPr>
            <w:tcW w:w="540" w:type="dxa"/>
            <w:textDirection w:val="btLr"/>
            <w:vAlign w:val="center"/>
          </w:tcPr>
          <w:p w:rsidR="00113092" w:rsidRPr="00595916" w:rsidRDefault="00113092" w:rsidP="00113092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3155" w:type="dxa"/>
          </w:tcPr>
          <w:p w:rsidR="00113092" w:rsidRPr="00595916" w:rsidRDefault="00113092" w:rsidP="00113092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595916">
              <w:rPr>
                <w:rFonts w:ascii="Arial" w:hAnsi="Arial" w:cs="Arial"/>
                <w:sz w:val="22"/>
              </w:rPr>
              <w:t>Uredba o naknadi troškova zaposlenih u javnom sektoru</w:t>
            </w:r>
          </w:p>
          <w:p w:rsidR="00113092" w:rsidRPr="00595916" w:rsidRDefault="00113092" w:rsidP="00113092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="00113092" w:rsidRPr="00595916" w:rsidRDefault="00AE49A2" w:rsidP="00113092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504FD">
              <w:rPr>
                <w:rFonts w:ascii="Arial" w:hAnsi="Arial" w:cs="Arial"/>
                <w:sz w:val="22"/>
              </w:rPr>
              <w:t>Interno pravilo</w:t>
            </w:r>
            <w:r w:rsidR="001504FD" w:rsidRPr="001504FD">
              <w:rPr>
                <w:rFonts w:ascii="Arial" w:hAnsi="Arial" w:cs="Arial"/>
                <w:sz w:val="22"/>
              </w:rPr>
              <w:t xml:space="preserve"> o uslovima </w:t>
            </w:r>
            <w:r w:rsidR="001504FD">
              <w:rPr>
                <w:rFonts w:ascii="Arial" w:hAnsi="Arial" w:cs="Arial"/>
                <w:sz w:val="22"/>
              </w:rPr>
              <w:t>i</w:t>
            </w:r>
            <w:r w:rsidR="001504FD" w:rsidRPr="001504FD">
              <w:rPr>
                <w:rFonts w:ascii="Arial" w:hAnsi="Arial" w:cs="Arial"/>
                <w:sz w:val="22"/>
              </w:rPr>
              <w:t xml:space="preserve"> načinu odobrenja službenih putovanja u zemlji </w:t>
            </w:r>
            <w:r w:rsidR="001504FD">
              <w:rPr>
                <w:rFonts w:ascii="Arial" w:hAnsi="Arial" w:cs="Arial"/>
                <w:sz w:val="22"/>
              </w:rPr>
              <w:t>i</w:t>
            </w:r>
            <w:r w:rsidR="001504FD" w:rsidRPr="001504FD">
              <w:rPr>
                <w:rFonts w:ascii="Arial" w:hAnsi="Arial" w:cs="Arial"/>
                <w:sz w:val="22"/>
              </w:rPr>
              <w:t xml:space="preserve"> inostranstvu </w:t>
            </w:r>
            <w:r w:rsidR="000F7D06">
              <w:rPr>
                <w:rFonts w:ascii="Arial" w:hAnsi="Arial" w:cs="Arial"/>
                <w:sz w:val="22"/>
              </w:rPr>
              <w:t>i</w:t>
            </w:r>
            <w:r w:rsidR="001504FD" w:rsidRPr="001504FD">
              <w:rPr>
                <w:rFonts w:ascii="Arial" w:hAnsi="Arial" w:cs="Arial"/>
                <w:sz w:val="22"/>
              </w:rPr>
              <w:t xml:space="preserve"> uplati sredstava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3092" w:rsidRPr="00595916" w:rsidRDefault="00113092" w:rsidP="00113092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Redovno pra</w:t>
            </w:r>
            <w:r w:rsidR="00AE49A2">
              <w:rPr>
                <w:rFonts w:ascii="Arial" w:eastAsia="Times New Roman" w:hAnsi="Arial" w:cs="Arial"/>
                <w:bCs/>
                <w:sz w:val="22"/>
              </w:rPr>
              <w:t>ć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>enje propisa iz ove oblasti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13092" w:rsidRPr="00595916" w:rsidRDefault="00217E10" w:rsidP="0011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Šef Kancelarije za finansijsko računovodstvene poslove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 </w:t>
            </w:r>
          </w:p>
          <w:p w:rsidR="00113092" w:rsidRPr="00595916" w:rsidRDefault="00113092" w:rsidP="0011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Samostalni referent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092" w:rsidRPr="00595916" w:rsidRDefault="00AE49A2" w:rsidP="001130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Kontinuirano</w:t>
            </w:r>
            <w:r w:rsidR="00113092" w:rsidRPr="00595916">
              <w:rPr>
                <w:rFonts w:ascii="Arial" w:eastAsia="Times New Roman" w:hAnsi="Arial" w:cs="Arial"/>
                <w:sz w:val="22"/>
              </w:rPr>
              <w:t xml:space="preserve">  </w:t>
            </w:r>
          </w:p>
        </w:tc>
      </w:tr>
      <w:tr w:rsidR="00113092" w:rsidRPr="00595916" w:rsidTr="00781AEE">
        <w:trPr>
          <w:cantSplit/>
          <w:trHeight w:val="17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3092" w:rsidRPr="00595916" w:rsidRDefault="00AE49A2" w:rsidP="0011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6</w:t>
            </w:r>
            <w:r w:rsidR="001E73E4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</w:tc>
        <w:tc>
          <w:tcPr>
            <w:tcW w:w="2318" w:type="dxa"/>
            <w:shd w:val="clear" w:color="auto" w:fill="auto"/>
          </w:tcPr>
          <w:p w:rsidR="00113092" w:rsidRPr="00595916" w:rsidRDefault="00113092" w:rsidP="00113092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</w:p>
          <w:p w:rsidR="00113092" w:rsidRPr="00595916" w:rsidRDefault="00113092" w:rsidP="00113092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Nenamjensko trošenje budžetskih sredstva</w:t>
            </w:r>
          </w:p>
        </w:tc>
        <w:tc>
          <w:tcPr>
            <w:tcW w:w="1529" w:type="dxa"/>
            <w:shd w:val="clear" w:color="auto" w:fill="auto"/>
          </w:tcPr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Finansijski </w:t>
            </w:r>
          </w:p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Operativni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12</w:t>
            </w:r>
          </w:p>
        </w:tc>
        <w:tc>
          <w:tcPr>
            <w:tcW w:w="540" w:type="dxa"/>
            <w:textDirection w:val="btLr"/>
            <w:vAlign w:val="center"/>
          </w:tcPr>
          <w:p w:rsidR="00113092" w:rsidRPr="00595916" w:rsidRDefault="00113092" w:rsidP="00113092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3155" w:type="dxa"/>
          </w:tcPr>
          <w:p w:rsidR="00113092" w:rsidRPr="00595916" w:rsidRDefault="00113092" w:rsidP="00113092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595916">
              <w:rPr>
                <w:rFonts w:ascii="Arial" w:hAnsi="Arial" w:cs="Arial"/>
                <w:sz w:val="22"/>
              </w:rPr>
              <w:t>Uputstvo o radu državnog trezora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13092" w:rsidRPr="00595916" w:rsidRDefault="00113092" w:rsidP="00AE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AE49A2">
              <w:rPr>
                <w:rFonts w:ascii="Arial" w:eastAsia="Times New Roman" w:hAnsi="Arial" w:cs="Arial"/>
                <w:bCs/>
                <w:sz w:val="22"/>
              </w:rPr>
              <w:t xml:space="preserve">Kontrola šefa </w:t>
            </w:r>
            <w:r w:rsidR="00AE49A2">
              <w:rPr>
                <w:rFonts w:ascii="Arial" w:eastAsia="Times New Roman" w:hAnsi="Arial" w:cs="Arial"/>
                <w:bCs/>
                <w:sz w:val="22"/>
              </w:rPr>
              <w:t xml:space="preserve">Kancelarije za finansijsko računovodstvene poslove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13092" w:rsidRPr="00595916" w:rsidRDefault="00217E10" w:rsidP="0011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 xml:space="preserve">Šef Kancelarije za finansijsko računovodstvene poslove </w:t>
            </w:r>
          </w:p>
          <w:p w:rsidR="00113092" w:rsidRPr="00595916" w:rsidRDefault="00217E10" w:rsidP="0011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Službenici za ovje</w:t>
            </w:r>
            <w:r w:rsidR="00AE49A2">
              <w:rPr>
                <w:rFonts w:ascii="Arial" w:eastAsia="Times New Roman" w:hAnsi="Arial" w:cs="Arial"/>
                <w:bCs/>
                <w:sz w:val="22"/>
              </w:rPr>
              <w:t>r</w:t>
            </w:r>
            <w:r>
              <w:rPr>
                <w:rFonts w:ascii="Arial" w:eastAsia="Times New Roman" w:hAnsi="Arial" w:cs="Arial"/>
                <w:bCs/>
                <w:sz w:val="22"/>
              </w:rPr>
              <w:t>avanje i</w:t>
            </w:r>
            <w:r w:rsidR="00113092" w:rsidRPr="00595916">
              <w:rPr>
                <w:rFonts w:ascii="Arial" w:eastAsia="Times New Roman" w:hAnsi="Arial" w:cs="Arial"/>
                <w:bCs/>
                <w:sz w:val="22"/>
              </w:rPr>
              <w:t xml:space="preserve"> odobravanje plaćanja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092" w:rsidRPr="00595916" w:rsidRDefault="00AE49A2" w:rsidP="001130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Kontinuirano</w:t>
            </w:r>
            <w:r w:rsidR="00113092" w:rsidRPr="00595916">
              <w:rPr>
                <w:rFonts w:ascii="Arial" w:eastAsia="Times New Roman" w:hAnsi="Arial" w:cs="Arial"/>
                <w:sz w:val="22"/>
              </w:rPr>
              <w:t xml:space="preserve">  </w:t>
            </w:r>
          </w:p>
        </w:tc>
      </w:tr>
      <w:tr w:rsidR="00113092" w:rsidRPr="00595916" w:rsidTr="00781AEE">
        <w:trPr>
          <w:cantSplit/>
          <w:trHeight w:val="17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13092" w:rsidRPr="00595916" w:rsidRDefault="009D3D69" w:rsidP="0011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lastRenderedPageBreak/>
              <w:t>7.</w:t>
            </w:r>
          </w:p>
        </w:tc>
        <w:tc>
          <w:tcPr>
            <w:tcW w:w="2318" w:type="dxa"/>
            <w:shd w:val="clear" w:color="auto" w:fill="auto"/>
          </w:tcPr>
          <w:p w:rsidR="00113092" w:rsidRPr="00595916" w:rsidRDefault="00113092" w:rsidP="00113092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Greške prilikom plaćanja faktura (ista faktura dva puta plaćena)</w:t>
            </w:r>
          </w:p>
        </w:tc>
        <w:tc>
          <w:tcPr>
            <w:tcW w:w="1529" w:type="dxa"/>
            <w:shd w:val="clear" w:color="auto" w:fill="auto"/>
          </w:tcPr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Finan</w:t>
            </w:r>
            <w:r w:rsidR="001504FD">
              <w:rPr>
                <w:rFonts w:ascii="Arial" w:eastAsia="Times New Roman" w:hAnsi="Arial" w:cs="Arial"/>
                <w:bCs/>
                <w:sz w:val="22"/>
              </w:rPr>
              <w:t>s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ijski </w:t>
            </w:r>
          </w:p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Operativni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092" w:rsidRPr="00595916" w:rsidRDefault="00113092" w:rsidP="00113092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8</w:t>
            </w:r>
          </w:p>
        </w:tc>
        <w:tc>
          <w:tcPr>
            <w:tcW w:w="540" w:type="dxa"/>
            <w:textDirection w:val="btLr"/>
            <w:vAlign w:val="center"/>
          </w:tcPr>
          <w:p w:rsidR="00113092" w:rsidRPr="00595916" w:rsidRDefault="00113092" w:rsidP="00113092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3155" w:type="dxa"/>
          </w:tcPr>
          <w:p w:rsidR="00113092" w:rsidRPr="00595916" w:rsidRDefault="00113092" w:rsidP="001504FD">
            <w:pPr>
              <w:pStyle w:val="2zakon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5916">
              <w:rPr>
                <w:rFonts w:ascii="Arial" w:hAnsi="Arial" w:cs="Arial"/>
                <w:sz w:val="22"/>
                <w:szCs w:val="22"/>
              </w:rPr>
              <w:t xml:space="preserve">Interno </w:t>
            </w:r>
            <w:r w:rsidR="001504FD">
              <w:rPr>
                <w:rFonts w:ascii="Arial" w:hAnsi="Arial" w:cs="Arial"/>
                <w:sz w:val="22"/>
                <w:szCs w:val="22"/>
              </w:rPr>
              <w:t xml:space="preserve">pravilo o načinu evidentiranja </w:t>
            </w:r>
            <w:r w:rsidR="000F7D06">
              <w:rPr>
                <w:rFonts w:ascii="Arial" w:hAnsi="Arial" w:cs="Arial"/>
                <w:sz w:val="22"/>
                <w:szCs w:val="22"/>
              </w:rPr>
              <w:t>i</w:t>
            </w:r>
            <w:r w:rsidR="001504FD">
              <w:rPr>
                <w:rFonts w:ascii="Arial" w:hAnsi="Arial" w:cs="Arial"/>
                <w:sz w:val="22"/>
                <w:szCs w:val="22"/>
              </w:rPr>
              <w:t xml:space="preserve"> plaćanja ulaznih faktura</w:t>
            </w:r>
          </w:p>
          <w:p w:rsidR="00113092" w:rsidRPr="00595916" w:rsidRDefault="00113092" w:rsidP="00113092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13092" w:rsidRPr="00595916" w:rsidRDefault="00113092" w:rsidP="0011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Kontrola šefa </w:t>
            </w:r>
            <w:r w:rsidR="001504FD">
              <w:rPr>
                <w:rFonts w:ascii="Arial" w:eastAsia="Times New Roman" w:hAnsi="Arial" w:cs="Arial"/>
                <w:bCs/>
                <w:sz w:val="22"/>
              </w:rPr>
              <w:t>Kancelarije za finansijsko računovodstvene poslovei javne nabavke</w:t>
            </w:r>
          </w:p>
          <w:p w:rsidR="00113092" w:rsidRPr="00595916" w:rsidRDefault="00113092" w:rsidP="00113092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Samostalni referent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13092" w:rsidRPr="00595916" w:rsidRDefault="00217E10" w:rsidP="0011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Šef Kancelarije za finansijsko računovodstvene poslove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 </w:t>
            </w:r>
          </w:p>
          <w:p w:rsidR="00113092" w:rsidRPr="00595916" w:rsidRDefault="00113092" w:rsidP="0011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Samostalni referent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092" w:rsidRPr="00595916" w:rsidRDefault="00781AEE" w:rsidP="001130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Kontinuirano</w:t>
            </w:r>
            <w:r w:rsidR="00113092" w:rsidRPr="00595916">
              <w:rPr>
                <w:rFonts w:ascii="Arial" w:eastAsia="Times New Roman" w:hAnsi="Arial" w:cs="Arial"/>
                <w:sz w:val="22"/>
              </w:rPr>
              <w:t xml:space="preserve">  </w:t>
            </w:r>
          </w:p>
        </w:tc>
      </w:tr>
      <w:tr w:rsidR="00C130DD" w:rsidRPr="00595916" w:rsidTr="00781AEE">
        <w:trPr>
          <w:cantSplit/>
          <w:trHeight w:val="17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130DD" w:rsidRPr="00595916" w:rsidRDefault="001504FD" w:rsidP="00C130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8</w:t>
            </w:r>
            <w:r w:rsidR="001E73E4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</w:tc>
        <w:tc>
          <w:tcPr>
            <w:tcW w:w="2318" w:type="dxa"/>
            <w:shd w:val="clear" w:color="auto" w:fill="auto"/>
          </w:tcPr>
          <w:p w:rsidR="00C130DD" w:rsidRPr="00595916" w:rsidRDefault="00F37493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Neusaglašene evidencije rashoda i netačno iskazane neizmirene obaveze</w:t>
            </w:r>
          </w:p>
        </w:tc>
        <w:tc>
          <w:tcPr>
            <w:tcW w:w="1529" w:type="dxa"/>
            <w:shd w:val="clear" w:color="auto" w:fill="auto"/>
          </w:tcPr>
          <w:p w:rsidR="00C130DD" w:rsidRPr="00595916" w:rsidRDefault="00F37493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Finan</w:t>
            </w:r>
            <w:r w:rsidR="00781AEE">
              <w:rPr>
                <w:rFonts w:ascii="Arial" w:eastAsia="Times New Roman" w:hAnsi="Arial" w:cs="Arial"/>
                <w:bCs/>
                <w:sz w:val="22"/>
              </w:rPr>
              <w:t>s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ijski operativni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DD" w:rsidRPr="00595916" w:rsidRDefault="00F37493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DD" w:rsidRPr="00595916" w:rsidRDefault="00F37493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0DD" w:rsidRPr="00595916" w:rsidRDefault="00F37493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15</w:t>
            </w:r>
          </w:p>
        </w:tc>
        <w:tc>
          <w:tcPr>
            <w:tcW w:w="540" w:type="dxa"/>
            <w:textDirection w:val="btLr"/>
            <w:vAlign w:val="center"/>
          </w:tcPr>
          <w:p w:rsidR="00C130DD" w:rsidRPr="00595916" w:rsidRDefault="00C130DD" w:rsidP="00A972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3155" w:type="dxa"/>
          </w:tcPr>
          <w:p w:rsidR="00C130DD" w:rsidRPr="00595916" w:rsidRDefault="00F37493" w:rsidP="00A9724E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595916">
              <w:rPr>
                <w:rFonts w:ascii="Arial" w:hAnsi="Arial" w:cs="Arial"/>
                <w:sz w:val="22"/>
              </w:rPr>
              <w:t xml:space="preserve">Kontrola rashoda </w:t>
            </w:r>
            <w:r w:rsidR="001504FD">
              <w:rPr>
                <w:rFonts w:ascii="Arial" w:hAnsi="Arial" w:cs="Arial"/>
                <w:sz w:val="22"/>
              </w:rPr>
              <w:t>i</w:t>
            </w:r>
            <w:r w:rsidRPr="00595916">
              <w:rPr>
                <w:rFonts w:ascii="Arial" w:hAnsi="Arial" w:cs="Arial"/>
                <w:sz w:val="22"/>
              </w:rPr>
              <w:t xml:space="preserve"> podataka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130DD" w:rsidRPr="00595916" w:rsidRDefault="00F37493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Blagovremeno vođenje evidencije, kontrola podataka </w:t>
            </w:r>
          </w:p>
          <w:p w:rsidR="00F37493" w:rsidRPr="00595916" w:rsidRDefault="00F37493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C130DD" w:rsidRPr="00595916" w:rsidRDefault="00217E10" w:rsidP="00A972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 xml:space="preserve">Šef Kancelarije za finansijsko računovodstvene poslove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0DD" w:rsidRPr="00595916" w:rsidRDefault="004D2EB7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Kontinuirano</w:t>
            </w:r>
          </w:p>
        </w:tc>
      </w:tr>
      <w:tr w:rsidR="00F37493" w:rsidRPr="00595916" w:rsidTr="00781AEE">
        <w:trPr>
          <w:cantSplit/>
          <w:trHeight w:val="17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37493" w:rsidRPr="00595916" w:rsidRDefault="001504FD" w:rsidP="00C130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9</w:t>
            </w:r>
            <w:r w:rsidR="001E73E4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</w:tc>
        <w:tc>
          <w:tcPr>
            <w:tcW w:w="2318" w:type="dxa"/>
            <w:shd w:val="clear" w:color="auto" w:fill="auto"/>
          </w:tcPr>
          <w:p w:rsidR="00F37493" w:rsidRPr="00595916" w:rsidRDefault="00F37493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Neblagovremeno podnošenje godišnjih </w:t>
            </w:r>
            <w:r w:rsidR="001504FD">
              <w:rPr>
                <w:rFonts w:ascii="Arial" w:eastAsia="Times New Roman" w:hAnsi="Arial" w:cs="Arial"/>
                <w:bCs/>
                <w:sz w:val="22"/>
              </w:rPr>
              <w:t>i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 kvartalnih finan</w:t>
            </w:r>
            <w:r w:rsidR="0043577C" w:rsidRPr="00595916">
              <w:rPr>
                <w:rFonts w:ascii="Arial" w:eastAsia="Times New Roman" w:hAnsi="Arial" w:cs="Arial"/>
                <w:bCs/>
                <w:sz w:val="22"/>
              </w:rPr>
              <w:t>s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>ijskih Izvještaja</w:t>
            </w:r>
          </w:p>
        </w:tc>
        <w:tc>
          <w:tcPr>
            <w:tcW w:w="1529" w:type="dxa"/>
            <w:shd w:val="clear" w:color="auto" w:fill="auto"/>
          </w:tcPr>
          <w:p w:rsidR="00F37493" w:rsidRPr="00595916" w:rsidRDefault="00F37493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Operativni </w:t>
            </w:r>
          </w:p>
          <w:p w:rsidR="00F37493" w:rsidRPr="00595916" w:rsidRDefault="00F37493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93" w:rsidRPr="00595916" w:rsidRDefault="00F37493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93" w:rsidRPr="00595916" w:rsidRDefault="00F37493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7493" w:rsidRPr="00595916" w:rsidRDefault="0043577C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10</w:t>
            </w:r>
          </w:p>
        </w:tc>
        <w:tc>
          <w:tcPr>
            <w:tcW w:w="540" w:type="dxa"/>
            <w:textDirection w:val="btLr"/>
            <w:vAlign w:val="center"/>
          </w:tcPr>
          <w:p w:rsidR="00F37493" w:rsidRPr="00595916" w:rsidRDefault="00F37493" w:rsidP="00A972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3155" w:type="dxa"/>
          </w:tcPr>
          <w:p w:rsidR="00F37493" w:rsidRPr="00595916" w:rsidRDefault="001504FD" w:rsidP="00A9724E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Interno pravilo o vrsti i načinu sačinjavanja i dostavljanja finansijskih izvještaja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37493" w:rsidRPr="00595916" w:rsidRDefault="0043577C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Blagovremeno preduzimanje propisanih procedura I radnji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F37493" w:rsidRPr="00595916" w:rsidRDefault="00217E10" w:rsidP="00A972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 xml:space="preserve">Šef Kancelarije za finansijsko računovodstvene poslove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7493" w:rsidRPr="00595916" w:rsidRDefault="0043577C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Godišnji izvješaj do 28.02. tekuće za prethodnu godinu, ostali kvartalno</w:t>
            </w:r>
          </w:p>
        </w:tc>
      </w:tr>
      <w:tr w:rsidR="0043577C" w:rsidRPr="00595916" w:rsidTr="00781AEE">
        <w:trPr>
          <w:cantSplit/>
          <w:trHeight w:val="17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3577C" w:rsidRPr="00595916" w:rsidRDefault="00217E10" w:rsidP="00C130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lastRenderedPageBreak/>
              <w:t>1</w:t>
            </w:r>
            <w:r w:rsidR="001504FD">
              <w:rPr>
                <w:rFonts w:ascii="Arial" w:eastAsia="Times New Roman" w:hAnsi="Arial" w:cs="Arial"/>
                <w:bCs/>
                <w:sz w:val="22"/>
              </w:rPr>
              <w:t>0</w:t>
            </w:r>
            <w:r w:rsidR="001E73E4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</w:tc>
        <w:tc>
          <w:tcPr>
            <w:tcW w:w="2318" w:type="dxa"/>
            <w:shd w:val="clear" w:color="auto" w:fill="auto"/>
          </w:tcPr>
          <w:p w:rsidR="00D736A4" w:rsidRDefault="00D736A4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</w:p>
          <w:p w:rsidR="00D736A4" w:rsidRDefault="00D736A4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</w:p>
          <w:p w:rsidR="00FC7A8B" w:rsidRPr="00595916" w:rsidRDefault="00D736A4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Usled neažurnosti službenika može doći do k</w:t>
            </w:r>
            <w:r w:rsidR="00FC7A8B" w:rsidRPr="00595916">
              <w:rPr>
                <w:rFonts w:ascii="Arial" w:eastAsia="Times New Roman" w:hAnsi="Arial" w:cs="Arial"/>
                <w:bCs/>
                <w:sz w:val="22"/>
              </w:rPr>
              <w:t>ašnjenj</w:t>
            </w:r>
            <w:r>
              <w:rPr>
                <w:rFonts w:ascii="Arial" w:eastAsia="Times New Roman" w:hAnsi="Arial" w:cs="Arial"/>
                <w:bCs/>
                <w:sz w:val="22"/>
              </w:rPr>
              <w:t>a u</w:t>
            </w:r>
            <w:r w:rsidR="00FC7A8B" w:rsidRPr="00595916">
              <w:rPr>
                <w:rFonts w:ascii="Arial" w:eastAsia="Times New Roman" w:hAnsi="Arial" w:cs="Arial"/>
                <w:bCs/>
                <w:sz w:val="22"/>
              </w:rPr>
              <w:t xml:space="preserve"> obavljanj</w:t>
            </w:r>
            <w:r>
              <w:rPr>
                <w:rFonts w:ascii="Arial" w:eastAsia="Times New Roman" w:hAnsi="Arial" w:cs="Arial"/>
                <w:bCs/>
                <w:sz w:val="22"/>
              </w:rPr>
              <w:t>u</w:t>
            </w:r>
            <w:r w:rsidR="00FC7A8B" w:rsidRPr="00595916">
              <w:rPr>
                <w:rFonts w:ascii="Arial" w:eastAsia="Times New Roman" w:hAnsi="Arial" w:cs="Arial"/>
                <w:bCs/>
                <w:sz w:val="22"/>
              </w:rPr>
              <w:t xml:space="preserve"> </w:t>
            </w:r>
            <w:proofErr w:type="gramStart"/>
            <w:r w:rsidR="00FC7A8B" w:rsidRPr="00595916">
              <w:rPr>
                <w:rFonts w:ascii="Arial" w:eastAsia="Times New Roman" w:hAnsi="Arial" w:cs="Arial"/>
                <w:bCs/>
                <w:sz w:val="22"/>
              </w:rPr>
              <w:t>popisa  imovine</w:t>
            </w:r>
            <w:proofErr w:type="gramEnd"/>
          </w:p>
        </w:tc>
        <w:tc>
          <w:tcPr>
            <w:tcW w:w="1529" w:type="dxa"/>
            <w:shd w:val="clear" w:color="auto" w:fill="auto"/>
          </w:tcPr>
          <w:p w:rsidR="0043577C" w:rsidRPr="00595916" w:rsidRDefault="00FC7A8B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Operativni, zakonodavni finansijski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7C" w:rsidRPr="00595916" w:rsidRDefault="00FC7A8B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7C" w:rsidRPr="00595916" w:rsidRDefault="00FC7A8B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577C" w:rsidRPr="00595916" w:rsidRDefault="0083494D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8</w:t>
            </w:r>
          </w:p>
        </w:tc>
        <w:tc>
          <w:tcPr>
            <w:tcW w:w="540" w:type="dxa"/>
            <w:textDirection w:val="btLr"/>
            <w:vAlign w:val="center"/>
          </w:tcPr>
          <w:p w:rsidR="0043577C" w:rsidRPr="00595916" w:rsidRDefault="0043577C" w:rsidP="00A972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3155" w:type="dxa"/>
          </w:tcPr>
          <w:p w:rsidR="0043577C" w:rsidRPr="00595916" w:rsidRDefault="00FC7A8B" w:rsidP="00A9724E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595916">
              <w:rPr>
                <w:rFonts w:ascii="Arial" w:hAnsi="Arial" w:cs="Arial"/>
                <w:sz w:val="22"/>
              </w:rPr>
              <w:t>Zakon o imovini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3577C" w:rsidRPr="00595916" w:rsidRDefault="001504FD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Interno pravilo</w:t>
            </w:r>
            <w:r w:rsidR="00FC7A8B" w:rsidRPr="00595916">
              <w:rPr>
                <w:rFonts w:ascii="Arial" w:eastAsia="Times New Roman" w:hAnsi="Arial" w:cs="Arial"/>
                <w:bCs/>
                <w:sz w:val="22"/>
              </w:rPr>
              <w:t xml:space="preserve"> </w:t>
            </w:r>
            <w:r w:rsidR="0083494D">
              <w:rPr>
                <w:rFonts w:ascii="Arial" w:eastAsia="Times New Roman" w:hAnsi="Arial" w:cs="Arial"/>
                <w:bCs/>
                <w:sz w:val="22"/>
              </w:rPr>
              <w:t>o evidenciji i popisu državne imovine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FC7A8B" w:rsidRPr="00595916" w:rsidRDefault="00FC7A8B" w:rsidP="00FC7A8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Sekretar ministarstva </w:t>
            </w:r>
            <w:r w:rsidR="00217E10">
              <w:rPr>
                <w:rFonts w:ascii="Arial" w:eastAsia="Times New Roman" w:hAnsi="Arial" w:cs="Arial"/>
                <w:bCs/>
                <w:sz w:val="22"/>
              </w:rPr>
              <w:t>Načelnik Službe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 (u slucaju ako se ne donese rjesenje o formiranju komisije), popisna komisija </w:t>
            </w:r>
            <w:proofErr w:type="gramStart"/>
            <w:r w:rsidRPr="00595916">
              <w:rPr>
                <w:rFonts w:ascii="Arial" w:eastAsia="Times New Roman" w:hAnsi="Arial" w:cs="Arial"/>
                <w:bCs/>
                <w:sz w:val="22"/>
              </w:rPr>
              <w:t>( u</w:t>
            </w:r>
            <w:proofErr w:type="gramEnd"/>
          </w:p>
          <w:p w:rsidR="00FC7A8B" w:rsidRPr="00595916" w:rsidRDefault="00FC7A8B" w:rsidP="00FC7A8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slucaju aka ne</w:t>
            </w:r>
          </w:p>
          <w:p w:rsidR="0043577C" w:rsidRPr="00595916" w:rsidRDefault="00FC7A8B" w:rsidP="00FC7A8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izvrsi popis)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577C" w:rsidRPr="00595916" w:rsidRDefault="001504FD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Kontinuirano</w:t>
            </w:r>
            <w:r w:rsidR="00FC7A8B" w:rsidRPr="00595916">
              <w:rPr>
                <w:rFonts w:ascii="Arial" w:eastAsia="Times New Roman" w:hAnsi="Arial" w:cs="Arial"/>
                <w:bCs/>
                <w:sz w:val="22"/>
              </w:rPr>
              <w:t xml:space="preserve"> </w:t>
            </w:r>
          </w:p>
        </w:tc>
      </w:tr>
      <w:tr w:rsidR="00A9724E" w:rsidRPr="00595916" w:rsidTr="00781AEE">
        <w:trPr>
          <w:cantSplit/>
          <w:trHeight w:val="17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724E" w:rsidRPr="00595916" w:rsidRDefault="00A9724E" w:rsidP="00C130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  <w:p w:rsidR="00A9724E" w:rsidRPr="00595916" w:rsidRDefault="00217E10" w:rsidP="00C130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1</w:t>
            </w:r>
            <w:r w:rsidR="001504FD">
              <w:rPr>
                <w:rFonts w:ascii="Arial" w:eastAsia="Times New Roman" w:hAnsi="Arial" w:cs="Arial"/>
                <w:bCs/>
                <w:sz w:val="22"/>
              </w:rPr>
              <w:t>1</w:t>
            </w:r>
            <w:r w:rsidR="001E73E4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  <w:p w:rsidR="00A9724E" w:rsidRPr="00595916" w:rsidRDefault="00A9724E" w:rsidP="00C130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  <w:p w:rsidR="00A9724E" w:rsidRPr="00595916" w:rsidRDefault="00A9724E" w:rsidP="00C130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A9724E" w:rsidRPr="00595916" w:rsidRDefault="007A6211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Usled n</w:t>
            </w:r>
            <w:r w:rsidR="00A9724E" w:rsidRPr="00595916">
              <w:rPr>
                <w:rFonts w:ascii="Arial" w:eastAsia="Times New Roman" w:hAnsi="Arial" w:cs="Arial"/>
                <w:bCs/>
                <w:sz w:val="22"/>
              </w:rPr>
              <w:t>eblagovremen</w:t>
            </w:r>
            <w:r>
              <w:rPr>
                <w:rFonts w:ascii="Arial" w:eastAsia="Times New Roman" w:hAnsi="Arial" w:cs="Arial"/>
                <w:bCs/>
                <w:sz w:val="22"/>
              </w:rPr>
              <w:t>og</w:t>
            </w:r>
            <w:r w:rsidR="00A9724E" w:rsidRPr="00595916">
              <w:rPr>
                <w:rFonts w:ascii="Arial" w:eastAsia="Times New Roman" w:hAnsi="Arial" w:cs="Arial"/>
                <w:bCs/>
                <w:sz w:val="22"/>
              </w:rPr>
              <w:t xml:space="preserve"> i netačan</w:t>
            </w:r>
            <w:r>
              <w:rPr>
                <w:rFonts w:ascii="Arial" w:eastAsia="Times New Roman" w:hAnsi="Arial" w:cs="Arial"/>
                <w:bCs/>
                <w:sz w:val="22"/>
              </w:rPr>
              <w:t>og</w:t>
            </w:r>
            <w:r w:rsidR="00A9724E" w:rsidRPr="00595916">
              <w:rPr>
                <w:rFonts w:ascii="Arial" w:eastAsia="Times New Roman" w:hAnsi="Arial" w:cs="Arial"/>
                <w:bCs/>
                <w:sz w:val="22"/>
              </w:rPr>
              <w:t xml:space="preserve"> unos</w:t>
            </w:r>
            <w:r>
              <w:rPr>
                <w:rFonts w:ascii="Arial" w:eastAsia="Times New Roman" w:hAnsi="Arial" w:cs="Arial"/>
                <w:bCs/>
                <w:sz w:val="22"/>
              </w:rPr>
              <w:t>a</w:t>
            </w:r>
            <w:r w:rsidR="00A9724E" w:rsidRPr="00595916">
              <w:rPr>
                <w:rFonts w:ascii="Arial" w:eastAsia="Times New Roman" w:hAnsi="Arial" w:cs="Arial"/>
                <w:bCs/>
                <w:sz w:val="22"/>
              </w:rPr>
              <w:t xml:space="preserve"> podataka u Centralizovani kadrovski </w:t>
            </w:r>
            <w:r>
              <w:rPr>
                <w:rFonts w:ascii="Arial" w:eastAsia="Times New Roman" w:hAnsi="Arial" w:cs="Arial"/>
                <w:bCs/>
                <w:sz w:val="22"/>
              </w:rPr>
              <w:t>system može doći do</w:t>
            </w:r>
            <w:r w:rsidR="00A9724E" w:rsidRPr="00595916">
              <w:rPr>
                <w:rFonts w:ascii="Arial" w:eastAsia="Times New Roman" w:hAnsi="Arial" w:cs="Arial"/>
                <w:bCs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2"/>
              </w:rPr>
              <w:t>netačnog</w:t>
            </w:r>
            <w:r w:rsidR="00A9724E" w:rsidRPr="00595916">
              <w:rPr>
                <w:rFonts w:ascii="Arial" w:eastAsia="Times New Roman" w:hAnsi="Arial" w:cs="Arial"/>
                <w:bCs/>
                <w:sz w:val="22"/>
              </w:rPr>
              <w:t xml:space="preserve"> obračuna zarada  </w:t>
            </w:r>
          </w:p>
        </w:tc>
        <w:tc>
          <w:tcPr>
            <w:tcW w:w="1529" w:type="dxa"/>
            <w:shd w:val="clear" w:color="auto" w:fill="auto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Informacije i komunikacije/ Finansijski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12</w:t>
            </w:r>
          </w:p>
        </w:tc>
        <w:tc>
          <w:tcPr>
            <w:tcW w:w="540" w:type="dxa"/>
            <w:textDirection w:val="btLr"/>
            <w:vAlign w:val="center"/>
          </w:tcPr>
          <w:p w:rsidR="00A9724E" w:rsidRPr="00595916" w:rsidRDefault="00A9724E" w:rsidP="00A972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3155" w:type="dxa"/>
          </w:tcPr>
          <w:p w:rsidR="00A9724E" w:rsidRPr="00595916" w:rsidRDefault="00A9724E" w:rsidP="00A9724E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595916">
              <w:rPr>
                <w:rFonts w:ascii="Arial" w:hAnsi="Arial" w:cs="Arial"/>
                <w:sz w:val="22"/>
              </w:rPr>
              <w:t>Zakon o državnim službenicima i namještenicima</w:t>
            </w:r>
          </w:p>
          <w:p w:rsidR="00A9724E" w:rsidRPr="00595916" w:rsidRDefault="00A9724E" w:rsidP="00A9724E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595916">
              <w:rPr>
                <w:rFonts w:ascii="Arial" w:hAnsi="Arial" w:cs="Arial"/>
                <w:sz w:val="22"/>
              </w:rPr>
              <w:t>Pravilnik o bližem sadržaju i načinu vođenja centralne kadrovske evidencije i evidencije internog tržišta rada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9724E" w:rsidRPr="00595916" w:rsidRDefault="00A9724E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Dodatno informisanje,  edukacija državnih službenika i namještenika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17E10" w:rsidRDefault="00217E10" w:rsidP="00A972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Načelnik</w:t>
            </w:r>
          </w:p>
          <w:p w:rsidR="00A9724E" w:rsidRDefault="00A9724E" w:rsidP="00A972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Službe </w:t>
            </w:r>
          </w:p>
          <w:p w:rsidR="001504FD" w:rsidRPr="001504FD" w:rsidRDefault="001504FD" w:rsidP="00A972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  <w:lang w:val="sr-Latn-ME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Službenici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24E" w:rsidRPr="00595916" w:rsidRDefault="001504FD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Kontinuirano</w:t>
            </w:r>
            <w:r w:rsidR="00113092" w:rsidRPr="00595916">
              <w:rPr>
                <w:rFonts w:ascii="Arial" w:eastAsia="Times New Roman" w:hAnsi="Arial" w:cs="Arial"/>
                <w:sz w:val="22"/>
              </w:rPr>
              <w:t xml:space="preserve">  </w:t>
            </w:r>
          </w:p>
        </w:tc>
      </w:tr>
      <w:tr w:rsidR="00A9724E" w:rsidRPr="00595916" w:rsidTr="00781AEE">
        <w:trPr>
          <w:cantSplit/>
          <w:trHeight w:val="156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724E" w:rsidRPr="00595916" w:rsidRDefault="00217E10" w:rsidP="00C130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lastRenderedPageBreak/>
              <w:t>1</w:t>
            </w:r>
            <w:r w:rsidR="001504FD">
              <w:rPr>
                <w:rFonts w:ascii="Arial" w:eastAsia="Times New Roman" w:hAnsi="Arial" w:cs="Arial"/>
                <w:bCs/>
                <w:sz w:val="22"/>
              </w:rPr>
              <w:t>2</w:t>
            </w:r>
            <w:r w:rsidR="00A9724E" w:rsidRPr="00595916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</w:tc>
        <w:tc>
          <w:tcPr>
            <w:tcW w:w="2318" w:type="dxa"/>
            <w:shd w:val="clear" w:color="auto" w:fill="auto"/>
          </w:tcPr>
          <w:p w:rsidR="00A9724E" w:rsidRPr="00595916" w:rsidRDefault="00A9724E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Nedonošenje Plana javnih nabavki u roku određenog zakonom</w:t>
            </w:r>
          </w:p>
        </w:tc>
        <w:tc>
          <w:tcPr>
            <w:tcW w:w="1529" w:type="dxa"/>
            <w:shd w:val="clear" w:color="auto" w:fill="auto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Finansijski / Zakonodavni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20</w:t>
            </w:r>
          </w:p>
        </w:tc>
        <w:tc>
          <w:tcPr>
            <w:tcW w:w="540" w:type="dxa"/>
            <w:textDirection w:val="btLr"/>
            <w:vAlign w:val="center"/>
          </w:tcPr>
          <w:p w:rsidR="00A9724E" w:rsidRPr="00595916" w:rsidRDefault="00A9724E" w:rsidP="00A972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3155" w:type="dxa"/>
          </w:tcPr>
          <w:p w:rsidR="00A9724E" w:rsidRPr="00595916" w:rsidRDefault="00A9724E" w:rsidP="00A9724E">
            <w:pPr>
              <w:tabs>
                <w:tab w:val="left" w:pos="1251"/>
              </w:tabs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Zakon o javnim nabavkama sa podzakonskom regulativom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9724E" w:rsidRPr="00595916" w:rsidRDefault="00A9724E" w:rsidP="00A9724E">
            <w:pPr>
              <w:tabs>
                <w:tab w:val="left" w:pos="12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Kontinuirano upoznavanje zaposlenih sa propisima</w:t>
            </w:r>
          </w:p>
          <w:p w:rsidR="00A9724E" w:rsidRPr="00595916" w:rsidRDefault="00A9724E" w:rsidP="00A9724E">
            <w:pPr>
              <w:tabs>
                <w:tab w:val="left" w:pos="12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Adekvatno i blagovremeno dostavljanje podataka od strane organizac</w:t>
            </w:r>
            <w:r w:rsidR="005053C2">
              <w:rPr>
                <w:rFonts w:ascii="Arial" w:eastAsia="Times New Roman" w:hAnsi="Arial" w:cs="Arial"/>
                <w:bCs/>
                <w:sz w:val="22"/>
              </w:rPr>
              <w:t>ionih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 jedinica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9724E" w:rsidRDefault="00217E10" w:rsidP="00A972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Načelnik</w:t>
            </w:r>
            <w:r w:rsidR="00A9724E" w:rsidRPr="00595916">
              <w:rPr>
                <w:rFonts w:ascii="Arial" w:eastAsia="Times New Roman" w:hAnsi="Arial" w:cs="Arial"/>
                <w:bCs/>
                <w:sz w:val="22"/>
              </w:rPr>
              <w:t xml:space="preserve"> Službe </w:t>
            </w:r>
          </w:p>
          <w:p w:rsidR="00217E10" w:rsidRPr="00595916" w:rsidRDefault="00217E10" w:rsidP="00A972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Lice ovla</w:t>
            </w:r>
            <w:r w:rsidR="00F53170">
              <w:rPr>
                <w:rFonts w:ascii="Arial" w:eastAsia="Times New Roman" w:hAnsi="Arial" w:cs="Arial"/>
                <w:bCs/>
                <w:sz w:val="22"/>
              </w:rPr>
              <w:t>š</w:t>
            </w:r>
            <w:r>
              <w:rPr>
                <w:rFonts w:ascii="Arial" w:eastAsia="Times New Roman" w:hAnsi="Arial" w:cs="Arial"/>
                <w:bCs/>
                <w:sz w:val="22"/>
              </w:rPr>
              <w:t>ćeno za javne nabavke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31.januar za tekuću godinu</w:t>
            </w:r>
          </w:p>
        </w:tc>
      </w:tr>
      <w:tr w:rsidR="00A9724E" w:rsidRPr="00595916" w:rsidTr="00781AEE">
        <w:trPr>
          <w:cantSplit/>
          <w:trHeight w:val="113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724E" w:rsidRPr="00595916" w:rsidRDefault="001E73E4" w:rsidP="00C130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1</w:t>
            </w:r>
            <w:r w:rsidR="00627506">
              <w:rPr>
                <w:rFonts w:ascii="Arial" w:eastAsia="Times New Roman" w:hAnsi="Arial" w:cs="Arial"/>
                <w:bCs/>
                <w:sz w:val="22"/>
              </w:rPr>
              <w:t>3</w:t>
            </w:r>
            <w:r w:rsidR="00217E10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</w:tc>
        <w:tc>
          <w:tcPr>
            <w:tcW w:w="2318" w:type="dxa"/>
            <w:shd w:val="clear" w:color="auto" w:fill="auto"/>
          </w:tcPr>
          <w:p w:rsidR="00A9724E" w:rsidRPr="00595916" w:rsidRDefault="00A9724E" w:rsidP="00A9724E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Nedonošenje izvještaja o realizovanim javnim nabavkama</w:t>
            </w:r>
          </w:p>
        </w:tc>
        <w:tc>
          <w:tcPr>
            <w:tcW w:w="1529" w:type="dxa"/>
            <w:shd w:val="clear" w:color="auto" w:fill="auto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Zakonodavni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4E" w:rsidRPr="00595916" w:rsidRDefault="004E0081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4E" w:rsidRPr="00595916" w:rsidRDefault="004E0081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3</w:t>
            </w:r>
          </w:p>
        </w:tc>
        <w:tc>
          <w:tcPr>
            <w:tcW w:w="540" w:type="dxa"/>
            <w:textDirection w:val="btLr"/>
            <w:vAlign w:val="center"/>
          </w:tcPr>
          <w:p w:rsidR="00A9724E" w:rsidRPr="00595916" w:rsidRDefault="00A9724E" w:rsidP="00A972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3155" w:type="dxa"/>
          </w:tcPr>
          <w:p w:rsidR="00A9724E" w:rsidRPr="00595916" w:rsidRDefault="00A9724E" w:rsidP="00A9724E">
            <w:pPr>
              <w:tabs>
                <w:tab w:val="left" w:pos="1251"/>
              </w:tabs>
              <w:spacing w:after="0" w:line="240" w:lineRule="auto"/>
              <w:rPr>
                <w:rFonts w:ascii="Arial" w:hAnsi="Arial" w:cs="Arial"/>
                <w:b/>
                <w:color w:val="242424"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Zakon o javnim nabavkama sa podzakonskom regulativom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Poštovanje zakonski propisanih rokova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17E10" w:rsidRDefault="00217E10" w:rsidP="00217E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Načelnik</w:t>
            </w:r>
            <w:r w:rsidRPr="00595916">
              <w:rPr>
                <w:rFonts w:ascii="Arial" w:eastAsia="Times New Roman" w:hAnsi="Arial" w:cs="Arial"/>
                <w:bCs/>
                <w:sz w:val="22"/>
              </w:rPr>
              <w:t xml:space="preserve"> Službe </w:t>
            </w:r>
          </w:p>
          <w:p w:rsidR="00A9724E" w:rsidRPr="00595916" w:rsidRDefault="00217E10" w:rsidP="00217E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Lice ovla</w:t>
            </w:r>
            <w:r w:rsidR="00F53170">
              <w:rPr>
                <w:rFonts w:ascii="Arial" w:eastAsia="Times New Roman" w:hAnsi="Arial" w:cs="Arial"/>
                <w:bCs/>
                <w:sz w:val="22"/>
              </w:rPr>
              <w:t>š</w:t>
            </w:r>
            <w:r>
              <w:rPr>
                <w:rFonts w:ascii="Arial" w:eastAsia="Times New Roman" w:hAnsi="Arial" w:cs="Arial"/>
                <w:bCs/>
                <w:sz w:val="22"/>
              </w:rPr>
              <w:t>ćeno za javne nabavke</w:t>
            </w:r>
          </w:p>
        </w:tc>
        <w:tc>
          <w:tcPr>
            <w:tcW w:w="1559" w:type="dxa"/>
            <w:shd w:val="clear" w:color="auto" w:fill="auto"/>
          </w:tcPr>
          <w:p w:rsidR="00A9724E" w:rsidRPr="00595916" w:rsidRDefault="00A9724E" w:rsidP="00A9724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595916">
              <w:rPr>
                <w:rFonts w:ascii="Arial" w:eastAsia="Times New Roman" w:hAnsi="Arial" w:cs="Arial"/>
                <w:bCs/>
                <w:sz w:val="22"/>
              </w:rPr>
              <w:t>28.februar tekuće godine za prethodnu godinu</w:t>
            </w:r>
          </w:p>
        </w:tc>
      </w:tr>
    </w:tbl>
    <w:p w:rsidR="00F6264E" w:rsidRDefault="00F6264E" w:rsidP="00870FD3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3A2336" w:rsidRDefault="003A2336" w:rsidP="00870FD3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3A2336" w:rsidRDefault="003A2336" w:rsidP="00870FD3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3A2336" w:rsidRDefault="003A2336" w:rsidP="00870FD3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3A2336" w:rsidRDefault="003A2336" w:rsidP="00870FD3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3A2336" w:rsidRDefault="003A2336" w:rsidP="00870FD3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D736A4" w:rsidRDefault="00D736A4" w:rsidP="00870FD3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3A2336" w:rsidRDefault="003A2336" w:rsidP="00870FD3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F6264E" w:rsidRDefault="00F6264E" w:rsidP="00113092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D736A4" w:rsidRDefault="00D736A4" w:rsidP="00113092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240" w:lineRule="auto"/>
        <w:ind w:left="720"/>
        <w:rPr>
          <w:rFonts w:asciiTheme="minorHAnsi" w:hAnsiTheme="minorHAnsi" w:cstheme="minorHAnsi"/>
          <w:b/>
          <w:sz w:val="28"/>
          <w:szCs w:val="28"/>
          <w:lang w:val="es-DO"/>
        </w:rPr>
      </w:pPr>
    </w:p>
    <w:p w:rsidR="00692D3F" w:rsidRPr="00D736A4" w:rsidRDefault="00F33601" w:rsidP="00692D3F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 w:val="22"/>
          <w:lang w:val="es-DO"/>
        </w:rPr>
      </w:pPr>
      <w:r w:rsidRPr="00D736A4">
        <w:rPr>
          <w:rFonts w:ascii="Arial" w:hAnsi="Arial" w:cs="Arial"/>
          <w:b/>
          <w:sz w:val="22"/>
          <w:lang w:val="es-DO"/>
        </w:rPr>
        <w:t>9.</w:t>
      </w:r>
      <w:r w:rsidR="00692D3F" w:rsidRPr="00D736A4">
        <w:rPr>
          <w:rFonts w:ascii="Arial" w:hAnsi="Arial" w:cs="Arial"/>
          <w:b/>
          <w:sz w:val="22"/>
          <w:lang w:val="es-DO"/>
        </w:rPr>
        <w:t>SLUŽBA ZA INFORMACIONE TEHNOLOGIJE</w:t>
      </w:r>
    </w:p>
    <w:p w:rsidR="00D736A4" w:rsidRDefault="00D736A4" w:rsidP="00692D3F">
      <w:pPr>
        <w:rPr>
          <w:rFonts w:ascii="Arial" w:hAnsi="Arial" w:cs="Arial"/>
          <w:b/>
          <w:sz w:val="22"/>
        </w:rPr>
      </w:pPr>
    </w:p>
    <w:p w:rsidR="00692D3F" w:rsidRPr="00D736A4" w:rsidRDefault="00692D3F" w:rsidP="00692D3F">
      <w:pPr>
        <w:rPr>
          <w:rFonts w:ascii="Arial" w:hAnsi="Arial" w:cs="Arial"/>
          <w:sz w:val="22"/>
        </w:rPr>
      </w:pPr>
      <w:r w:rsidRPr="00D736A4">
        <w:rPr>
          <w:rFonts w:ascii="Arial" w:hAnsi="Arial" w:cs="Arial"/>
          <w:b/>
          <w:sz w:val="22"/>
        </w:rPr>
        <w:t>Opšti cilj</w:t>
      </w:r>
      <w:r w:rsidRPr="00D736A4">
        <w:rPr>
          <w:rFonts w:ascii="Arial" w:hAnsi="Arial" w:cs="Arial"/>
          <w:sz w:val="22"/>
        </w:rPr>
        <w:t xml:space="preserve">: Efikasno ispunjavanje zadataka iz oblasti informacionih tehnologija </w:t>
      </w:r>
    </w:p>
    <w:p w:rsidR="00692D3F" w:rsidRPr="00D736A4" w:rsidRDefault="00692D3F" w:rsidP="00692D3F">
      <w:pPr>
        <w:rPr>
          <w:rFonts w:ascii="Arial" w:hAnsi="Arial" w:cs="Arial"/>
          <w:sz w:val="22"/>
        </w:rPr>
      </w:pPr>
      <w:r w:rsidRPr="00D736A4">
        <w:rPr>
          <w:rFonts w:ascii="Arial" w:hAnsi="Arial" w:cs="Arial"/>
          <w:b/>
          <w:sz w:val="22"/>
        </w:rPr>
        <w:t>Posebni ciljevi</w:t>
      </w:r>
      <w:r w:rsidRPr="00D736A4">
        <w:rPr>
          <w:rFonts w:ascii="Arial" w:hAnsi="Arial" w:cs="Arial"/>
          <w:sz w:val="22"/>
        </w:rPr>
        <w:t>: Praćenje zakona i drugih propisa, izrada odgovarajućih procedura, edukacija službenika, imenovanje lica, održavanje informacionih sistema i pružanje podrške korisnicima</w:t>
      </w:r>
    </w:p>
    <w:p w:rsidR="00692D3F" w:rsidRDefault="00692D3F" w:rsidP="00692D3F">
      <w:pPr>
        <w:rPr>
          <w:rFonts w:ascii="Arial" w:hAnsi="Arial" w:cs="Arial"/>
          <w:sz w:val="22"/>
        </w:rPr>
      </w:pPr>
    </w:p>
    <w:p w:rsidR="00D736A4" w:rsidRPr="00D736A4" w:rsidRDefault="00D736A4" w:rsidP="00692D3F">
      <w:pPr>
        <w:rPr>
          <w:rFonts w:ascii="Arial" w:hAnsi="Arial" w:cs="Arial"/>
          <w:sz w:val="22"/>
        </w:rPr>
      </w:pPr>
    </w:p>
    <w:tbl>
      <w:tblPr>
        <w:tblW w:w="1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430"/>
        <w:gridCol w:w="1413"/>
        <w:gridCol w:w="477"/>
        <w:gridCol w:w="450"/>
        <w:gridCol w:w="450"/>
        <w:gridCol w:w="450"/>
        <w:gridCol w:w="3330"/>
        <w:gridCol w:w="2610"/>
        <w:gridCol w:w="1530"/>
        <w:gridCol w:w="1530"/>
      </w:tblGrid>
      <w:tr w:rsidR="00692D3F" w:rsidRPr="00D736A4" w:rsidTr="00692D3F">
        <w:trPr>
          <w:trHeight w:val="242"/>
          <w:tblHeader/>
          <w:jc w:val="center"/>
        </w:trPr>
        <w:tc>
          <w:tcPr>
            <w:tcW w:w="450" w:type="dxa"/>
            <w:vMerge w:val="restart"/>
            <w:shd w:val="clear" w:color="auto" w:fill="FBE4D5" w:themeFill="accent2" w:themeFillTint="33"/>
            <w:vAlign w:val="center"/>
          </w:tcPr>
          <w:p w:rsidR="00692D3F" w:rsidRPr="00D736A4" w:rsidRDefault="00692D3F" w:rsidP="00692D3F">
            <w:pPr>
              <w:spacing w:after="0" w:line="240" w:lineRule="auto"/>
              <w:ind w:left="-93" w:right="-108" w:firstLine="9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D736A4">
              <w:rPr>
                <w:rFonts w:ascii="Arial" w:eastAsia="Times New Roman" w:hAnsi="Arial" w:cs="Arial"/>
                <w:b/>
                <w:bCs/>
                <w:i/>
                <w:sz w:val="22"/>
              </w:rPr>
              <w:t>Rb</w:t>
            </w:r>
          </w:p>
        </w:tc>
        <w:tc>
          <w:tcPr>
            <w:tcW w:w="2430" w:type="dxa"/>
            <w:vMerge w:val="restart"/>
            <w:shd w:val="clear" w:color="auto" w:fill="FBE4D5" w:themeFill="accent2" w:themeFillTint="33"/>
            <w:vAlign w:val="center"/>
          </w:tcPr>
          <w:p w:rsidR="00692D3F" w:rsidRPr="00D736A4" w:rsidRDefault="00692D3F" w:rsidP="0069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D736A4">
              <w:rPr>
                <w:rFonts w:ascii="Arial" w:eastAsia="Times New Roman" w:hAnsi="Arial" w:cs="Arial"/>
                <w:b/>
                <w:bCs/>
                <w:i/>
                <w:sz w:val="22"/>
              </w:rPr>
              <w:t>Opis rizika</w:t>
            </w:r>
          </w:p>
        </w:tc>
        <w:tc>
          <w:tcPr>
            <w:tcW w:w="1413" w:type="dxa"/>
            <w:vMerge w:val="restart"/>
            <w:shd w:val="clear" w:color="auto" w:fill="FBE4D5" w:themeFill="accent2" w:themeFillTint="33"/>
            <w:vAlign w:val="center"/>
          </w:tcPr>
          <w:p w:rsidR="00692D3F" w:rsidRPr="00D736A4" w:rsidRDefault="00692D3F" w:rsidP="0069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D736A4">
              <w:rPr>
                <w:rFonts w:ascii="Arial" w:eastAsia="Times New Roman" w:hAnsi="Arial" w:cs="Arial"/>
                <w:b/>
                <w:bCs/>
                <w:i/>
                <w:sz w:val="22"/>
              </w:rPr>
              <w:t>Vrsta rizika</w:t>
            </w: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92D3F" w:rsidRPr="00D736A4" w:rsidRDefault="00692D3F" w:rsidP="0069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D736A4">
              <w:rPr>
                <w:rFonts w:ascii="Arial" w:eastAsia="Times New Roman" w:hAnsi="Arial" w:cs="Arial"/>
                <w:b/>
                <w:bCs/>
                <w:i/>
                <w:sz w:val="22"/>
              </w:rPr>
              <w:t>Rangiranje rizika</w:t>
            </w:r>
          </w:p>
        </w:tc>
        <w:tc>
          <w:tcPr>
            <w:tcW w:w="3330" w:type="dxa"/>
            <w:vMerge w:val="restart"/>
            <w:shd w:val="clear" w:color="auto" w:fill="FBE4D5" w:themeFill="accent2" w:themeFillTint="33"/>
            <w:vAlign w:val="center"/>
          </w:tcPr>
          <w:p w:rsidR="00692D3F" w:rsidRPr="00D736A4" w:rsidRDefault="00692D3F" w:rsidP="0069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D736A4">
              <w:rPr>
                <w:rFonts w:ascii="Arial" w:hAnsi="Arial" w:cs="Arial"/>
                <w:b/>
                <w:sz w:val="22"/>
              </w:rPr>
              <w:t>Pregled postojećih kontrola</w:t>
            </w:r>
          </w:p>
        </w:tc>
        <w:tc>
          <w:tcPr>
            <w:tcW w:w="2610" w:type="dxa"/>
            <w:vMerge w:val="restart"/>
            <w:shd w:val="clear" w:color="auto" w:fill="FBE4D5" w:themeFill="accent2" w:themeFillTint="33"/>
            <w:vAlign w:val="center"/>
          </w:tcPr>
          <w:p w:rsidR="00692D3F" w:rsidRPr="00D736A4" w:rsidRDefault="00692D3F" w:rsidP="00692D3F">
            <w:pPr>
              <w:spacing w:after="0" w:line="240" w:lineRule="auto"/>
              <w:ind w:left="-189" w:firstLine="189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D736A4">
              <w:rPr>
                <w:rFonts w:ascii="Arial" w:eastAsia="Times New Roman" w:hAnsi="Arial" w:cs="Arial"/>
                <w:b/>
                <w:bCs/>
                <w:i/>
                <w:sz w:val="22"/>
              </w:rPr>
              <w:t>Reagovanje na rizik / mjere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:rsidR="00692D3F" w:rsidRPr="00D736A4" w:rsidRDefault="00692D3F" w:rsidP="0069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D736A4">
              <w:rPr>
                <w:rFonts w:ascii="Arial" w:eastAsia="Times New Roman" w:hAnsi="Arial" w:cs="Arial"/>
                <w:b/>
                <w:bCs/>
                <w:i/>
                <w:sz w:val="22"/>
              </w:rPr>
              <w:t>Odgovorna osoba za rizik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:rsidR="00692D3F" w:rsidRPr="00D736A4" w:rsidRDefault="00692D3F" w:rsidP="0069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</w:rPr>
            </w:pPr>
            <w:r w:rsidRPr="00D736A4">
              <w:rPr>
                <w:rFonts w:ascii="Arial" w:eastAsia="Times New Roman" w:hAnsi="Arial" w:cs="Arial"/>
                <w:b/>
                <w:bCs/>
                <w:i/>
                <w:sz w:val="22"/>
              </w:rPr>
              <w:t>Rok za sprovođenje</w:t>
            </w:r>
          </w:p>
        </w:tc>
      </w:tr>
      <w:tr w:rsidR="00692D3F" w:rsidRPr="00D736A4" w:rsidTr="00692D3F">
        <w:trPr>
          <w:cantSplit/>
          <w:trHeight w:val="1502"/>
          <w:tblHeader/>
          <w:jc w:val="center"/>
        </w:trPr>
        <w:tc>
          <w:tcPr>
            <w:tcW w:w="450" w:type="dxa"/>
            <w:vMerge/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0" w:line="360" w:lineRule="auto"/>
              <w:rPr>
                <w:rFonts w:ascii="Arial" w:eastAsia="Times New Roman" w:hAnsi="Arial" w:cs="Arial"/>
                <w:bCs/>
                <w:sz w:val="22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692D3F" w:rsidRPr="00D736A4" w:rsidRDefault="00692D3F" w:rsidP="0069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692D3F" w:rsidRPr="00D736A4" w:rsidRDefault="00692D3F" w:rsidP="00692D3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692D3F" w:rsidRPr="00D736A4" w:rsidRDefault="00692D3F" w:rsidP="00692D3F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</w:pPr>
            <w:r w:rsidRPr="00D736A4"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  <w:t>Uticaj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692D3F" w:rsidRPr="00D736A4" w:rsidRDefault="00692D3F" w:rsidP="00692D3F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</w:pPr>
            <w:r w:rsidRPr="00D736A4"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  <w:t>Vjerovatnoća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692D3F" w:rsidRPr="00D736A4" w:rsidRDefault="00692D3F" w:rsidP="00692D3F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</w:pPr>
            <w:r w:rsidRPr="00D736A4">
              <w:rPr>
                <w:rFonts w:ascii="Arial" w:eastAsia="Times New Roman" w:hAnsi="Arial" w:cs="Arial"/>
                <w:b/>
                <w:bCs/>
                <w:i/>
                <w:spacing w:val="-4"/>
                <w:sz w:val="22"/>
              </w:rPr>
              <w:t>Ukupno</w:t>
            </w:r>
          </w:p>
        </w:tc>
        <w:tc>
          <w:tcPr>
            <w:tcW w:w="450" w:type="dxa"/>
            <w:shd w:val="clear" w:color="auto" w:fill="FBE4D5" w:themeFill="accent2" w:themeFillTint="33"/>
            <w:textDirection w:val="btLr"/>
            <w:vAlign w:val="center"/>
          </w:tcPr>
          <w:p w:rsidR="00692D3F" w:rsidRPr="00D736A4" w:rsidRDefault="00692D3F" w:rsidP="00692D3F">
            <w:pPr>
              <w:spacing w:after="0" w:line="360" w:lineRule="auto"/>
              <w:ind w:left="-8" w:right="113" w:firstLine="121"/>
              <w:jc w:val="center"/>
              <w:rPr>
                <w:rFonts w:ascii="Arial" w:eastAsia="Times New Roman" w:hAnsi="Arial" w:cs="Arial"/>
                <w:b/>
                <w:bCs/>
                <w:i/>
                <w:spacing w:val="-6"/>
                <w:sz w:val="22"/>
              </w:rPr>
            </w:pPr>
            <w:r w:rsidRPr="00D736A4">
              <w:rPr>
                <w:rFonts w:ascii="Arial" w:eastAsia="Times New Roman" w:hAnsi="Arial" w:cs="Arial"/>
                <w:b/>
                <w:bCs/>
                <w:i/>
                <w:spacing w:val="-6"/>
                <w:sz w:val="22"/>
              </w:rPr>
              <w:t>Rang</w:t>
            </w:r>
          </w:p>
        </w:tc>
        <w:tc>
          <w:tcPr>
            <w:tcW w:w="3330" w:type="dxa"/>
            <w:vMerge/>
          </w:tcPr>
          <w:p w:rsidR="00692D3F" w:rsidRPr="00D736A4" w:rsidRDefault="00692D3F" w:rsidP="0069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692D3F" w:rsidRPr="00D736A4" w:rsidRDefault="00692D3F" w:rsidP="0069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sz w:val="22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0" w:line="360" w:lineRule="auto"/>
              <w:rPr>
                <w:rFonts w:ascii="Arial" w:eastAsia="Times New Roman" w:hAnsi="Arial" w:cs="Arial"/>
                <w:bCs/>
                <w:sz w:val="22"/>
              </w:rPr>
            </w:pPr>
          </w:p>
        </w:tc>
      </w:tr>
      <w:tr w:rsidR="00692D3F" w:rsidRPr="00D736A4" w:rsidTr="00692D3F">
        <w:trPr>
          <w:cantSplit/>
          <w:trHeight w:val="1779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1.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305" w:line="240" w:lineRule="auto"/>
              <w:ind w:left="8"/>
              <w:rPr>
                <w:rFonts w:ascii="Arial" w:hAnsi="Arial" w:cs="Arial"/>
                <w:color w:val="000000"/>
                <w:sz w:val="22"/>
                <w:lang w:val="en-GB" w:eastAsia="en-GB"/>
              </w:rPr>
            </w:pPr>
            <w:r w:rsidRPr="004C00E3">
              <w:rPr>
                <w:rFonts w:ascii="Arial" w:hAnsi="Arial" w:cs="Arial"/>
                <w:color w:val="000000"/>
                <w:sz w:val="22"/>
                <w:lang w:val="en-GB" w:eastAsia="en-GB"/>
              </w:rPr>
              <w:t>Bez</w:t>
            </w:r>
            <w:r w:rsidRPr="004C00E3">
              <w:rPr>
                <w:rFonts w:ascii="Arial" w:hAnsi="Arial" w:cs="Arial"/>
                <w:color w:val="000000"/>
                <w:sz w:val="22"/>
                <w:lang w:val="sr-Latn-ME" w:eastAsia="en-GB"/>
              </w:rPr>
              <w:t>bjednost i oporavak informacionih sistema</w:t>
            </w:r>
            <w:r w:rsidRPr="00D736A4">
              <w:rPr>
                <w:rFonts w:ascii="Arial" w:hAnsi="Arial" w:cs="Arial"/>
                <w:color w:val="000000"/>
                <w:sz w:val="22"/>
                <w:lang w:val="en-GB" w:eastAsia="en-GB"/>
              </w:rPr>
              <w:t xml:space="preserve"> </w:t>
            </w:r>
          </w:p>
          <w:p w:rsidR="00692D3F" w:rsidRPr="00D736A4" w:rsidRDefault="00692D3F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692D3F" w:rsidRPr="00D736A4" w:rsidRDefault="00692D3F" w:rsidP="00692D3F">
            <w:pPr>
              <w:rPr>
                <w:rFonts w:ascii="Arial" w:hAnsi="Arial" w:cs="Arial"/>
                <w:sz w:val="22"/>
              </w:rPr>
            </w:pPr>
            <w:r w:rsidRPr="00D736A4">
              <w:rPr>
                <w:rFonts w:ascii="Arial" w:hAnsi="Arial" w:cs="Arial"/>
                <w:sz w:val="22"/>
              </w:rPr>
              <w:t xml:space="preserve">Operativni </w:t>
            </w:r>
          </w:p>
          <w:p w:rsidR="00692D3F" w:rsidRPr="00D736A4" w:rsidRDefault="00692D3F" w:rsidP="00692D3F">
            <w:pPr>
              <w:autoSpaceDE w:val="0"/>
              <w:autoSpaceDN w:val="0"/>
              <w:adjustRightInd w:val="0"/>
              <w:spacing w:after="0" w:line="240" w:lineRule="atLeast"/>
              <w:ind w:left="-82"/>
              <w:jc w:val="center"/>
              <w:rPr>
                <w:rFonts w:ascii="Arial" w:hAnsi="Arial" w:cs="Arial"/>
                <w:sz w:val="22"/>
              </w:rPr>
            </w:pPr>
            <w:r w:rsidRPr="00D736A4">
              <w:rPr>
                <w:rFonts w:ascii="Arial" w:hAnsi="Arial" w:cs="Arial"/>
                <w:sz w:val="22"/>
              </w:rPr>
              <w:t>Finansijski</w:t>
            </w:r>
            <w:r w:rsidRPr="00D736A4">
              <w:rPr>
                <w:rFonts w:ascii="Arial" w:hAnsi="Arial" w:cs="Arial"/>
                <w:sz w:val="22"/>
              </w:rPr>
              <w:br/>
            </w:r>
            <w:r w:rsidRPr="00D736A4">
              <w:rPr>
                <w:rFonts w:ascii="Arial" w:hAnsi="Arial" w:cs="Arial"/>
                <w:sz w:val="22"/>
              </w:rPr>
              <w:br/>
              <w:t>Informacije i komunikacije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pacing w:val="-4"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pacing w:val="-4"/>
                <w:sz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pacing w:val="-6"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pacing w:val="-6"/>
                <w:sz w:val="22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pacing w:val="-6"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pacing w:val="-6"/>
                <w:sz w:val="22"/>
              </w:rPr>
              <w:t>15</w:t>
            </w:r>
          </w:p>
        </w:tc>
        <w:tc>
          <w:tcPr>
            <w:tcW w:w="450" w:type="dxa"/>
            <w:textDirection w:val="btLr"/>
            <w:vAlign w:val="center"/>
          </w:tcPr>
          <w:p w:rsidR="00692D3F" w:rsidRPr="00D736A4" w:rsidRDefault="00692D3F" w:rsidP="00692D3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D736A4">
              <w:rPr>
                <w:rFonts w:ascii="Arial" w:hAnsi="Arial" w:cs="Arial"/>
                <w:sz w:val="22"/>
              </w:rPr>
              <w:t>visok</w:t>
            </w:r>
          </w:p>
        </w:tc>
        <w:tc>
          <w:tcPr>
            <w:tcW w:w="3330" w:type="dxa"/>
            <w:vAlign w:val="center"/>
          </w:tcPr>
          <w:p w:rsidR="00692D3F" w:rsidRPr="00D736A4" w:rsidRDefault="00692D3F" w:rsidP="00692D3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D736A4">
              <w:rPr>
                <w:rFonts w:ascii="Arial" w:hAnsi="Arial" w:cs="Arial"/>
                <w:sz w:val="22"/>
              </w:rPr>
              <w:t>Zakon o informacionoj bezbjednosti</w:t>
            </w:r>
          </w:p>
          <w:p w:rsidR="00692D3F" w:rsidRPr="00D736A4" w:rsidRDefault="00692D3F" w:rsidP="00692D3F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="00692D3F" w:rsidRPr="00D736A4" w:rsidRDefault="00692D3F" w:rsidP="00692D3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D736A4">
              <w:rPr>
                <w:rFonts w:ascii="Arial" w:hAnsi="Arial" w:cs="Arial"/>
                <w:sz w:val="22"/>
              </w:rPr>
              <w:t>Zakon o elektronskoj upravi</w:t>
            </w:r>
          </w:p>
          <w:p w:rsidR="00692D3F" w:rsidRPr="00D736A4" w:rsidRDefault="00692D3F" w:rsidP="00692D3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D736A4">
              <w:rPr>
                <w:rFonts w:ascii="Arial" w:hAnsi="Arial" w:cs="Arial"/>
                <w:sz w:val="22"/>
              </w:rPr>
              <w:t>Smjernice i preporuke Službe za informacione tehnologije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92D3F" w:rsidRPr="00D736A4" w:rsidRDefault="00692D3F" w:rsidP="00692D3F">
            <w:pPr>
              <w:tabs>
                <w:tab w:val="left" w:pos="1251"/>
              </w:tabs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 xml:space="preserve">Donošenje Interne procedure za bezbjednost podataka </w:t>
            </w:r>
            <w:r w:rsidR="00ED080B">
              <w:rPr>
                <w:rFonts w:ascii="Arial" w:eastAsia="Times New Roman" w:hAnsi="Arial" w:cs="Arial"/>
                <w:bCs/>
                <w:sz w:val="22"/>
              </w:rPr>
              <w:t xml:space="preserve">i </w:t>
            </w:r>
            <w:r w:rsidRPr="00D736A4">
              <w:rPr>
                <w:rFonts w:ascii="Arial" w:eastAsia="Times New Roman" w:hAnsi="Arial" w:cs="Arial"/>
                <w:bCs/>
                <w:sz w:val="22"/>
              </w:rPr>
              <w:t xml:space="preserve">sistema, preporuke MJU, usvajanje preporuka, </w:t>
            </w:r>
            <w:r w:rsidRPr="00D736A4">
              <w:rPr>
                <w:rFonts w:ascii="Arial" w:hAnsi="Arial" w:cs="Arial"/>
                <w:sz w:val="22"/>
              </w:rPr>
              <w:t>Povećanje tehnološke opremljenosti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Sekretar</w:t>
            </w:r>
          </w:p>
          <w:p w:rsidR="00692D3F" w:rsidRPr="00D736A4" w:rsidRDefault="00692D3F" w:rsidP="00692D3F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Načelnik Službe za informacione tehnologije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2D3F" w:rsidRPr="00D736A4" w:rsidRDefault="00692D3F" w:rsidP="00692D3F">
            <w:pPr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  <w:lang w:val="sr-Latn-ME"/>
              </w:rPr>
              <w:t xml:space="preserve">Četvrti </w:t>
            </w:r>
            <w:r w:rsidRPr="00D736A4">
              <w:rPr>
                <w:rFonts w:ascii="Arial" w:eastAsia="Times New Roman" w:hAnsi="Arial" w:cs="Arial"/>
                <w:bCs/>
                <w:sz w:val="22"/>
              </w:rPr>
              <w:t>kvartal 202</w:t>
            </w:r>
            <w:r w:rsidR="00A30000">
              <w:rPr>
                <w:rFonts w:ascii="Arial" w:eastAsia="Times New Roman" w:hAnsi="Arial" w:cs="Arial"/>
                <w:bCs/>
                <w:sz w:val="22"/>
              </w:rPr>
              <w:t>4</w:t>
            </w:r>
            <w:r w:rsidRPr="00D736A4">
              <w:rPr>
                <w:rFonts w:ascii="Arial" w:eastAsia="Times New Roman" w:hAnsi="Arial" w:cs="Arial"/>
                <w:bCs/>
                <w:sz w:val="22"/>
              </w:rPr>
              <w:t>.</w:t>
            </w:r>
          </w:p>
        </w:tc>
      </w:tr>
      <w:tr w:rsidR="00692D3F" w:rsidRPr="00D736A4" w:rsidTr="00692D3F">
        <w:trPr>
          <w:cantSplit/>
          <w:trHeight w:val="3320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lastRenderedPageBreak/>
              <w:t xml:space="preserve"> 2.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92D3F" w:rsidRPr="00D736A4" w:rsidRDefault="00692D3F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D736A4">
              <w:rPr>
                <w:rFonts w:ascii="Arial" w:hAnsi="Arial" w:cs="Arial"/>
                <w:color w:val="000000"/>
                <w:sz w:val="22"/>
              </w:rPr>
              <w:t>Čuvanje i bezbjednost podataka i dokumenata</w:t>
            </w:r>
          </w:p>
        </w:tc>
        <w:tc>
          <w:tcPr>
            <w:tcW w:w="1413" w:type="dxa"/>
            <w:shd w:val="clear" w:color="auto" w:fill="auto"/>
          </w:tcPr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 xml:space="preserve">Operativni </w:t>
            </w:r>
          </w:p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Finansijski</w:t>
            </w:r>
          </w:p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</w:p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Informacije i komunikacije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D736A4" w:rsidRDefault="00692D3F" w:rsidP="00692D3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D736A4" w:rsidRDefault="00692D3F" w:rsidP="00692D3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D3F" w:rsidRPr="00D736A4" w:rsidRDefault="00692D3F" w:rsidP="00692D3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15</w:t>
            </w:r>
          </w:p>
        </w:tc>
        <w:tc>
          <w:tcPr>
            <w:tcW w:w="450" w:type="dxa"/>
            <w:textDirection w:val="btLr"/>
            <w:vAlign w:val="center"/>
          </w:tcPr>
          <w:p w:rsidR="00692D3F" w:rsidRPr="00D736A4" w:rsidRDefault="00692D3F" w:rsidP="00692D3F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visok</w:t>
            </w:r>
          </w:p>
        </w:tc>
        <w:tc>
          <w:tcPr>
            <w:tcW w:w="3330" w:type="dxa"/>
          </w:tcPr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Zakon o informacionoj bezbjednosti</w:t>
            </w:r>
          </w:p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</w:p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Smjernice i preporuke IT službe, kontrole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Nabavka SIEM (Security information and event management) sistema, kojim bi prekrili korisničke računare I serversku infrastrukturu</w:t>
            </w:r>
          </w:p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 xml:space="preserve">Obuka službenika za primjenu propisa </w:t>
            </w:r>
            <w:proofErr w:type="gramStart"/>
            <w:r w:rsidRPr="00D736A4">
              <w:rPr>
                <w:rFonts w:ascii="Arial" w:eastAsia="Times New Roman" w:hAnsi="Arial" w:cs="Arial"/>
                <w:bCs/>
                <w:sz w:val="22"/>
              </w:rPr>
              <w:t>iz  zaposlenih</w:t>
            </w:r>
            <w:proofErr w:type="gramEnd"/>
            <w:r w:rsidRPr="00D736A4">
              <w:rPr>
                <w:rFonts w:ascii="Arial" w:eastAsia="Times New Roman" w:hAnsi="Arial" w:cs="Arial"/>
                <w:bCs/>
                <w:sz w:val="22"/>
              </w:rPr>
              <w:t xml:space="preserve"> za zaštitu i bezbjednost podataka;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Sekretar</w:t>
            </w:r>
          </w:p>
          <w:p w:rsidR="00692D3F" w:rsidRPr="00D736A4" w:rsidRDefault="00692D3F" w:rsidP="00692D3F">
            <w:pPr>
              <w:rPr>
                <w:rFonts w:ascii="Arial" w:eastAsia="Times New Roman" w:hAnsi="Arial" w:cs="Arial"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Načelnik Službe za informacione tehnologije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2D3F" w:rsidRPr="00D736A4" w:rsidRDefault="00692D3F" w:rsidP="00692D3F">
            <w:pPr>
              <w:rPr>
                <w:rFonts w:ascii="Arial" w:eastAsia="Times New Roman" w:hAnsi="Arial" w:cs="Arial"/>
                <w:sz w:val="22"/>
              </w:rPr>
            </w:pPr>
            <w:r w:rsidRPr="00D736A4">
              <w:rPr>
                <w:rFonts w:ascii="Arial" w:eastAsia="Times New Roman" w:hAnsi="Arial" w:cs="Arial"/>
                <w:sz w:val="22"/>
              </w:rPr>
              <w:t>Četvrti kvartal 202</w:t>
            </w:r>
            <w:r w:rsidR="00A30000">
              <w:rPr>
                <w:rFonts w:ascii="Arial" w:eastAsia="Times New Roman" w:hAnsi="Arial" w:cs="Arial"/>
                <w:sz w:val="22"/>
              </w:rPr>
              <w:t>4</w:t>
            </w:r>
            <w:r w:rsidRPr="00D736A4">
              <w:rPr>
                <w:rFonts w:ascii="Arial" w:eastAsia="Times New Roman" w:hAnsi="Arial" w:cs="Arial"/>
                <w:sz w:val="22"/>
              </w:rPr>
              <w:t xml:space="preserve">.godine </w:t>
            </w:r>
          </w:p>
        </w:tc>
      </w:tr>
      <w:tr w:rsidR="00692D3F" w:rsidRPr="00D736A4" w:rsidTr="00692D3F">
        <w:trPr>
          <w:cantSplit/>
          <w:trHeight w:val="1779"/>
          <w:jc w:val="center"/>
        </w:trPr>
        <w:tc>
          <w:tcPr>
            <w:tcW w:w="450" w:type="dxa"/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3.</w:t>
            </w:r>
          </w:p>
        </w:tc>
        <w:tc>
          <w:tcPr>
            <w:tcW w:w="2430" w:type="dxa"/>
            <w:shd w:val="clear" w:color="auto" w:fill="auto"/>
          </w:tcPr>
          <w:p w:rsidR="00692D3F" w:rsidRPr="00D736A4" w:rsidRDefault="00692D3F" w:rsidP="00692D3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D736A4">
              <w:rPr>
                <w:rFonts w:ascii="Arial" w:hAnsi="Arial" w:cs="Arial"/>
                <w:color w:val="000000"/>
                <w:sz w:val="22"/>
              </w:rPr>
              <w:t xml:space="preserve"> Održavanje informacionih sistema u nadležnosti MEP-a</w:t>
            </w:r>
          </w:p>
        </w:tc>
        <w:tc>
          <w:tcPr>
            <w:tcW w:w="1413" w:type="dxa"/>
            <w:shd w:val="clear" w:color="auto" w:fill="auto"/>
          </w:tcPr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 xml:space="preserve">Operativni </w:t>
            </w:r>
          </w:p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Finansijski</w:t>
            </w:r>
          </w:p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</w:p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Informacije i komunikacije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D736A4" w:rsidRDefault="00692D3F" w:rsidP="00692D3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3F" w:rsidRPr="00D736A4" w:rsidRDefault="00692D3F" w:rsidP="00692D3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D3F" w:rsidRPr="00D736A4" w:rsidRDefault="00692D3F" w:rsidP="00692D3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15</w:t>
            </w:r>
          </w:p>
        </w:tc>
        <w:tc>
          <w:tcPr>
            <w:tcW w:w="450" w:type="dxa"/>
            <w:textDirection w:val="btLr"/>
            <w:vAlign w:val="center"/>
          </w:tcPr>
          <w:p w:rsidR="00692D3F" w:rsidRPr="00D736A4" w:rsidRDefault="00692D3F" w:rsidP="00692D3F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visok</w:t>
            </w:r>
          </w:p>
        </w:tc>
        <w:tc>
          <w:tcPr>
            <w:tcW w:w="3330" w:type="dxa"/>
          </w:tcPr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Zakon o informacionoj bezbjednosti</w:t>
            </w:r>
          </w:p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</w:p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Smjernice i preporuke IT službe, kontrole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92D3F" w:rsidRPr="00D736A4" w:rsidRDefault="00692D3F" w:rsidP="00692D3F">
            <w:pPr>
              <w:spacing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Zaključivanje ugovora o održavanju informacionih sistema u nadležnosti Ministarstva ekonomskog razvoja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2D3F" w:rsidRPr="00D736A4" w:rsidRDefault="00692D3F" w:rsidP="00692D3F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Sekretar</w:t>
            </w:r>
          </w:p>
          <w:p w:rsidR="00692D3F" w:rsidRPr="00D736A4" w:rsidRDefault="00692D3F" w:rsidP="00692D3F">
            <w:pPr>
              <w:rPr>
                <w:rFonts w:ascii="Arial" w:eastAsia="Times New Roman" w:hAnsi="Arial" w:cs="Arial"/>
                <w:sz w:val="22"/>
              </w:rPr>
            </w:pPr>
            <w:r w:rsidRPr="00D736A4">
              <w:rPr>
                <w:rFonts w:ascii="Arial" w:eastAsia="Times New Roman" w:hAnsi="Arial" w:cs="Arial"/>
                <w:bCs/>
                <w:sz w:val="22"/>
              </w:rPr>
              <w:t>Načelnik Službe za informacione tehnologije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2D3F" w:rsidRPr="00D736A4" w:rsidRDefault="00692D3F" w:rsidP="00692D3F">
            <w:pPr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D736A4">
              <w:rPr>
                <w:rFonts w:ascii="Arial" w:eastAsia="Times New Roman" w:hAnsi="Arial" w:cs="Arial"/>
                <w:sz w:val="22"/>
                <w:lang w:val="sr-Latn-ME"/>
              </w:rPr>
              <w:t>Drugi kvartal 202</w:t>
            </w:r>
            <w:r w:rsidR="00A30000">
              <w:rPr>
                <w:rFonts w:ascii="Arial" w:eastAsia="Times New Roman" w:hAnsi="Arial" w:cs="Arial"/>
                <w:sz w:val="22"/>
                <w:lang w:val="sr-Latn-ME"/>
              </w:rPr>
              <w:t>4</w:t>
            </w:r>
            <w:r w:rsidR="00ED080B">
              <w:rPr>
                <w:rFonts w:ascii="Arial" w:eastAsia="Times New Roman" w:hAnsi="Arial" w:cs="Arial"/>
                <w:sz w:val="22"/>
                <w:lang w:val="sr-Latn-ME"/>
              </w:rPr>
              <w:t>.</w:t>
            </w:r>
            <w:r w:rsidRPr="00D736A4">
              <w:rPr>
                <w:rFonts w:ascii="Arial" w:eastAsia="Times New Roman" w:hAnsi="Arial" w:cs="Arial"/>
                <w:sz w:val="22"/>
                <w:lang w:val="sr-Latn-ME"/>
              </w:rPr>
              <w:t>godine</w:t>
            </w:r>
          </w:p>
        </w:tc>
      </w:tr>
    </w:tbl>
    <w:p w:rsidR="008050BA" w:rsidRPr="00D736A4" w:rsidRDefault="008050BA" w:rsidP="008050BA">
      <w:pPr>
        <w:spacing w:before="0" w:after="0" w:line="240" w:lineRule="auto"/>
        <w:ind w:left="8640" w:firstLine="720"/>
        <w:jc w:val="left"/>
        <w:rPr>
          <w:rFonts w:ascii="Arial" w:hAnsi="Arial" w:cs="Arial"/>
          <w:sz w:val="22"/>
        </w:rPr>
      </w:pPr>
    </w:p>
    <w:p w:rsidR="00627506" w:rsidRPr="00595916" w:rsidRDefault="00627506" w:rsidP="008050BA">
      <w:pPr>
        <w:spacing w:before="0" w:after="0" w:line="240" w:lineRule="auto"/>
        <w:ind w:left="8640" w:firstLine="720"/>
        <w:jc w:val="left"/>
        <w:rPr>
          <w:rFonts w:ascii="Arial" w:hAnsi="Arial" w:cs="Arial"/>
          <w:sz w:val="22"/>
        </w:rPr>
      </w:pPr>
    </w:p>
    <w:p w:rsidR="00932283" w:rsidRPr="00D736A4" w:rsidRDefault="00BB543A" w:rsidP="008050BA">
      <w:pPr>
        <w:spacing w:before="0" w:after="0" w:line="240" w:lineRule="auto"/>
        <w:ind w:left="8640" w:firstLine="720"/>
        <w:jc w:val="left"/>
        <w:rPr>
          <w:rFonts w:ascii="Arial" w:hAnsi="Arial" w:cs="Arial"/>
          <w:b/>
          <w:sz w:val="22"/>
        </w:rPr>
      </w:pPr>
      <w:r w:rsidRPr="00595916">
        <w:rPr>
          <w:rFonts w:ascii="Arial" w:hAnsi="Arial" w:cs="Arial"/>
          <w:sz w:val="22"/>
        </w:rPr>
        <w:t xml:space="preserve">              </w:t>
      </w:r>
      <w:r w:rsidR="001504FD">
        <w:rPr>
          <w:rFonts w:ascii="Arial" w:hAnsi="Arial" w:cs="Arial"/>
          <w:sz w:val="22"/>
        </w:rPr>
        <w:t xml:space="preserve">                </w:t>
      </w:r>
      <w:r w:rsidRPr="00D736A4">
        <w:rPr>
          <w:rFonts w:ascii="Arial" w:hAnsi="Arial" w:cs="Arial"/>
          <w:b/>
          <w:sz w:val="22"/>
        </w:rPr>
        <w:t>MINISTAR</w:t>
      </w:r>
    </w:p>
    <w:p w:rsidR="008050BA" w:rsidRPr="00595916" w:rsidRDefault="008050BA" w:rsidP="008050BA">
      <w:pPr>
        <w:spacing w:before="0" w:after="0" w:line="240" w:lineRule="auto"/>
        <w:ind w:left="8640" w:firstLine="720"/>
        <w:jc w:val="left"/>
        <w:rPr>
          <w:rFonts w:ascii="Arial" w:hAnsi="Arial" w:cs="Arial"/>
          <w:sz w:val="22"/>
        </w:rPr>
      </w:pPr>
    </w:p>
    <w:p w:rsidR="008050BA" w:rsidRPr="00595916" w:rsidRDefault="001504FD" w:rsidP="008050BA">
      <w:pPr>
        <w:spacing w:before="0" w:after="0" w:line="240" w:lineRule="auto"/>
        <w:ind w:left="9360" w:firstLine="72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</w:t>
      </w:r>
      <w:r w:rsidR="003A2336">
        <w:rPr>
          <w:rFonts w:ascii="Arial" w:hAnsi="Arial" w:cs="Arial"/>
          <w:b/>
          <w:sz w:val="22"/>
        </w:rPr>
        <w:t>Nik Gjeloshaj</w:t>
      </w:r>
    </w:p>
    <w:sectPr w:rsidR="008050BA" w:rsidRPr="00595916" w:rsidSect="003A275F">
      <w:pgSz w:w="15840" w:h="12240" w:orient="landscape"/>
      <w:pgMar w:top="144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B76" w:rsidRDefault="009E4B76" w:rsidP="00F23182">
      <w:pPr>
        <w:spacing w:before="0" w:after="0" w:line="240" w:lineRule="auto"/>
      </w:pPr>
      <w:r>
        <w:separator/>
      </w:r>
    </w:p>
  </w:endnote>
  <w:endnote w:type="continuationSeparator" w:id="0">
    <w:p w:rsidR="009E4B76" w:rsidRDefault="009E4B76" w:rsidP="00F23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B76" w:rsidRDefault="009E4B76" w:rsidP="00F23182">
      <w:pPr>
        <w:spacing w:before="0" w:after="0" w:line="240" w:lineRule="auto"/>
      </w:pPr>
      <w:r>
        <w:separator/>
      </w:r>
    </w:p>
  </w:footnote>
  <w:footnote w:type="continuationSeparator" w:id="0">
    <w:p w:rsidR="009E4B76" w:rsidRDefault="009E4B76" w:rsidP="00F231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3112CD16">
      <w:start w:val="1"/>
      <w:numFmt w:val="bullet"/>
      <w:lvlText w:val=""/>
      <w:lvlJc w:val="left"/>
      <w:pPr>
        <w:ind w:left="1211" w:hanging="360"/>
      </w:pPr>
      <w:rPr>
        <w:rFonts w:ascii="Symbol" w:hAnsi="Symbol"/>
        <w:b w:val="0"/>
        <w:bCs w:val="0"/>
      </w:rPr>
    </w:lvl>
    <w:lvl w:ilvl="1" w:tplc="55865B16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 w:tplc="B9964958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 w:tplc="1DB8627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 w:tplc="A4747A2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 w:tplc="462A12CA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 w:tplc="0D7A612C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 w:tplc="5FE2F60A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 w:tplc="7F3A70C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1" w15:restartNumberingAfterBreak="0">
    <w:nsid w:val="017E6AA2"/>
    <w:multiLevelType w:val="hybridMultilevel"/>
    <w:tmpl w:val="8E62AC3C"/>
    <w:lvl w:ilvl="0" w:tplc="F2A41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16D2"/>
    <w:multiLevelType w:val="hybridMultilevel"/>
    <w:tmpl w:val="DF601B78"/>
    <w:lvl w:ilvl="0" w:tplc="3B06C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6480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58F5"/>
    <w:multiLevelType w:val="multilevel"/>
    <w:tmpl w:val="D558237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4" w15:restartNumberingAfterBreak="0">
    <w:nsid w:val="0B0D15E7"/>
    <w:multiLevelType w:val="hybridMultilevel"/>
    <w:tmpl w:val="FE44FF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745A4"/>
    <w:multiLevelType w:val="hybridMultilevel"/>
    <w:tmpl w:val="827C2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4881"/>
    <w:multiLevelType w:val="hybridMultilevel"/>
    <w:tmpl w:val="E7401842"/>
    <w:lvl w:ilvl="0" w:tplc="E90E8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7318F0"/>
    <w:multiLevelType w:val="hybridMultilevel"/>
    <w:tmpl w:val="C20863A2"/>
    <w:lvl w:ilvl="0" w:tplc="08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6207DE7"/>
    <w:multiLevelType w:val="hybridMultilevel"/>
    <w:tmpl w:val="588EC27C"/>
    <w:lvl w:ilvl="0" w:tplc="C098FAD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897787"/>
    <w:multiLevelType w:val="hybridMultilevel"/>
    <w:tmpl w:val="1074720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F6FAE"/>
    <w:multiLevelType w:val="hybridMultilevel"/>
    <w:tmpl w:val="DF601B78"/>
    <w:lvl w:ilvl="0" w:tplc="3B06C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6480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76FAE"/>
    <w:multiLevelType w:val="hybridMultilevel"/>
    <w:tmpl w:val="4D76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25B53"/>
    <w:multiLevelType w:val="hybridMultilevel"/>
    <w:tmpl w:val="1B7CD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585577"/>
    <w:multiLevelType w:val="hybridMultilevel"/>
    <w:tmpl w:val="E6E80ED4"/>
    <w:lvl w:ilvl="0" w:tplc="175CA2FC">
      <w:start w:val="1"/>
      <w:numFmt w:val="bullet"/>
      <w:lvlText w:val="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67C76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4A07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06C3E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409010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E25C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E8A9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A7488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EE042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DC1165"/>
    <w:multiLevelType w:val="hybridMultilevel"/>
    <w:tmpl w:val="18327E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E069D0"/>
    <w:multiLevelType w:val="multilevel"/>
    <w:tmpl w:val="2C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D34D16"/>
    <w:multiLevelType w:val="hybridMultilevel"/>
    <w:tmpl w:val="16D4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64FB"/>
    <w:multiLevelType w:val="multilevel"/>
    <w:tmpl w:val="5DD4F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9914A5C"/>
    <w:multiLevelType w:val="hybridMultilevel"/>
    <w:tmpl w:val="DF601B78"/>
    <w:lvl w:ilvl="0" w:tplc="3B06C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6480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A57A2"/>
    <w:multiLevelType w:val="hybridMultilevel"/>
    <w:tmpl w:val="6E5EA70A"/>
    <w:lvl w:ilvl="0" w:tplc="B6AECFF0">
      <w:start w:val="1"/>
      <w:numFmt w:val="bullet"/>
      <w:lvlText w:val="-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AF33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AA7F8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45C30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E5D0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02C44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E36B8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0D12C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C31FA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4E48A7"/>
    <w:multiLevelType w:val="hybridMultilevel"/>
    <w:tmpl w:val="BDE6B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600E0"/>
    <w:multiLevelType w:val="hybridMultilevel"/>
    <w:tmpl w:val="826C033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3CE2F97"/>
    <w:multiLevelType w:val="hybridMultilevel"/>
    <w:tmpl w:val="153CF40E"/>
    <w:lvl w:ilvl="0" w:tplc="3B06C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6480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06E25"/>
    <w:multiLevelType w:val="hybridMultilevel"/>
    <w:tmpl w:val="87F0A0FC"/>
    <w:lvl w:ilvl="0" w:tplc="8AC40466">
      <w:start w:val="1"/>
      <w:numFmt w:val="bullet"/>
      <w:lvlText w:val="-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C3ABC">
      <w:start w:val="1"/>
      <w:numFmt w:val="bullet"/>
      <w:lvlText w:val="o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6A97E">
      <w:start w:val="1"/>
      <w:numFmt w:val="bullet"/>
      <w:lvlText w:val="▪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60C66">
      <w:start w:val="1"/>
      <w:numFmt w:val="bullet"/>
      <w:lvlText w:val="•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A8ECC">
      <w:start w:val="1"/>
      <w:numFmt w:val="bullet"/>
      <w:lvlText w:val="o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46FF6">
      <w:start w:val="1"/>
      <w:numFmt w:val="bullet"/>
      <w:lvlText w:val="▪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84B9C">
      <w:start w:val="1"/>
      <w:numFmt w:val="bullet"/>
      <w:lvlText w:val="•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AB028">
      <w:start w:val="1"/>
      <w:numFmt w:val="bullet"/>
      <w:lvlText w:val="o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A50A8">
      <w:start w:val="1"/>
      <w:numFmt w:val="bullet"/>
      <w:lvlText w:val="▪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D9041E"/>
    <w:multiLevelType w:val="hybridMultilevel"/>
    <w:tmpl w:val="DF601B78"/>
    <w:lvl w:ilvl="0" w:tplc="3B06C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6480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638BE"/>
    <w:multiLevelType w:val="hybridMultilevel"/>
    <w:tmpl w:val="DF601B78"/>
    <w:lvl w:ilvl="0" w:tplc="3B06C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6480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F5261"/>
    <w:multiLevelType w:val="hybridMultilevel"/>
    <w:tmpl w:val="47A4D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B81916"/>
    <w:multiLevelType w:val="hybridMultilevel"/>
    <w:tmpl w:val="1B7CD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6F3659"/>
    <w:multiLevelType w:val="multilevel"/>
    <w:tmpl w:val="74BA63D2"/>
    <w:lvl w:ilvl="0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192CA0"/>
    <w:multiLevelType w:val="hybridMultilevel"/>
    <w:tmpl w:val="65C6E52A"/>
    <w:lvl w:ilvl="0" w:tplc="F95CFAEA">
      <w:start w:val="1"/>
      <w:numFmt w:val="bullet"/>
      <w:lvlText w:val="•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56682AA">
      <w:start w:val="1"/>
      <w:numFmt w:val="bullet"/>
      <w:lvlText w:val="o"/>
      <w:lvlJc w:val="left"/>
      <w:pPr>
        <w:ind w:left="1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B4A6DC">
      <w:start w:val="1"/>
      <w:numFmt w:val="bullet"/>
      <w:lvlText w:val="▪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3AA2F0">
      <w:start w:val="1"/>
      <w:numFmt w:val="bullet"/>
      <w:lvlText w:val="•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EB24942">
      <w:start w:val="1"/>
      <w:numFmt w:val="bullet"/>
      <w:lvlText w:val="o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A059A4">
      <w:start w:val="1"/>
      <w:numFmt w:val="bullet"/>
      <w:lvlText w:val="▪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70BCEC">
      <w:start w:val="1"/>
      <w:numFmt w:val="bullet"/>
      <w:lvlText w:val="•"/>
      <w:lvlJc w:val="left"/>
      <w:pPr>
        <w:ind w:left="5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385E2C">
      <w:start w:val="1"/>
      <w:numFmt w:val="bullet"/>
      <w:lvlText w:val="o"/>
      <w:lvlJc w:val="left"/>
      <w:pPr>
        <w:ind w:left="5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BA496A">
      <w:start w:val="1"/>
      <w:numFmt w:val="bullet"/>
      <w:lvlText w:val="▪"/>
      <w:lvlJc w:val="left"/>
      <w:pPr>
        <w:ind w:left="6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547BD0"/>
    <w:multiLevelType w:val="hybridMultilevel"/>
    <w:tmpl w:val="6FDA68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29"/>
  </w:num>
  <w:num w:numId="5">
    <w:abstractNumId w:val="30"/>
  </w:num>
  <w:num w:numId="6">
    <w:abstractNumId w:val="14"/>
  </w:num>
  <w:num w:numId="7">
    <w:abstractNumId w:val="13"/>
  </w:num>
  <w:num w:numId="8">
    <w:abstractNumId w:val="23"/>
  </w:num>
  <w:num w:numId="9">
    <w:abstractNumId w:val="19"/>
  </w:num>
  <w:num w:numId="10">
    <w:abstractNumId w:val="7"/>
  </w:num>
  <w:num w:numId="11">
    <w:abstractNumId w:val="21"/>
  </w:num>
  <w:num w:numId="12">
    <w:abstractNumId w:val="5"/>
  </w:num>
  <w:num w:numId="13">
    <w:abstractNumId w:val="8"/>
  </w:num>
  <w:num w:numId="14">
    <w:abstractNumId w:val="0"/>
  </w:num>
  <w:num w:numId="15">
    <w:abstractNumId w:val="11"/>
  </w:num>
  <w:num w:numId="16">
    <w:abstractNumId w:val="20"/>
  </w:num>
  <w:num w:numId="17">
    <w:abstractNumId w:val="2"/>
  </w:num>
  <w:num w:numId="18">
    <w:abstractNumId w:val="24"/>
  </w:num>
  <w:num w:numId="19">
    <w:abstractNumId w:val="4"/>
  </w:num>
  <w:num w:numId="20">
    <w:abstractNumId w:val="6"/>
  </w:num>
  <w:num w:numId="21">
    <w:abstractNumId w:val="26"/>
  </w:num>
  <w:num w:numId="22">
    <w:abstractNumId w:val="12"/>
  </w:num>
  <w:num w:numId="23">
    <w:abstractNumId w:val="27"/>
  </w:num>
  <w:num w:numId="24">
    <w:abstractNumId w:val="1"/>
  </w:num>
  <w:num w:numId="25">
    <w:abstractNumId w:val="10"/>
  </w:num>
  <w:num w:numId="26">
    <w:abstractNumId w:val="3"/>
  </w:num>
  <w:num w:numId="27">
    <w:abstractNumId w:val="17"/>
  </w:num>
  <w:num w:numId="28">
    <w:abstractNumId w:val="18"/>
  </w:num>
  <w:num w:numId="29">
    <w:abstractNumId w:val="9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ADF"/>
    <w:rsid w:val="000067E0"/>
    <w:rsid w:val="000267FC"/>
    <w:rsid w:val="000374BE"/>
    <w:rsid w:val="00040D01"/>
    <w:rsid w:val="00041656"/>
    <w:rsid w:val="000516C4"/>
    <w:rsid w:val="00051ADF"/>
    <w:rsid w:val="0007621C"/>
    <w:rsid w:val="000802F0"/>
    <w:rsid w:val="000B0FEF"/>
    <w:rsid w:val="000B39B9"/>
    <w:rsid w:val="000D1B5B"/>
    <w:rsid w:val="000F7B49"/>
    <w:rsid w:val="000F7D06"/>
    <w:rsid w:val="00104DE7"/>
    <w:rsid w:val="001058C1"/>
    <w:rsid w:val="00113092"/>
    <w:rsid w:val="00124A08"/>
    <w:rsid w:val="00134AFE"/>
    <w:rsid w:val="001504FD"/>
    <w:rsid w:val="0017201C"/>
    <w:rsid w:val="001777FB"/>
    <w:rsid w:val="00184D64"/>
    <w:rsid w:val="0019683A"/>
    <w:rsid w:val="001A3173"/>
    <w:rsid w:val="001B1EEE"/>
    <w:rsid w:val="001C192E"/>
    <w:rsid w:val="001E2B75"/>
    <w:rsid w:val="001E3A2B"/>
    <w:rsid w:val="001E73E4"/>
    <w:rsid w:val="002044EA"/>
    <w:rsid w:val="00217E10"/>
    <w:rsid w:val="00220899"/>
    <w:rsid w:val="00225EEC"/>
    <w:rsid w:val="002309BF"/>
    <w:rsid w:val="00262568"/>
    <w:rsid w:val="00293662"/>
    <w:rsid w:val="002B6E06"/>
    <w:rsid w:val="002C1232"/>
    <w:rsid w:val="003033C0"/>
    <w:rsid w:val="003163A5"/>
    <w:rsid w:val="00341C13"/>
    <w:rsid w:val="00347243"/>
    <w:rsid w:val="003A2336"/>
    <w:rsid w:val="003A275F"/>
    <w:rsid w:val="003A5872"/>
    <w:rsid w:val="003B291D"/>
    <w:rsid w:val="003B4D9E"/>
    <w:rsid w:val="003B536E"/>
    <w:rsid w:val="003E1F1B"/>
    <w:rsid w:val="004063EC"/>
    <w:rsid w:val="00420ABA"/>
    <w:rsid w:val="0043577C"/>
    <w:rsid w:val="004428F6"/>
    <w:rsid w:val="0047765C"/>
    <w:rsid w:val="00482AC1"/>
    <w:rsid w:val="004857B9"/>
    <w:rsid w:val="004B32BA"/>
    <w:rsid w:val="004C00E3"/>
    <w:rsid w:val="004C4BBA"/>
    <w:rsid w:val="004D2EB7"/>
    <w:rsid w:val="004D6F3D"/>
    <w:rsid w:val="004E0081"/>
    <w:rsid w:val="005053C2"/>
    <w:rsid w:val="00544CBE"/>
    <w:rsid w:val="0054752B"/>
    <w:rsid w:val="00567C99"/>
    <w:rsid w:val="005769B5"/>
    <w:rsid w:val="00580E48"/>
    <w:rsid w:val="00581A69"/>
    <w:rsid w:val="00587BB3"/>
    <w:rsid w:val="00595916"/>
    <w:rsid w:val="005A1DC1"/>
    <w:rsid w:val="005B0D6A"/>
    <w:rsid w:val="005D6BEA"/>
    <w:rsid w:val="005D7002"/>
    <w:rsid w:val="005F6F79"/>
    <w:rsid w:val="0061053B"/>
    <w:rsid w:val="0061703B"/>
    <w:rsid w:val="00622301"/>
    <w:rsid w:val="006242CE"/>
    <w:rsid w:val="00627506"/>
    <w:rsid w:val="00646D85"/>
    <w:rsid w:val="00667B6E"/>
    <w:rsid w:val="00692D3F"/>
    <w:rsid w:val="006A21E3"/>
    <w:rsid w:val="006A5568"/>
    <w:rsid w:val="006B4F35"/>
    <w:rsid w:val="006D397B"/>
    <w:rsid w:val="006E4B97"/>
    <w:rsid w:val="006F6DBB"/>
    <w:rsid w:val="006F7EEC"/>
    <w:rsid w:val="007069D6"/>
    <w:rsid w:val="007131BD"/>
    <w:rsid w:val="00717AEC"/>
    <w:rsid w:val="00730D3F"/>
    <w:rsid w:val="00732946"/>
    <w:rsid w:val="00750FA3"/>
    <w:rsid w:val="00773E1F"/>
    <w:rsid w:val="00781AEE"/>
    <w:rsid w:val="00785F6E"/>
    <w:rsid w:val="00792C5F"/>
    <w:rsid w:val="0079588F"/>
    <w:rsid w:val="007A515D"/>
    <w:rsid w:val="007A6211"/>
    <w:rsid w:val="007C737E"/>
    <w:rsid w:val="007D59FF"/>
    <w:rsid w:val="007D5D76"/>
    <w:rsid w:val="007F0FDF"/>
    <w:rsid w:val="007F7D07"/>
    <w:rsid w:val="008050BA"/>
    <w:rsid w:val="0081665C"/>
    <w:rsid w:val="0082081B"/>
    <w:rsid w:val="00831A82"/>
    <w:rsid w:val="00834757"/>
    <w:rsid w:val="0083494D"/>
    <w:rsid w:val="00853F4F"/>
    <w:rsid w:val="00860EE0"/>
    <w:rsid w:val="00870FD3"/>
    <w:rsid w:val="00875FCE"/>
    <w:rsid w:val="00877814"/>
    <w:rsid w:val="00881771"/>
    <w:rsid w:val="008851A5"/>
    <w:rsid w:val="00885BD4"/>
    <w:rsid w:val="008966F3"/>
    <w:rsid w:val="008A5671"/>
    <w:rsid w:val="008C2A2B"/>
    <w:rsid w:val="008C4CE9"/>
    <w:rsid w:val="008C74C3"/>
    <w:rsid w:val="008D0BDA"/>
    <w:rsid w:val="008F43DA"/>
    <w:rsid w:val="00907D47"/>
    <w:rsid w:val="00920863"/>
    <w:rsid w:val="00923DC3"/>
    <w:rsid w:val="00924A31"/>
    <w:rsid w:val="00932283"/>
    <w:rsid w:val="009500FA"/>
    <w:rsid w:val="00956A9E"/>
    <w:rsid w:val="00995C5A"/>
    <w:rsid w:val="009A6AA6"/>
    <w:rsid w:val="009D3D69"/>
    <w:rsid w:val="009E35C7"/>
    <w:rsid w:val="009E4B76"/>
    <w:rsid w:val="009F6D9C"/>
    <w:rsid w:val="00A037EA"/>
    <w:rsid w:val="00A10826"/>
    <w:rsid w:val="00A11C9C"/>
    <w:rsid w:val="00A2010F"/>
    <w:rsid w:val="00A30000"/>
    <w:rsid w:val="00A40E29"/>
    <w:rsid w:val="00A70F7E"/>
    <w:rsid w:val="00A77EEA"/>
    <w:rsid w:val="00A9724E"/>
    <w:rsid w:val="00AC3230"/>
    <w:rsid w:val="00AE0B25"/>
    <w:rsid w:val="00AE49A2"/>
    <w:rsid w:val="00B17AAA"/>
    <w:rsid w:val="00B200AC"/>
    <w:rsid w:val="00B42776"/>
    <w:rsid w:val="00B538CA"/>
    <w:rsid w:val="00B54B09"/>
    <w:rsid w:val="00B568F1"/>
    <w:rsid w:val="00B601EC"/>
    <w:rsid w:val="00B7751B"/>
    <w:rsid w:val="00B91565"/>
    <w:rsid w:val="00BB543A"/>
    <w:rsid w:val="00BC3681"/>
    <w:rsid w:val="00BD0E1A"/>
    <w:rsid w:val="00BD126C"/>
    <w:rsid w:val="00BE23C4"/>
    <w:rsid w:val="00C0171C"/>
    <w:rsid w:val="00C0238E"/>
    <w:rsid w:val="00C05056"/>
    <w:rsid w:val="00C12F38"/>
    <w:rsid w:val="00C130DD"/>
    <w:rsid w:val="00C55288"/>
    <w:rsid w:val="00C63C80"/>
    <w:rsid w:val="00C67787"/>
    <w:rsid w:val="00C7531B"/>
    <w:rsid w:val="00C8307B"/>
    <w:rsid w:val="00C8368F"/>
    <w:rsid w:val="00CA1C2E"/>
    <w:rsid w:val="00CA2279"/>
    <w:rsid w:val="00CA28D8"/>
    <w:rsid w:val="00CA78F9"/>
    <w:rsid w:val="00CC30DD"/>
    <w:rsid w:val="00CC7ECE"/>
    <w:rsid w:val="00CD24C3"/>
    <w:rsid w:val="00CE278B"/>
    <w:rsid w:val="00D02C55"/>
    <w:rsid w:val="00D078B3"/>
    <w:rsid w:val="00D64D36"/>
    <w:rsid w:val="00D736A4"/>
    <w:rsid w:val="00D8140A"/>
    <w:rsid w:val="00D8326F"/>
    <w:rsid w:val="00DC2076"/>
    <w:rsid w:val="00DD4F78"/>
    <w:rsid w:val="00DD5DAD"/>
    <w:rsid w:val="00DD6E1D"/>
    <w:rsid w:val="00DE49AD"/>
    <w:rsid w:val="00E02B83"/>
    <w:rsid w:val="00E06CA6"/>
    <w:rsid w:val="00E0742C"/>
    <w:rsid w:val="00E21D6D"/>
    <w:rsid w:val="00E64CD0"/>
    <w:rsid w:val="00E761F4"/>
    <w:rsid w:val="00EC5EF5"/>
    <w:rsid w:val="00ED080B"/>
    <w:rsid w:val="00EE3116"/>
    <w:rsid w:val="00EF0A96"/>
    <w:rsid w:val="00F06362"/>
    <w:rsid w:val="00F107A2"/>
    <w:rsid w:val="00F23182"/>
    <w:rsid w:val="00F27A67"/>
    <w:rsid w:val="00F33601"/>
    <w:rsid w:val="00F37493"/>
    <w:rsid w:val="00F423A9"/>
    <w:rsid w:val="00F450C3"/>
    <w:rsid w:val="00F53170"/>
    <w:rsid w:val="00F6264E"/>
    <w:rsid w:val="00F87E41"/>
    <w:rsid w:val="00F94896"/>
    <w:rsid w:val="00F9590B"/>
    <w:rsid w:val="00FA389B"/>
    <w:rsid w:val="00FC7A8B"/>
    <w:rsid w:val="00FF0478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6D7C"/>
  <w15:docId w15:val="{23A19D02-E69D-4378-9DB6-1C04937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ADF"/>
    <w:pPr>
      <w:spacing w:before="120" w:after="120" w:line="264" w:lineRule="auto"/>
      <w:jc w:val="both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6F3"/>
    <w:pPr>
      <w:numPr>
        <w:numId w:val="1"/>
      </w:numPr>
      <w:spacing w:before="0" w:after="0" w:line="240" w:lineRule="auto"/>
      <w:outlineLvl w:val="0"/>
    </w:pPr>
    <w:rPr>
      <w:rFonts w:ascii="Arial" w:eastAsiaTheme="minorHAnsi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6F3"/>
    <w:pPr>
      <w:numPr>
        <w:ilvl w:val="1"/>
        <w:numId w:val="1"/>
      </w:numPr>
      <w:tabs>
        <w:tab w:val="left" w:pos="1134"/>
      </w:tabs>
      <w:outlineLvl w:val="1"/>
    </w:pPr>
    <w:rPr>
      <w:rFonts w:ascii="Arial" w:eastAsiaTheme="minorHAnsi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6F3"/>
    <w:pPr>
      <w:numPr>
        <w:ilvl w:val="2"/>
        <w:numId w:val="1"/>
      </w:numPr>
      <w:tabs>
        <w:tab w:val="left" w:pos="1134"/>
      </w:tabs>
      <w:outlineLvl w:val="2"/>
    </w:pPr>
    <w:rPr>
      <w:rFonts w:ascii="Arial" w:eastAsiaTheme="minorHAnsi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66F3"/>
    <w:pPr>
      <w:keepNext/>
      <w:keepLines/>
      <w:numPr>
        <w:ilvl w:val="3"/>
        <w:numId w:val="1"/>
      </w:numPr>
      <w:outlineLvl w:val="3"/>
    </w:pPr>
    <w:rPr>
      <w:rFonts w:asciiTheme="minorHAnsi" w:eastAsiaTheme="majorEastAsia" w:hAnsiTheme="minorHAnsi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66F3"/>
    <w:pPr>
      <w:keepNext/>
      <w:keepLines/>
      <w:numPr>
        <w:ilvl w:val="4"/>
        <w:numId w:val="1"/>
      </w:numPr>
      <w:outlineLvl w:val="4"/>
    </w:pPr>
    <w:rPr>
      <w:rFonts w:asciiTheme="minorHAnsi" w:eastAsiaTheme="majorEastAsia" w:hAnsiTheme="min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1ADF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51ADF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966F3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8966F3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8966F3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8966F3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966F3"/>
    <w:rPr>
      <w:rFonts w:eastAsiaTheme="majorEastAsia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6F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6F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966F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966F3"/>
    <w:pPr>
      <w:keepNext/>
      <w:keepLines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966F3"/>
    <w:pPr>
      <w:spacing w:after="100"/>
      <w:ind w:left="240"/>
    </w:pPr>
    <w:rPr>
      <w:rFonts w:asciiTheme="minorHAnsi" w:eastAsiaTheme="minorHAnsi" w:hAnsiTheme="minorHAnsi" w:cstheme="minorBidi"/>
    </w:rPr>
  </w:style>
  <w:style w:type="paragraph" w:styleId="TOC1">
    <w:name w:val="toc 1"/>
    <w:basedOn w:val="Normal"/>
    <w:next w:val="Normal"/>
    <w:autoRedefine/>
    <w:uiPriority w:val="39"/>
    <w:unhideWhenUsed/>
    <w:rsid w:val="008966F3"/>
    <w:pPr>
      <w:spacing w:after="100"/>
    </w:pPr>
    <w:rPr>
      <w:rFonts w:asciiTheme="minorHAnsi" w:eastAsiaTheme="minorHAnsi" w:hAnsi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8966F3"/>
    <w:pPr>
      <w:spacing w:after="100"/>
      <w:ind w:left="480"/>
    </w:pPr>
    <w:rPr>
      <w:rFonts w:asciiTheme="minorHAnsi" w:eastAsiaTheme="minorHAnsi" w:hAnsiTheme="minorHAnsi" w:cstheme="minorBidi"/>
    </w:rPr>
  </w:style>
  <w:style w:type="paragraph" w:styleId="ListParagraph">
    <w:name w:val="List Paragraph"/>
    <w:aliases w:val="Table of contents numbered,Bullet Points,Liste Paragraf,lp1"/>
    <w:basedOn w:val="Normal"/>
    <w:link w:val="ListParagraphChar"/>
    <w:uiPriority w:val="34"/>
    <w:qFormat/>
    <w:rsid w:val="005D7002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Table of contents numbered Char,Bullet Points Char,Liste Paragraf Char,lp1 Char"/>
    <w:link w:val="ListParagraph"/>
    <w:uiPriority w:val="34"/>
    <w:locked/>
    <w:rsid w:val="005D7002"/>
  </w:style>
  <w:style w:type="table" w:styleId="TableGrid">
    <w:name w:val="Table Grid"/>
    <w:basedOn w:val="TableNormal"/>
    <w:uiPriority w:val="39"/>
    <w:rsid w:val="00DD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0F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kon">
    <w:name w:val="_2zakon"/>
    <w:basedOn w:val="Normal"/>
    <w:rsid w:val="009322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23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182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23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182"/>
    <w:rPr>
      <w:rFonts w:ascii="Calibri" w:eastAsia="Calibri" w:hAnsi="Calibri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730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730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730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730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730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0D3F"/>
    <w:pPr>
      <w:spacing w:before="0" w:after="0" w:line="240" w:lineRule="auto"/>
      <w:ind w:left="656" w:firstLine="7"/>
    </w:pPr>
    <w:rPr>
      <w:rFonts w:cs="Calibri"/>
      <w:color w:val="000000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0D3F"/>
    <w:rPr>
      <w:rFonts w:ascii="Calibri" w:eastAsia="Calibri" w:hAnsi="Calibri" w:cs="Calibri"/>
      <w:color w:val="000000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30D3F"/>
    <w:rPr>
      <w:vertAlign w:val="superscript"/>
    </w:rPr>
  </w:style>
  <w:style w:type="table" w:customStyle="1" w:styleId="TableGrid6">
    <w:name w:val="Table Grid6"/>
    <w:basedOn w:val="TableNormal"/>
    <w:next w:val="TableGrid"/>
    <w:uiPriority w:val="59"/>
    <w:rsid w:val="00730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730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rsid w:val="008A5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8A5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A5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32946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816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16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16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6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6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0B25"/>
    <w:pPr>
      <w:spacing w:before="0" w:after="0" w:line="240" w:lineRule="auto"/>
      <w:jc w:val="left"/>
    </w:pPr>
    <w:rPr>
      <w:rFonts w:eastAsiaTheme="minorHAns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me/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22CC-B1A7-4EDA-BBBA-7C57BF8E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44</Pages>
  <Words>7272</Words>
  <Characters>41457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Tufegdzic</dc:creator>
  <cp:lastModifiedBy>Milica Musovic</cp:lastModifiedBy>
  <cp:revision>15</cp:revision>
  <cp:lastPrinted>2024-04-02T11:22:00Z</cp:lastPrinted>
  <dcterms:created xsi:type="dcterms:W3CDTF">2024-02-03T22:20:00Z</dcterms:created>
  <dcterms:modified xsi:type="dcterms:W3CDTF">2024-04-18T06:33:00Z</dcterms:modified>
</cp:coreProperties>
</file>