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8C" w:rsidRPr="007D0B06" w:rsidRDefault="0067538C" w:rsidP="0067538C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</w:p>
    <w:tbl>
      <w:tblPr>
        <w:tblStyle w:val="LightGrid-Accent5"/>
        <w:tblW w:w="10456" w:type="dxa"/>
        <w:tblLayout w:type="fixed"/>
        <w:tblLook w:val="04A0" w:firstRow="1" w:lastRow="0" w:firstColumn="1" w:lastColumn="0" w:noHBand="0" w:noVBand="1"/>
      </w:tblPr>
      <w:tblGrid>
        <w:gridCol w:w="3978"/>
        <w:gridCol w:w="6478"/>
      </w:tblGrid>
      <w:tr w:rsidR="0067538C" w:rsidRPr="007D0B06" w:rsidTr="001669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8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IZVJEŠTAJ O SPROVEDENOJ ANALIZI PROCJENE UTICAJA PROPISA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PREDLAGAČ PROPISA</w:t>
            </w:r>
          </w:p>
        </w:tc>
        <w:tc>
          <w:tcPr>
            <w:tcW w:w="6478" w:type="dxa"/>
          </w:tcPr>
          <w:p w:rsidR="0067538C" w:rsidRPr="00E64561" w:rsidRDefault="00E64561" w:rsidP="00166974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RS"/>
              </w:rPr>
            </w:pPr>
            <w:r w:rsidRPr="00E6456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RS"/>
              </w:rPr>
              <w:t>Ministarstvo pravde</w:t>
            </w: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NAZIV PROPISA</w:t>
            </w:r>
          </w:p>
        </w:tc>
        <w:tc>
          <w:tcPr>
            <w:tcW w:w="6478" w:type="dxa"/>
          </w:tcPr>
          <w:p w:rsidR="0067538C" w:rsidRPr="007D0B06" w:rsidRDefault="0067538C" w:rsidP="001669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</w:p>
          <w:p w:rsidR="0067538C" w:rsidRPr="00674F57" w:rsidRDefault="0087239B" w:rsidP="006B28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RS"/>
              </w:rPr>
              <w:t>Zakon o alternativnim načinima rješavanja</w:t>
            </w:r>
            <w:r w:rsidR="00674F57" w:rsidRPr="00674F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RS"/>
              </w:rPr>
              <w:t xml:space="preserve"> sporova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1. Definisanje problema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probleme treba da riješi predloženi akt?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su uzroci problema?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su posljedice problema?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su subjekti oštećeni, na koji način i u kojoj mjeri?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Kako bi problem evoluirao bez promjene propisa (“status quo” opcija)?</w:t>
            </w:r>
          </w:p>
        </w:tc>
      </w:tr>
      <w:tr w:rsidR="0067538C" w:rsidRPr="007D0B06" w:rsidTr="007402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F95519" w:rsidRDefault="00F95519" w:rsidP="00E64561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  <w:p w:rsidR="00600223" w:rsidRDefault="00E64561" w:rsidP="00E64561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8A6F1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Jedan od prioriteta Evropske unije i drugih međunarodnih organizacija je podsticanje alternativnog rješavanja sporova. Ustavno zajemčeni i standardni način rješavanja svih sporova o pravima kojima stranke mogu slobodno raspolagati je sudski postupak. Međutim,  društveno je poželjno pravo, a u sve većoj mjeri i dužnost stranaka da pri rješavanju sporova iscrpe sve druge mogućnosti prije nego se obrate pravosudnim organima.</w:t>
            </w:r>
          </w:p>
          <w:p w:rsidR="00F95519" w:rsidRDefault="00F95519" w:rsidP="00E64561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  <w:p w:rsidR="00600223" w:rsidRDefault="00AF768F" w:rsidP="00E64561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S tim u vezi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prepoznat je značaj alternativnih načina</w:t>
            </w:r>
            <w:r w:rsidR="0060022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rješavanja sporova kao efikasn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ih</w:t>
            </w:r>
            <w:r w:rsidR="0060022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 finansijski isplativ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ih</w:t>
            </w:r>
            <w:r w:rsidR="0060022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 održiv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ih</w:t>
            </w:r>
            <w:r w:rsidR="0060022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i dostupn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ih</w:t>
            </w:r>
            <w:r w:rsidR="0060022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načina rješavanja sporova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. Samim tim se</w:t>
            </w:r>
            <w:r w:rsidR="0060022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pokazalo</w:t>
            </w:r>
            <w:r w:rsidR="00FC78F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da je trenutno stanje koje odlikuje n</w:t>
            </w:r>
            <w:r w:rsidR="0060022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ejedinstveno i nekoherentno uređenje alternativnih načina rješavanja sporova, kao i </w:t>
            </w:r>
            <w:r w:rsidR="00FC78F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njihova </w:t>
            </w:r>
            <w:r w:rsidR="0060022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nedovoljna afirmisanost </w:t>
            </w:r>
            <w:r w:rsidR="00FC78F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osnovni problem koji predloženi akt treba da otkloni. </w:t>
            </w:r>
          </w:p>
          <w:p w:rsidR="00F95519" w:rsidRDefault="00F95519" w:rsidP="00E64561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  <w:p w:rsidR="00600223" w:rsidRDefault="005738FA" w:rsidP="00E64561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Navedeni</w:t>
            </w:r>
            <w:r w:rsidR="00AF768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problem uzrokovan je postojećom zakonskom regulativom</w:t>
            </w:r>
            <w:r w:rsidR="00B0222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koja ne obezbjeđuje jedinstveni normativni okvir u ovoj oblasti, već pojedine procedure alternativnog rješavanja sporova uređuje odredbama više propisa. Primjera radi, u Zakonu o parničnom postupku se u odnosu na građansko-pravne sporove nalaz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e odredbe koje se odnose na upuć</w:t>
            </w:r>
            <w:r w:rsidR="00B0222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ivanje u posredovanje i na sudu pridruženu medijaciju u takvim sporovima; u Porodičnom zakonu, u odnosu na sporove iz porodičnih odnosa, nalaze se odredbe o posredovanju u porodičnim sporovima i u sporovima radi zaštite prava i ineteresa djeteta i ostalih članova porodice; u Zakonu o stečaju posredovanje je predviđeno u sporovima koji nastaju povodom stečaja, dok se posredovanje predviđa i kao metoda ponovnog uređenja dužničko-povjerilačkih odnosa u postupku restrukturiranja iz Zakona o sporazumnom finansijskom restrukturiranju dugova prema finansijskim institucijama; Zakonom o mirnom rješavanju radnih sporova uređeno je kolektivno i individualno rješavanje radnih sporova. Takođe, vrlo aktuelno pitanje rješavanja potrošačkih sporova je predmet aktivnosti Privredne komore, pri kojoj je obrazovan Odbora za vansudsko rješavanje potrošačkih sporova</w:t>
            </w:r>
            <w:r w:rsidR="00B42F4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. </w:t>
            </w:r>
            <w:r w:rsidR="00AA078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Takođe, uređenje alternativnog rješavanja sporova u najvećoj mjeri je ograničeno na posredovanje, dok druge metode alternativnog rješavanja sporova nisu zakonom uređene. </w:t>
            </w:r>
            <w:r w:rsidR="00DC0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Dosadašnja i</w:t>
            </w:r>
            <w:r w:rsidR="00051BA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str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aživanje javnog mnjenja pokazala</w:t>
            </w:r>
            <w:r w:rsidR="00051BA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DC0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su da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DC0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građani nisu dovoljno informisani o institut</w:t>
            </w:r>
            <w:r w:rsidR="00AD7B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</w:t>
            </w:r>
            <w:r w:rsidR="00DC0E0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posredovanja </w:t>
            </w:r>
            <w:r w:rsidR="00AD7B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i njegove</w:t>
            </w:r>
            <w:r w:rsidR="00051BA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praktične koristi kao metode rješavanja sporova. </w:t>
            </w:r>
          </w:p>
          <w:p w:rsidR="00F95519" w:rsidRDefault="00F95519" w:rsidP="00E64561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  <w:p w:rsidR="00291E14" w:rsidRDefault="009D7ECD" w:rsidP="00E64561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Opisano </w:t>
            </w:r>
            <w:r w:rsidR="00AC19F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stanje predmetne oblasti prvenstveno ima za posljedicu neusklađenost zakonodavnog okvira sa pravom Evropske u</w:t>
            </w:r>
            <w:r w:rsidR="006D10F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nije, kod činjenice da sama raz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r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uđenost materije ne obezbjeđuje dosljednost i </w:t>
            </w:r>
            <w:r w:rsidR="00942C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rad na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unapređenj</w:t>
            </w:r>
            <w:r w:rsidR="00942C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</w:t>
            </w:r>
            <w:r w:rsidR="00FD3EF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</w:t>
            </w:r>
            <w:r w:rsidR="006D10F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a </w:t>
            </w:r>
            <w:r w:rsidR="00942C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sve u cilju praćenja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aktueln</w:t>
            </w:r>
            <w:r w:rsidR="00942C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e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evropsk</w:t>
            </w:r>
            <w:r w:rsidR="00942C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e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praks</w:t>
            </w:r>
            <w:r w:rsidR="00942CE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e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. </w:t>
            </w:r>
            <w:r w:rsidR="00FD3EF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Dalje, pored postojećih organa i institucija</w:t>
            </w:r>
            <w:r w:rsidR="00F90A6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</w:t>
            </w:r>
            <w:r w:rsidR="00FD3EF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zakonom ovlašćenih na preduzimanje određenih radnji u vezi sa alternativnim rješavanjem sporova, egzistira Centar za posredovanje, kao organizacija sa svojstvom pravnog lica</w:t>
            </w:r>
            <w:r w:rsidR="00F90A6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</w:t>
            </w:r>
            <w:r w:rsidR="00FD3EF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čije područje rada je ograničeno Zakonom o posredovanju, koji ga ovlašćuje na preduzimanje radnji samo u vezi sa posredovanjem, a ne i ostalim načinama alternativnog rješavanja sporova, dok se u nekim sporovima nadležnost pomenutog Centra preklapa sa nadležnošću drugih organa, npr. Agencijom za mirno rješavanje radnih sporova. </w:t>
            </w:r>
            <w:r w:rsidR="00051BA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Takođe, osim posredovanja, drugi načini alternativnog rješavanja sporova u Crnoj Gori se za sada ili vrlo malo koriste ili se uopšte ne koriste. </w:t>
            </w:r>
            <w:r w:rsidR="00E64561" w:rsidRPr="008A6F1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U okolnostima u kojima se mogućnosti alternativnog rješavanja sporova zanemaruju ili  metode ovakvog načina nisu dobro organizovane i dostupne građanima, sudovi postaju preopterećeni, raste broj zaostalih predmeta, produžava se trajanje sudskih postupaka, a troškovi  državnog budžeta i društva u cjelini, nepotrebno rastu. </w:t>
            </w:r>
          </w:p>
          <w:p w:rsidR="00291E14" w:rsidRDefault="00291E14" w:rsidP="00E64561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  <w:p w:rsidR="008A6F10" w:rsidRPr="008A6F10" w:rsidRDefault="00EB14D2" w:rsidP="0087239B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 ovakvom kontekstu, evidentno je da su subjekti prava</w:t>
            </w:r>
            <w:r w:rsidR="0029714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oštećen</w:t>
            </w:r>
            <w:r w:rsidR="0029714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i zbog neadekvatne dostupnosti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pravdi-nedovoljne efikasnosti postojećeg sistema</w:t>
            </w:r>
            <w:r w:rsidR="0029714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koji ne obezbjeđuje finansijski isplativ i efikasan način rješenja, odnosno alternativno rješenje spora.</w:t>
            </w:r>
            <w:r w:rsidR="00EF3F4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Ukoliko se postojeći propi</w:t>
            </w:r>
            <w:r w:rsidR="0029714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s ne izmjeni, pravni sistem u ovoj oblasti ne bi bio usklađen sa dostignućim</w:t>
            </w:r>
            <w:r w:rsidR="00EF3F4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a</w:t>
            </w:r>
            <w:r w:rsidR="0029714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savr</w:t>
            </w:r>
            <w:r w:rsidR="00EF3F4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e</w:t>
            </w:r>
            <w:r w:rsidR="0029714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mene evropske prakse, građanima ne bi bile dostupne druge metode 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aleternativnog rješavanja spora</w:t>
            </w:r>
            <w:r w:rsidR="00EF3F4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 kao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n</w:t>
            </w:r>
            <w:r w:rsidR="0029714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i poslovni ambijent</w:t>
            </w:r>
            <w:r w:rsidR="00EF3F4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zasnovan na saradnji i razvoju.</w:t>
            </w:r>
            <w:r w:rsidR="0029714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E64561" w:rsidRPr="005F2A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u w:val="single"/>
                <w:lang w:val="sr-Latn-RS"/>
              </w:rPr>
              <w:t xml:space="preserve"> 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lastRenderedPageBreak/>
              <w:t>2. Ciljevi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ciljevi se postižu predloženim propisom?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Navesti usklađenost ovih ciljeva sa postojećim strategijama ili programima Vlade, ako je primjenljivo.</w:t>
            </w: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70392A" w:rsidRPr="0070392A" w:rsidRDefault="0070392A" w:rsidP="0070392A">
            <w:pPr>
              <w:spacing w:line="25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Predloženim </w:t>
            </w:r>
            <w:r w:rsidR="00D82D6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propisom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alternativno rješavanje sporova će biti uređeno </w:t>
            </w:r>
            <w:r w:rsidRPr="0070392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na način koji je jedinstven i koherentan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i kojim će se </w:t>
            </w:r>
            <w:r w:rsidRPr="0070392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uspostaviti zajednički normativni okvir i omogućiti koordinacija, razvoj i rast 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alernativnih načina rješavanja spora</w:t>
            </w:r>
            <w:r w:rsidRPr="0070392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.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Donošenjem ovog zakona  </w:t>
            </w:r>
            <w:r w:rsidRPr="0070392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podsticaće se primjena alternativnog rješavanja sporova kao brzog, ekonomičnog i pravičnog načina ostvarivanja prava na pravnu zaštitu i pristupa pravdi, unaprjediti dostupnost alternativnom rješavanju sporova i postići uravnotežen</w:t>
            </w:r>
            <w:r w:rsidR="00700E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odnos </w:t>
            </w:r>
            <w:r w:rsidRPr="0070392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između broja sudskih postupaka i postupaka alternativnog rješavanja sporova.</w:t>
            </w:r>
          </w:p>
          <w:p w:rsidR="0070392A" w:rsidRDefault="0070392A" w:rsidP="00DA00F1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  <w:p w:rsidR="001964F0" w:rsidRDefault="0070392A" w:rsidP="00DA00F1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0392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Takođe, na ovaj način bi i u kontekstu pristupanja Crne Gore Evropskoj uniji bile stvorene optimalne pretpostavke za ispunjavanje sadašnjih i budućih obaveza koje će Crna Gora, kao država članica, imati u pogledu obezbjeđenja kvalitetnog i efikasnog funkcionisanja pravosudnog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s</w:t>
            </w:r>
            <w:r w:rsidRPr="0070392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istema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i</w:t>
            </w:r>
            <w:r w:rsidRPr="0070392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unapređenja pristupa pravdi građanima </w:t>
            </w:r>
            <w:r w:rsidR="00700E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i</w:t>
            </w:r>
            <w:r w:rsidRPr="0070392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pravnim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licima</w:t>
            </w:r>
            <w:r w:rsidRPr="0070392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. </w:t>
            </w:r>
            <w:r w:rsidR="00D82D6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  <w:p w:rsidR="001964F0" w:rsidRDefault="001964F0" w:rsidP="00DA00F1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  <w:p w:rsidR="001964F0" w:rsidRDefault="00543CDF" w:rsidP="00DA00F1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Pomenuti ciljevi su u skladu sa</w:t>
            </w:r>
            <w:r w:rsidR="001964F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1964F0" w:rsidRPr="008A6F1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Srednjoročni</w:t>
            </w:r>
            <w:r w:rsidR="001964F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m</w:t>
            </w:r>
            <w:r w:rsidR="00700E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programom</w:t>
            </w:r>
            <w:r w:rsidR="001964F0" w:rsidRPr="008A6F1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rada Vlade za 2018-2020</w:t>
            </w:r>
            <w:r w:rsidR="001964F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(strateški prioritet 2- Crna Gora država vladavine prava i dobrog upravljanja), kao i sa ciljevima i mjerama iz Programa  </w:t>
            </w:r>
            <w:r w:rsidR="001964F0" w:rsidRPr="008A6F1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razvoja 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alternativnog rješavanja spora</w:t>
            </w:r>
            <w:r w:rsidR="001964F0" w:rsidRPr="008A6F1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2019-2021, koji je donijet u decembru 2018.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1964F0" w:rsidRPr="008A6F1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godine</w:t>
            </w:r>
            <w:r w:rsidR="001964F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, i </w:t>
            </w:r>
            <w:r w:rsidR="00700E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njegovog 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Akcionog plana 2019-2021</w:t>
            </w:r>
            <w:r w:rsidR="001964F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.</w:t>
            </w:r>
          </w:p>
          <w:p w:rsidR="00A109B1" w:rsidRPr="001E6F12" w:rsidRDefault="00A109B1" w:rsidP="001964F0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3. Opcije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Obrazložiti preferiranu opciju?</w:t>
            </w:r>
          </w:p>
          <w:p w:rsidR="008F5079" w:rsidRPr="007D0B06" w:rsidRDefault="008F5079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CD7747" w:rsidRPr="007D0B06" w:rsidRDefault="004C7ABD" w:rsidP="0087239B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8A6F1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Srednjoročni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m programom</w:t>
            </w:r>
            <w:r w:rsidRPr="008A6F1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rada Vlade za 2018-2020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(strateški prioritet 2- Crna Gora država vladavine prava i dobrog upravljanja)</w:t>
            </w:r>
            <w:r w:rsidR="001F703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 usvojen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im</w:t>
            </w:r>
            <w:r w:rsidR="001F703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u januaru 2018.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1F703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godine, i Programom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 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razvoja alternativnog rješavanja sporova</w:t>
            </w:r>
            <w:r w:rsidRPr="008A6F1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2019-2021, koji je </w:t>
            </w:r>
            <w:r w:rsidR="001F703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usvojen</w:t>
            </w:r>
            <w:r w:rsidRPr="008A6F1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u decembru 2018.godine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, </w:t>
            </w:r>
            <w:r w:rsidR="00D75DD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utvrđeni su strateški i operativni ciljevi u ovoj oblasti.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4. Analiza uticaja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 koga će i kako će najvjerovatnije uticati rješenja u propisu - nabrojati pozitivne i negativne uticaje, direktne i indirektne.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troškove će primjena propisa izazvati građanima i privredi (naročito malim i srednjim preduzećima).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pozitivne posljedice donošenja propisa opravdavaju troškove koje će on stvoriti.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se propisom podržava stvaranje novih privrednih subjekata na tržištu i tržišna konkurencija.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Uključiti procjenu administrativnih opterećenja i biznis barijera.</w:t>
            </w:r>
          </w:p>
          <w:p w:rsidR="0067538C" w:rsidRPr="007D0B06" w:rsidRDefault="0067538C" w:rsidP="00166974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</w:p>
          <w:p w:rsidR="0067538C" w:rsidRPr="007D0B06" w:rsidRDefault="0067538C" w:rsidP="00166974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CD7747" w:rsidRPr="00700E1A" w:rsidRDefault="009E5C6A" w:rsidP="0014721C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00E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Rješenja u propisu će pozitivno uticati </w:t>
            </w:r>
            <w:r w:rsidR="00700E1A" w:rsidRPr="00700E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na </w:t>
            </w:r>
            <w:r w:rsidR="00700E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ostvarivanje prava na pravnu zaštitu i </w:t>
            </w:r>
            <w:r w:rsidRPr="00700E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unapređenje pristupa pravdi građanima i pravnim licima </w:t>
            </w:r>
            <w:r w:rsidR="00700E1A" w:rsidRPr="00700E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primjenom alternativnih načina rješavanja sporova kao efikasnog, finansijski isplativog, održivog i dostupnog načina rješavanja sporova</w:t>
            </w:r>
            <w:r w:rsidR="00700E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. U</w:t>
            </w:r>
            <w:r w:rsidR="00700E1A" w:rsidRPr="00700E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ticaće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se</w:t>
            </w:r>
            <w:r w:rsidR="00700E1A" w:rsidRPr="00700E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na efikasnost pravosuđa i smanjenje broja predmeta koji se rješavaju pred sudom. </w:t>
            </w:r>
          </w:p>
          <w:p w:rsidR="00700E1A" w:rsidRPr="00700E1A" w:rsidRDefault="00700E1A" w:rsidP="0014721C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  <w:p w:rsidR="00700E1A" w:rsidRPr="003E05DF" w:rsidRDefault="00700E1A" w:rsidP="0014721C">
            <w:pPr>
              <w:rPr>
                <w:rFonts w:ascii="Arial" w:eastAsiaTheme="minorHAnsi" w:hAnsi="Arial" w:cs="Arial"/>
                <w:b w:val="0"/>
                <w:sz w:val="20"/>
                <w:szCs w:val="20"/>
                <w:lang w:val="sr-Latn-RS" w:eastAsia="en-US"/>
              </w:rPr>
            </w:pPr>
            <w:r w:rsidRPr="00700E1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Primjena propisa neće izazvati troškove građanima i privredi.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5. Procjena fiskalnog uticaja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je potrebno obezbjeđenje finansijskih sredstava iz budžeta Crne Gore za implementaciju propisa i u kom iznosu?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je obezbjeđenje finansijskih sredstava jednokratno, ili tokom određenog vremenskog perioda?  Obrazložiti.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implementacijom propisa proizilaze međunarodne finansijske obaveze? Obrazložiti.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neophodna finansijska sredstva obezbijeđena u budžetu za tekuću fiskalnu godinu, odnosno da li su planirana u budžetu za narednu fiskanu godinu?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je usvajanjem propisa predviđeno donošenje podzakonskih akata iz kojih će proisteći finansijske obaveze?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će se implementacijom propisa ostvariti prihod za budžet Crne Gore?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lastRenderedPageBreak/>
              <w:t>Dbrazložiti metodologiju koja je korišćenja prilikom obračuna finansijskih izdataka/prihoda.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postojali problemi u preciznom obračunu finansijskih izdataka/prihoda? Obrazložiti.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postojale sugestije Ministarstva finansija na nacrt/predlog propisa?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dobijene primjedbe uključene u tekst propisa? Obrazložiti.</w:t>
            </w: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8E432E" w:rsidRDefault="00C44A81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lastRenderedPageBreak/>
              <w:t>Jedan od</w:t>
            </w:r>
            <w:r w:rsidR="008E432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ciljeva Zakona o 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alternativnim načinima rješavanja sporova</w:t>
            </w:r>
            <w:r w:rsidR="008E432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je </w:t>
            </w:r>
            <w:r w:rsidRPr="00C44A8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postizanje uravnoteženog odnosa između broja sudskih postupaka i postupaka alternativnog rješavanja sporova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</w:t>
            </w:r>
            <w:r w:rsidR="001B5A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čime će se postići značajno smanjenje troškova sudskog postupka, </w:t>
            </w:r>
            <w:r w:rsidR="004A65F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efikasnost pravosuđa, unapređenje</w:t>
            </w:r>
            <w:r w:rsidR="00444A1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poslovnog ambijenta i poboljšanje </w:t>
            </w:r>
            <w:r w:rsidR="00A9584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pristupa pravdi građanima i pravnim subjektima primjenom alternativnih načina rješavanja sporova kao finansijski isplativog, održivog</w:t>
            </w:r>
            <w:r w:rsidR="00444A1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i dostupnog načina rješavanja sporova.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  <w:p w:rsidR="001B5AA5" w:rsidRDefault="001B5AA5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  <w:p w:rsidR="0067538C" w:rsidRDefault="002009D8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B</w:t>
            </w:r>
            <w:r w:rsidR="00026F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udž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etom</w:t>
            </w:r>
            <w:r w:rsidR="007436F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Centra</w:t>
            </w:r>
            <w:r w:rsidR="007436F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za posredovanje </w:t>
            </w:r>
            <w:r w:rsidR="0074195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 2019. g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odini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izvršeno je povećanje finansijskih sredstava </w:t>
            </w:r>
            <w:r w:rsidR="00A847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za funkcionisanje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transformisanog Centra</w:t>
            </w:r>
            <w:r w:rsidR="0036507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za posredovanje u C</w:t>
            </w:r>
            <w:r w:rsidR="00A847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entar za 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alternativno rješavanje sporova</w:t>
            </w:r>
            <w:r w:rsidR="00A847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 kao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i za nesmetanu primj</w:t>
            </w:r>
            <w:r w:rsidR="00026F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enu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prop</w:t>
            </w:r>
            <w:r w:rsidR="00A8470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isa</w:t>
            </w:r>
            <w:r w:rsidR="00026FA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.</w:t>
            </w:r>
          </w:p>
          <w:p w:rsidR="00CD7747" w:rsidRPr="007D0B06" w:rsidRDefault="00CD7747" w:rsidP="0036507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6. </w:t>
            </w:r>
            <w:r w:rsidRPr="007D0B0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K</w:t>
            </w: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onsultacije zainteresovanih strana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Naznačiti da li je korišćena eksterna ekspertska podrška i ako da, kako.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Naznačiti koje su grupe zainteresovanih strana konsultovane, u kojoj fazi RIA procesa i kako (javne ili ciljane konsultacije).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74195F" w:rsidRDefault="0087239B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Prilikom izrade zakona k</w:t>
            </w:r>
            <w:r w:rsidR="0038656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orišćena je </w:t>
            </w:r>
            <w:r w:rsidR="00C4052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konsultantska </w:t>
            </w:r>
            <w:r w:rsidR="0038656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podrška eksperata iz Slovenije i Srbije</w:t>
            </w:r>
            <w:r w:rsidR="00C4052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, </w:t>
            </w:r>
            <w:r w:rsidR="003A67E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 okviru projekta Udruženja medijatora Crne Gore, podržanog od strane britansk</w:t>
            </w:r>
            <w:r w:rsidR="00C4052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e ambasade u C</w:t>
            </w:r>
            <w:r w:rsidR="003A67E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rnoj Gori.</w:t>
            </w:r>
            <w:r w:rsidR="0038656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bookmarkStart w:id="0" w:name="_GoBack"/>
            <w:bookmarkEnd w:id="0"/>
          </w:p>
          <w:p w:rsidR="00CF3A66" w:rsidRDefault="00C4052E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Toko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m procesa izrade koncepta predmetnog zakona</w:t>
            </w:r>
            <w:r w:rsidR="00D9310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, 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a </w:t>
            </w:r>
            <w:r w:rsidR="00D9310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prilikom normiranja </w:t>
            </w:r>
            <w:r w:rsidR="00B66CB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novih rješenja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</w:t>
            </w:r>
            <w:r w:rsidR="00B66CB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konsultovani su predstavnici Privrednog suda, Advokatske komore, Osnovnog suda u Podgorici i Udruženja medijatora. </w:t>
            </w:r>
          </w:p>
          <w:p w:rsidR="00CD7747" w:rsidRPr="007D0B06" w:rsidRDefault="001D632F" w:rsidP="0087239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Predlozi i su</w:t>
            </w:r>
            <w:r w:rsidR="00CE2BD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gestije koje su se odnosile na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vrstu sporova koji će biti predmet obaveznog upućivanja na medijaciju</w:t>
            </w:r>
            <w:r w:rsidR="00D2717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i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postupak medijacije </w:t>
            </w:r>
            <w:r w:rsidR="00D2717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 bitnom su prihvaćen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i</w:t>
            </w:r>
            <w:r w:rsidR="00D2717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.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7. Monitoring i evaluacija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Koje su potencijalne prepreke za implementaciju propisa? 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će mjere biti preduzete tokom primjene propisa da bi se ispunili ciljevi?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su glavni indikatori prema kojima će se mjeriti ispunjenje ciljeva?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 će biti zadužen za sprovođenje monitoringa i evaluacije primjene propisa?</w:t>
            </w:r>
          </w:p>
          <w:p w:rsidR="0067538C" w:rsidRPr="007D0B06" w:rsidRDefault="0067538C" w:rsidP="00166974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Default="00A8289D" w:rsidP="0016697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Potencijalne </w:t>
            </w:r>
            <w:r w:rsidR="00D7343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pr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epreke za implementaciju propisa su:</w:t>
            </w:r>
          </w:p>
          <w:p w:rsidR="00A8289D" w:rsidRPr="00A8289D" w:rsidRDefault="00F86FEE" w:rsidP="00A828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n</w:t>
            </w:r>
            <w:r w:rsidR="00A8289D" w:rsidRPr="00A8289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edovoljna informisanost građana i pravnih subjekata</w:t>
            </w:r>
            <w:r w:rsidR="00A8289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;</w:t>
            </w:r>
          </w:p>
          <w:p w:rsidR="00A8289D" w:rsidRDefault="00F86FEE" w:rsidP="00A828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n</w:t>
            </w:r>
            <w:r w:rsidR="00A8289D" w:rsidRPr="00A8289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e</w:t>
            </w:r>
            <w:r w:rsidR="00A8289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dovoljna finansijska sredstva za promociju alternativnih načina rješavanja sporova;</w:t>
            </w:r>
          </w:p>
          <w:p w:rsidR="00A8289D" w:rsidRDefault="00150AE7" w:rsidP="00A828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nedovoljna zainteresovanost relevantnih subjekata.</w:t>
            </w:r>
          </w:p>
          <w:p w:rsidR="009876ED" w:rsidRDefault="00150AE7" w:rsidP="00150AE7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150AE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Mjere koje će se preduzet</w:t>
            </w:r>
            <w:r w:rsidR="009876E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i tokom primjene propisa da bi se ispunili ciljevi su:</w:t>
            </w:r>
          </w:p>
          <w:p w:rsidR="009876ED" w:rsidRDefault="009876ED" w:rsidP="009876E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9876E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podizanje nivoa informisanosti građana i pravnih lica o 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alternativnom rješavanju sporova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;</w:t>
            </w:r>
          </w:p>
          <w:p w:rsidR="009876ED" w:rsidRDefault="009876ED" w:rsidP="009876E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obezbjeđenje donatorske podrške;</w:t>
            </w:r>
          </w:p>
          <w:p w:rsidR="00150AE7" w:rsidRDefault="00C11A87" w:rsidP="009876E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sprovođenje edukativnih programa za sve subjekte na koje se propis odnosi;</w:t>
            </w:r>
          </w:p>
          <w:p w:rsidR="00C11A87" w:rsidRDefault="00C11A87" w:rsidP="009876E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razvijanja novih metoda alternativnog rješavanja spora;</w:t>
            </w:r>
          </w:p>
          <w:p w:rsidR="00DE1EA9" w:rsidRDefault="00DE1EA9" w:rsidP="009876E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realizacija z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akonom utvrđenih mjera u pogled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 nagrađivanja medijatora i stručnih lica.</w:t>
            </w:r>
          </w:p>
          <w:p w:rsidR="00DE1EA9" w:rsidRDefault="00DE1EA9" w:rsidP="00DE1EA9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  <w:p w:rsidR="00DE1EA9" w:rsidRDefault="00BF41A7" w:rsidP="00DE1EA9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Indikatori </w:t>
            </w:r>
            <w:r w:rsidR="002455A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koji će biti praćeni su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utvrđeni Srednjoročnim programom rada Vlade za 2018-2020</w:t>
            </w:r>
            <w:r w:rsidR="00D72F1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Programom za razvoja ARS-a za 2019-2021</w:t>
            </w:r>
            <w:r w:rsidR="00D72F1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i Strat</w:t>
            </w:r>
            <w:r w:rsidR="00E14B4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egijom</w:t>
            </w:r>
            <w:r w:rsidR="0087239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reforme pravosuđa 2019-2022</w:t>
            </w:r>
            <w:r w:rsidR="00D72F1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</w:t>
            </w:r>
            <w:r w:rsidR="00E14B4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koja je u finalnoj fazi izrade i čije usvajanje je predviđeno Programom rada Vlade </w:t>
            </w:r>
            <w:r w:rsidR="002455A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Crne Gore </w:t>
            </w:r>
            <w:r w:rsidR="00E14B4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za </w:t>
            </w:r>
            <w:r w:rsidR="001B5A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treći kvartal </w:t>
            </w:r>
            <w:r w:rsidR="00E14B4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2019.</w:t>
            </w:r>
            <w:r w:rsidR="002455A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E14B4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godin</w:t>
            </w:r>
            <w:r w:rsidR="001B5AA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e</w:t>
            </w:r>
            <w:r w:rsidR="00E14B4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.</w:t>
            </w:r>
          </w:p>
          <w:p w:rsidR="00BF41A7" w:rsidRDefault="00BF41A7" w:rsidP="00DE1EA9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  <w:p w:rsidR="00BF41A7" w:rsidRDefault="00BF41A7" w:rsidP="00DE1EA9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Ministarstvo pravde, u saradnji sa Centrom za </w:t>
            </w:r>
            <w:r w:rsidR="002455A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alternativno rješavanje sporova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 biće zaduženo za monitoring i evaluaciju primjene propisa.</w:t>
            </w:r>
          </w:p>
          <w:p w:rsidR="0067538C" w:rsidRPr="007D0B06" w:rsidRDefault="0067538C" w:rsidP="0016697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</w:tc>
      </w:tr>
    </w:tbl>
    <w:p w:rsidR="0067538C" w:rsidRPr="007D0B06" w:rsidRDefault="0067538C" w:rsidP="0067538C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000000" w:themeColor="text1"/>
          <w:sz w:val="20"/>
          <w:szCs w:val="20"/>
          <w:lang w:val="sr-Latn-RS"/>
        </w:rPr>
      </w:pPr>
    </w:p>
    <w:p w:rsidR="0067538C" w:rsidRPr="007D0B06" w:rsidRDefault="0067538C" w:rsidP="0067538C">
      <w:pPr>
        <w:rPr>
          <w:rFonts w:ascii="Arial" w:hAnsi="Arial" w:cs="Arial"/>
          <w:b/>
          <w:color w:val="000000" w:themeColor="text1"/>
          <w:lang w:val="sr-Latn-RS"/>
        </w:rPr>
      </w:pPr>
    </w:p>
    <w:p w:rsidR="0067538C" w:rsidRPr="007D0B06" w:rsidRDefault="0063792F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b/>
          <w:color w:val="000000" w:themeColor="text1"/>
          <w:lang w:val="sr-Latn-RS"/>
        </w:rPr>
      </w:pPr>
      <w:r w:rsidRPr="007D0B06">
        <w:rPr>
          <w:rFonts w:ascii="Arial" w:hAnsi="Arial" w:cs="Arial"/>
          <w:b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 xml:space="preserve">Podgorica, </w:t>
      </w:r>
      <w:r w:rsidR="009D49CA">
        <w:rPr>
          <w:rFonts w:ascii="Arial" w:hAnsi="Arial" w:cs="Arial"/>
          <w:color w:val="000000" w:themeColor="text1"/>
          <w:lang w:val="sr-Latn-RS"/>
        </w:rPr>
        <w:t>18.</w:t>
      </w:r>
      <w:r w:rsidR="002455AE">
        <w:rPr>
          <w:rFonts w:ascii="Arial" w:hAnsi="Arial" w:cs="Arial"/>
          <w:color w:val="000000" w:themeColor="text1"/>
          <w:lang w:val="sr-Latn-RS"/>
        </w:rPr>
        <w:t xml:space="preserve"> </w:t>
      </w:r>
      <w:r w:rsidR="009D49CA">
        <w:rPr>
          <w:rFonts w:ascii="Arial" w:hAnsi="Arial" w:cs="Arial"/>
          <w:color w:val="000000" w:themeColor="text1"/>
          <w:lang w:val="sr-Latn-RS"/>
        </w:rPr>
        <w:t>mart</w:t>
      </w:r>
      <w:r w:rsidR="00CD7747">
        <w:rPr>
          <w:rFonts w:ascii="Arial" w:hAnsi="Arial" w:cs="Arial"/>
          <w:color w:val="000000" w:themeColor="text1"/>
          <w:lang w:val="sr-Latn-RS"/>
        </w:rPr>
        <w:t xml:space="preserve"> </w:t>
      </w:r>
      <w:r w:rsidRPr="007D0B06">
        <w:rPr>
          <w:rFonts w:ascii="Arial" w:hAnsi="Arial" w:cs="Arial"/>
          <w:color w:val="000000" w:themeColor="text1"/>
          <w:lang w:val="sr-Latn-RS"/>
        </w:rPr>
        <w:t>201</w:t>
      </w:r>
      <w:r w:rsidR="00700E1A">
        <w:rPr>
          <w:rFonts w:ascii="Arial" w:hAnsi="Arial" w:cs="Arial"/>
          <w:color w:val="000000" w:themeColor="text1"/>
          <w:lang w:val="sr-Latn-RS"/>
        </w:rPr>
        <w:t>9</w:t>
      </w:r>
      <w:r w:rsidRPr="007D0B06">
        <w:rPr>
          <w:rFonts w:ascii="Arial" w:hAnsi="Arial" w:cs="Arial"/>
          <w:color w:val="000000" w:themeColor="text1"/>
          <w:lang w:val="sr-Latn-RS"/>
        </w:rPr>
        <w:t>. godine</w:t>
      </w:r>
      <w:r w:rsidRPr="007D0B06">
        <w:rPr>
          <w:rFonts w:ascii="Arial" w:hAnsi="Arial" w:cs="Arial"/>
          <w:b/>
          <w:color w:val="000000" w:themeColor="text1"/>
          <w:lang w:val="sr-Latn-RS"/>
        </w:rPr>
        <w:tab/>
      </w:r>
      <w:r w:rsidR="0067538C" w:rsidRPr="007D0B06">
        <w:rPr>
          <w:rFonts w:ascii="Arial" w:hAnsi="Arial" w:cs="Arial"/>
          <w:b/>
          <w:color w:val="000000" w:themeColor="text1"/>
          <w:lang w:val="sr-Latn-RS"/>
        </w:rPr>
        <w:t>MINISTAR</w:t>
      </w:r>
    </w:p>
    <w:p w:rsidR="0067538C" w:rsidRPr="007D0B06" w:rsidRDefault="0067538C" w:rsidP="0063792F">
      <w:pPr>
        <w:jc w:val="right"/>
        <w:rPr>
          <w:rFonts w:ascii="Arial" w:hAnsi="Arial" w:cs="Arial"/>
          <w:b/>
          <w:color w:val="000000" w:themeColor="text1"/>
          <w:lang w:val="sr-Latn-RS"/>
        </w:rPr>
      </w:pPr>
      <w:r w:rsidRPr="007D0B06">
        <w:rPr>
          <w:rFonts w:ascii="Arial" w:hAnsi="Arial" w:cs="Arial"/>
          <w:b/>
          <w:color w:val="000000" w:themeColor="text1"/>
          <w:lang w:val="sr-Latn-RS"/>
        </w:rPr>
        <w:t>Zoran Pažin</w:t>
      </w:r>
    </w:p>
    <w:p w:rsidR="0067538C" w:rsidRPr="007D0B06" w:rsidRDefault="0063792F" w:rsidP="0067538C">
      <w:pPr>
        <w:rPr>
          <w:rFonts w:ascii="Arial" w:hAnsi="Arial" w:cs="Arial"/>
          <w:color w:val="000000" w:themeColor="text1"/>
          <w:lang w:val="sr-Latn-RS"/>
        </w:rPr>
      </w:pPr>
      <w:r w:rsidRPr="007D0B06">
        <w:rPr>
          <w:rFonts w:ascii="Arial" w:hAnsi="Arial" w:cs="Arial"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ab/>
        <w:t xml:space="preserve">  </w:t>
      </w:r>
    </w:p>
    <w:p w:rsidR="007E5927" w:rsidRPr="007D0B06" w:rsidRDefault="007E5927">
      <w:pPr>
        <w:rPr>
          <w:lang w:val="sr-Latn-RS"/>
        </w:rPr>
      </w:pPr>
    </w:p>
    <w:sectPr w:rsidR="007E5927" w:rsidRPr="007D0B06" w:rsidSect="00DA290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0482"/>
    <w:multiLevelType w:val="hybridMultilevel"/>
    <w:tmpl w:val="4A02B764"/>
    <w:lvl w:ilvl="0" w:tplc="20F83F1E">
      <w:start w:val="1"/>
      <w:numFmt w:val="decimal"/>
      <w:lvlText w:val="%1)"/>
      <w:lvlJc w:val="left"/>
      <w:pPr>
        <w:ind w:left="1364" w:hanging="360"/>
      </w:pPr>
      <w:rPr>
        <w:rFonts w:ascii="Arial" w:eastAsia="Times New Roman" w:hAnsi="Arial" w:cs="Arial"/>
      </w:rPr>
    </w:lvl>
    <w:lvl w:ilvl="1" w:tplc="2C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B914858"/>
    <w:multiLevelType w:val="hybridMultilevel"/>
    <w:tmpl w:val="64B05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46367"/>
    <w:multiLevelType w:val="hybridMultilevel"/>
    <w:tmpl w:val="A42CA5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8C"/>
    <w:rsid w:val="00026FA3"/>
    <w:rsid w:val="00033189"/>
    <w:rsid w:val="00051BAC"/>
    <w:rsid w:val="00127C4E"/>
    <w:rsid w:val="0014721C"/>
    <w:rsid w:val="00150AE7"/>
    <w:rsid w:val="0016005B"/>
    <w:rsid w:val="001718A2"/>
    <w:rsid w:val="001964F0"/>
    <w:rsid w:val="001B5AA5"/>
    <w:rsid w:val="001C7FB6"/>
    <w:rsid w:val="001D632F"/>
    <w:rsid w:val="001E6DE0"/>
    <w:rsid w:val="001E6F12"/>
    <w:rsid w:val="001F703B"/>
    <w:rsid w:val="002009D8"/>
    <w:rsid w:val="0024269A"/>
    <w:rsid w:val="002455AE"/>
    <w:rsid w:val="002616CC"/>
    <w:rsid w:val="00291E14"/>
    <w:rsid w:val="0029714B"/>
    <w:rsid w:val="0036507B"/>
    <w:rsid w:val="0037116B"/>
    <w:rsid w:val="00386561"/>
    <w:rsid w:val="003A67E3"/>
    <w:rsid w:val="003E05DF"/>
    <w:rsid w:val="00443467"/>
    <w:rsid w:val="00444A16"/>
    <w:rsid w:val="004A65FD"/>
    <w:rsid w:val="004B1CB3"/>
    <w:rsid w:val="004C7ABD"/>
    <w:rsid w:val="004F0B71"/>
    <w:rsid w:val="00511434"/>
    <w:rsid w:val="0051362B"/>
    <w:rsid w:val="00543CDF"/>
    <w:rsid w:val="005738FA"/>
    <w:rsid w:val="005945D1"/>
    <w:rsid w:val="00596E90"/>
    <w:rsid w:val="005B6452"/>
    <w:rsid w:val="005C2D9B"/>
    <w:rsid w:val="005F2A0A"/>
    <w:rsid w:val="00600223"/>
    <w:rsid w:val="0063792F"/>
    <w:rsid w:val="00655306"/>
    <w:rsid w:val="006571DD"/>
    <w:rsid w:val="00674F57"/>
    <w:rsid w:val="0067538C"/>
    <w:rsid w:val="00685DBD"/>
    <w:rsid w:val="006A68A4"/>
    <w:rsid w:val="006B28E6"/>
    <w:rsid w:val="006D10FB"/>
    <w:rsid w:val="00700E1A"/>
    <w:rsid w:val="0070392A"/>
    <w:rsid w:val="007402D9"/>
    <w:rsid w:val="0074195F"/>
    <w:rsid w:val="007436F3"/>
    <w:rsid w:val="0076249F"/>
    <w:rsid w:val="007A1B16"/>
    <w:rsid w:val="007D0B06"/>
    <w:rsid w:val="007D69B9"/>
    <w:rsid w:val="007E5927"/>
    <w:rsid w:val="007F2EF6"/>
    <w:rsid w:val="0086785B"/>
    <w:rsid w:val="0087239B"/>
    <w:rsid w:val="008908A7"/>
    <w:rsid w:val="008A5484"/>
    <w:rsid w:val="008A6F10"/>
    <w:rsid w:val="008D11C3"/>
    <w:rsid w:val="008E432E"/>
    <w:rsid w:val="008F5079"/>
    <w:rsid w:val="00942CE9"/>
    <w:rsid w:val="00970F96"/>
    <w:rsid w:val="009876ED"/>
    <w:rsid w:val="009B4193"/>
    <w:rsid w:val="009D49CA"/>
    <w:rsid w:val="009D7ECD"/>
    <w:rsid w:val="009E5C6A"/>
    <w:rsid w:val="009F728E"/>
    <w:rsid w:val="00A109B1"/>
    <w:rsid w:val="00A168FB"/>
    <w:rsid w:val="00A611B6"/>
    <w:rsid w:val="00A65D27"/>
    <w:rsid w:val="00A8289D"/>
    <w:rsid w:val="00A84707"/>
    <w:rsid w:val="00A9584A"/>
    <w:rsid w:val="00AA0782"/>
    <w:rsid w:val="00AC19F5"/>
    <w:rsid w:val="00AD7B1A"/>
    <w:rsid w:val="00AE4C46"/>
    <w:rsid w:val="00AE79A5"/>
    <w:rsid w:val="00AF768F"/>
    <w:rsid w:val="00B02227"/>
    <w:rsid w:val="00B42F4F"/>
    <w:rsid w:val="00B518CA"/>
    <w:rsid w:val="00B6462F"/>
    <w:rsid w:val="00B66CB6"/>
    <w:rsid w:val="00B74D63"/>
    <w:rsid w:val="00BA0ABC"/>
    <w:rsid w:val="00BE3F6A"/>
    <w:rsid w:val="00BF41A7"/>
    <w:rsid w:val="00C11A87"/>
    <w:rsid w:val="00C4052E"/>
    <w:rsid w:val="00C44A81"/>
    <w:rsid w:val="00C53F46"/>
    <w:rsid w:val="00C635A4"/>
    <w:rsid w:val="00C86398"/>
    <w:rsid w:val="00CC089D"/>
    <w:rsid w:val="00CD7747"/>
    <w:rsid w:val="00CE2BD8"/>
    <w:rsid w:val="00CF3A66"/>
    <w:rsid w:val="00D00087"/>
    <w:rsid w:val="00D2717E"/>
    <w:rsid w:val="00D40CCE"/>
    <w:rsid w:val="00D4473D"/>
    <w:rsid w:val="00D72F10"/>
    <w:rsid w:val="00D7343A"/>
    <w:rsid w:val="00D75DD7"/>
    <w:rsid w:val="00D82D61"/>
    <w:rsid w:val="00D847EE"/>
    <w:rsid w:val="00D9310C"/>
    <w:rsid w:val="00DA00F1"/>
    <w:rsid w:val="00DC0E04"/>
    <w:rsid w:val="00DE1EA9"/>
    <w:rsid w:val="00E14B48"/>
    <w:rsid w:val="00E312CD"/>
    <w:rsid w:val="00E63F38"/>
    <w:rsid w:val="00E64561"/>
    <w:rsid w:val="00E876DE"/>
    <w:rsid w:val="00EB14D2"/>
    <w:rsid w:val="00EC013A"/>
    <w:rsid w:val="00EE496A"/>
    <w:rsid w:val="00EF3F42"/>
    <w:rsid w:val="00EF4AFE"/>
    <w:rsid w:val="00F03437"/>
    <w:rsid w:val="00F431FE"/>
    <w:rsid w:val="00F54C2E"/>
    <w:rsid w:val="00F72DDA"/>
    <w:rsid w:val="00F869D2"/>
    <w:rsid w:val="00F86FEE"/>
    <w:rsid w:val="00F90A61"/>
    <w:rsid w:val="00F95519"/>
    <w:rsid w:val="00FC78F3"/>
    <w:rsid w:val="00FD3EF4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67538C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8C"/>
    <w:pPr>
      <w:ind w:left="720"/>
    </w:pPr>
  </w:style>
  <w:style w:type="table" w:styleId="LightGrid-Accent5">
    <w:name w:val="Light Grid Accent 5"/>
    <w:basedOn w:val="TableNormal"/>
    <w:uiPriority w:val="62"/>
    <w:rsid w:val="0067538C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A5"/>
    <w:rPr>
      <w:rFonts w:ascii="Segoe UI" w:eastAsia="Times New Roman" w:hAnsi="Segoe UI" w:cs="Segoe UI"/>
      <w:bCs/>
      <w:sz w:val="18"/>
      <w:szCs w:val="18"/>
      <w:lang w:val="en-GB" w:eastAsia="en-GB"/>
    </w:rPr>
  </w:style>
  <w:style w:type="paragraph" w:customStyle="1" w:styleId="1tekst">
    <w:name w:val="_1tekst"/>
    <w:basedOn w:val="Normal"/>
    <w:rsid w:val="008A5484"/>
    <w:pPr>
      <w:ind w:left="375" w:right="375" w:firstLine="240"/>
    </w:pPr>
    <w:rPr>
      <w:rFonts w:ascii="Arial" w:hAnsi="Arial" w:cs="Arial"/>
      <w:bCs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67538C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8C"/>
    <w:pPr>
      <w:ind w:left="720"/>
    </w:pPr>
  </w:style>
  <w:style w:type="table" w:styleId="LightGrid-Accent5">
    <w:name w:val="Light Grid Accent 5"/>
    <w:basedOn w:val="TableNormal"/>
    <w:uiPriority w:val="62"/>
    <w:rsid w:val="0067538C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A5"/>
    <w:rPr>
      <w:rFonts w:ascii="Segoe UI" w:eastAsia="Times New Roman" w:hAnsi="Segoe UI" w:cs="Segoe UI"/>
      <w:bCs/>
      <w:sz w:val="18"/>
      <w:szCs w:val="18"/>
      <w:lang w:val="en-GB" w:eastAsia="en-GB"/>
    </w:rPr>
  </w:style>
  <w:style w:type="paragraph" w:customStyle="1" w:styleId="1tekst">
    <w:name w:val="_1tekst"/>
    <w:basedOn w:val="Normal"/>
    <w:rsid w:val="008A5484"/>
    <w:pPr>
      <w:ind w:left="375" w:right="375" w:firstLine="240"/>
    </w:pPr>
    <w:rPr>
      <w:rFonts w:ascii="Arial" w:hAnsi="Arial" w:cs="Arial"/>
      <w:bCs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E987-036E-4252-B273-2BD29709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Senid Strikovic</dc:creator>
  <cp:lastModifiedBy>Jelena Dragicevic</cp:lastModifiedBy>
  <cp:revision>9</cp:revision>
  <cp:lastPrinted>2018-03-23T14:10:00Z</cp:lastPrinted>
  <dcterms:created xsi:type="dcterms:W3CDTF">2019-03-18T06:21:00Z</dcterms:created>
  <dcterms:modified xsi:type="dcterms:W3CDTF">2019-03-21T11:15:00Z</dcterms:modified>
</cp:coreProperties>
</file>