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00" w:rsidRDefault="00896900" w:rsidP="00896900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B43">
        <w:rPr>
          <w:rFonts w:ascii="Times New Roman" w:hAnsi="Times New Roman" w:cs="Times New Roman"/>
          <w:b/>
          <w:sz w:val="26"/>
          <w:szCs w:val="26"/>
        </w:rPr>
        <w:t>OBRAZLOŽENJE</w:t>
      </w:r>
    </w:p>
    <w:p w:rsidR="00282B43" w:rsidRPr="00282B43" w:rsidRDefault="00282B43" w:rsidP="00896900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6900" w:rsidRPr="00282B43" w:rsidRDefault="00896900" w:rsidP="00282B43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2B43">
        <w:rPr>
          <w:rFonts w:ascii="Times New Roman" w:hAnsi="Times New Roman" w:cs="Times New Roman"/>
          <w:b/>
          <w:sz w:val="26"/>
          <w:szCs w:val="26"/>
        </w:rPr>
        <w:t>USTAVNI OSNOV ZA DONOŠENJE ZAKONA</w:t>
      </w:r>
    </w:p>
    <w:p w:rsidR="00896900" w:rsidRPr="00282B43" w:rsidRDefault="00896900" w:rsidP="00282B43">
      <w:pPr>
        <w:pStyle w:val="ListParagraph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6900" w:rsidRPr="00282B43" w:rsidRDefault="00896900" w:rsidP="00282B43">
      <w:pPr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ab/>
        <w:t>Ustavni osnov za donošenje ovog zakona sadržan je u odredbi č1ana 16 Ustava Crne Gore kojim je, izmedu ostalog, propisano da se zakonom ureduju određena pitanja od interesa za Crnu Goru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82B43">
        <w:rPr>
          <w:rFonts w:ascii="Times New Roman" w:hAnsi="Times New Roman" w:cs="Times New Roman"/>
          <w:b/>
          <w:sz w:val="26"/>
          <w:szCs w:val="26"/>
        </w:rPr>
        <w:t>II. RAZLOZI ZA DONOŠENJE ZAKONA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82B43">
        <w:rPr>
          <w:rFonts w:ascii="Times New Roman" w:hAnsi="Times New Roman" w:cs="Times New Roman"/>
          <w:b/>
          <w:sz w:val="26"/>
          <w:szCs w:val="26"/>
        </w:rPr>
        <w:tab/>
      </w: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 xml:space="preserve">Ovim zakonom izvršiće se izmjene i dopune važećeg zakona radi stvaranja uslova za pristup administrativnim izvorima podataka,  što je osnov za proizvodnju rezultata zvanične statistike, kao i usaglašavanje istog za materijalnim propisima Crne Gore. </w:t>
      </w: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>Zakonom će se stvoriti pravni osnov za pristup Centralnom registru stanovništva od strane organa</w:t>
      </w:r>
      <w:r w:rsidR="00CE258C" w:rsidRPr="00282B43">
        <w:rPr>
          <w:rFonts w:ascii="Times New Roman" w:hAnsi="Times New Roman" w:cs="Times New Roman"/>
          <w:sz w:val="26"/>
          <w:szCs w:val="26"/>
        </w:rPr>
        <w:t xml:space="preserve"> nadležnog za statistiku</w:t>
      </w:r>
      <w:r w:rsidRPr="00282B43">
        <w:rPr>
          <w:rFonts w:ascii="Times New Roman" w:hAnsi="Times New Roman" w:cs="Times New Roman"/>
          <w:sz w:val="26"/>
          <w:szCs w:val="26"/>
        </w:rPr>
        <w:t>,  kako bi se mogao sprovesti Registarski Popis stanovništva, jer prednosti korišćenja registara kao administrativnih izvora i njihovo međusobno povezivanje dovodi do proizvodnje kvalitetne statistike.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2B43">
        <w:rPr>
          <w:rFonts w:ascii="Times New Roman" w:hAnsi="Times New Roman" w:cs="Times New Roman"/>
          <w:b/>
          <w:bCs/>
          <w:sz w:val="26"/>
          <w:szCs w:val="26"/>
        </w:rPr>
        <w:t>III. USAGLAŠENOST SA PRAVNOM TEKOVINOM EVROPSKE UNIJE I POTVRĐENIM MEĐUNARODNIM KONVENCIJAMA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282B43">
        <w:rPr>
          <w:rFonts w:ascii="Times New Roman" w:hAnsi="Times New Roman" w:cs="Times New Roman"/>
          <w:b/>
          <w:bCs/>
          <w:color w:val="FF0000"/>
          <w:sz w:val="26"/>
          <w:szCs w:val="26"/>
        </w:rPr>
        <w:tab/>
      </w:r>
      <w:r w:rsidRPr="00282B43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 xml:space="preserve">Ne postoje odredbe primarnih izvora prava Evropske unije, niti odredbe sekundarnih izvora prava EU sa kojom se ovaj propis može uporediti radi utvrdivanja stepena njegove uskladenosti. </w:t>
      </w: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>Što se tiče ostalih izvora međunarodnog prava, ovaj je zakon uskladen sa Konvencijom o zaštiti lica u pogledu automatske obrad</w:t>
      </w:r>
      <w:r w:rsidR="00282B43">
        <w:rPr>
          <w:rFonts w:ascii="Times New Roman" w:hAnsi="Times New Roman" w:cs="Times New Roman"/>
          <w:sz w:val="26"/>
          <w:szCs w:val="26"/>
        </w:rPr>
        <w:t>e l</w:t>
      </w:r>
      <w:r w:rsidRPr="00282B43">
        <w:rPr>
          <w:rFonts w:ascii="Times New Roman" w:hAnsi="Times New Roman" w:cs="Times New Roman"/>
          <w:sz w:val="26"/>
          <w:szCs w:val="26"/>
        </w:rPr>
        <w:t>ičnih podataka Savjeta evrope (ETS NO 108).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2B43">
        <w:rPr>
          <w:rFonts w:ascii="Times New Roman" w:hAnsi="Times New Roman" w:cs="Times New Roman"/>
          <w:b/>
          <w:bCs/>
          <w:sz w:val="26"/>
          <w:szCs w:val="26"/>
        </w:rPr>
        <w:t>IV. OBJAŠNJENJE OSNOVNIH PRAVNIH INSTITUTA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2B43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2B43">
        <w:rPr>
          <w:rFonts w:ascii="Times New Roman" w:hAnsi="Times New Roman" w:cs="Times New Roman"/>
          <w:bCs/>
          <w:sz w:val="26"/>
          <w:szCs w:val="26"/>
        </w:rPr>
        <w:t xml:space="preserve">Koncepcijski i sadržajno, </w:t>
      </w:r>
      <w:r w:rsidR="00127F07" w:rsidRPr="00282B43">
        <w:rPr>
          <w:rFonts w:ascii="Times New Roman" w:hAnsi="Times New Roman" w:cs="Times New Roman"/>
          <w:bCs/>
          <w:sz w:val="26"/>
          <w:szCs w:val="26"/>
        </w:rPr>
        <w:t>Nacrt</w:t>
      </w:r>
      <w:r w:rsidRPr="00282B43">
        <w:rPr>
          <w:rFonts w:ascii="Times New Roman" w:hAnsi="Times New Roman" w:cs="Times New Roman"/>
          <w:bCs/>
          <w:sz w:val="26"/>
          <w:szCs w:val="26"/>
        </w:rPr>
        <w:t xml:space="preserve"> zakona o izmjenama i dopunama Zakona o centralnom registru stanovništva sastoji se iz članova kojima su članovi Zakona o centralnom registru stanovništva </w:t>
      </w:r>
      <w:r w:rsidRPr="00282B43">
        <w:rPr>
          <w:rFonts w:ascii="Times New Roman" w:hAnsi="Times New Roman" w:cs="Times New Roman"/>
          <w:sz w:val="26"/>
          <w:szCs w:val="26"/>
        </w:rPr>
        <w:t xml:space="preserve">("Sl. list RCG", br. 49/2007 i "Sl. list CG", br. 41/2010, 40/2011 i 55/2016) </w:t>
      </w:r>
      <w:r w:rsidRPr="00282B43">
        <w:rPr>
          <w:rFonts w:ascii="Times New Roman" w:hAnsi="Times New Roman" w:cs="Times New Roman"/>
          <w:bCs/>
          <w:sz w:val="26"/>
          <w:szCs w:val="26"/>
        </w:rPr>
        <w:t xml:space="preserve"> izmijenjeni i dopunjeni.</w:t>
      </w: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bCs/>
          <w:sz w:val="26"/>
          <w:szCs w:val="26"/>
        </w:rPr>
        <w:t xml:space="preserve">Članom 1 </w:t>
      </w:r>
      <w:r w:rsidR="00127F07" w:rsidRPr="00282B43">
        <w:rPr>
          <w:rFonts w:ascii="Times New Roman" w:hAnsi="Times New Roman" w:cs="Times New Roman"/>
          <w:bCs/>
          <w:sz w:val="26"/>
          <w:szCs w:val="26"/>
        </w:rPr>
        <w:t>Nacrt</w:t>
      </w:r>
      <w:r w:rsidRPr="00282B43">
        <w:rPr>
          <w:rFonts w:ascii="Times New Roman" w:hAnsi="Times New Roman" w:cs="Times New Roman"/>
          <w:bCs/>
          <w:sz w:val="26"/>
          <w:szCs w:val="26"/>
        </w:rPr>
        <w:t>a zakona vrši se jezičko usklađivanje sa odredbama Zakona o strancima i dodaje nova kategorija lica bliže određena Zakonom o međunarodnoj i privremenoj zaštiti stranaca.</w:t>
      </w: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 xml:space="preserve">Članom 2 </w:t>
      </w:r>
      <w:r w:rsidR="00127F07" w:rsidRPr="00282B43">
        <w:rPr>
          <w:rFonts w:ascii="Times New Roman" w:hAnsi="Times New Roman" w:cs="Times New Roman"/>
          <w:sz w:val="26"/>
          <w:szCs w:val="26"/>
        </w:rPr>
        <w:t>propisana je obaveza korišćenja ličnog imena stranca u pravnom saobraćaju u Crnoj Gori.</w:t>
      </w: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 xml:space="preserve">Članom 3 vrši se usklađivanje sa </w:t>
      </w:r>
      <w:r w:rsidR="00127F07" w:rsidRPr="00282B43">
        <w:rPr>
          <w:rFonts w:ascii="Times New Roman" w:hAnsi="Times New Roman" w:cs="Times New Roman"/>
          <w:sz w:val="26"/>
          <w:szCs w:val="26"/>
        </w:rPr>
        <w:t xml:space="preserve">važećim pozitivno </w:t>
      </w:r>
      <w:r w:rsidRPr="00282B43">
        <w:rPr>
          <w:rFonts w:ascii="Times New Roman" w:hAnsi="Times New Roman" w:cs="Times New Roman"/>
          <w:sz w:val="26"/>
          <w:szCs w:val="26"/>
        </w:rPr>
        <w:t>propisima</w:t>
      </w:r>
      <w:r w:rsidR="00127F07" w:rsidRPr="00282B43">
        <w:rPr>
          <w:rFonts w:ascii="Times New Roman" w:hAnsi="Times New Roman" w:cs="Times New Roman"/>
          <w:sz w:val="26"/>
          <w:szCs w:val="26"/>
        </w:rPr>
        <w:t xml:space="preserve"> Crne Gore.</w:t>
      </w:r>
      <w:r w:rsidRPr="00282B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F07" w:rsidRPr="00282B43" w:rsidRDefault="00896900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 xml:space="preserve">Članom 4 </w:t>
      </w:r>
      <w:r w:rsidR="00127F07" w:rsidRPr="00282B43">
        <w:rPr>
          <w:rFonts w:ascii="Times New Roman" w:hAnsi="Times New Roman" w:cs="Times New Roman"/>
          <w:bCs/>
          <w:sz w:val="26"/>
          <w:szCs w:val="26"/>
        </w:rPr>
        <w:t>dodaje nova kategorija lica bliže određena Zakonom o međunarodnoj i privremenoj zaštiti stranaca.</w:t>
      </w:r>
    </w:p>
    <w:p w:rsidR="00896900" w:rsidRPr="00282B43" w:rsidRDefault="00127F07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lastRenderedPageBreak/>
        <w:t xml:space="preserve">Članom 5 </w:t>
      </w:r>
      <w:r w:rsidR="00896900" w:rsidRPr="00282B43">
        <w:rPr>
          <w:rFonts w:ascii="Times New Roman" w:hAnsi="Times New Roman" w:cs="Times New Roman"/>
          <w:sz w:val="26"/>
          <w:szCs w:val="26"/>
        </w:rPr>
        <w:t>vrši se terminološko usklađivanje sa Uredbom o organizacij</w:t>
      </w:r>
      <w:r w:rsidR="00E0044D" w:rsidRPr="00282B43">
        <w:rPr>
          <w:rFonts w:ascii="Times New Roman" w:hAnsi="Times New Roman" w:cs="Times New Roman"/>
          <w:sz w:val="26"/>
          <w:szCs w:val="26"/>
        </w:rPr>
        <w:t>i i načinu rada državne uprave.</w:t>
      </w:r>
    </w:p>
    <w:p w:rsidR="00E0044D" w:rsidRPr="00282B43" w:rsidRDefault="00E0044D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>Članom 6 vrši se terminološko usklađivanje sa članom 2 važećeg zakona.</w:t>
      </w:r>
    </w:p>
    <w:p w:rsidR="00896900" w:rsidRPr="00282B43" w:rsidRDefault="00E0044D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>Članom 7</w:t>
      </w:r>
      <w:r w:rsidR="00896900" w:rsidRPr="00282B43">
        <w:rPr>
          <w:rFonts w:ascii="Times New Roman" w:hAnsi="Times New Roman" w:cs="Times New Roman"/>
          <w:sz w:val="26"/>
          <w:szCs w:val="26"/>
        </w:rPr>
        <w:t xml:space="preserve"> vrši se terminološko usklađivanje sa Zakonom o matičnim registrima, Zakonom o registrima prebivališta i boravišta</w:t>
      </w:r>
      <w:r w:rsidRPr="00282B43">
        <w:rPr>
          <w:rFonts w:ascii="Times New Roman" w:hAnsi="Times New Roman" w:cs="Times New Roman"/>
          <w:sz w:val="26"/>
          <w:szCs w:val="26"/>
        </w:rPr>
        <w:t>, Zakonom o strancima</w:t>
      </w:r>
      <w:r w:rsidR="00896900" w:rsidRPr="00282B43">
        <w:rPr>
          <w:rFonts w:ascii="Times New Roman" w:hAnsi="Times New Roman" w:cs="Times New Roman"/>
          <w:sz w:val="26"/>
          <w:szCs w:val="26"/>
        </w:rPr>
        <w:t xml:space="preserve"> </w:t>
      </w:r>
      <w:r w:rsidR="00896900" w:rsidRPr="00282B43">
        <w:rPr>
          <w:rFonts w:ascii="Times New Roman" w:hAnsi="Times New Roman" w:cs="Times New Roman"/>
          <w:bCs/>
          <w:sz w:val="26"/>
          <w:szCs w:val="26"/>
        </w:rPr>
        <w:t>i dodaje nova kategorija lica bliže određena Zakonom o međunarodnoj i privremenoj zaštiti stranaca.</w:t>
      </w:r>
    </w:p>
    <w:p w:rsidR="00E0044D" w:rsidRPr="00282B43" w:rsidRDefault="00E0044D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>Članom 8 i 9 vrši se terminološko usklađivanje sa članom 2 važećeg zakona.</w:t>
      </w:r>
    </w:p>
    <w:p w:rsidR="00E0044D" w:rsidRPr="00282B43" w:rsidRDefault="00E0044D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>Članom 10 vrši se usklađivanje rokova čuvanja podataka u Centralnom registru, u skladu sa Zakonom o matičnim registrima.</w:t>
      </w:r>
    </w:p>
    <w:p w:rsidR="00E0044D" w:rsidRPr="00282B43" w:rsidRDefault="00E0044D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>Članom 11 vrši se usklađivanje sa propisima koji regulišu oblast elektronske uprave.</w:t>
      </w:r>
    </w:p>
    <w:p w:rsidR="00896900" w:rsidRPr="00282B43" w:rsidRDefault="007A0A0B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 xml:space="preserve">Članom 12 </w:t>
      </w:r>
      <w:r w:rsidR="00896900" w:rsidRPr="00282B43">
        <w:rPr>
          <w:rFonts w:ascii="Times New Roman" w:hAnsi="Times New Roman" w:cs="Times New Roman"/>
          <w:sz w:val="26"/>
          <w:szCs w:val="26"/>
        </w:rPr>
        <w:t>preciznije se definiše način koriščenja podataka iz Centralnog registra stanovništava i stvaraju se uslovi za upotrebu istih u statističke svrhe.</w:t>
      </w:r>
    </w:p>
    <w:p w:rsidR="007A0A0B" w:rsidRPr="00282B43" w:rsidRDefault="007A0A0B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>Članom 13 vrši se usklađivanje sa propisima koji regulišu oblast stranaca u Crnoj Gori.</w:t>
      </w:r>
    </w:p>
    <w:p w:rsidR="007A0A0B" w:rsidRPr="00282B43" w:rsidRDefault="007A0A0B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2B43">
        <w:rPr>
          <w:rFonts w:ascii="Times New Roman" w:hAnsi="Times New Roman" w:cs="Times New Roman"/>
          <w:sz w:val="26"/>
          <w:szCs w:val="26"/>
        </w:rPr>
        <w:t>Članom</w:t>
      </w:r>
      <w:proofErr w:type="spellEnd"/>
      <w:r w:rsidRPr="00282B43">
        <w:rPr>
          <w:rFonts w:ascii="Times New Roman" w:hAnsi="Times New Roman" w:cs="Times New Roman"/>
          <w:sz w:val="26"/>
          <w:szCs w:val="26"/>
        </w:rPr>
        <w:t xml:space="preserve"> 14</w:t>
      </w:r>
      <w:r w:rsidR="00334E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4EF2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34EF2">
        <w:rPr>
          <w:rFonts w:ascii="Times New Roman" w:hAnsi="Times New Roman" w:cs="Times New Roman"/>
          <w:sz w:val="26"/>
          <w:szCs w:val="26"/>
        </w:rPr>
        <w:t xml:space="preserve"> 15</w:t>
      </w:r>
      <w:r w:rsidRPr="00282B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2B43">
        <w:rPr>
          <w:rFonts w:ascii="Times New Roman" w:hAnsi="Times New Roman" w:cs="Times New Roman"/>
          <w:sz w:val="26"/>
          <w:szCs w:val="26"/>
        </w:rPr>
        <w:t>vrši</w:t>
      </w:r>
      <w:proofErr w:type="spellEnd"/>
      <w:r w:rsidRPr="00282B43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282B43">
        <w:rPr>
          <w:rFonts w:ascii="Times New Roman" w:hAnsi="Times New Roman" w:cs="Times New Roman"/>
          <w:sz w:val="26"/>
          <w:szCs w:val="26"/>
        </w:rPr>
        <w:t>usklađivanje</w:t>
      </w:r>
      <w:proofErr w:type="spellEnd"/>
      <w:r w:rsidRPr="00282B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82B43">
        <w:rPr>
          <w:rFonts w:ascii="Times New Roman" w:hAnsi="Times New Roman" w:cs="Times New Roman"/>
          <w:sz w:val="26"/>
          <w:szCs w:val="26"/>
        </w:rPr>
        <w:t>sa</w:t>
      </w:r>
      <w:proofErr w:type="gramEnd"/>
      <w:r w:rsidRPr="00282B43">
        <w:rPr>
          <w:rFonts w:ascii="Times New Roman" w:hAnsi="Times New Roman" w:cs="Times New Roman"/>
          <w:sz w:val="26"/>
          <w:szCs w:val="26"/>
        </w:rPr>
        <w:t xml:space="preserve"> Zakonom o matičnim registrima.</w:t>
      </w:r>
    </w:p>
    <w:p w:rsidR="00896900" w:rsidRPr="00282B43" w:rsidRDefault="00282B43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Članom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4EF2">
        <w:rPr>
          <w:rFonts w:ascii="Times New Roman" w:hAnsi="Times New Roman" w:cs="Times New Roman"/>
          <w:sz w:val="26"/>
          <w:szCs w:val="26"/>
        </w:rPr>
        <w:t>16</w:t>
      </w:r>
      <w:r w:rsidRPr="00282B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6900" w:rsidRPr="00282B43">
        <w:rPr>
          <w:rFonts w:ascii="Times New Roman" w:hAnsi="Times New Roman" w:cs="Times New Roman"/>
          <w:sz w:val="26"/>
          <w:szCs w:val="26"/>
        </w:rPr>
        <w:t>propisano</w:t>
      </w:r>
      <w:proofErr w:type="spellEnd"/>
      <w:r w:rsidR="00896900" w:rsidRPr="00282B43">
        <w:rPr>
          <w:rFonts w:ascii="Times New Roman" w:hAnsi="Times New Roman" w:cs="Times New Roman"/>
          <w:sz w:val="26"/>
          <w:szCs w:val="26"/>
        </w:rPr>
        <w:t xml:space="preserve"> je </w:t>
      </w:r>
      <w:proofErr w:type="spellStart"/>
      <w:r w:rsidR="00896900" w:rsidRPr="00282B43">
        <w:rPr>
          <w:rFonts w:ascii="Times New Roman" w:hAnsi="Times New Roman" w:cs="Times New Roman"/>
          <w:sz w:val="26"/>
          <w:szCs w:val="26"/>
        </w:rPr>
        <w:t>stupanje</w:t>
      </w:r>
      <w:proofErr w:type="spellEnd"/>
      <w:r w:rsidR="00896900" w:rsidRPr="00282B43">
        <w:rPr>
          <w:rFonts w:ascii="Times New Roman" w:hAnsi="Times New Roman" w:cs="Times New Roman"/>
          <w:sz w:val="26"/>
          <w:szCs w:val="26"/>
        </w:rPr>
        <w:t xml:space="preserve"> na snagu zakona, osmog dana od dana objavljivanja u "Službenom listu Crne Gore".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2B43">
        <w:rPr>
          <w:rFonts w:ascii="Times New Roman" w:hAnsi="Times New Roman" w:cs="Times New Roman"/>
          <w:b/>
          <w:bCs/>
          <w:sz w:val="26"/>
          <w:szCs w:val="26"/>
        </w:rPr>
        <w:t xml:space="preserve">V. STUPANJE ZAKONA NA SNAGU 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96900" w:rsidRPr="00282B43" w:rsidRDefault="00896900" w:rsidP="00282B4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bCs/>
          <w:sz w:val="26"/>
          <w:szCs w:val="26"/>
        </w:rPr>
        <w:t>Predloženo je da ovaj zakon stupi na snagu osmog dana od dana objavljivanja u “Službenom listu Crne Gore”.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2B43">
        <w:rPr>
          <w:rFonts w:ascii="Times New Roman" w:hAnsi="Times New Roman" w:cs="Times New Roman"/>
          <w:b/>
          <w:bCs/>
          <w:sz w:val="26"/>
          <w:szCs w:val="26"/>
        </w:rPr>
        <w:t xml:space="preserve">VI. </w:t>
      </w:r>
      <w:r w:rsidRPr="00282B43">
        <w:rPr>
          <w:rFonts w:ascii="Times New Roman" w:hAnsi="Times New Roman" w:cs="Times New Roman"/>
          <w:sz w:val="26"/>
          <w:szCs w:val="26"/>
        </w:rPr>
        <w:t xml:space="preserve"> </w:t>
      </w:r>
      <w:r w:rsidRPr="00282B43">
        <w:rPr>
          <w:rFonts w:ascii="Times New Roman" w:hAnsi="Times New Roman" w:cs="Times New Roman"/>
          <w:b/>
          <w:sz w:val="26"/>
          <w:szCs w:val="26"/>
        </w:rPr>
        <w:t>PROCJENA FINANSIJSKIH S</w:t>
      </w:r>
      <w:r w:rsidRPr="00282B43">
        <w:rPr>
          <w:rFonts w:ascii="Times New Roman" w:hAnsi="Times New Roman" w:cs="Times New Roman"/>
          <w:b/>
          <w:bCs/>
          <w:sz w:val="26"/>
          <w:szCs w:val="26"/>
        </w:rPr>
        <w:t xml:space="preserve">REDSTAVA ZA SPROVOĐENJE ZAKONA </w:t>
      </w:r>
    </w:p>
    <w:p w:rsidR="00896900" w:rsidRPr="00282B43" w:rsidRDefault="00896900" w:rsidP="00282B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96900" w:rsidRPr="00282B43" w:rsidRDefault="00896900" w:rsidP="00282B43">
      <w:pPr>
        <w:jc w:val="both"/>
        <w:rPr>
          <w:rFonts w:ascii="Times New Roman" w:hAnsi="Times New Roman" w:cs="Times New Roman"/>
          <w:sz w:val="26"/>
          <w:szCs w:val="26"/>
        </w:rPr>
      </w:pPr>
      <w:r w:rsidRPr="00282B43">
        <w:rPr>
          <w:rFonts w:ascii="Times New Roman" w:hAnsi="Times New Roman" w:cs="Times New Roman"/>
          <w:sz w:val="26"/>
          <w:szCs w:val="26"/>
        </w:rPr>
        <w:tab/>
        <w:t>Za sprovođenje ovog zakona nijesu potrebna dodatna finansijska sredstva, jer su za sprovođenje i implementaciju zakona već planirana sredstva.</w:t>
      </w:r>
    </w:p>
    <w:p w:rsidR="003D788E" w:rsidRPr="00282B43" w:rsidRDefault="003D788E" w:rsidP="00282B43">
      <w:pPr>
        <w:jc w:val="both"/>
        <w:rPr>
          <w:sz w:val="26"/>
          <w:szCs w:val="26"/>
        </w:rPr>
      </w:pPr>
    </w:p>
    <w:sectPr w:rsidR="003D788E" w:rsidRPr="00282B43" w:rsidSect="003D78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E005C"/>
    <w:multiLevelType w:val="hybridMultilevel"/>
    <w:tmpl w:val="8E7E070E"/>
    <w:lvl w:ilvl="0" w:tplc="0CB6F7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317D69"/>
    <w:multiLevelType w:val="hybridMultilevel"/>
    <w:tmpl w:val="B16C083C"/>
    <w:lvl w:ilvl="0" w:tplc="F60CC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900"/>
    <w:rsid w:val="00010327"/>
    <w:rsid w:val="00127F07"/>
    <w:rsid w:val="002675EB"/>
    <w:rsid w:val="00282B43"/>
    <w:rsid w:val="00334EF2"/>
    <w:rsid w:val="003D788E"/>
    <w:rsid w:val="007A0A0B"/>
    <w:rsid w:val="007E53A5"/>
    <w:rsid w:val="00896900"/>
    <w:rsid w:val="009321D5"/>
    <w:rsid w:val="00B75138"/>
    <w:rsid w:val="00CE258C"/>
    <w:rsid w:val="00E0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00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marija.raickovic</dc:creator>
  <cp:lastModifiedBy>marija.raickovic</cp:lastModifiedBy>
  <cp:revision>5</cp:revision>
  <dcterms:created xsi:type="dcterms:W3CDTF">2019-09-11T10:35:00Z</dcterms:created>
  <dcterms:modified xsi:type="dcterms:W3CDTF">2019-09-11T11:51:00Z</dcterms:modified>
</cp:coreProperties>
</file>