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B8E" w:rsidRDefault="00725B8E" w:rsidP="007922F1">
      <w:pPr>
        <w:spacing w:after="0" w:line="240" w:lineRule="auto"/>
        <w:ind w:left="-180" w:right="-270"/>
        <w:jc w:val="center"/>
        <w:rPr>
          <w:rFonts w:cs="Calibri"/>
        </w:rPr>
      </w:pPr>
    </w:p>
    <w:p w:rsidR="00725B8E" w:rsidRDefault="00725B8E" w:rsidP="00725B8E">
      <w:pPr>
        <w:spacing w:after="0" w:line="240" w:lineRule="auto"/>
        <w:ind w:left="-180" w:right="-270"/>
        <w:jc w:val="right"/>
        <w:rPr>
          <w:rFonts w:cs="Calibri"/>
        </w:rPr>
      </w:pPr>
      <w:r w:rsidRPr="00725B8E">
        <w:rPr>
          <w:rFonts w:ascii="Arial" w:hAnsi="Arial" w:cs="Arial"/>
        </w:rPr>
        <w:t xml:space="preserve">                                                                                                                                          Nacrt</w:t>
      </w:r>
    </w:p>
    <w:p w:rsidR="002E4676" w:rsidRPr="000E7094" w:rsidRDefault="00681D52" w:rsidP="007922F1">
      <w:pPr>
        <w:spacing w:after="0" w:line="240" w:lineRule="auto"/>
        <w:ind w:left="-180" w:right="-270"/>
        <w:jc w:val="center"/>
        <w:rPr>
          <w:rFonts w:cs="Calibri"/>
        </w:rPr>
      </w:pPr>
      <w:r>
        <w:rPr>
          <w:rFonts w:ascii="Book Antiqua" w:hAnsi="Book Antiqua"/>
          <w:noProof/>
          <w:sz w:val="24"/>
        </w:rPr>
        <w:drawing>
          <wp:inline distT="0" distB="0" distL="0" distR="0" wp14:anchorId="010E24AB" wp14:editId="16A16521">
            <wp:extent cx="2600325" cy="19296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582" cy="1939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CE3" w:rsidRDefault="004C0CE3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4C0CE3" w:rsidRPr="009C37F6" w:rsidRDefault="004C0CE3" w:rsidP="00A40BDA">
      <w:pPr>
        <w:spacing w:after="0" w:line="240" w:lineRule="auto"/>
        <w:ind w:left="-180" w:right="-270"/>
        <w:rPr>
          <w:rFonts w:ascii="Arial" w:hAnsi="Arial" w:cs="Arial"/>
        </w:rPr>
      </w:pPr>
      <w:r>
        <w:rPr>
          <w:rFonts w:ascii="Arial" w:hAnsi="Arial" w:cs="Arial"/>
        </w:rPr>
        <w:t xml:space="preserve">Podgorica, </w:t>
      </w:r>
      <w:r w:rsidR="009C37F6" w:rsidRPr="009C37F6">
        <w:rPr>
          <w:rFonts w:ascii="Arial" w:hAnsi="Arial" w:cs="Arial"/>
        </w:rPr>
        <w:t>20</w:t>
      </w:r>
      <w:r w:rsidRPr="009C37F6">
        <w:rPr>
          <w:rFonts w:ascii="Arial" w:hAnsi="Arial" w:cs="Arial"/>
        </w:rPr>
        <w:t>.</w:t>
      </w:r>
      <w:r w:rsidR="009C37F6">
        <w:rPr>
          <w:rFonts w:ascii="Arial" w:hAnsi="Arial" w:cs="Arial"/>
        </w:rPr>
        <w:t xml:space="preserve"> </w:t>
      </w:r>
      <w:proofErr w:type="gramStart"/>
      <w:r w:rsidR="009C37F6" w:rsidRPr="009C37F6">
        <w:rPr>
          <w:rFonts w:ascii="Arial" w:hAnsi="Arial" w:cs="Arial"/>
        </w:rPr>
        <w:t>februar</w:t>
      </w:r>
      <w:proofErr w:type="gramEnd"/>
      <w:r w:rsidR="009C37F6" w:rsidRPr="009C37F6">
        <w:rPr>
          <w:rFonts w:ascii="Arial" w:hAnsi="Arial" w:cs="Arial"/>
        </w:rPr>
        <w:t xml:space="preserve"> 2019.</w:t>
      </w:r>
      <w:r w:rsidRPr="009C37F6">
        <w:rPr>
          <w:rFonts w:ascii="Arial" w:hAnsi="Arial" w:cs="Arial"/>
        </w:rPr>
        <w:t xml:space="preserve"> </w:t>
      </w:r>
      <w:proofErr w:type="gramStart"/>
      <w:r w:rsidRPr="009C37F6">
        <w:rPr>
          <w:rFonts w:ascii="Arial" w:hAnsi="Arial" w:cs="Arial"/>
        </w:rPr>
        <w:t>godine</w:t>
      </w:r>
      <w:proofErr w:type="gramEnd"/>
    </w:p>
    <w:p w:rsidR="006110BF" w:rsidRPr="009C37F6" w:rsidRDefault="004C0CE3" w:rsidP="00A40BDA">
      <w:pPr>
        <w:spacing w:after="0" w:line="240" w:lineRule="auto"/>
        <w:ind w:left="-180" w:right="-270"/>
        <w:rPr>
          <w:rFonts w:ascii="Arial" w:hAnsi="Arial" w:cs="Arial"/>
        </w:rPr>
      </w:pPr>
      <w:r w:rsidRPr="009C37F6">
        <w:rPr>
          <w:rFonts w:ascii="Arial" w:hAnsi="Arial" w:cs="Arial"/>
        </w:rPr>
        <w:t>Broj: 970-377/2018-2</w:t>
      </w:r>
    </w:p>
    <w:p w:rsidR="006110BF" w:rsidRPr="009C37F6" w:rsidRDefault="006110BF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2E4676" w:rsidRPr="007B37D3" w:rsidRDefault="002E4676" w:rsidP="00A40BDA">
      <w:pPr>
        <w:pStyle w:val="Heading1"/>
        <w:spacing w:before="0" w:line="240" w:lineRule="auto"/>
        <w:ind w:left="-180" w:right="-270"/>
        <w:rPr>
          <w:b w:val="0"/>
          <w:sz w:val="22"/>
          <w:szCs w:val="22"/>
        </w:rPr>
      </w:pPr>
    </w:p>
    <w:p w:rsidR="00895829" w:rsidRPr="007B37D3" w:rsidRDefault="00895829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895829" w:rsidRPr="007B37D3" w:rsidRDefault="00895829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K O N C E S I O N I   A K T</w:t>
      </w: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  <w:proofErr w:type="gramStart"/>
      <w:r w:rsidRPr="007B37D3">
        <w:rPr>
          <w:rFonts w:ascii="Arial" w:hAnsi="Arial" w:cs="Arial"/>
          <w:b/>
        </w:rPr>
        <w:t>o</w:t>
      </w:r>
      <w:proofErr w:type="gramEnd"/>
      <w:r w:rsidRPr="007B37D3">
        <w:rPr>
          <w:rFonts w:ascii="Arial" w:hAnsi="Arial" w:cs="Arial"/>
          <w:b/>
        </w:rPr>
        <w:t xml:space="preserve"> pojavi mineralne sirovine tehničko-građev</w:t>
      </w:r>
      <w:r w:rsidR="00D3636A" w:rsidRPr="007B37D3">
        <w:rPr>
          <w:rFonts w:ascii="Arial" w:hAnsi="Arial" w:cs="Arial"/>
          <w:b/>
        </w:rPr>
        <w:t>inskog kamena “Pogled</w:t>
      </w:r>
      <w:r w:rsidRPr="007B37D3">
        <w:rPr>
          <w:rFonts w:ascii="Arial" w:hAnsi="Arial" w:cs="Arial"/>
          <w:b/>
        </w:rPr>
        <w:t>”, o</w:t>
      </w:r>
      <w:r w:rsidR="00122518" w:rsidRPr="007B37D3">
        <w:rPr>
          <w:rFonts w:ascii="Arial" w:hAnsi="Arial" w:cs="Arial"/>
          <w:b/>
        </w:rPr>
        <w:t>pština Rožaje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  <w:bookmarkStart w:id="0" w:name="_GoBack"/>
      <w:bookmarkEnd w:id="0"/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Pr="007B37D3" w:rsidRDefault="00C82057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</w:p>
    <w:p w:rsidR="002E4676" w:rsidRPr="009C37F6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Podgorica,</w:t>
      </w:r>
      <w:r w:rsidR="003C1195">
        <w:rPr>
          <w:rFonts w:ascii="Arial" w:hAnsi="Arial" w:cs="Arial"/>
          <w:b/>
        </w:rPr>
        <w:t xml:space="preserve"> </w:t>
      </w:r>
      <w:r w:rsidR="009C37F6" w:rsidRPr="009C37F6">
        <w:rPr>
          <w:rFonts w:ascii="Arial" w:hAnsi="Arial" w:cs="Arial"/>
          <w:b/>
        </w:rPr>
        <w:t xml:space="preserve">februar </w:t>
      </w:r>
      <w:r w:rsidR="00D3636A" w:rsidRPr="009C37F6">
        <w:rPr>
          <w:rFonts w:ascii="Arial" w:hAnsi="Arial" w:cs="Arial"/>
          <w:b/>
        </w:rPr>
        <w:t>201</w:t>
      </w:r>
      <w:r w:rsidR="009C37F6" w:rsidRPr="009C37F6">
        <w:rPr>
          <w:rFonts w:ascii="Arial" w:hAnsi="Arial" w:cs="Arial"/>
          <w:b/>
        </w:rPr>
        <w:t>9</w:t>
      </w:r>
      <w:r w:rsidRPr="009C37F6">
        <w:rPr>
          <w:rFonts w:ascii="Arial" w:hAnsi="Arial" w:cs="Arial"/>
          <w:b/>
        </w:rPr>
        <w:t>.godine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C82057" w:rsidRDefault="00C82057" w:rsidP="00C82057"/>
    <w:p w:rsidR="00C82057" w:rsidRPr="00C82057" w:rsidRDefault="00C82057" w:rsidP="00C82057"/>
    <w:p w:rsidR="006110BF" w:rsidRDefault="006110BF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OPŠTI PODACI O KONCESIONOM AKTU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Naziv Koncesionog akta:</w:t>
      </w:r>
    </w:p>
    <w:p w:rsidR="00D3636A" w:rsidRPr="007B37D3" w:rsidRDefault="00D3636A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Koncesioni akt o pojavi mineralne sirovine tehničko-</w:t>
      </w:r>
      <w:r w:rsidR="00D3636A" w:rsidRPr="007B37D3">
        <w:rPr>
          <w:rFonts w:ascii="Arial" w:hAnsi="Arial" w:cs="Arial"/>
        </w:rPr>
        <w:t>građevinskog kamena “Pogled</w:t>
      </w:r>
      <w:r w:rsidRPr="007B37D3">
        <w:rPr>
          <w:rFonts w:ascii="Arial" w:hAnsi="Arial" w:cs="Arial"/>
        </w:rPr>
        <w:t>”, o</w:t>
      </w:r>
      <w:r w:rsidR="00D3636A" w:rsidRPr="007B37D3">
        <w:rPr>
          <w:rFonts w:ascii="Arial" w:hAnsi="Arial" w:cs="Arial"/>
        </w:rPr>
        <w:t>pština Rožaje</w:t>
      </w:r>
      <w:r w:rsidR="0037158C" w:rsidRPr="007B37D3">
        <w:rPr>
          <w:rFonts w:ascii="Arial" w:hAnsi="Arial" w:cs="Arial"/>
        </w:rPr>
        <w:t>.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A7610" w:rsidRPr="007B37D3" w:rsidRDefault="001A7610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Izrada Koncesionog akta izvršena je na osnovu dopune Plana koncesija za 2018. godinu koji je Vlada Crne Gore donijela na sjednici </w:t>
      </w:r>
      <w:r w:rsidR="0037158C" w:rsidRPr="007B37D3">
        <w:rPr>
          <w:rFonts w:ascii="Arial" w:hAnsi="Arial" w:cs="Arial"/>
          <w:lang w:val="sr-Latn-CS"/>
        </w:rPr>
        <w:t>dana 7. juna</w:t>
      </w:r>
      <w:r w:rsidRPr="007B37D3">
        <w:rPr>
          <w:rFonts w:ascii="Arial" w:hAnsi="Arial" w:cs="Arial"/>
          <w:lang w:val="sr-Latn-CS"/>
        </w:rPr>
        <w:t xml:space="preserve"> 2018. godine.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Izrada Koncesionog akta: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1A7610" w:rsidRPr="004C0CE3" w:rsidRDefault="001A7610" w:rsidP="00A40BDA">
      <w:pPr>
        <w:spacing w:after="0"/>
        <w:ind w:left="-180" w:right="-270"/>
        <w:jc w:val="both"/>
        <w:rPr>
          <w:rFonts w:ascii="Arial" w:hAnsi="Arial" w:cs="Arial"/>
          <w:color w:val="FF0000"/>
          <w:lang w:val="sr-Latn-CS"/>
        </w:rPr>
      </w:pPr>
      <w:r w:rsidRPr="007B37D3">
        <w:rPr>
          <w:rFonts w:ascii="Arial" w:hAnsi="Arial" w:cs="Arial"/>
          <w:lang w:val="sr-Latn-CS"/>
        </w:rPr>
        <w:t>Koncesioni akt je uradilo Ministarstvo ekonomije na osnovu geoloških podloga koje je uradila JU Zavod za geo</w:t>
      </w:r>
      <w:r w:rsidR="00681D52">
        <w:rPr>
          <w:rFonts w:ascii="Arial" w:hAnsi="Arial" w:cs="Arial"/>
          <w:lang w:val="sr-Latn-CS"/>
        </w:rPr>
        <w:t>loška istraživanja</w:t>
      </w:r>
      <w:r w:rsidR="004C0CE3">
        <w:rPr>
          <w:rFonts w:ascii="Arial" w:hAnsi="Arial" w:cs="Arial"/>
          <w:lang w:val="sr-Latn-CS"/>
        </w:rPr>
        <w:t xml:space="preserve">– Podgorica, koje su </w:t>
      </w:r>
      <w:r w:rsidRPr="007B37D3">
        <w:rPr>
          <w:rFonts w:ascii="Arial" w:hAnsi="Arial" w:cs="Arial"/>
          <w:lang w:val="sr-Latn-CS"/>
        </w:rPr>
        <w:t>arhiviran</w:t>
      </w:r>
      <w:r w:rsidR="004C0CE3">
        <w:rPr>
          <w:rFonts w:ascii="Arial" w:hAnsi="Arial" w:cs="Arial"/>
          <w:lang w:val="sr-Latn-CS"/>
        </w:rPr>
        <w:t>e</w:t>
      </w:r>
      <w:r w:rsidRPr="007B37D3">
        <w:rPr>
          <w:rFonts w:ascii="Arial" w:hAnsi="Arial" w:cs="Arial"/>
          <w:lang w:val="sr-Latn-CS"/>
        </w:rPr>
        <w:t xml:space="preserve"> u Ministarstvu pod brojem: </w:t>
      </w:r>
      <w:r w:rsidRPr="004C0CE3">
        <w:rPr>
          <w:rFonts w:ascii="Arial" w:hAnsi="Arial" w:cs="Arial"/>
          <w:lang w:val="sr-Latn-CS"/>
        </w:rPr>
        <w:t xml:space="preserve"> </w:t>
      </w:r>
      <w:r w:rsidR="004C0CE3">
        <w:rPr>
          <w:rFonts w:ascii="Arial" w:hAnsi="Arial" w:cs="Arial"/>
          <w:lang w:val="sr-Latn-CS"/>
        </w:rPr>
        <w:t>970-377/2018-1</w:t>
      </w:r>
      <w:r w:rsidRPr="004C0CE3">
        <w:rPr>
          <w:rFonts w:ascii="Arial" w:hAnsi="Arial" w:cs="Arial"/>
          <w:lang w:val="sr-Latn-CS"/>
        </w:rPr>
        <w:t xml:space="preserve">, od </w:t>
      </w:r>
      <w:r w:rsidR="004C0CE3">
        <w:rPr>
          <w:rFonts w:ascii="Arial" w:hAnsi="Arial" w:cs="Arial"/>
          <w:lang w:val="sr-Latn-CS"/>
        </w:rPr>
        <w:t>26</w:t>
      </w:r>
      <w:r w:rsidRPr="004C0CE3">
        <w:rPr>
          <w:rFonts w:ascii="Arial" w:hAnsi="Arial" w:cs="Arial"/>
          <w:lang w:val="sr-Latn-CS"/>
        </w:rPr>
        <w:t>.</w:t>
      </w:r>
      <w:r w:rsidR="0037158C" w:rsidRPr="004C0CE3">
        <w:rPr>
          <w:rFonts w:ascii="Arial" w:hAnsi="Arial" w:cs="Arial"/>
          <w:lang w:val="sr-Latn-CS"/>
        </w:rPr>
        <w:t>10</w:t>
      </w:r>
      <w:r w:rsidRPr="004C0CE3">
        <w:rPr>
          <w:rFonts w:ascii="Arial" w:hAnsi="Arial" w:cs="Arial"/>
          <w:lang w:val="sr-Latn-CS"/>
        </w:rPr>
        <w:t xml:space="preserve">.2018. godine. </w:t>
      </w:r>
      <w:r w:rsidRPr="007B37D3">
        <w:rPr>
          <w:rFonts w:ascii="Arial" w:hAnsi="Arial" w:cs="Arial"/>
          <w:lang w:val="sr-Latn-CS"/>
        </w:rPr>
        <w:t>Koncesioni akt je urađen u skladu sa čl. 19 Zakona o k</w:t>
      </w:r>
      <w:r w:rsidR="001D779E">
        <w:rPr>
          <w:rFonts w:ascii="Arial" w:hAnsi="Arial" w:cs="Arial"/>
          <w:lang w:val="sr-Latn-CS"/>
        </w:rPr>
        <w:t xml:space="preserve">oncesijama („Sl. list CG“, br. </w:t>
      </w:r>
      <w:r w:rsidRPr="007B37D3">
        <w:rPr>
          <w:rFonts w:ascii="Arial" w:hAnsi="Arial" w:cs="Arial"/>
          <w:lang w:val="sr-Latn-CS"/>
        </w:rPr>
        <w:t>8/09).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Izvori podataka za izradu Koncesionog akta: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F0778D" w:rsidRPr="007B37D3" w:rsidRDefault="00F0778D" w:rsidP="00A91749">
      <w:pPr>
        <w:numPr>
          <w:ilvl w:val="0"/>
          <w:numId w:val="8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Raspoloživa geološka i rudarska dokumentacija Ministarstva ekonomije i JU Zavod za geološka istraživanja</w:t>
      </w:r>
      <w:r w:rsidR="0037158C" w:rsidRPr="007B37D3">
        <w:rPr>
          <w:rFonts w:ascii="Arial" w:hAnsi="Arial" w:cs="Arial"/>
          <w:lang w:val="sr-Latn-CS"/>
        </w:rPr>
        <w:t>,</w:t>
      </w:r>
      <w:r w:rsidRPr="007B37D3">
        <w:rPr>
          <w:rFonts w:ascii="Arial" w:hAnsi="Arial" w:cs="Arial"/>
          <w:lang w:val="sr-Latn-CS"/>
        </w:rPr>
        <w:t xml:space="preserve"> Podgorica;</w:t>
      </w:r>
    </w:p>
    <w:p w:rsidR="00F0778D" w:rsidRPr="007B37D3" w:rsidRDefault="00F0778D" w:rsidP="00A91749">
      <w:pPr>
        <w:numPr>
          <w:ilvl w:val="0"/>
          <w:numId w:val="8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Podaci Uprave za nekretnine Crne </w:t>
      </w:r>
      <w:r w:rsidR="00B9279E" w:rsidRPr="007B37D3">
        <w:rPr>
          <w:rFonts w:ascii="Arial" w:hAnsi="Arial" w:cs="Arial"/>
          <w:lang w:val="sr-Latn-CS"/>
        </w:rPr>
        <w:t>Gore, Područna jedinica Rožaje</w:t>
      </w:r>
    </w:p>
    <w:p w:rsidR="00F0778D" w:rsidRPr="007B37D3" w:rsidRDefault="00F0778D" w:rsidP="00A9174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180" w:right="-270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Lokalna studija lokacije </w:t>
      </w:r>
      <w:r w:rsidR="0056714D" w:rsidRPr="007B37D3">
        <w:rPr>
          <w:rFonts w:ascii="Arial" w:hAnsi="Arial" w:cs="Arial"/>
          <w:lang w:val="sr-Latn-CS"/>
        </w:rPr>
        <w:t xml:space="preserve">(Odluka o izradi Lokalne studije lokacije „Pogled“ br. 1612 od 7.04.2016. koju je </w:t>
      </w:r>
      <w:r w:rsidR="007922F1">
        <w:rPr>
          <w:rFonts w:ascii="Arial" w:eastAsiaTheme="minorHAnsi" w:hAnsi="Arial" w:cs="Arial"/>
          <w:lang w:val="en-GB"/>
        </w:rPr>
        <w:t>doni</w:t>
      </w:r>
      <w:r w:rsidR="0056714D" w:rsidRPr="007B37D3">
        <w:rPr>
          <w:rFonts w:ascii="Arial" w:eastAsiaTheme="minorHAnsi" w:hAnsi="Arial" w:cs="Arial"/>
          <w:lang w:val="en-GB"/>
        </w:rPr>
        <w:t>o Predsednik Opštine Rožaje)</w:t>
      </w:r>
      <w:r w:rsidR="0037158C" w:rsidRPr="007B37D3">
        <w:rPr>
          <w:rFonts w:ascii="Arial" w:eastAsiaTheme="minorHAnsi" w:hAnsi="Arial" w:cs="Arial"/>
          <w:lang w:val="en-GB"/>
        </w:rPr>
        <w:t>;</w:t>
      </w:r>
    </w:p>
    <w:p w:rsidR="00F0778D" w:rsidRPr="007B37D3" w:rsidRDefault="00F0778D" w:rsidP="00A91749">
      <w:pPr>
        <w:pStyle w:val="ListParagraph"/>
        <w:numPr>
          <w:ilvl w:val="0"/>
          <w:numId w:val="8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</w:rPr>
        <w:t xml:space="preserve">Podaci Zavoda za statistiku, akt </w:t>
      </w:r>
      <w:r w:rsidRPr="007B37D3">
        <w:rPr>
          <w:rFonts w:ascii="Arial" w:hAnsi="Arial" w:cs="Arial"/>
          <w:lang w:val="sr-Latn-CS"/>
        </w:rPr>
        <w:t xml:space="preserve">br. 01-705/2, </w:t>
      </w:r>
      <w:proofErr w:type="gramStart"/>
      <w:r w:rsidRPr="007B37D3">
        <w:rPr>
          <w:rFonts w:ascii="Arial" w:hAnsi="Arial" w:cs="Arial"/>
          <w:lang w:val="sr-Latn-CS"/>
        </w:rPr>
        <w:t>od</w:t>
      </w:r>
      <w:proofErr w:type="gramEnd"/>
      <w:r w:rsidRPr="007B37D3">
        <w:rPr>
          <w:rFonts w:ascii="Arial" w:hAnsi="Arial" w:cs="Arial"/>
          <w:lang w:val="sr-Latn-CS"/>
        </w:rPr>
        <w:t xml:space="preserve"> 01.03.2018. godine</w:t>
      </w:r>
      <w:r w:rsidRPr="007B37D3">
        <w:rPr>
          <w:rFonts w:ascii="Arial" w:hAnsi="Arial" w:cs="Arial"/>
        </w:rPr>
        <w:t xml:space="preserve">, o prosječno ostvarenoj cijena proizvoda mineralnih sirovina  u Crnoj Gori u 2017. godini; 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Zakonski propisi korišćeni pri izradi Koncesionog akta: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Zakon o k</w:t>
      </w:r>
      <w:r w:rsidR="00F422C6">
        <w:rPr>
          <w:rFonts w:ascii="Arial" w:hAnsi="Arial" w:cs="Arial"/>
          <w:lang w:val="sr-Latn-CS"/>
        </w:rPr>
        <w:t xml:space="preserve">oncesijama („Sl. list CG“, br. </w:t>
      </w:r>
      <w:r w:rsidRPr="007B37D3">
        <w:rPr>
          <w:rFonts w:ascii="Arial" w:hAnsi="Arial" w:cs="Arial"/>
          <w:lang w:val="sr-Latn-CS"/>
        </w:rPr>
        <w:t>8/09);</w:t>
      </w: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Zakon o ruda</w:t>
      </w:r>
      <w:r w:rsidR="00681D52">
        <w:rPr>
          <w:rFonts w:ascii="Arial" w:hAnsi="Arial" w:cs="Arial"/>
          <w:lang w:val="sr-Latn-CS"/>
        </w:rPr>
        <w:t>rstvu („Sl. list CG“, br. 65/08</w:t>
      </w:r>
      <w:r w:rsidRPr="007B37D3">
        <w:rPr>
          <w:rFonts w:ascii="Arial" w:hAnsi="Arial" w:cs="Arial"/>
          <w:lang w:val="sr-Latn-CS"/>
        </w:rPr>
        <w:t>);</w:t>
      </w: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Zakon o geološkim istraživanjima (‘’Sl. list RCG’’, br. 28/93, 42/94 i 26/07 i „Sl. list CG“, br. 28/11);</w:t>
      </w: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Zakon o procjeni uticaja na životnu sredinu („Sl. list RCG“, br. 80/05 i „Sl. list CG“, br. 40/10, 73/10, 40/11 i 27/13</w:t>
      </w:r>
      <w:r w:rsidR="00681D52">
        <w:rPr>
          <w:rFonts w:ascii="Arial" w:hAnsi="Arial" w:cs="Arial"/>
          <w:lang w:val="sr-Latn-CS"/>
        </w:rPr>
        <w:t xml:space="preserve"> i 52/16</w:t>
      </w:r>
      <w:r w:rsidRPr="007B37D3">
        <w:rPr>
          <w:rFonts w:ascii="Arial" w:hAnsi="Arial" w:cs="Arial"/>
          <w:lang w:val="sr-Latn-CS"/>
        </w:rPr>
        <w:t>);</w:t>
      </w:r>
    </w:p>
    <w:p w:rsidR="00F0778D" w:rsidRPr="007B37D3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Uredba o kriterijumima i načinu obračuna iznosa minimalne koncesione naknade za ustupanje prava na istraživanje i eksploataciju mineralnih sirovina („Sl. list CG“, br. 37/11</w:t>
      </w:r>
      <w:r w:rsidR="00681D52">
        <w:rPr>
          <w:rFonts w:ascii="Arial" w:hAnsi="Arial" w:cs="Arial"/>
          <w:lang w:val="sr-Latn-CS"/>
        </w:rPr>
        <w:t xml:space="preserve"> i 40/16</w:t>
      </w:r>
      <w:r w:rsidRPr="007B37D3">
        <w:rPr>
          <w:rFonts w:ascii="Arial" w:hAnsi="Arial" w:cs="Arial"/>
          <w:lang w:val="sr-Latn-CS"/>
        </w:rPr>
        <w:t>);</w:t>
      </w:r>
    </w:p>
    <w:p w:rsidR="002E4676" w:rsidRDefault="00F0778D" w:rsidP="00A91749">
      <w:pPr>
        <w:numPr>
          <w:ilvl w:val="0"/>
          <w:numId w:val="9"/>
        </w:num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Uredba o visini sredstava za sanaciju i rekultivaciju prostora na kojem se izvode rudarski radovi, načinu obračunavanja, plaćanja i korišćenja tih sredstava („Sl. list CG“, br. 51/11).</w:t>
      </w:r>
    </w:p>
    <w:p w:rsidR="004C0CE3" w:rsidRPr="007B37D3" w:rsidRDefault="004C0CE3" w:rsidP="00A40BDA">
      <w:pPr>
        <w:suppressAutoHyphens/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2E4676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Mjesto i vrijeme izrade Koncesionog akta:</w:t>
      </w:r>
    </w:p>
    <w:p w:rsidR="004C0CE3" w:rsidRPr="007B37D3" w:rsidRDefault="004C0CE3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6E0FAB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Podgo</w:t>
      </w:r>
      <w:r w:rsidR="00AA1FFF" w:rsidRPr="007B37D3">
        <w:rPr>
          <w:rFonts w:ascii="Arial" w:hAnsi="Arial" w:cs="Arial"/>
        </w:rPr>
        <w:t xml:space="preserve">rica, </w:t>
      </w:r>
      <w:r w:rsidR="004F0E7C" w:rsidRPr="004F0E7C">
        <w:rPr>
          <w:rFonts w:ascii="Arial" w:hAnsi="Arial" w:cs="Arial"/>
        </w:rPr>
        <w:t>februar</w:t>
      </w:r>
      <w:r w:rsidR="00F0778D" w:rsidRPr="004F0E7C">
        <w:rPr>
          <w:rFonts w:ascii="Arial" w:hAnsi="Arial" w:cs="Arial"/>
        </w:rPr>
        <w:t xml:space="preserve"> 201</w:t>
      </w:r>
      <w:r w:rsidR="004F0E7C" w:rsidRPr="004F0E7C">
        <w:rPr>
          <w:rFonts w:ascii="Arial" w:hAnsi="Arial" w:cs="Arial"/>
        </w:rPr>
        <w:t>9</w:t>
      </w:r>
      <w:r w:rsidRPr="004F0E7C">
        <w:rPr>
          <w:rFonts w:ascii="Arial" w:hAnsi="Arial" w:cs="Arial"/>
        </w:rPr>
        <w:t>.</w:t>
      </w:r>
      <w:r w:rsidR="004F0E7C" w:rsidRPr="004F0E7C">
        <w:rPr>
          <w:rFonts w:ascii="Arial" w:hAnsi="Arial" w:cs="Arial"/>
        </w:rPr>
        <w:t xml:space="preserve"> </w:t>
      </w:r>
      <w:proofErr w:type="gramStart"/>
      <w:r w:rsidRPr="004F0E7C">
        <w:rPr>
          <w:rFonts w:ascii="Arial" w:hAnsi="Arial" w:cs="Arial"/>
        </w:rPr>
        <w:t>godine</w:t>
      </w:r>
      <w:proofErr w:type="gramEnd"/>
    </w:p>
    <w:p w:rsidR="00681D52" w:rsidRDefault="00681D5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D779E" w:rsidRDefault="001D779E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D779E" w:rsidRDefault="001D779E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D779E" w:rsidRDefault="001D779E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D779E" w:rsidRDefault="001D779E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796491" w:rsidRDefault="00796491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681D52" w:rsidRPr="004C0CE3" w:rsidRDefault="00681D5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S A D R Ž A J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 Uvod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E4676" w:rsidRPr="007B37D3">
        <w:rPr>
          <w:rFonts w:ascii="Arial" w:hAnsi="Arial" w:cs="Arial"/>
        </w:rPr>
        <w:t xml:space="preserve">. </w:t>
      </w:r>
      <w:r w:rsidR="00AA1FFF" w:rsidRPr="007B37D3">
        <w:rPr>
          <w:rFonts w:ascii="Arial" w:hAnsi="Arial" w:cs="Arial"/>
        </w:rPr>
        <w:t>Tehnički izvještaj o pojavi</w:t>
      </w:r>
      <w:r w:rsidR="002E4676" w:rsidRPr="007B37D3">
        <w:rPr>
          <w:rFonts w:ascii="Arial" w:hAnsi="Arial" w:cs="Arial"/>
        </w:rPr>
        <w:t xml:space="preserve"> tehni</w:t>
      </w:r>
      <w:r w:rsidR="00AA1FFF" w:rsidRPr="007B37D3">
        <w:rPr>
          <w:rFonts w:ascii="Arial" w:hAnsi="Arial" w:cs="Arial"/>
        </w:rPr>
        <w:t>čko-</w:t>
      </w:r>
      <w:r w:rsidR="00630623" w:rsidRPr="007B37D3">
        <w:rPr>
          <w:rFonts w:ascii="Arial" w:hAnsi="Arial" w:cs="Arial"/>
        </w:rPr>
        <w:t>građevinskog kamena “Pogled</w:t>
      </w:r>
      <w:r w:rsidR="002E4676" w:rsidRPr="007B37D3">
        <w:rPr>
          <w:rFonts w:ascii="Arial" w:hAnsi="Arial" w:cs="Arial"/>
        </w:rPr>
        <w:t>”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  <w:r w:rsidR="002E4676" w:rsidRPr="007B37D3">
        <w:rPr>
          <w:rFonts w:ascii="Arial" w:hAnsi="Arial" w:cs="Arial"/>
        </w:rPr>
        <w:t>Rok trajanja koncesije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4676" w:rsidRPr="007B37D3">
        <w:rPr>
          <w:rFonts w:ascii="Arial" w:hAnsi="Arial" w:cs="Arial"/>
        </w:rPr>
        <w:t>. Osnovni parametri za ocjenu ekonomske opravdanosti investicije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E4676" w:rsidRPr="007B37D3">
        <w:rPr>
          <w:rFonts w:ascii="Arial" w:hAnsi="Arial" w:cs="Arial"/>
        </w:rPr>
        <w:t>. Mjere za zaštitu životne sredine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E4676" w:rsidRPr="007B37D3">
        <w:rPr>
          <w:rFonts w:ascii="Arial" w:hAnsi="Arial" w:cs="Arial"/>
        </w:rPr>
        <w:t>. Rekultivacija istražno-e</w:t>
      </w:r>
      <w:r w:rsidR="00AA1FFF" w:rsidRPr="007B37D3">
        <w:rPr>
          <w:rFonts w:ascii="Arial" w:hAnsi="Arial" w:cs="Arial"/>
        </w:rPr>
        <w:t>kspl</w:t>
      </w:r>
      <w:r w:rsidR="00C123FF" w:rsidRPr="007B37D3">
        <w:rPr>
          <w:rFonts w:ascii="Arial" w:hAnsi="Arial" w:cs="Arial"/>
        </w:rPr>
        <w:t xml:space="preserve">oatacionog </w:t>
      </w:r>
      <w:proofErr w:type="gramStart"/>
      <w:r w:rsidR="00C123FF" w:rsidRPr="007B37D3">
        <w:rPr>
          <w:rFonts w:ascii="Arial" w:hAnsi="Arial" w:cs="Arial"/>
        </w:rPr>
        <w:t>pros</w:t>
      </w:r>
      <w:r w:rsidR="00630623" w:rsidRPr="007B37D3">
        <w:rPr>
          <w:rFonts w:ascii="Arial" w:hAnsi="Arial" w:cs="Arial"/>
        </w:rPr>
        <w:t>tora ”</w:t>
      </w:r>
      <w:proofErr w:type="gramEnd"/>
      <w:r w:rsidR="00630623" w:rsidRPr="007B37D3">
        <w:rPr>
          <w:rFonts w:ascii="Arial" w:hAnsi="Arial" w:cs="Arial"/>
        </w:rPr>
        <w:t>Pogled</w:t>
      </w:r>
      <w:r w:rsidR="002E4676" w:rsidRPr="007B37D3">
        <w:rPr>
          <w:rFonts w:ascii="Arial" w:hAnsi="Arial" w:cs="Arial"/>
        </w:rPr>
        <w:t>”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13B4E" w:rsidRPr="007B37D3">
        <w:rPr>
          <w:rFonts w:ascii="Arial" w:hAnsi="Arial" w:cs="Arial"/>
        </w:rPr>
        <w:t>. Unapr</w:t>
      </w:r>
      <w:r w:rsidR="002E4676" w:rsidRPr="007B37D3">
        <w:rPr>
          <w:rFonts w:ascii="Arial" w:hAnsi="Arial" w:cs="Arial"/>
        </w:rPr>
        <w:t xml:space="preserve">eđenje </w:t>
      </w:r>
      <w:r w:rsidR="00796491">
        <w:rPr>
          <w:rFonts w:ascii="Arial" w:hAnsi="Arial" w:cs="Arial"/>
        </w:rPr>
        <w:t>energetske</w:t>
      </w:r>
      <w:r w:rsidR="002E4676" w:rsidRPr="007B37D3">
        <w:rPr>
          <w:rFonts w:ascii="Arial" w:hAnsi="Arial" w:cs="Arial"/>
        </w:rPr>
        <w:t xml:space="preserve"> efikasnosti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2E4676" w:rsidRPr="007B37D3">
        <w:rPr>
          <w:rFonts w:ascii="Arial" w:hAnsi="Arial" w:cs="Arial"/>
        </w:rPr>
        <w:t>.</w:t>
      </w:r>
      <w:r w:rsidR="00796491">
        <w:rPr>
          <w:rFonts w:ascii="Arial" w:hAnsi="Arial" w:cs="Arial"/>
        </w:rPr>
        <w:t xml:space="preserve"> </w:t>
      </w:r>
      <w:r w:rsidR="002E4676" w:rsidRPr="007B37D3">
        <w:rPr>
          <w:rFonts w:ascii="Arial" w:hAnsi="Arial" w:cs="Arial"/>
        </w:rPr>
        <w:t xml:space="preserve">Uslovi koje je dužan da ispunjava koncesionar u pogledu tehničke opremljenosti, finansijske </w:t>
      </w:r>
      <w:r w:rsidR="00796491">
        <w:rPr>
          <w:rFonts w:ascii="Arial" w:hAnsi="Arial" w:cs="Arial"/>
        </w:rPr>
        <w:t xml:space="preserve">  </w:t>
      </w:r>
      <w:r w:rsidR="002E4676" w:rsidRPr="007B37D3">
        <w:rPr>
          <w:rFonts w:ascii="Arial" w:hAnsi="Arial" w:cs="Arial"/>
        </w:rPr>
        <w:t>sposobnosti i ostale reference i dokaze o ispunjavanju tih uslova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E4676" w:rsidRPr="007B37D3">
        <w:rPr>
          <w:rFonts w:ascii="Arial" w:hAnsi="Arial" w:cs="Arial"/>
        </w:rPr>
        <w:t>. Minimalni – početni iznos koncesione naknade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FE674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2E4676" w:rsidRPr="007B37D3">
        <w:rPr>
          <w:rFonts w:ascii="Arial" w:hAnsi="Arial" w:cs="Arial"/>
        </w:rPr>
        <w:t>. Kriterijumi za izbor najpovoljnije ponude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1</w:t>
      </w:r>
      <w:r w:rsidR="00FE6740">
        <w:rPr>
          <w:rFonts w:ascii="Arial" w:hAnsi="Arial" w:cs="Arial"/>
        </w:rPr>
        <w:t>0</w:t>
      </w:r>
      <w:r w:rsidRPr="007B37D3">
        <w:rPr>
          <w:rFonts w:ascii="Arial" w:hAnsi="Arial" w:cs="Arial"/>
        </w:rPr>
        <w:t xml:space="preserve">. Spisak potrebne tehničke dokumentacije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uslovima za njenu izradu, odobrenja, saglasnosti i mišljenja za obavljanje koncesione djelatnosti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1</w:t>
      </w:r>
      <w:r w:rsidR="00FE6740">
        <w:rPr>
          <w:rFonts w:ascii="Arial" w:hAnsi="Arial" w:cs="Arial"/>
        </w:rPr>
        <w:t>1</w:t>
      </w:r>
      <w:r w:rsidRPr="007B37D3">
        <w:rPr>
          <w:rFonts w:ascii="Arial" w:hAnsi="Arial" w:cs="Arial"/>
        </w:rPr>
        <w:t xml:space="preserve">. Hronologija izrade tehničke dokumentacije i pribavljanje odobrenja i saglasnosti za izvođenje rudarskih radova 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1</w:t>
      </w:r>
      <w:r w:rsidR="00FE6740">
        <w:rPr>
          <w:rFonts w:ascii="Arial" w:hAnsi="Arial" w:cs="Arial"/>
        </w:rPr>
        <w:t>2</w:t>
      </w:r>
      <w:r w:rsidRPr="007B37D3">
        <w:rPr>
          <w:rFonts w:ascii="Arial" w:hAnsi="Arial" w:cs="Arial"/>
        </w:rPr>
        <w:t>. Osnovni elementi tenderske dokumentacije (oglas, dokumentacija vezana za ponudu)</w:t>
      </w:r>
    </w:p>
    <w:p w:rsidR="00566D37" w:rsidRPr="007B37D3" w:rsidRDefault="00566D37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1</w:t>
      </w:r>
      <w:r w:rsidR="00FE6740">
        <w:rPr>
          <w:rFonts w:ascii="Arial" w:hAnsi="Arial" w:cs="Arial"/>
        </w:rPr>
        <w:t>3</w:t>
      </w:r>
      <w:r w:rsidRPr="007B37D3">
        <w:rPr>
          <w:rFonts w:ascii="Arial" w:hAnsi="Arial" w:cs="Arial"/>
        </w:rPr>
        <w:t>. Spisak propisa koji se primjenjuje u postupku davanja koncesije i u vršenju koncesione djelatnosti</w:t>
      </w: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pStyle w:val="Heading1"/>
        <w:spacing w:before="0" w:after="0" w:line="240" w:lineRule="auto"/>
        <w:ind w:left="-180" w:right="-270"/>
        <w:rPr>
          <w:sz w:val="22"/>
          <w:szCs w:val="22"/>
        </w:rPr>
      </w:pPr>
      <w:bookmarkStart w:id="1" w:name="_Toc390549892"/>
      <w:bookmarkStart w:id="2" w:name="_Toc390336654"/>
      <w:bookmarkStart w:id="3" w:name="_Toc390336529"/>
      <w:bookmarkStart w:id="4" w:name="_Toc402262924"/>
    </w:p>
    <w:p w:rsidR="002E4676" w:rsidRDefault="002E4676" w:rsidP="00A40BDA">
      <w:pPr>
        <w:pStyle w:val="Heading1"/>
        <w:spacing w:before="0" w:after="0" w:line="240" w:lineRule="auto"/>
        <w:ind w:left="-180" w:right="-270"/>
        <w:rPr>
          <w:sz w:val="22"/>
          <w:szCs w:val="22"/>
        </w:rPr>
      </w:pPr>
    </w:p>
    <w:p w:rsidR="00FE6740" w:rsidRPr="00FE6740" w:rsidRDefault="00FE6740" w:rsidP="00A40BDA">
      <w:pPr>
        <w:ind w:left="-180" w:right="-270"/>
        <w:rPr>
          <w:rFonts w:ascii="Arial" w:hAnsi="Arial" w:cs="Arial"/>
          <w:lang w:val="sr-Latn-ME"/>
        </w:rPr>
      </w:pPr>
      <w:r w:rsidRPr="00FE6740">
        <w:rPr>
          <w:rFonts w:ascii="Arial" w:hAnsi="Arial" w:cs="Arial"/>
        </w:rPr>
        <w:t>Prilo</w:t>
      </w:r>
      <w:r w:rsidRPr="00FE6740">
        <w:rPr>
          <w:rFonts w:ascii="Arial" w:hAnsi="Arial" w:cs="Arial"/>
          <w:lang w:val="sr-Latn-ME"/>
        </w:rPr>
        <w:t>zi</w:t>
      </w:r>
    </w:p>
    <w:p w:rsidR="002E4676" w:rsidRPr="007B37D3" w:rsidRDefault="002E4676" w:rsidP="00A40BDA">
      <w:pPr>
        <w:pStyle w:val="Heading1"/>
        <w:spacing w:before="0" w:after="0" w:line="240" w:lineRule="auto"/>
        <w:ind w:left="-180" w:right="-270"/>
        <w:rPr>
          <w:sz w:val="22"/>
          <w:szCs w:val="22"/>
        </w:rPr>
      </w:pPr>
    </w:p>
    <w:p w:rsidR="002E4676" w:rsidRPr="007B37D3" w:rsidRDefault="002E4676" w:rsidP="00A40BDA">
      <w:pPr>
        <w:ind w:left="-180" w:right="-270"/>
        <w:rPr>
          <w:rFonts w:ascii="Arial" w:hAnsi="Arial" w:cs="Arial"/>
        </w:rPr>
      </w:pPr>
    </w:p>
    <w:p w:rsidR="002E4676" w:rsidRPr="007B37D3" w:rsidRDefault="002E4676" w:rsidP="00A40BDA">
      <w:pPr>
        <w:ind w:left="-180" w:right="-270"/>
        <w:rPr>
          <w:rFonts w:ascii="Arial" w:hAnsi="Arial" w:cs="Arial"/>
        </w:rPr>
      </w:pPr>
    </w:p>
    <w:p w:rsidR="002E4676" w:rsidRDefault="002E4676" w:rsidP="00A40BDA">
      <w:pPr>
        <w:ind w:left="-180" w:right="-270"/>
        <w:rPr>
          <w:rFonts w:ascii="Arial" w:hAnsi="Arial" w:cs="Arial"/>
        </w:rPr>
      </w:pPr>
    </w:p>
    <w:p w:rsidR="00243F44" w:rsidRDefault="00243F44" w:rsidP="00A40BDA">
      <w:pPr>
        <w:ind w:left="-180" w:right="-270"/>
        <w:rPr>
          <w:rFonts w:ascii="Arial" w:hAnsi="Arial" w:cs="Arial"/>
        </w:rPr>
      </w:pPr>
    </w:p>
    <w:p w:rsidR="007B37D3" w:rsidRDefault="007B37D3" w:rsidP="00A40BDA">
      <w:pPr>
        <w:ind w:left="-180" w:right="-270"/>
        <w:rPr>
          <w:rFonts w:ascii="Arial" w:hAnsi="Arial" w:cs="Arial"/>
        </w:rPr>
      </w:pPr>
    </w:p>
    <w:p w:rsidR="007B37D3" w:rsidRDefault="007B37D3" w:rsidP="00A40BDA">
      <w:pPr>
        <w:ind w:left="-180" w:right="-270"/>
        <w:rPr>
          <w:rFonts w:ascii="Arial" w:hAnsi="Arial" w:cs="Arial"/>
        </w:rPr>
      </w:pPr>
    </w:p>
    <w:p w:rsidR="007B37D3" w:rsidRPr="007B37D3" w:rsidRDefault="007B37D3" w:rsidP="00A40BDA">
      <w:pPr>
        <w:ind w:left="-180" w:right="-270"/>
        <w:rPr>
          <w:rFonts w:ascii="Arial" w:hAnsi="Arial" w:cs="Arial"/>
        </w:rPr>
      </w:pPr>
    </w:p>
    <w:p w:rsidR="002E4676" w:rsidRPr="007B37D3" w:rsidRDefault="002E4676" w:rsidP="00A40BDA">
      <w:pPr>
        <w:ind w:left="-180" w:right="-270"/>
        <w:rPr>
          <w:rFonts w:ascii="Arial" w:hAnsi="Arial" w:cs="Arial"/>
        </w:rPr>
      </w:pPr>
    </w:p>
    <w:p w:rsidR="002E4676" w:rsidRPr="007B37D3" w:rsidRDefault="002E4676" w:rsidP="00A40BDA">
      <w:pPr>
        <w:pStyle w:val="Heading1"/>
        <w:spacing w:before="0" w:after="0" w:line="240" w:lineRule="auto"/>
        <w:ind w:left="-180" w:right="-270"/>
        <w:rPr>
          <w:sz w:val="22"/>
          <w:szCs w:val="22"/>
        </w:rPr>
      </w:pPr>
      <w:r w:rsidRPr="007B37D3">
        <w:rPr>
          <w:sz w:val="22"/>
          <w:szCs w:val="22"/>
        </w:rPr>
        <w:t>U</w:t>
      </w:r>
      <w:bookmarkEnd w:id="1"/>
      <w:bookmarkEnd w:id="2"/>
      <w:bookmarkEnd w:id="3"/>
      <w:bookmarkEnd w:id="4"/>
      <w:r w:rsidRPr="007B37D3">
        <w:rPr>
          <w:sz w:val="22"/>
          <w:szCs w:val="22"/>
        </w:rPr>
        <w:t>VOD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6E0FAB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U skladu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Zakonom o koncesijama („</w:t>
      </w:r>
      <w:r w:rsidR="001D779E">
        <w:rPr>
          <w:rFonts w:ascii="Arial" w:hAnsi="Arial" w:cs="Arial"/>
        </w:rPr>
        <w:t xml:space="preserve">Službeni list CG”, broj </w:t>
      </w:r>
      <w:r w:rsidR="002B61C6">
        <w:rPr>
          <w:rFonts w:ascii="Arial" w:hAnsi="Arial" w:cs="Arial"/>
        </w:rPr>
        <w:t>8/09),</w:t>
      </w:r>
      <w:r w:rsidRPr="007B37D3">
        <w:rPr>
          <w:rFonts w:ascii="Arial" w:hAnsi="Arial" w:cs="Arial"/>
        </w:rPr>
        <w:t xml:space="preserve"> </w:t>
      </w:r>
      <w:r w:rsidR="00F0778D" w:rsidRPr="007B37D3">
        <w:rPr>
          <w:rFonts w:ascii="Arial" w:hAnsi="Arial" w:cs="Arial"/>
        </w:rPr>
        <w:t>Dopunom Plana</w:t>
      </w:r>
      <w:r w:rsidRPr="007B37D3">
        <w:rPr>
          <w:rFonts w:ascii="Arial" w:hAnsi="Arial" w:cs="Arial"/>
        </w:rPr>
        <w:t xml:space="preserve"> davanja koncesija za detaljna geološka istraživanja i eksploataciju mineralnih sirovina za</w:t>
      </w:r>
      <w:r w:rsidR="00F0778D" w:rsidRPr="007B37D3">
        <w:rPr>
          <w:rFonts w:ascii="Arial" w:hAnsi="Arial" w:cs="Arial"/>
        </w:rPr>
        <w:t xml:space="preserve"> 2018</w:t>
      </w:r>
      <w:r w:rsidR="002B61C6">
        <w:rPr>
          <w:rFonts w:ascii="Arial" w:hAnsi="Arial" w:cs="Arial"/>
        </w:rPr>
        <w:t xml:space="preserve">. Godinu </w:t>
      </w:r>
      <w:r w:rsidR="002B61C6">
        <w:rPr>
          <w:rFonts w:ascii="Arial" w:hAnsi="Arial" w:cs="Arial"/>
          <w:lang w:val="sr-Latn-CS"/>
        </w:rPr>
        <w:t xml:space="preserve">i Uredbom o povjeravanju dijela poslova iz nadležnosti Ministarstva ekonomije  JU Zavod za geološka istraživanja („Sl.list CG“ br. 16/18), </w:t>
      </w:r>
      <w:r w:rsidR="002B61C6">
        <w:rPr>
          <w:rFonts w:ascii="Arial" w:hAnsi="Arial" w:cs="Arial"/>
          <w:lang w:val="sr-Latn-ME"/>
        </w:rPr>
        <w:t xml:space="preserve">Zavod je </w:t>
      </w:r>
      <w:r w:rsidR="002B61C6">
        <w:rPr>
          <w:rFonts w:ascii="Arial" w:hAnsi="Arial" w:cs="Arial"/>
          <w:lang w:val="sr-Latn-CS"/>
        </w:rPr>
        <w:t xml:space="preserve">pripremio Nacrt Koncesionog akta o </w:t>
      </w:r>
      <w:r w:rsidR="00A65F41" w:rsidRPr="007B37D3">
        <w:rPr>
          <w:rFonts w:ascii="Arial" w:hAnsi="Arial" w:cs="Arial"/>
        </w:rPr>
        <w:t>pojavi</w:t>
      </w:r>
      <w:r w:rsidRPr="007B37D3">
        <w:rPr>
          <w:rFonts w:ascii="Arial" w:hAnsi="Arial" w:cs="Arial"/>
        </w:rPr>
        <w:t xml:space="preserve"> mineralne sirovine tehničko-građevinskog kamena “</w:t>
      </w:r>
      <w:r w:rsidR="00630623" w:rsidRPr="007B37D3">
        <w:rPr>
          <w:rFonts w:ascii="Arial" w:hAnsi="Arial" w:cs="Arial"/>
        </w:rPr>
        <w:t>Pogled</w:t>
      </w:r>
      <w:r w:rsidRPr="007B37D3">
        <w:rPr>
          <w:rFonts w:ascii="Arial" w:hAnsi="Arial" w:cs="Arial"/>
        </w:rPr>
        <w:t xml:space="preserve">”, opština </w:t>
      </w:r>
      <w:r w:rsidR="00630623" w:rsidRPr="007B37D3">
        <w:rPr>
          <w:rFonts w:ascii="Arial" w:hAnsi="Arial" w:cs="Arial"/>
        </w:rPr>
        <w:t xml:space="preserve">Rožaje </w:t>
      </w:r>
      <w:r w:rsidRPr="007B37D3">
        <w:rPr>
          <w:rFonts w:ascii="Arial" w:hAnsi="Arial" w:cs="Arial"/>
        </w:rPr>
        <w:t>(u daljem tekstu: Koncesioni akt).</w:t>
      </w:r>
    </w:p>
    <w:p w:rsidR="006E0FAB" w:rsidRDefault="006E0FAB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Cilj izrade Koncesionog akta je pokretanje postupka javnog nadmetanja za izbor najpovoljnije ponude za dodjelu Ugovora o koncesiji za detaljna geološka istraživanja i eksploataciju pojave mineralne</w:t>
      </w:r>
      <w:r w:rsidR="00113B4E" w:rsidRPr="007B37D3">
        <w:rPr>
          <w:rFonts w:ascii="Arial" w:hAnsi="Arial" w:cs="Arial"/>
        </w:rPr>
        <w:t xml:space="preserve"> sirovine tehničko-građevinskog</w:t>
      </w:r>
      <w:r w:rsidRPr="007B37D3">
        <w:rPr>
          <w:rFonts w:ascii="Arial" w:hAnsi="Arial" w:cs="Arial"/>
        </w:rPr>
        <w:t xml:space="preserve"> kamena “</w:t>
      </w:r>
      <w:r w:rsidR="00630623" w:rsidRPr="007B37D3">
        <w:rPr>
          <w:rFonts w:ascii="Arial" w:hAnsi="Arial" w:cs="Arial"/>
        </w:rPr>
        <w:t>Pogled</w:t>
      </w:r>
      <w:r w:rsidRPr="007B37D3">
        <w:rPr>
          <w:rFonts w:ascii="Arial" w:hAnsi="Arial" w:cs="Arial"/>
        </w:rPr>
        <w:t xml:space="preserve">”, opština </w:t>
      </w:r>
      <w:r w:rsidR="00630623" w:rsidRPr="007B37D3">
        <w:rPr>
          <w:rFonts w:ascii="Arial" w:hAnsi="Arial" w:cs="Arial"/>
        </w:rPr>
        <w:t>Rožaje</w:t>
      </w:r>
      <w:r w:rsidRPr="007B37D3">
        <w:rPr>
          <w:rFonts w:ascii="Arial" w:hAnsi="Arial" w:cs="Arial"/>
        </w:rPr>
        <w:t>.</w:t>
      </w:r>
    </w:p>
    <w:p w:rsidR="00630623" w:rsidRPr="007B37D3" w:rsidRDefault="00630623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Izrada Koncesionog akta izvršena je na osnovu dopune Plana koncesija za 2018. godinu koji je Vlada Crne Gore </w:t>
      </w:r>
      <w:r w:rsidR="00113B4E" w:rsidRPr="007B37D3">
        <w:rPr>
          <w:rFonts w:ascii="Arial" w:hAnsi="Arial" w:cs="Arial"/>
          <w:lang w:val="sr-Latn-CS"/>
        </w:rPr>
        <w:t>donijela na sjednici dana 7. juna</w:t>
      </w:r>
      <w:r w:rsidRPr="007B37D3">
        <w:rPr>
          <w:rFonts w:ascii="Arial" w:hAnsi="Arial" w:cs="Arial"/>
          <w:lang w:val="sr-Latn-CS"/>
        </w:rPr>
        <w:t xml:space="preserve"> 2018. godine.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U skladu sa članom </w:t>
      </w:r>
      <w:r w:rsidR="003D14FE">
        <w:rPr>
          <w:rFonts w:ascii="Arial" w:hAnsi="Arial" w:cs="Arial"/>
          <w:lang w:val="sr-Latn-CS"/>
        </w:rPr>
        <w:t>1</w:t>
      </w:r>
      <w:r w:rsidRPr="007B37D3">
        <w:rPr>
          <w:rFonts w:ascii="Arial" w:hAnsi="Arial" w:cs="Arial"/>
          <w:lang w:val="sr-Latn-CS"/>
        </w:rPr>
        <w:t>8 stav 3 Zakona o koncesijama, prije upućivanja Koncesionog akta Vladi na usvajanje, Ministarstvo organizuje i sprovodi javnu raspravu u roku od 15 do 30 dana od dana upućivanja javnog poziva za javnu raspravu.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Poslije sprovedene javne rasprave, Ministarstvo dostavlja Vladi, u skladu sa članom </w:t>
      </w:r>
      <w:r w:rsidR="003D14FE">
        <w:rPr>
          <w:rFonts w:ascii="Arial" w:hAnsi="Arial" w:cs="Arial"/>
          <w:lang w:val="sr-Latn-CS"/>
        </w:rPr>
        <w:t>1</w:t>
      </w:r>
      <w:r w:rsidRPr="007B37D3">
        <w:rPr>
          <w:rFonts w:ascii="Arial" w:hAnsi="Arial" w:cs="Arial"/>
          <w:lang w:val="sr-Latn-CS"/>
        </w:rPr>
        <w:t xml:space="preserve">8 stav </w:t>
      </w:r>
      <w:r w:rsidR="003D14FE">
        <w:rPr>
          <w:rFonts w:ascii="Arial" w:hAnsi="Arial" w:cs="Arial"/>
          <w:lang w:val="sr-Latn-CS"/>
        </w:rPr>
        <w:t xml:space="preserve">1 </w:t>
      </w:r>
      <w:r w:rsidRPr="007B37D3">
        <w:rPr>
          <w:rFonts w:ascii="Arial" w:hAnsi="Arial" w:cs="Arial"/>
          <w:lang w:val="sr-Latn-CS"/>
        </w:rPr>
        <w:t>Zakona o koncesijama, Koncesioni akt sa Izvještajem sa javne rasprave na usvajanje.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Nakon usvajanja Koncesionog akta od strane Vlade, Ministarstvo objavljuje Javni oglas za davanje koncesije za detaljna geološka istraživanja i </w:t>
      </w:r>
      <w:r w:rsidR="00670FB8" w:rsidRPr="007B37D3">
        <w:rPr>
          <w:rFonts w:ascii="Arial" w:hAnsi="Arial" w:cs="Arial"/>
          <w:lang w:val="sr-Latn-CS"/>
        </w:rPr>
        <w:t>e</w:t>
      </w:r>
      <w:r w:rsidRPr="007B37D3">
        <w:rPr>
          <w:rFonts w:ascii="Arial" w:hAnsi="Arial" w:cs="Arial"/>
          <w:lang w:val="sr-Latn-CS"/>
        </w:rPr>
        <w:t>ksploataciju pojave mineralne sirovine tehničko-građevinskog kamena “Pogled”, opština Rožaje.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 w:eastAsia="sl-SI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 w:eastAsia="sl-SI"/>
        </w:rPr>
      </w:pPr>
      <w:r w:rsidRPr="007B37D3">
        <w:rPr>
          <w:rFonts w:ascii="Arial" w:hAnsi="Arial" w:cs="Arial"/>
          <w:lang w:val="sr-Latn-CS" w:eastAsia="sl-SI"/>
        </w:rPr>
        <w:t xml:space="preserve">Koncesija za detaljna geološka istraživanja i </w:t>
      </w:r>
      <w:r w:rsidRPr="007B37D3">
        <w:rPr>
          <w:rFonts w:ascii="Arial" w:hAnsi="Arial" w:cs="Arial"/>
          <w:lang w:val="sr-Latn-CS"/>
        </w:rPr>
        <w:t xml:space="preserve">eksploataciju </w:t>
      </w:r>
      <w:r w:rsidR="00113B4E" w:rsidRPr="007B37D3">
        <w:rPr>
          <w:rFonts w:ascii="Arial" w:hAnsi="Arial" w:cs="Arial"/>
          <w:lang w:val="sr-Latn-CS"/>
        </w:rPr>
        <w:t xml:space="preserve">pojave </w:t>
      </w:r>
      <w:r w:rsidRPr="007B37D3">
        <w:rPr>
          <w:rFonts w:ascii="Arial" w:hAnsi="Arial" w:cs="Arial"/>
          <w:lang w:val="sr-Latn-CS"/>
        </w:rPr>
        <w:t>tehničko-građevinskog kamena “Pogled”, opština Rožaje, se daje</w:t>
      </w:r>
      <w:r w:rsidRPr="007B37D3">
        <w:rPr>
          <w:rFonts w:ascii="Arial" w:hAnsi="Arial" w:cs="Arial"/>
          <w:lang w:val="sr-Latn-CS" w:eastAsia="sl-SI"/>
        </w:rPr>
        <w:t xml:space="preserve"> putem javnog nadmetanja u otvorenom postupku, na način propisan Zakonom o koncesijama.</w:t>
      </w: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 w:eastAsia="sl-SI"/>
        </w:rPr>
      </w:pPr>
    </w:p>
    <w:p w:rsidR="00F0778D" w:rsidRPr="007B37D3" w:rsidRDefault="00F0778D" w:rsidP="00A40BDA">
      <w:pPr>
        <w:spacing w:after="0"/>
        <w:ind w:left="-180" w:right="-270"/>
        <w:jc w:val="both"/>
        <w:rPr>
          <w:rFonts w:ascii="Arial" w:hAnsi="Arial" w:cs="Arial"/>
          <w:lang w:val="sr-Latn-CS" w:eastAsia="sl-SI"/>
        </w:rPr>
      </w:pPr>
      <w:r w:rsidRPr="007B37D3">
        <w:rPr>
          <w:rFonts w:ascii="Arial" w:hAnsi="Arial" w:cs="Arial"/>
          <w:lang w:val="sr-Latn-CS" w:eastAsia="sl-SI"/>
        </w:rPr>
        <w:t xml:space="preserve">Ponuđač dostavlja ponudu na osnovu Javnog oglasa za davanje koncesije. </w:t>
      </w:r>
      <w:r w:rsidR="003D14FE">
        <w:rPr>
          <w:rFonts w:ascii="Arial" w:hAnsi="Arial" w:cs="Arial"/>
          <w:lang w:val="sr-Latn-CS" w:eastAsia="sl-SI"/>
        </w:rPr>
        <w:t>Rok za dostavljanje ponuda ne može biti kraći od 30 dana od dana objavljivanja Javnog oglasa u ’’Službenom listu Crne Gore’’</w:t>
      </w:r>
      <w:r w:rsidRPr="007B37D3">
        <w:rPr>
          <w:rFonts w:ascii="Arial" w:hAnsi="Arial" w:cs="Arial"/>
          <w:lang w:val="sr-Latn-CS" w:eastAsia="sl-SI"/>
        </w:rPr>
        <w:t>.</w:t>
      </w:r>
    </w:p>
    <w:p w:rsidR="002E4676" w:rsidRPr="007B37D3" w:rsidRDefault="002E4676" w:rsidP="00A40BDA">
      <w:pPr>
        <w:spacing w:after="0" w:line="240" w:lineRule="auto"/>
        <w:ind w:left="-180" w:right="-270"/>
        <w:jc w:val="center"/>
        <w:rPr>
          <w:rFonts w:ascii="Arial" w:hAnsi="Arial" w:cs="Arial"/>
          <w:b/>
        </w:rPr>
      </w:pPr>
    </w:p>
    <w:p w:rsidR="002E4676" w:rsidRPr="007B37D3" w:rsidRDefault="00FE6740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="002E4676" w:rsidRPr="007B37D3">
        <w:rPr>
          <w:rFonts w:ascii="Arial" w:hAnsi="Arial" w:cs="Arial"/>
          <w:b/>
        </w:rPr>
        <w:t xml:space="preserve"> TEHNIČKI IZVJEŠTAJ O POJAVI TEHNIČKO-GRAĐEVINSKOG KAMENA „</w:t>
      </w:r>
      <w:r w:rsidR="0096448F" w:rsidRPr="007B37D3">
        <w:rPr>
          <w:rFonts w:ascii="Arial" w:hAnsi="Arial" w:cs="Arial"/>
          <w:b/>
        </w:rPr>
        <w:t>POGLED</w:t>
      </w:r>
      <w:r w:rsidR="002E4676" w:rsidRPr="007B37D3">
        <w:rPr>
          <w:rFonts w:ascii="Arial" w:hAnsi="Arial" w:cs="Arial"/>
          <w:b/>
        </w:rPr>
        <w:t>”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FE6740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670FB8" w:rsidRPr="007B37D3">
        <w:rPr>
          <w:rFonts w:ascii="Arial" w:hAnsi="Arial" w:cs="Arial"/>
          <w:b/>
        </w:rPr>
        <w:t>.1.</w:t>
      </w:r>
      <w:r w:rsidR="002E4676" w:rsidRPr="007B37D3">
        <w:rPr>
          <w:rFonts w:ascii="Arial" w:hAnsi="Arial" w:cs="Arial"/>
          <w:b/>
        </w:rPr>
        <w:t xml:space="preserve"> Predmet koncesije</w:t>
      </w:r>
    </w:p>
    <w:p w:rsidR="002E4676" w:rsidRPr="007B37D3" w:rsidRDefault="002E4676" w:rsidP="00A40BDA">
      <w:pPr>
        <w:spacing w:after="0" w:line="240" w:lineRule="auto"/>
        <w:ind w:left="-180" w:right="-270"/>
        <w:rPr>
          <w:rFonts w:ascii="Arial" w:hAnsi="Arial" w:cs="Arial"/>
          <w:b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</w:t>
      </w:r>
      <w:r w:rsidR="00FE6740">
        <w:rPr>
          <w:rFonts w:ascii="Arial" w:hAnsi="Arial" w:cs="Arial"/>
        </w:rPr>
        <w:t xml:space="preserve">redmet ovog Koncesionog akta su detaljna geološka istraživanja i </w:t>
      </w:r>
      <w:r w:rsidR="00FE6740">
        <w:rPr>
          <w:rFonts w:ascii="Arial" w:hAnsi="Arial" w:cs="Arial"/>
          <w:lang w:val="sr-Latn-CS"/>
        </w:rPr>
        <w:t xml:space="preserve">eksploatacija </w:t>
      </w:r>
      <w:r w:rsidR="00324C16">
        <w:rPr>
          <w:rFonts w:ascii="Arial" w:hAnsi="Arial" w:cs="Arial"/>
          <w:lang w:val="sr-Latn-CS"/>
        </w:rPr>
        <w:t xml:space="preserve">pojave </w:t>
      </w:r>
      <w:r w:rsidR="009F5108">
        <w:rPr>
          <w:rFonts w:ascii="Arial" w:hAnsi="Arial" w:cs="Arial"/>
          <w:lang w:val="sr-Latn-CS"/>
        </w:rPr>
        <w:t xml:space="preserve">mineralne sirovine </w:t>
      </w:r>
      <w:r w:rsidR="00FE6740">
        <w:rPr>
          <w:rFonts w:ascii="Arial" w:hAnsi="Arial" w:cs="Arial"/>
          <w:lang w:val="sr-Latn-CS"/>
        </w:rPr>
        <w:t xml:space="preserve">tehničko-građevinskog kamena </w:t>
      </w:r>
      <w:r w:rsidRPr="007B37D3">
        <w:rPr>
          <w:rFonts w:ascii="Arial" w:hAnsi="Arial" w:cs="Arial"/>
        </w:rPr>
        <w:t>“</w:t>
      </w:r>
      <w:r w:rsidR="0096448F" w:rsidRPr="007B37D3">
        <w:rPr>
          <w:rFonts w:ascii="Arial" w:hAnsi="Arial" w:cs="Arial"/>
        </w:rPr>
        <w:t>Pogled</w:t>
      </w:r>
      <w:r w:rsidRPr="007B37D3">
        <w:rPr>
          <w:rFonts w:ascii="Arial" w:hAnsi="Arial" w:cs="Arial"/>
        </w:rPr>
        <w:t>”, opština</w:t>
      </w:r>
      <w:r w:rsidR="0096448F" w:rsidRPr="007B37D3">
        <w:rPr>
          <w:rFonts w:ascii="Arial" w:hAnsi="Arial" w:cs="Arial"/>
        </w:rPr>
        <w:t xml:space="preserve"> Rožaje.</w:t>
      </w:r>
    </w:p>
    <w:p w:rsidR="004C0CE3" w:rsidRDefault="004C0CE3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4C0CE3" w:rsidRDefault="00FE6740" w:rsidP="00A40BDA">
      <w:pPr>
        <w:ind w:left="-180" w:right="-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2E4676" w:rsidRPr="007B37D3">
        <w:rPr>
          <w:rFonts w:ascii="Arial" w:hAnsi="Arial" w:cs="Arial"/>
          <w:b/>
        </w:rPr>
        <w:t>.2. Položaj i opis lokacije istražno-eksploatacionog prostora</w:t>
      </w:r>
    </w:p>
    <w:p w:rsidR="004C0CE3" w:rsidRDefault="001073EE" w:rsidP="00A40BDA">
      <w:pPr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</w:rPr>
        <w:lastRenderedPageBreak/>
        <w:t>Pojava</w:t>
      </w:r>
      <w:r w:rsidR="0096448F" w:rsidRPr="007B37D3">
        <w:rPr>
          <w:rFonts w:ascii="Arial" w:hAnsi="Arial" w:cs="Arial"/>
        </w:rPr>
        <w:t xml:space="preserve"> tehničko-građevinskog kamena “Pogled” </w:t>
      </w:r>
      <w:r w:rsidR="006E0FAB" w:rsidRPr="007B37D3">
        <w:rPr>
          <w:rFonts w:ascii="Arial" w:hAnsi="Arial" w:cs="Arial"/>
        </w:rPr>
        <w:t xml:space="preserve">se </w:t>
      </w:r>
      <w:r w:rsidR="0096448F" w:rsidRPr="007B37D3">
        <w:rPr>
          <w:rFonts w:ascii="Arial" w:hAnsi="Arial" w:cs="Arial"/>
        </w:rPr>
        <w:t xml:space="preserve">nalazi </w:t>
      </w:r>
      <w:proofErr w:type="gramStart"/>
      <w:r w:rsidR="0096448F" w:rsidRPr="007B37D3">
        <w:rPr>
          <w:rFonts w:ascii="Arial" w:hAnsi="Arial" w:cs="Arial"/>
        </w:rPr>
        <w:t>na</w:t>
      </w:r>
      <w:proofErr w:type="gramEnd"/>
      <w:r w:rsidR="0096448F" w:rsidRPr="007B37D3">
        <w:rPr>
          <w:rFonts w:ascii="Arial" w:hAnsi="Arial" w:cs="Arial"/>
        </w:rPr>
        <w:t xml:space="preserve"> području Opštine Rožaje, </w:t>
      </w:r>
      <w:r w:rsidR="00FE6740">
        <w:rPr>
          <w:rFonts w:ascii="Arial" w:hAnsi="Arial" w:cs="Arial"/>
        </w:rPr>
        <w:t>na udaljenosti od oko 5 km</w:t>
      </w:r>
      <w:r w:rsidR="0096448F" w:rsidRPr="007B37D3">
        <w:rPr>
          <w:rFonts w:ascii="Arial" w:hAnsi="Arial" w:cs="Arial"/>
        </w:rPr>
        <w:t xml:space="preserve"> vazdušne</w:t>
      </w:r>
      <w:r w:rsidR="00FE6740">
        <w:rPr>
          <w:rFonts w:ascii="Arial" w:hAnsi="Arial" w:cs="Arial"/>
        </w:rPr>
        <w:t xml:space="preserve"> linije od Rožaja</w:t>
      </w:r>
      <w:r w:rsidR="0096448F" w:rsidRPr="007B37D3">
        <w:rPr>
          <w:rFonts w:ascii="Arial" w:hAnsi="Arial" w:cs="Arial"/>
        </w:rPr>
        <w:t xml:space="preserve"> u pravcu sjeveroistoka. Sa Rožajem </w:t>
      </w:r>
      <w:r w:rsidR="0096448F" w:rsidRPr="007B37D3">
        <w:rPr>
          <w:rFonts w:ascii="Arial" w:hAnsi="Arial" w:cs="Arial"/>
          <w:lang w:val="sr-Latn-CS"/>
        </w:rPr>
        <w:t xml:space="preserve">je povezan magistralnim putem Rožaje- Kosovska Mitrovica, dužine </w:t>
      </w:r>
      <w:proofErr w:type="gramStart"/>
      <w:r w:rsidR="00113B4E" w:rsidRPr="007B37D3">
        <w:rPr>
          <w:rFonts w:ascii="Arial" w:hAnsi="Arial" w:cs="Arial"/>
          <w:lang w:val="sr-Latn-CS"/>
        </w:rPr>
        <w:t>od</w:t>
      </w:r>
      <w:proofErr w:type="gramEnd"/>
      <w:r w:rsidR="006E0FAB">
        <w:rPr>
          <w:rFonts w:ascii="Arial" w:hAnsi="Arial" w:cs="Arial"/>
          <w:lang w:val="sr-Latn-CS"/>
        </w:rPr>
        <w:t xml:space="preserve"> </w:t>
      </w:r>
      <w:r w:rsidR="0096448F" w:rsidRPr="007B37D3">
        <w:rPr>
          <w:rFonts w:ascii="Arial" w:hAnsi="Arial" w:cs="Arial"/>
          <w:lang w:val="sr-Latn-CS"/>
        </w:rPr>
        <w:t>oko 7 km, koji dalje vodi prema graničnom prelazu Dračenovac. Sa ovog magistralnog puta, sa desne strane, se odvaja novi asfaltni put koji vodi do naselja Balotići.</w:t>
      </w:r>
    </w:p>
    <w:p w:rsidR="0096448F" w:rsidRPr="007B37D3" w:rsidRDefault="0096448F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Predmetn</w:t>
      </w:r>
      <w:r w:rsidR="00012D20" w:rsidRPr="007B37D3">
        <w:rPr>
          <w:rFonts w:ascii="Arial" w:hAnsi="Arial" w:cs="Arial"/>
          <w:lang w:val="sr-Latn-CS"/>
        </w:rPr>
        <w:t>a</w:t>
      </w:r>
      <w:r w:rsidRPr="007B37D3">
        <w:rPr>
          <w:rFonts w:ascii="Arial" w:hAnsi="Arial" w:cs="Arial"/>
          <w:lang w:val="sr-Latn-CS"/>
        </w:rPr>
        <w:t xml:space="preserve"> loka</w:t>
      </w:r>
      <w:r w:rsidR="00012D20" w:rsidRPr="007B37D3">
        <w:rPr>
          <w:rFonts w:ascii="Arial" w:hAnsi="Arial" w:cs="Arial"/>
          <w:lang w:val="sr-Latn-CS"/>
        </w:rPr>
        <w:t>cija</w:t>
      </w:r>
      <w:r w:rsidRPr="007B37D3">
        <w:rPr>
          <w:rFonts w:ascii="Arial" w:hAnsi="Arial" w:cs="Arial"/>
          <w:lang w:val="sr-Latn-CS"/>
        </w:rPr>
        <w:t xml:space="preserve"> se nalazi na oko 700 m od skretanja sa magistralnog puta Rožaje - Kosovska Mitrovica, neposredno uz novi asfaltni put za Balotiće.</w:t>
      </w:r>
    </w:p>
    <w:p w:rsidR="0096448F" w:rsidRPr="007B37D3" w:rsidRDefault="0096448F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1073EE" w:rsidRPr="007B37D3" w:rsidRDefault="001073EE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Pojava</w:t>
      </w:r>
      <w:r w:rsidR="0096448F" w:rsidRPr="007B37D3">
        <w:rPr>
          <w:rFonts w:ascii="Arial" w:hAnsi="Arial" w:cs="Arial"/>
          <w:lang w:val="sr-Latn-CS"/>
        </w:rPr>
        <w:t xml:space="preserve"> tehničko-građevinskog kamena “Pogled” pripada topografskoj sekciji “Rožaje“, 1:100 000, odnosno sekciji “Rožaje“, 1:25 000.</w:t>
      </w:r>
      <w:r w:rsidR="004E6CCC">
        <w:rPr>
          <w:rFonts w:ascii="Arial" w:hAnsi="Arial" w:cs="Arial"/>
          <w:lang w:val="sr-Latn-CS"/>
        </w:rPr>
        <w:t xml:space="preserve"> </w:t>
      </w:r>
      <w:r w:rsidRPr="007B37D3">
        <w:rPr>
          <w:rFonts w:ascii="Arial" w:hAnsi="Arial" w:cs="Arial"/>
          <w:lang w:val="sr-Latn-CS"/>
        </w:rPr>
        <w:t>Na topografskoj karti razmjere 1:25 000 (prilog br. 1</w:t>
      </w:r>
      <w:r w:rsidR="006E0FAB">
        <w:rPr>
          <w:rFonts w:ascii="Arial" w:hAnsi="Arial" w:cs="Arial"/>
          <w:lang w:val="sr-Latn-CS"/>
        </w:rPr>
        <w:t>.</w:t>
      </w:r>
      <w:r w:rsidRPr="007B37D3">
        <w:rPr>
          <w:rFonts w:ascii="Arial" w:hAnsi="Arial" w:cs="Arial"/>
          <w:lang w:val="sr-Latn-CS"/>
        </w:rPr>
        <w:t>) ucrtane su konture pojave „Pogled“, ograničene stranama koje prolaze kroz tjemene geodetske tačke (1-27) sa datim pravouglim koordinatama i površinom</w:t>
      </w:r>
      <w:r w:rsidR="00113B4E" w:rsidRPr="007B37D3">
        <w:rPr>
          <w:rFonts w:ascii="Arial" w:hAnsi="Arial" w:cs="Arial"/>
          <w:lang w:val="sr-Latn-CS"/>
        </w:rPr>
        <w:t xml:space="preserve"> prostora</w:t>
      </w:r>
      <w:r w:rsidRPr="007B37D3">
        <w:rPr>
          <w:rFonts w:ascii="Arial" w:hAnsi="Arial" w:cs="Arial"/>
          <w:lang w:val="sr-Latn-CS"/>
        </w:rPr>
        <w:t>.</w:t>
      </w:r>
      <w:r w:rsidR="00CD7917" w:rsidRPr="007B37D3">
        <w:rPr>
          <w:rFonts w:ascii="Arial" w:hAnsi="Arial" w:cs="Arial"/>
          <w:lang w:val="sr-Latn-CS"/>
        </w:rPr>
        <w:t>Predmetn</w:t>
      </w:r>
      <w:r w:rsidR="00012D20" w:rsidRPr="007B37D3">
        <w:rPr>
          <w:rFonts w:ascii="Arial" w:hAnsi="Arial" w:cs="Arial"/>
          <w:lang w:val="sr-Latn-CS"/>
        </w:rPr>
        <w:t>a</w:t>
      </w:r>
      <w:r w:rsidR="006E0FAB">
        <w:rPr>
          <w:rFonts w:ascii="Arial" w:hAnsi="Arial" w:cs="Arial"/>
          <w:lang w:val="sr-Latn-CS"/>
        </w:rPr>
        <w:t xml:space="preserve"> </w:t>
      </w:r>
      <w:r w:rsidR="00012D20" w:rsidRPr="007B37D3">
        <w:rPr>
          <w:rFonts w:ascii="Arial" w:hAnsi="Arial" w:cs="Arial"/>
          <w:lang w:val="sr-Latn-CS"/>
        </w:rPr>
        <w:t>lokacija</w:t>
      </w:r>
      <w:r w:rsidR="00CD7917" w:rsidRPr="007B37D3">
        <w:rPr>
          <w:rFonts w:ascii="Arial" w:hAnsi="Arial" w:cs="Arial"/>
          <w:lang w:val="sr-Latn-CS"/>
        </w:rPr>
        <w:t xml:space="preserve"> se nalazi na jugozapadnim padinama uzvišenja Vrhovje (1280 </w:t>
      </w:r>
      <w:r w:rsidR="00012D20" w:rsidRPr="007B37D3">
        <w:rPr>
          <w:rFonts w:ascii="Arial" w:hAnsi="Arial" w:cs="Arial"/>
          <w:lang w:val="sr-Latn-CS"/>
        </w:rPr>
        <w:t>m.n.m.) i</w:t>
      </w:r>
      <w:r w:rsidR="008460C8">
        <w:rPr>
          <w:rFonts w:ascii="Arial" w:hAnsi="Arial" w:cs="Arial"/>
          <w:lang w:val="sr-Latn-CS"/>
        </w:rPr>
        <w:t xml:space="preserve"> </w:t>
      </w:r>
      <w:r w:rsidRPr="007B37D3">
        <w:rPr>
          <w:rFonts w:ascii="Arial" w:hAnsi="Arial" w:cs="Arial"/>
          <w:lang w:val="sr-Latn-CS"/>
        </w:rPr>
        <w:t>zauzima površinu od oko 6 ha.</w:t>
      </w:r>
    </w:p>
    <w:p w:rsidR="001073EE" w:rsidRPr="007B37D3" w:rsidRDefault="001073EE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Koordinate svih</w:t>
      </w:r>
      <w:r w:rsidR="004E6CCC">
        <w:rPr>
          <w:rFonts w:ascii="Arial" w:hAnsi="Arial" w:cs="Arial"/>
          <w:lang w:val="sr-Latn-CS"/>
        </w:rPr>
        <w:t xml:space="preserve"> graničnih tačaka prostora, prikazane su</w:t>
      </w:r>
      <w:r w:rsidRPr="007B37D3">
        <w:rPr>
          <w:rFonts w:ascii="Arial" w:hAnsi="Arial" w:cs="Arial"/>
          <w:lang w:val="sr-Latn-CS"/>
        </w:rPr>
        <w:t xml:space="preserve"> u tabeli 1.</w:t>
      </w:r>
    </w:p>
    <w:p w:rsidR="001073EE" w:rsidRPr="004E6CCC" w:rsidRDefault="001073EE" w:rsidP="00A40BDA">
      <w:pPr>
        <w:pStyle w:val="Heading2"/>
        <w:spacing w:line="240" w:lineRule="auto"/>
        <w:ind w:left="-180" w:right="-270"/>
        <w:jc w:val="center"/>
        <w:rPr>
          <w:b w:val="0"/>
          <w:sz w:val="20"/>
          <w:szCs w:val="20"/>
        </w:rPr>
      </w:pPr>
      <w:r w:rsidRPr="004E6CCC">
        <w:rPr>
          <w:b w:val="0"/>
          <w:sz w:val="20"/>
          <w:szCs w:val="20"/>
        </w:rPr>
        <w:t>Tabela</w:t>
      </w:r>
      <w:r w:rsidR="00012D20" w:rsidRPr="004E6CCC">
        <w:rPr>
          <w:b w:val="0"/>
          <w:sz w:val="20"/>
          <w:szCs w:val="20"/>
        </w:rPr>
        <w:t xml:space="preserve"> 1</w:t>
      </w:r>
      <w:proofErr w:type="gramStart"/>
      <w:r w:rsidR="00012D20" w:rsidRPr="004E6CCC">
        <w:rPr>
          <w:b w:val="0"/>
          <w:sz w:val="20"/>
          <w:szCs w:val="20"/>
        </w:rPr>
        <w:t>:Koordinate</w:t>
      </w:r>
      <w:proofErr w:type="gramEnd"/>
      <w:r w:rsidR="00012D20" w:rsidRPr="004E6CCC">
        <w:rPr>
          <w:b w:val="0"/>
          <w:sz w:val="20"/>
          <w:szCs w:val="20"/>
        </w:rPr>
        <w:t xml:space="preserve"> graničnih tačaka pojave</w:t>
      </w:r>
      <w:r w:rsidRPr="004E6CCC">
        <w:rPr>
          <w:b w:val="0"/>
          <w:sz w:val="20"/>
          <w:szCs w:val="20"/>
        </w:rPr>
        <w:t xml:space="preserve"> „Pogled“</w:t>
      </w:r>
    </w:p>
    <w:tbl>
      <w:tblPr>
        <w:tblW w:w="6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636"/>
        <w:gridCol w:w="1624"/>
        <w:gridCol w:w="1921"/>
      </w:tblGrid>
      <w:tr w:rsidR="001073EE" w:rsidRPr="007B37D3" w:rsidTr="002F3535">
        <w:trPr>
          <w:trHeight w:val="244"/>
          <w:jc w:val="center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B37D3">
              <w:rPr>
                <w:rFonts w:ascii="Arial" w:hAnsi="Arial" w:cs="Arial"/>
                <w:b/>
                <w:lang w:val="sr-Cyrl-CS"/>
              </w:rPr>
              <w:t>Tačka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Koordinate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B37D3">
              <w:rPr>
                <w:rFonts w:ascii="Arial" w:hAnsi="Arial" w:cs="Arial"/>
                <w:b/>
                <w:lang w:val="sr-Cyrl-CS"/>
              </w:rPr>
              <w:t>Površina (ha)</w:t>
            </w:r>
          </w:p>
        </w:tc>
      </w:tr>
      <w:tr w:rsidR="001073EE" w:rsidRPr="007B37D3" w:rsidTr="002F3535">
        <w:trPr>
          <w:trHeight w:val="272"/>
          <w:jc w:val="center"/>
        </w:trPr>
        <w:tc>
          <w:tcPr>
            <w:tcW w:w="138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y</w:t>
            </w:r>
          </w:p>
        </w:tc>
        <w:tc>
          <w:tcPr>
            <w:tcW w:w="192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636" w:type="dxa"/>
            <w:tcBorders>
              <w:top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4 746 901,745</w:t>
            </w:r>
          </w:p>
        </w:tc>
        <w:tc>
          <w:tcPr>
            <w:tcW w:w="1624" w:type="dxa"/>
            <w:tcBorders>
              <w:top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7 437 601,906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6 ha</w:t>
            </w: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4 746 957,730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7 437 595,576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4 747 013,715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7 437 589,247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4 747 030,733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7 437 641,076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4 747 047,751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7 437 692,905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4 747 048,592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7 437 767,408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4 747 038,076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7 437 807,395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4 747 003,764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7 437 859,097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4 746 891,306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7 437 938,025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4 746 778,848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7 438 016,954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4 746 745,905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7 437 964,422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4 746 712,962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7 437 911,891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4 746 735,473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7 437 897,773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4 746 761,867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7 437 874,304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4 746 781,906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7 437 860,707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4 746 822,622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7 437 833,372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4 746 856,446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7 437 811,013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4 746 877,112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7 437 796,270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4 746 902,932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7 437 777,723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4 746 929,705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7 437 753,874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4 746 938,452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7 437 735,906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4 746 937,897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7 437 725,207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4 746 932,681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7 437 713,649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4 746 921,463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7 437 697,192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4 746 911,400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7 437 670,969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636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4 746 907,425</w:t>
            </w:r>
          </w:p>
        </w:tc>
        <w:tc>
          <w:tcPr>
            <w:tcW w:w="1624" w:type="dxa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7 437 643,976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1073EE" w:rsidRPr="007B37D3" w:rsidTr="002F3535">
        <w:trPr>
          <w:jc w:val="center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636" w:type="dxa"/>
            <w:tcBorders>
              <w:bottom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4 746 903,450</w:t>
            </w:r>
          </w:p>
        </w:tc>
        <w:tc>
          <w:tcPr>
            <w:tcW w:w="1624" w:type="dxa"/>
            <w:tcBorders>
              <w:bottom w:val="single" w:sz="12" w:space="0" w:color="auto"/>
            </w:tcBorders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7 437 616,983</w:t>
            </w:r>
          </w:p>
        </w:tc>
        <w:tc>
          <w:tcPr>
            <w:tcW w:w="192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073EE" w:rsidRPr="007B37D3" w:rsidRDefault="001073EE" w:rsidP="00A40BDA">
            <w:pPr>
              <w:spacing w:after="0" w:line="240" w:lineRule="auto"/>
              <w:ind w:left="-180" w:right="-270"/>
              <w:jc w:val="center"/>
              <w:rPr>
                <w:rFonts w:ascii="Arial" w:hAnsi="Arial" w:cs="Arial"/>
                <w:lang w:val="sr-Cyrl-CS"/>
              </w:rPr>
            </w:pPr>
          </w:p>
        </w:tc>
      </w:tr>
    </w:tbl>
    <w:p w:rsidR="00094211" w:rsidRDefault="00094211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094211" w:rsidRDefault="00094211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094211" w:rsidRDefault="00094211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094211" w:rsidRDefault="00094211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2E4676" w:rsidRPr="007B37D3" w:rsidRDefault="002A6F0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2E4676" w:rsidRPr="007B37D3">
        <w:rPr>
          <w:rFonts w:ascii="Arial" w:hAnsi="Arial" w:cs="Arial"/>
          <w:b/>
        </w:rPr>
        <w:t xml:space="preserve">.3. Podaci o imovinsko-pravnim odnosima </w:t>
      </w:r>
    </w:p>
    <w:p w:rsidR="00CE68E0" w:rsidRPr="007B37D3" w:rsidRDefault="00CE68E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CE68E0" w:rsidRDefault="00CE68E0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Zemljište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kojem se nalazi budući istražno-eksploatacioni prostor “Pogled” je u državnom vlasništvu.</w:t>
      </w:r>
      <w:r w:rsidR="00274BF6" w:rsidRPr="007B37D3">
        <w:rPr>
          <w:rFonts w:ascii="Arial" w:hAnsi="Arial" w:cs="Arial"/>
        </w:rPr>
        <w:t xml:space="preserve"> Nalazi se </w:t>
      </w:r>
      <w:proofErr w:type="gramStart"/>
      <w:r w:rsidR="00274BF6" w:rsidRPr="007B37D3">
        <w:rPr>
          <w:rFonts w:ascii="Arial" w:hAnsi="Arial" w:cs="Arial"/>
        </w:rPr>
        <w:t>na</w:t>
      </w:r>
      <w:proofErr w:type="gramEnd"/>
      <w:r w:rsidR="00274BF6" w:rsidRPr="007B37D3">
        <w:rPr>
          <w:rFonts w:ascii="Arial" w:hAnsi="Arial" w:cs="Arial"/>
        </w:rPr>
        <w:t xml:space="preserve"> dijelu</w:t>
      </w:r>
      <w:r w:rsidRPr="007B37D3">
        <w:rPr>
          <w:rFonts w:ascii="Arial" w:hAnsi="Arial" w:cs="Arial"/>
        </w:rPr>
        <w:t xml:space="preserve"> ka</w:t>
      </w:r>
      <w:r w:rsidR="00274BF6" w:rsidRPr="007B37D3">
        <w:rPr>
          <w:rFonts w:ascii="Arial" w:hAnsi="Arial" w:cs="Arial"/>
        </w:rPr>
        <w:t>tastarske parcele br. 3/14/1</w:t>
      </w:r>
      <w:r w:rsidR="00E32EBB" w:rsidRPr="007B37D3">
        <w:rPr>
          <w:rFonts w:ascii="Arial" w:hAnsi="Arial" w:cs="Arial"/>
        </w:rPr>
        <w:t>, KO Balotiće, Posjedovni list br. 143</w:t>
      </w:r>
      <w:r w:rsidR="00643751">
        <w:rPr>
          <w:rFonts w:ascii="Arial" w:hAnsi="Arial" w:cs="Arial"/>
        </w:rPr>
        <w:t xml:space="preserve"> (podaci iz Geodetskog elaborata</w:t>
      </w:r>
      <w:r w:rsidR="00E32EBB" w:rsidRPr="007B37D3">
        <w:rPr>
          <w:rFonts w:ascii="Arial" w:hAnsi="Arial" w:cs="Arial"/>
        </w:rPr>
        <w:t>, koji je uradilo ovlašćeno DOO “Geo friends” – Podgorica, br. 8-028, od 11.03.2016. godine).</w:t>
      </w:r>
    </w:p>
    <w:p w:rsidR="00643751" w:rsidRPr="007B37D3" w:rsidRDefault="00643751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643751" w:rsidRPr="00714FCC" w:rsidRDefault="00643751" w:rsidP="00A40BD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  <w:r w:rsidRPr="00714FCC">
        <w:rPr>
          <w:rFonts w:ascii="Arial" w:eastAsia="Times New Roman" w:hAnsi="Arial" w:cs="Arial"/>
        </w:rPr>
        <w:t>Shodno c</w:t>
      </w:r>
      <w:r w:rsidRPr="00714FCC">
        <w:rPr>
          <w:rFonts w:ascii="Arial" w:eastAsia="Times New Roman" w:hAnsi="Arial" w:cs="Arial"/>
          <w:lang w:val="sr-Latn-CS"/>
        </w:rPr>
        <w:t>̌</w:t>
      </w:r>
      <w:r w:rsidRPr="00714FCC">
        <w:rPr>
          <w:rFonts w:ascii="Arial" w:eastAsia="Times New Roman" w:hAnsi="Arial" w:cs="Arial"/>
        </w:rPr>
        <w:t>lanu</w:t>
      </w:r>
      <w:r w:rsidRPr="00714FCC">
        <w:rPr>
          <w:rFonts w:ascii="Arial" w:eastAsia="Times New Roman" w:hAnsi="Arial" w:cs="Arial"/>
          <w:lang w:val="sr-Latn-CS"/>
        </w:rPr>
        <w:t xml:space="preserve"> 44 </w:t>
      </w:r>
      <w:r w:rsidRPr="00714FCC">
        <w:rPr>
          <w:rFonts w:ascii="Arial" w:eastAsia="Times New Roman" w:hAnsi="Arial" w:cs="Arial"/>
        </w:rPr>
        <w:t>Zakona o koncesijama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 xml:space="preserve">ako se uvezi </w:t>
      </w:r>
      <w:proofErr w:type="gramStart"/>
      <w:r w:rsidRPr="00714FCC">
        <w:rPr>
          <w:rFonts w:ascii="Arial" w:eastAsia="Times New Roman" w:hAnsi="Arial" w:cs="Arial"/>
        </w:rPr>
        <w:t>sa</w:t>
      </w:r>
      <w:proofErr w:type="gramEnd"/>
      <w:r w:rsidRPr="00714FCC">
        <w:rPr>
          <w:rFonts w:ascii="Arial" w:eastAsia="Times New Roman" w:hAnsi="Arial" w:cs="Arial"/>
        </w:rPr>
        <w:t xml:space="preserve"> kori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>c</w:t>
      </w:r>
      <w:r w:rsidRPr="00714FCC">
        <w:rPr>
          <w:rFonts w:ascii="Arial" w:eastAsia="Times New Roman" w:hAnsi="Arial" w:cs="Arial"/>
          <w:lang w:val="sr-Latn-CS"/>
        </w:rPr>
        <w:t>́</w:t>
      </w:r>
      <w:r w:rsidRPr="00714FCC">
        <w:rPr>
          <w:rFonts w:ascii="Arial" w:eastAsia="Times New Roman" w:hAnsi="Arial" w:cs="Arial"/>
        </w:rPr>
        <w:t>enjem koncesije mora izvr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 xml:space="preserve">itie </w:t>
      </w:r>
      <w:r>
        <w:rPr>
          <w:rFonts w:ascii="Arial" w:eastAsia="Times New Roman" w:hAnsi="Arial" w:cs="Arial"/>
        </w:rPr>
        <w:t>e</w:t>
      </w:r>
      <w:r w:rsidRPr="00714FCC">
        <w:rPr>
          <w:rFonts w:ascii="Arial" w:eastAsia="Times New Roman" w:hAnsi="Arial" w:cs="Arial"/>
        </w:rPr>
        <w:t>ksproprijacija nepokretnosti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odnosno ure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enje gra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evinskog zemlji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>ta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tro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>kovi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nac</w:t>
      </w:r>
      <w:r w:rsidRPr="00714FCC">
        <w:rPr>
          <w:rFonts w:ascii="Arial" w:eastAsia="Times New Roman" w:hAnsi="Arial" w:cs="Arial"/>
          <w:lang w:val="sr-Latn-CS"/>
        </w:rPr>
        <w:t>̌</w:t>
      </w:r>
      <w:r w:rsidRPr="00714FCC">
        <w:rPr>
          <w:rFonts w:ascii="Arial" w:eastAsia="Times New Roman" w:hAnsi="Arial" w:cs="Arial"/>
        </w:rPr>
        <w:t>in i rokovi plac</w:t>
      </w:r>
      <w:r w:rsidRPr="00714FCC">
        <w:rPr>
          <w:rFonts w:ascii="Arial" w:eastAsia="Times New Roman" w:hAnsi="Arial" w:cs="Arial"/>
          <w:lang w:val="sr-Latn-CS"/>
        </w:rPr>
        <w:t>́</w:t>
      </w:r>
      <w:r w:rsidRPr="00714FCC">
        <w:rPr>
          <w:rFonts w:ascii="Arial" w:eastAsia="Times New Roman" w:hAnsi="Arial" w:cs="Arial"/>
        </w:rPr>
        <w:t>anja naknade za eksproprijaciju nepokretnosti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odnosno ure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enja gra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evinskog zemlji</w:t>
      </w:r>
      <w:r w:rsidRPr="00714FCC">
        <w:rPr>
          <w:rFonts w:ascii="Arial" w:eastAsia="Times New Roman" w:hAnsi="Arial" w:cs="Arial"/>
          <w:lang w:val="sr-Latn-CS"/>
        </w:rPr>
        <w:t>š</w:t>
      </w:r>
      <w:r w:rsidRPr="00714FCC">
        <w:rPr>
          <w:rFonts w:ascii="Arial" w:eastAsia="Times New Roman" w:hAnsi="Arial" w:cs="Arial"/>
        </w:rPr>
        <w:t>ta</w:t>
      </w:r>
      <w:r w:rsidRPr="00714FCC">
        <w:rPr>
          <w:rFonts w:ascii="Arial" w:eastAsia="Times New Roman" w:hAnsi="Arial" w:cs="Arial"/>
          <w:lang w:val="sr-Latn-CS"/>
        </w:rPr>
        <w:t xml:space="preserve">, </w:t>
      </w:r>
      <w:r w:rsidRPr="00714FCC">
        <w:rPr>
          <w:rFonts w:ascii="Arial" w:eastAsia="Times New Roman" w:hAnsi="Arial" w:cs="Arial"/>
        </w:rPr>
        <w:t>utvr</w:t>
      </w:r>
      <w:r w:rsidRPr="00714FCC">
        <w:rPr>
          <w:rFonts w:ascii="Arial" w:eastAsia="Times New Roman" w:hAnsi="Arial" w:cs="Arial"/>
          <w:lang w:val="sr-Latn-CS"/>
        </w:rPr>
        <w:t>đ</w:t>
      </w:r>
      <w:r w:rsidRPr="00714FCC">
        <w:rPr>
          <w:rFonts w:ascii="Arial" w:eastAsia="Times New Roman" w:hAnsi="Arial" w:cs="Arial"/>
        </w:rPr>
        <w:t>uju se i sprovode u skladu sa zakonom</w:t>
      </w:r>
      <w:r w:rsidRPr="00714FCC">
        <w:rPr>
          <w:rFonts w:ascii="Arial" w:eastAsia="Times New Roman" w:hAnsi="Arial" w:cs="Arial"/>
          <w:lang w:val="sr-Latn-CS"/>
        </w:rPr>
        <w:t>. Ukoliko je vlasnik zemljišta koncedent, ne vrši se eksproprijacija već se smatra da je koncesionar dobijanjem koncesije dobio</w:t>
      </w:r>
      <w:r>
        <w:rPr>
          <w:rFonts w:ascii="Arial" w:eastAsia="Times New Roman" w:hAnsi="Arial" w:cs="Arial"/>
          <w:lang w:val="sr-Latn-CS"/>
        </w:rPr>
        <w:t xml:space="preserve"> </w:t>
      </w:r>
      <w:r w:rsidRPr="00714FCC">
        <w:rPr>
          <w:rFonts w:ascii="Arial" w:eastAsia="Times New Roman" w:hAnsi="Arial" w:cs="Arial"/>
          <w:lang w:val="sr-Latn-CS"/>
        </w:rPr>
        <w:t xml:space="preserve">saglasnost za njegovo korišćenje. </w:t>
      </w:r>
    </w:p>
    <w:p w:rsidR="00EF3455" w:rsidRPr="007B37D3" w:rsidRDefault="00EF3455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087FED" w:rsidRPr="007B37D3" w:rsidRDefault="00087FED" w:rsidP="00A40BDA">
      <w:pPr>
        <w:autoSpaceDE w:val="0"/>
        <w:autoSpaceDN w:val="0"/>
        <w:adjustRightInd w:val="0"/>
        <w:spacing w:after="0" w:line="240" w:lineRule="auto"/>
        <w:ind w:left="-180" w:right="-270"/>
        <w:rPr>
          <w:rFonts w:ascii="Arial" w:eastAsiaTheme="minorHAnsi" w:hAnsi="Arial" w:cs="Arial"/>
          <w:lang w:val="en-GB"/>
        </w:rPr>
      </w:pPr>
    </w:p>
    <w:p w:rsidR="002E4676" w:rsidRPr="007B37D3" w:rsidRDefault="002A6F0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1</w:t>
      </w:r>
      <w:r w:rsidR="002E4676" w:rsidRPr="007B37D3">
        <w:rPr>
          <w:rFonts w:ascii="Arial" w:hAnsi="Arial" w:cs="Arial"/>
          <w:b/>
          <w:lang w:val="sr-Latn-CS"/>
        </w:rPr>
        <w:t xml:space="preserve">.4. Podaci iz prostorno–planske dokumentacije </w:t>
      </w:r>
    </w:p>
    <w:p w:rsidR="008962BB" w:rsidRPr="007B37D3" w:rsidRDefault="008962BB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2E4676" w:rsidRPr="007B37D3" w:rsidRDefault="008962BB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Sekretarijat za planiranje, uređenje prostora i zaštitu životne sredine Opštine Rožaje izdalo je Urbanističko-tehničke uslove, br. 0402-26/1/18,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14.02.2018. </w:t>
      </w:r>
      <w:proofErr w:type="gramStart"/>
      <w:r w:rsidRPr="007B37D3">
        <w:rPr>
          <w:rFonts w:ascii="Arial" w:hAnsi="Arial" w:cs="Arial"/>
        </w:rPr>
        <w:t>godine</w:t>
      </w:r>
      <w:proofErr w:type="gramEnd"/>
      <w:r w:rsidRPr="007B37D3">
        <w:rPr>
          <w:rFonts w:ascii="Arial" w:hAnsi="Arial" w:cs="Arial"/>
        </w:rPr>
        <w:t xml:space="preserve">, u skladu sa sa opštim urbanističkim parametrima definisanim Lokalnom studijom lokacije „Pogled“ koju je donijela Skupština opštine Rožaje, na sjednici održanoj dana 23.01.2018. </w:t>
      </w:r>
      <w:proofErr w:type="gramStart"/>
      <w:r w:rsidRPr="007B37D3">
        <w:rPr>
          <w:rFonts w:ascii="Arial" w:hAnsi="Arial" w:cs="Arial"/>
        </w:rPr>
        <w:t>godine</w:t>
      </w:r>
      <w:proofErr w:type="gramEnd"/>
      <w:r w:rsidRPr="007B37D3">
        <w:rPr>
          <w:rFonts w:ascii="Arial" w:hAnsi="Arial" w:cs="Arial"/>
        </w:rPr>
        <w:t xml:space="preserve"> („Sl.list CG“ – opštinski propisi, br. 6/18).</w:t>
      </w:r>
    </w:p>
    <w:p w:rsidR="003B7C8D" w:rsidRPr="007B37D3" w:rsidRDefault="003B7C8D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3B7C8D" w:rsidRPr="007B37D3" w:rsidRDefault="003B7C8D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Shodno članu 4 Odluke o donošenju Lokalne studije lokacije „Pogled“, plan se donosi za period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5 (pet) godina.</w:t>
      </w:r>
    </w:p>
    <w:p w:rsidR="008962BB" w:rsidRPr="007B37D3" w:rsidRDefault="008962BB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2E4676" w:rsidRPr="007B37D3" w:rsidRDefault="002A6F0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2E4676" w:rsidRPr="007B37D3">
        <w:rPr>
          <w:rFonts w:ascii="Arial" w:hAnsi="Arial" w:cs="Arial"/>
          <w:b/>
        </w:rPr>
        <w:t xml:space="preserve">.5. Infrastrukturni objekti </w:t>
      </w:r>
      <w:proofErr w:type="gramStart"/>
      <w:r w:rsidR="002E4676" w:rsidRPr="007B37D3">
        <w:rPr>
          <w:rFonts w:ascii="Arial" w:hAnsi="Arial" w:cs="Arial"/>
          <w:b/>
        </w:rPr>
        <w:t>na</w:t>
      </w:r>
      <w:proofErr w:type="gramEnd"/>
      <w:r w:rsidR="002E4676" w:rsidRPr="007B37D3">
        <w:rPr>
          <w:rFonts w:ascii="Arial" w:hAnsi="Arial" w:cs="Arial"/>
          <w:b/>
        </w:rPr>
        <w:t xml:space="preserve"> istražno-eksplatacionom prostoru</w:t>
      </w:r>
    </w:p>
    <w:p w:rsidR="00B56400" w:rsidRPr="007B37D3" w:rsidRDefault="00B56400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4E6CCC" w:rsidRDefault="00B56400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Saobraćajne veze, u užem i širem području predmetn</w:t>
      </w:r>
      <w:r w:rsidR="00012D20" w:rsidRPr="007B37D3">
        <w:rPr>
          <w:rFonts w:ascii="Arial" w:hAnsi="Arial" w:cs="Arial"/>
        </w:rPr>
        <w:t>e</w:t>
      </w:r>
      <w:r w:rsidR="004E6CCC">
        <w:rPr>
          <w:rFonts w:ascii="Arial" w:hAnsi="Arial" w:cs="Arial"/>
        </w:rPr>
        <w:t xml:space="preserve"> </w:t>
      </w:r>
      <w:r w:rsidR="00012D20" w:rsidRPr="007B37D3">
        <w:rPr>
          <w:rFonts w:ascii="Arial" w:hAnsi="Arial" w:cs="Arial"/>
        </w:rPr>
        <w:t>lokacije</w:t>
      </w:r>
      <w:r w:rsidRPr="007B37D3">
        <w:rPr>
          <w:rFonts w:ascii="Arial" w:hAnsi="Arial" w:cs="Arial"/>
        </w:rPr>
        <w:t xml:space="preserve"> su veoma povoljne, kada se radi o drumskom saobraćaju. U neposrednoj blizini ov</w:t>
      </w:r>
      <w:r w:rsidR="00012D20" w:rsidRPr="007B37D3">
        <w:rPr>
          <w:rFonts w:ascii="Arial" w:hAnsi="Arial" w:cs="Arial"/>
        </w:rPr>
        <w:t>e</w:t>
      </w:r>
      <w:r w:rsidR="004E6CCC">
        <w:rPr>
          <w:rFonts w:ascii="Arial" w:hAnsi="Arial" w:cs="Arial"/>
        </w:rPr>
        <w:t xml:space="preserve"> </w:t>
      </w:r>
      <w:r w:rsidR="00012D20" w:rsidRPr="007B37D3">
        <w:rPr>
          <w:rFonts w:ascii="Arial" w:hAnsi="Arial" w:cs="Arial"/>
        </w:rPr>
        <w:t>lokacije</w:t>
      </w:r>
      <w:r w:rsidRPr="007B37D3">
        <w:rPr>
          <w:rFonts w:ascii="Arial" w:hAnsi="Arial" w:cs="Arial"/>
        </w:rPr>
        <w:t xml:space="preserve"> prolazi </w:t>
      </w:r>
      <w:r w:rsidR="00E472CD" w:rsidRPr="007B37D3">
        <w:rPr>
          <w:rFonts w:ascii="Arial" w:hAnsi="Arial" w:cs="Arial"/>
        </w:rPr>
        <w:t>magistralni put</w:t>
      </w:r>
      <w:r w:rsidRPr="007B37D3">
        <w:rPr>
          <w:rFonts w:ascii="Arial" w:hAnsi="Arial" w:cs="Arial"/>
        </w:rPr>
        <w:t xml:space="preserve"> Rožaje – Kosovska Mitrovica.</w:t>
      </w:r>
    </w:p>
    <w:p w:rsidR="004E6CCC" w:rsidRDefault="004E6CCC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4E6CCC" w:rsidRPr="007B37D3" w:rsidRDefault="004E6CCC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Saobraćajne veze Rožaja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ostalim mjestima u Crnoj Gori</w:t>
      </w:r>
      <w:r>
        <w:rPr>
          <w:rFonts w:ascii="Arial" w:hAnsi="Arial" w:cs="Arial"/>
        </w:rPr>
        <w:t xml:space="preserve">, kao i </w:t>
      </w:r>
      <w:r w:rsidRPr="007B37D3">
        <w:rPr>
          <w:rFonts w:ascii="Arial" w:hAnsi="Arial" w:cs="Arial"/>
        </w:rPr>
        <w:t xml:space="preserve">šire, su </w:t>
      </w:r>
      <w:r>
        <w:rPr>
          <w:rFonts w:ascii="Arial" w:hAnsi="Arial" w:cs="Arial"/>
        </w:rPr>
        <w:t>povoljne</w:t>
      </w:r>
      <w:r w:rsidRPr="007B37D3">
        <w:rPr>
          <w:rFonts w:ascii="Arial" w:hAnsi="Arial" w:cs="Arial"/>
        </w:rPr>
        <w:t xml:space="preserve"> kada </w:t>
      </w:r>
      <w:r>
        <w:rPr>
          <w:rFonts w:ascii="Arial" w:hAnsi="Arial" w:cs="Arial"/>
        </w:rPr>
        <w:t>su u pitanju auto saobraćajnice</w:t>
      </w:r>
      <w:r w:rsidRPr="007B37D3">
        <w:rPr>
          <w:rFonts w:ascii="Arial" w:hAnsi="Arial" w:cs="Arial"/>
        </w:rPr>
        <w:t xml:space="preserve"> preko kojih je Rožaje povezano sa Beranama, Novim Pazarom, Kosovskom Mitrovicom i Prištinom, tzv Jadranskom magistralom niz dolinu Ibra i sa Peći</w:t>
      </w:r>
      <w:r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regionalnim putem preko prevoja Kula. Najbliža željeznička stanica nalazi se u Bijelom Polju.</w:t>
      </w:r>
    </w:p>
    <w:p w:rsidR="004E6CCC" w:rsidRDefault="004E6CCC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4E6CCC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Pristup</w:t>
      </w:r>
      <w:r w:rsidR="004E6CCC">
        <w:rPr>
          <w:rFonts w:ascii="Arial" w:hAnsi="Arial" w:cs="Arial"/>
        </w:rPr>
        <w:t xml:space="preserve"> budućem</w:t>
      </w:r>
      <w:r w:rsidRPr="007B37D3">
        <w:rPr>
          <w:rFonts w:ascii="Arial" w:hAnsi="Arial" w:cs="Arial"/>
        </w:rPr>
        <w:t xml:space="preserve"> istražno-eksploatacionom prostoru obezbijeđen je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magistralnog puta Rožaje - Kosovska Mitrovica.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magistralnog puta do predmetn</w:t>
      </w:r>
      <w:r w:rsidR="00012D20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loka</w:t>
      </w:r>
      <w:r w:rsidR="00012D20" w:rsidRPr="007B37D3">
        <w:rPr>
          <w:rFonts w:ascii="Arial" w:hAnsi="Arial" w:cs="Arial"/>
        </w:rPr>
        <w:t>cije</w:t>
      </w:r>
      <w:r w:rsidRPr="007B37D3">
        <w:rPr>
          <w:rFonts w:ascii="Arial" w:hAnsi="Arial" w:cs="Arial"/>
        </w:rPr>
        <w:t xml:space="preserve"> postoji lokalni asfaltni put, dužine </w:t>
      </w:r>
      <w:r w:rsidR="00012D20" w:rsidRPr="007B37D3">
        <w:rPr>
          <w:rFonts w:ascii="Arial" w:hAnsi="Arial" w:cs="Arial"/>
        </w:rPr>
        <w:t xml:space="preserve">od </w:t>
      </w:r>
      <w:r w:rsidRPr="007B37D3">
        <w:rPr>
          <w:rFonts w:ascii="Arial" w:hAnsi="Arial" w:cs="Arial"/>
        </w:rPr>
        <w:t xml:space="preserve">oko </w:t>
      </w:r>
      <w:r w:rsidR="00626F64" w:rsidRPr="007B37D3">
        <w:rPr>
          <w:rFonts w:ascii="Arial" w:hAnsi="Arial" w:cs="Arial"/>
        </w:rPr>
        <w:t>9</w:t>
      </w:r>
      <w:r w:rsidRPr="007B37D3">
        <w:rPr>
          <w:rFonts w:ascii="Arial" w:hAnsi="Arial" w:cs="Arial"/>
        </w:rPr>
        <w:t>00 m, koji dalje vodi prema naselju Balotići. Ovaj put prolazi u neposrednoj blizini predmetn</w:t>
      </w:r>
      <w:r w:rsidR="00012D20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loka</w:t>
      </w:r>
      <w:r w:rsidR="00012D20" w:rsidRPr="007B37D3">
        <w:rPr>
          <w:rFonts w:ascii="Arial" w:hAnsi="Arial" w:cs="Arial"/>
        </w:rPr>
        <w:t>cije</w:t>
      </w:r>
      <w:r w:rsidRPr="007B37D3">
        <w:rPr>
          <w:rFonts w:ascii="Arial" w:hAnsi="Arial" w:cs="Arial"/>
        </w:rPr>
        <w:t xml:space="preserve"> i njime je moguće vršiti transport svim vozilima, koja se koriste u javnom saobraćaju bez pratnje. </w:t>
      </w:r>
    </w:p>
    <w:p w:rsidR="004E6CCC" w:rsidRDefault="004E6CCC" w:rsidP="00A40BDA">
      <w:pPr>
        <w:ind w:left="-180" w:right="-27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25256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lastRenderedPageBreak/>
        <w:t xml:space="preserve">Preko istražno-eksploatacionog prostora ne prelazi lokalna električna mreža. Najbliža trafostanica, koja zadovoljava potrebe napajanja radilišta, nalazi se u mjestu Njeguši,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oko 700 m od pojave tehničko-građevinskog kamena. </w:t>
      </w:r>
    </w:p>
    <w:p w:rsidR="00E472CD" w:rsidRPr="007B37D3" w:rsidRDefault="00E472CD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E472CD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 neposrednoj blizini predmetn</w:t>
      </w:r>
      <w:r w:rsidR="00012D20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loka</w:t>
      </w:r>
      <w:r w:rsidR="00012D20" w:rsidRPr="007B37D3">
        <w:rPr>
          <w:rFonts w:ascii="Arial" w:hAnsi="Arial" w:cs="Arial"/>
        </w:rPr>
        <w:t>cije</w:t>
      </w:r>
      <w:r w:rsidR="004E6CCC">
        <w:rPr>
          <w:rFonts w:ascii="Arial" w:hAnsi="Arial" w:cs="Arial"/>
        </w:rPr>
        <w:t xml:space="preserve"> </w:t>
      </w:r>
      <w:proofErr w:type="gramStart"/>
      <w:r w:rsidR="00E472CD" w:rsidRPr="007B37D3">
        <w:rPr>
          <w:rFonts w:ascii="Arial" w:hAnsi="Arial" w:cs="Arial"/>
        </w:rPr>
        <w:t>nema</w:t>
      </w:r>
      <w:proofErr w:type="gramEnd"/>
      <w:r w:rsidR="00E472CD" w:rsidRPr="007B37D3">
        <w:rPr>
          <w:rFonts w:ascii="Arial" w:hAnsi="Arial" w:cs="Arial"/>
        </w:rPr>
        <w:t xml:space="preserve"> industrijskih postrojenja i privatnih stambenih objekata koji bi imali uticaja na eksploataciju.</w:t>
      </w:r>
    </w:p>
    <w:p w:rsidR="00E472CD" w:rsidRPr="007B37D3" w:rsidRDefault="00E472CD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421203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Najbliža naselja su Njeguši</w:t>
      </w:r>
      <w:r w:rsidR="00012D20" w:rsidRPr="007B37D3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oko </w:t>
      </w:r>
      <w:r w:rsidR="00616D8B" w:rsidRPr="007B37D3">
        <w:rPr>
          <w:rFonts w:ascii="Arial" w:hAnsi="Arial" w:cs="Arial"/>
        </w:rPr>
        <w:t>7</w:t>
      </w:r>
      <w:r w:rsidRPr="007B37D3">
        <w:rPr>
          <w:rFonts w:ascii="Arial" w:hAnsi="Arial" w:cs="Arial"/>
        </w:rPr>
        <w:t>00 m vazdušne linije</w:t>
      </w:r>
      <w:r w:rsidR="004E6CCC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istočno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lokacije i Višnjice na oko </w:t>
      </w:r>
      <w:r w:rsidR="00626F64" w:rsidRPr="007B37D3">
        <w:rPr>
          <w:rFonts w:ascii="Arial" w:hAnsi="Arial" w:cs="Arial"/>
        </w:rPr>
        <w:t xml:space="preserve">1200 </w:t>
      </w:r>
      <w:r w:rsidRPr="007B37D3">
        <w:rPr>
          <w:rFonts w:ascii="Arial" w:hAnsi="Arial" w:cs="Arial"/>
        </w:rPr>
        <w:t>m</w:t>
      </w:r>
      <w:r w:rsidR="004E6CCC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južno od predmetne lokacije. </w:t>
      </w:r>
    </w:p>
    <w:p w:rsidR="00626F64" w:rsidRPr="007B37D3" w:rsidRDefault="00626F64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421203" w:rsidRPr="007B37D3" w:rsidRDefault="002A6F0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421203" w:rsidRPr="007B37D3">
        <w:rPr>
          <w:rFonts w:ascii="Arial" w:hAnsi="Arial" w:cs="Arial"/>
          <w:b/>
        </w:rPr>
        <w:t>.6.</w:t>
      </w:r>
      <w:r w:rsidR="00AE40E6" w:rsidRPr="007B37D3">
        <w:rPr>
          <w:rFonts w:ascii="Arial" w:hAnsi="Arial" w:cs="Arial"/>
          <w:b/>
        </w:rPr>
        <w:t xml:space="preserve"> Geomorfološke karakteristike </w:t>
      </w:r>
    </w:p>
    <w:p w:rsidR="00041FAC" w:rsidRPr="007B37D3" w:rsidRDefault="00041FAC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366FD6" w:rsidRPr="007B37D3" w:rsidRDefault="00041FAC" w:rsidP="00A40BDA">
      <w:pPr>
        <w:pStyle w:val="BodyText3"/>
        <w:spacing w:after="0"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  <w:r w:rsidRPr="007B37D3">
        <w:rPr>
          <w:rFonts w:ascii="Arial" w:hAnsi="Arial" w:cs="Arial"/>
          <w:sz w:val="22"/>
          <w:szCs w:val="22"/>
        </w:rPr>
        <w:t>Šire područje Rožaja se karakteriše oštrim oblicima reljefa nastalim kao rezultat intenzivno izražene geotektonske aktivnosti, glacijalnih i ostalih egzogenih erozionih procesa, koji su oblikovali visoke i nepristupačne planine, oštre grebene, manje ili veće površi, disecirane vodenim tokovima Ibra i njegovih pritoka, pri čemu su stvorene strme i uske doline - klisure, uske aluvijalne i fluviog</w:t>
      </w:r>
      <w:r w:rsidR="00E334C7" w:rsidRPr="007B37D3">
        <w:rPr>
          <w:rFonts w:ascii="Arial" w:hAnsi="Arial" w:cs="Arial"/>
          <w:sz w:val="22"/>
          <w:szCs w:val="22"/>
        </w:rPr>
        <w:t>lacijalne terase i zaravni</w:t>
      </w:r>
      <w:r w:rsidRPr="007B37D3">
        <w:rPr>
          <w:rFonts w:ascii="Arial" w:hAnsi="Arial" w:cs="Arial"/>
          <w:sz w:val="22"/>
          <w:szCs w:val="22"/>
        </w:rPr>
        <w:t>. U južnom dijelu izdižu se visoki planinski masivi Hajle (2.403 m</w:t>
      </w:r>
      <w:r w:rsidR="00E334C7" w:rsidRPr="007B37D3">
        <w:rPr>
          <w:rFonts w:ascii="Arial" w:hAnsi="Arial" w:cs="Arial"/>
          <w:sz w:val="22"/>
          <w:szCs w:val="22"/>
        </w:rPr>
        <w:t>.n.m.</w:t>
      </w:r>
      <w:r w:rsidRPr="007B37D3">
        <w:rPr>
          <w:rFonts w:ascii="Arial" w:hAnsi="Arial" w:cs="Arial"/>
          <w:sz w:val="22"/>
          <w:szCs w:val="22"/>
        </w:rPr>
        <w:t>), Štedima (</w:t>
      </w:r>
      <w:r w:rsidR="00E334C7" w:rsidRPr="007B37D3">
        <w:rPr>
          <w:rFonts w:ascii="Arial" w:hAnsi="Arial" w:cs="Arial"/>
          <w:sz w:val="22"/>
          <w:szCs w:val="22"/>
        </w:rPr>
        <w:t>2.272 m.n.m.), Žljeba (2.352 m.n.m.),</w:t>
      </w:r>
      <w:r w:rsidRPr="007B37D3">
        <w:rPr>
          <w:rFonts w:ascii="Arial" w:hAnsi="Arial" w:cs="Arial"/>
          <w:sz w:val="22"/>
          <w:szCs w:val="22"/>
        </w:rPr>
        <w:t xml:space="preserve"> dok se u sjevernom dijelu, pored klisuraste i kanjonske doline rijeke Ibra i njegovih pritoka, teren karakteriše nešto blažim oblicima reljefa i nižim planinsko-brdovitim površima sa visinama između 1.000 i 1.500 </w:t>
      </w:r>
      <w:r w:rsidR="00E334C7" w:rsidRPr="007B37D3">
        <w:rPr>
          <w:rFonts w:ascii="Arial" w:hAnsi="Arial" w:cs="Arial"/>
          <w:sz w:val="22"/>
          <w:szCs w:val="22"/>
        </w:rPr>
        <w:t>m.n.m.</w:t>
      </w:r>
      <w:r w:rsidRPr="007B37D3">
        <w:rPr>
          <w:rFonts w:ascii="Arial" w:hAnsi="Arial" w:cs="Arial"/>
          <w:sz w:val="22"/>
          <w:szCs w:val="22"/>
        </w:rPr>
        <w:t>.</w:t>
      </w:r>
    </w:p>
    <w:p w:rsidR="00041FAC" w:rsidRPr="007B37D3" w:rsidRDefault="00041FAC" w:rsidP="00A40BDA">
      <w:pPr>
        <w:pStyle w:val="BodyText3"/>
        <w:spacing w:after="0"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</w:p>
    <w:p w:rsidR="00366FD6" w:rsidRPr="007B37D3" w:rsidRDefault="00366FD6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Reljef predmetn</w:t>
      </w:r>
      <w:r w:rsidR="00012D20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loka</w:t>
      </w:r>
      <w:r w:rsidR="00012D20" w:rsidRPr="007B37D3">
        <w:rPr>
          <w:rFonts w:ascii="Arial" w:hAnsi="Arial" w:cs="Arial"/>
        </w:rPr>
        <w:t>cije</w:t>
      </w:r>
      <w:r w:rsidRPr="007B37D3">
        <w:rPr>
          <w:rFonts w:ascii="Arial" w:hAnsi="Arial" w:cs="Arial"/>
        </w:rPr>
        <w:t xml:space="preserve"> i okolnog terena je brdski i brdsko-planinski,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relativno strmim padinama duž kojih se</w:t>
      </w:r>
      <w:r w:rsidR="004E6CCC">
        <w:rPr>
          <w:rFonts w:ascii="Arial" w:hAnsi="Arial" w:cs="Arial"/>
        </w:rPr>
        <w:t>, mjestimično, zapažaju i strmi</w:t>
      </w:r>
      <w:r w:rsidR="00012D20" w:rsidRPr="007B37D3">
        <w:rPr>
          <w:rFonts w:ascii="Arial" w:hAnsi="Arial" w:cs="Arial"/>
        </w:rPr>
        <w:t xml:space="preserve"> stijenski odsjeci sa većim ost</w:t>
      </w:r>
      <w:r w:rsidRPr="007B37D3">
        <w:rPr>
          <w:rFonts w:ascii="Arial" w:hAnsi="Arial" w:cs="Arial"/>
        </w:rPr>
        <w:t>enjacima i siparima. Značajni morfološki oblici koji se pojavljuju u ovom kraju su polja, uvale, dolovi, mnogobrojne plitke i duboke vrtače, jame, škrape i pećine.</w:t>
      </w:r>
    </w:p>
    <w:p w:rsidR="00366FD6" w:rsidRPr="007B37D3" w:rsidRDefault="00366FD6" w:rsidP="00A40BDA">
      <w:pPr>
        <w:pStyle w:val="BodyText3"/>
        <w:spacing w:after="0"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</w:p>
    <w:p w:rsidR="00041FAC" w:rsidRPr="007B37D3" w:rsidRDefault="00E334C7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  <w:r w:rsidRPr="007B37D3">
        <w:rPr>
          <w:rFonts w:ascii="Arial" w:hAnsi="Arial" w:cs="Arial"/>
        </w:rPr>
        <w:t xml:space="preserve">Pojava </w:t>
      </w:r>
      <w:r w:rsidR="00041FAC" w:rsidRPr="007B37D3">
        <w:rPr>
          <w:rFonts w:ascii="Arial" w:hAnsi="Arial" w:cs="Arial"/>
          <w:lang w:val="sr-Cyrl-CS"/>
        </w:rPr>
        <w:t xml:space="preserve">tehničko-građevinskog kamena </w:t>
      </w:r>
      <w:r w:rsidR="005919FD">
        <w:rPr>
          <w:rFonts w:ascii="Arial" w:hAnsi="Arial" w:cs="Arial"/>
        </w:rPr>
        <w:t xml:space="preserve">„Pogled“ </w:t>
      </w:r>
      <w:r w:rsidR="00041FAC" w:rsidRPr="007B37D3">
        <w:rPr>
          <w:rFonts w:ascii="Arial" w:hAnsi="Arial" w:cs="Arial"/>
        </w:rPr>
        <w:t>je smješten</w:t>
      </w:r>
      <w:r w:rsidRPr="007B37D3">
        <w:rPr>
          <w:rFonts w:ascii="Arial" w:hAnsi="Arial" w:cs="Arial"/>
        </w:rPr>
        <w:t>a</w:t>
      </w:r>
      <w:r w:rsidR="00041FAC" w:rsidRPr="007B37D3">
        <w:rPr>
          <w:rFonts w:ascii="Arial" w:hAnsi="Arial" w:cs="Arial"/>
        </w:rPr>
        <w:t xml:space="preserve"> na </w:t>
      </w:r>
      <w:r w:rsidRPr="007B37D3">
        <w:rPr>
          <w:rFonts w:ascii="Arial" w:hAnsi="Arial" w:cs="Arial"/>
        </w:rPr>
        <w:t xml:space="preserve">južnim i </w:t>
      </w:r>
      <w:r w:rsidR="00041FAC" w:rsidRPr="007B37D3">
        <w:rPr>
          <w:rFonts w:ascii="Arial" w:hAnsi="Arial" w:cs="Arial"/>
        </w:rPr>
        <w:t xml:space="preserve">jugozapadnim padinama uzvišenja Vrhovje (1280 m.n.m.), </w:t>
      </w:r>
      <w:r w:rsidRPr="007B37D3">
        <w:rPr>
          <w:rFonts w:ascii="Arial" w:hAnsi="Arial" w:cs="Arial"/>
          <w:lang w:val="sr-Cyrl-CS"/>
        </w:rPr>
        <w:t>s</w:t>
      </w:r>
      <w:r w:rsidRPr="007B37D3">
        <w:rPr>
          <w:rFonts w:ascii="Arial" w:hAnsi="Arial" w:cs="Arial"/>
        </w:rPr>
        <w:t>a</w:t>
      </w:r>
      <w:r w:rsidRPr="007B37D3">
        <w:rPr>
          <w:rFonts w:ascii="Arial" w:hAnsi="Arial" w:cs="Arial"/>
          <w:lang w:val="sr-Cyrl-CS"/>
        </w:rPr>
        <w:t xml:space="preserve"> desne strane rijeke</w:t>
      </w:r>
      <w:r w:rsidRPr="007B37D3">
        <w:rPr>
          <w:rFonts w:ascii="Arial" w:hAnsi="Arial" w:cs="Arial"/>
        </w:rPr>
        <w:t xml:space="preserve"> Ibar i magistralnog puta Rožaje – Kosovska Mitrovica, </w:t>
      </w:r>
      <w:r w:rsidR="00041FAC" w:rsidRPr="007B37D3">
        <w:rPr>
          <w:rFonts w:ascii="Arial" w:hAnsi="Arial" w:cs="Arial"/>
        </w:rPr>
        <w:t>na nadmorskoj visini od oko 1130 do 1240 m.n.m.</w:t>
      </w:r>
    </w:p>
    <w:p w:rsidR="00041FAC" w:rsidRPr="007B37D3" w:rsidRDefault="00041FAC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</w:p>
    <w:p w:rsidR="00366FD6" w:rsidRPr="007B37D3" w:rsidRDefault="00366FD6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  <w:r w:rsidRPr="007B37D3">
        <w:rPr>
          <w:rFonts w:ascii="Arial" w:hAnsi="Arial" w:cs="Arial"/>
          <w:lang w:val="sr-Cyrl-CS"/>
        </w:rPr>
        <w:t>Morfološke osobine svrstavaju ov</w:t>
      </w:r>
      <w:r w:rsidR="00012D20" w:rsidRPr="007B37D3">
        <w:rPr>
          <w:rFonts w:ascii="Arial" w:hAnsi="Arial" w:cs="Arial"/>
        </w:rPr>
        <w:t>aj</w:t>
      </w:r>
      <w:r w:rsidR="005919FD">
        <w:rPr>
          <w:rFonts w:ascii="Arial" w:hAnsi="Arial" w:cs="Arial"/>
        </w:rPr>
        <w:t xml:space="preserve"> </w:t>
      </w:r>
      <w:r w:rsidR="00012D20" w:rsidRPr="007B37D3">
        <w:rPr>
          <w:rFonts w:ascii="Arial" w:hAnsi="Arial" w:cs="Arial"/>
        </w:rPr>
        <w:t>prostor</w:t>
      </w:r>
      <w:r w:rsidRPr="007B37D3">
        <w:rPr>
          <w:rFonts w:ascii="Arial" w:hAnsi="Arial" w:cs="Arial"/>
          <w:lang w:val="sr-Cyrl-CS"/>
        </w:rPr>
        <w:t xml:space="preserve"> u brdsko–planinski tip reljefa, sa okolnim brdima </w:t>
      </w:r>
      <w:r w:rsidRPr="007B37D3">
        <w:rPr>
          <w:rFonts w:ascii="Arial" w:hAnsi="Arial" w:cs="Arial"/>
        </w:rPr>
        <w:t>Selište</w:t>
      </w:r>
      <w:r w:rsidRPr="007B37D3">
        <w:rPr>
          <w:rFonts w:ascii="Arial" w:hAnsi="Arial" w:cs="Arial"/>
          <w:lang w:val="sr-Cyrl-CS"/>
        </w:rPr>
        <w:t xml:space="preserve"> 1.</w:t>
      </w:r>
      <w:r w:rsidRPr="007B37D3">
        <w:rPr>
          <w:rFonts w:ascii="Arial" w:hAnsi="Arial" w:cs="Arial"/>
        </w:rPr>
        <w:t>190</w:t>
      </w:r>
      <w:r w:rsidRPr="007B37D3">
        <w:rPr>
          <w:rFonts w:ascii="Arial" w:hAnsi="Arial" w:cs="Arial"/>
          <w:lang w:val="sr-Cyrl-CS"/>
        </w:rPr>
        <w:t xml:space="preserve"> m.n.m. i </w:t>
      </w:r>
      <w:r w:rsidRPr="007B37D3">
        <w:rPr>
          <w:rFonts w:ascii="Arial" w:hAnsi="Arial" w:cs="Arial"/>
        </w:rPr>
        <w:t>Glavica</w:t>
      </w:r>
      <w:r w:rsidRPr="007B37D3">
        <w:rPr>
          <w:rFonts w:ascii="Arial" w:hAnsi="Arial" w:cs="Arial"/>
          <w:lang w:val="sr-Cyrl-CS"/>
        </w:rPr>
        <w:t xml:space="preserve"> 1.</w:t>
      </w:r>
      <w:r w:rsidR="00464908" w:rsidRPr="007B37D3">
        <w:rPr>
          <w:rFonts w:ascii="Arial" w:hAnsi="Arial" w:cs="Arial"/>
        </w:rPr>
        <w:t>404</w:t>
      </w:r>
      <w:r w:rsidRPr="007B37D3">
        <w:rPr>
          <w:rFonts w:ascii="Arial" w:hAnsi="Arial" w:cs="Arial"/>
          <w:lang w:val="sr-Cyrl-CS"/>
        </w:rPr>
        <w:t xml:space="preserve"> m.n.m..</w:t>
      </w:r>
    </w:p>
    <w:p w:rsidR="00464908" w:rsidRPr="007B37D3" w:rsidRDefault="00464908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AE40E6" w:rsidRPr="007B37D3" w:rsidRDefault="002A6F0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BE7CF9" w:rsidRPr="007B37D3">
        <w:rPr>
          <w:rFonts w:ascii="Arial" w:hAnsi="Arial" w:cs="Arial"/>
          <w:b/>
        </w:rPr>
        <w:t xml:space="preserve">.7. </w:t>
      </w:r>
      <w:r w:rsidR="00AE40E6" w:rsidRPr="007B37D3">
        <w:rPr>
          <w:rFonts w:ascii="Arial" w:hAnsi="Arial" w:cs="Arial"/>
          <w:b/>
        </w:rPr>
        <w:t>Hidrografske karakteristike</w:t>
      </w:r>
    </w:p>
    <w:p w:rsidR="00716922" w:rsidRPr="007B37D3" w:rsidRDefault="00716922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716922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  <w:r w:rsidRPr="007B37D3">
        <w:rPr>
          <w:rFonts w:ascii="Arial" w:hAnsi="Arial" w:cs="Arial"/>
        </w:rPr>
        <w:t xml:space="preserve">Hidrografske prilike su odraz tipične hidrografije i njenih fenomena koja karakterišu ovo područje. U blizini lokaliteta protiče </w:t>
      </w:r>
      <w:proofErr w:type="gramStart"/>
      <w:r w:rsidRPr="007B37D3">
        <w:rPr>
          <w:rFonts w:ascii="Arial" w:hAnsi="Arial" w:cs="Arial"/>
        </w:rPr>
        <w:t>rijeka</w:t>
      </w:r>
      <w:proofErr w:type="gramEnd"/>
      <w:r w:rsidRPr="007B37D3">
        <w:rPr>
          <w:rFonts w:ascii="Arial" w:hAnsi="Arial" w:cs="Arial"/>
        </w:rPr>
        <w:t xml:space="preserve"> Ibar, koja je glavni recipijent površinskih voda sa ovog područja prema slivu Crnog mora.</w:t>
      </w:r>
      <w:r w:rsidR="005919FD">
        <w:rPr>
          <w:rFonts w:ascii="Arial" w:hAnsi="Arial" w:cs="Arial"/>
        </w:rPr>
        <w:t xml:space="preserve"> </w:t>
      </w:r>
      <w:r w:rsidR="00716922" w:rsidRPr="007B37D3">
        <w:rPr>
          <w:rFonts w:ascii="Arial" w:hAnsi="Arial" w:cs="Arial"/>
        </w:rPr>
        <w:t>P</w:t>
      </w:r>
      <w:r w:rsidR="00716922" w:rsidRPr="007B37D3">
        <w:rPr>
          <w:rFonts w:ascii="Arial" w:hAnsi="Arial" w:cs="Arial"/>
          <w:lang w:val="sr-Cyrl-CS"/>
        </w:rPr>
        <w:t>laninski masivi Hajle, Štedima i Žljeba su i vododjelnica između Crnomorskog i Jadranskog sliva.</w:t>
      </w:r>
    </w:p>
    <w:p w:rsidR="00925256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925256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 blizini lokacije se nalazi nekoliko povremenih vodenih tokova, kojima se ovaj prostor drenira prema rijeci Ibru.</w:t>
      </w:r>
      <w:r w:rsidR="003B6279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Na širem području predmetnog lokaliteta nalazi se veći broj povremenih i stalnih izvora i vodotoka.</w:t>
      </w:r>
    </w:p>
    <w:p w:rsidR="004C0CE3" w:rsidRPr="007B37D3" w:rsidRDefault="004C0CE3" w:rsidP="00A40BDA">
      <w:pPr>
        <w:ind w:left="-180" w:right="-270"/>
        <w:jc w:val="both"/>
        <w:rPr>
          <w:rFonts w:ascii="Arial" w:hAnsi="Arial" w:cs="Arial"/>
        </w:rPr>
      </w:pPr>
    </w:p>
    <w:p w:rsidR="00AE40E6" w:rsidRPr="007B37D3" w:rsidRDefault="002A6F0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AE40E6" w:rsidRPr="007B37D3">
        <w:rPr>
          <w:rFonts w:ascii="Arial" w:hAnsi="Arial" w:cs="Arial"/>
          <w:b/>
        </w:rPr>
        <w:t>.8. Klimatske odlike</w:t>
      </w:r>
    </w:p>
    <w:p w:rsidR="00716922" w:rsidRPr="007B37D3" w:rsidRDefault="0071692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E35ABF" w:rsidRDefault="0071692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lang w:val="sr-Cyrl-CS"/>
        </w:rPr>
        <w:t>Klimu šireg područja Rožaja karakterišu izrazite oscilacije u režimu padavina i temperatur</w:t>
      </w:r>
      <w:r w:rsidRPr="007B37D3">
        <w:rPr>
          <w:rFonts w:ascii="Arial" w:hAnsi="Arial" w:cs="Arial"/>
        </w:rPr>
        <w:t>a</w:t>
      </w:r>
      <w:r w:rsidR="00FF101B" w:rsidRPr="007B37D3">
        <w:rPr>
          <w:rFonts w:ascii="Arial" w:hAnsi="Arial" w:cs="Arial"/>
        </w:rPr>
        <w:t>,</w:t>
      </w:r>
      <w:r w:rsidRPr="007B37D3">
        <w:rPr>
          <w:rFonts w:ascii="Arial" w:hAnsi="Arial" w:cs="Arial"/>
          <w:lang w:val="sr-Cyrl-CS"/>
        </w:rPr>
        <w:t xml:space="preserve"> svojstvene za planinske predjele alpskog tipa.</w:t>
      </w:r>
    </w:p>
    <w:p w:rsidR="004C0CE3" w:rsidRPr="004C0CE3" w:rsidRDefault="004C0CE3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E35ABF" w:rsidRPr="007B37D3" w:rsidRDefault="00E35ABF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Po geografskom položaju, razvijenosti reljefa i nadmorskoj visini, ovo područje pripada kontinentalnom tipu klime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izrazitim planinskim odlikama. Zbog visokih planina koje ga okružuju, rožajsko područje ima pomalo specifičn</w:t>
      </w:r>
      <w:r w:rsidR="003B6279">
        <w:rPr>
          <w:rFonts w:ascii="Arial" w:hAnsi="Arial" w:cs="Arial"/>
        </w:rPr>
        <w:t xml:space="preserve">u, modifikovanu planinsku klimu </w:t>
      </w:r>
      <w:proofErr w:type="gramStart"/>
      <w:r w:rsidR="003B6279">
        <w:rPr>
          <w:rFonts w:ascii="Arial" w:hAnsi="Arial" w:cs="Arial"/>
        </w:rPr>
        <w:t>sa</w:t>
      </w:r>
      <w:proofErr w:type="gramEnd"/>
      <w:r w:rsidR="003B6279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mali</w:t>
      </w:r>
      <w:r w:rsidR="003B6279">
        <w:rPr>
          <w:rFonts w:ascii="Arial" w:hAnsi="Arial" w:cs="Arial"/>
        </w:rPr>
        <w:t>m</w:t>
      </w:r>
      <w:r w:rsidRPr="007B37D3">
        <w:rPr>
          <w:rFonts w:ascii="Arial" w:hAnsi="Arial" w:cs="Arial"/>
        </w:rPr>
        <w:t xml:space="preserve"> broj</w:t>
      </w:r>
      <w:r w:rsidR="003B6279">
        <w:rPr>
          <w:rFonts w:ascii="Arial" w:hAnsi="Arial" w:cs="Arial"/>
        </w:rPr>
        <w:t>em</w:t>
      </w:r>
      <w:r w:rsidRPr="007B37D3">
        <w:rPr>
          <w:rFonts w:ascii="Arial" w:hAnsi="Arial" w:cs="Arial"/>
        </w:rPr>
        <w:t xml:space="preserve"> dana sa vjetrovima smanjene jačine, smanjenu oblačnost i rijetku maglovitost.</w:t>
      </w:r>
    </w:p>
    <w:p w:rsidR="00E35ABF" w:rsidRPr="007B37D3" w:rsidRDefault="00E35ABF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Ljeta su srednje dužine, osim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visokim planinama, gdje su kratka i svježa. Suva su i sunčana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smanjenim obimom padavina, sa dnevnim visokim temperaturama vazduha i svježim i prohladnim noćima. Zime su duge i hladne naročito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planinama, sa dosta velikim sniježnim pokrivačem, koji se dugo zadržava. </w:t>
      </w:r>
    </w:p>
    <w:p w:rsidR="00716922" w:rsidRPr="007B37D3" w:rsidRDefault="0071692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lang w:val="sr-Cyrl-CS"/>
        </w:rPr>
        <w:t>Karakteristične su duge i sniježne zime, sa niskim temperaturama (tri mjeseca u godini imaju srednje mjesečne temperature ispod nule) i umjereno topla i suva ljeta (srednje mjesečne temperature ne prelaze 14,5</w:t>
      </w:r>
      <w:r w:rsidRPr="007B37D3">
        <w:rPr>
          <w:rFonts w:ascii="Arial" w:hAnsi="Arial" w:cs="Arial"/>
          <w:vertAlign w:val="superscript"/>
          <w:lang w:val="sr-Cyrl-CS"/>
        </w:rPr>
        <w:t>°</w:t>
      </w:r>
      <w:r w:rsidRPr="007B37D3">
        <w:rPr>
          <w:rFonts w:ascii="Arial" w:hAnsi="Arial" w:cs="Arial"/>
          <w:lang w:val="sr-Cyrl-CS"/>
        </w:rPr>
        <w:t>C), sa srednjom godišnjom temperaturom 6,0</w:t>
      </w:r>
      <w:r w:rsidRPr="007B37D3">
        <w:rPr>
          <w:rFonts w:ascii="Arial" w:hAnsi="Arial" w:cs="Arial"/>
          <w:vertAlign w:val="superscript"/>
          <w:lang w:val="sr-Cyrl-CS"/>
        </w:rPr>
        <w:t>°</w:t>
      </w:r>
      <w:r w:rsidRPr="007B37D3">
        <w:rPr>
          <w:rFonts w:ascii="Arial" w:hAnsi="Arial" w:cs="Arial"/>
          <w:lang w:val="sr-Cyrl-CS"/>
        </w:rPr>
        <w:t>C. Sniježne padavine, uglavnom, traju od početka decembra do kraja marta, dok kiše preovlađuju tokom maja, juna i jula, djelimično i u novembru. Srednja godišnja količina padavina u širem području Rožaja je među najnižim u Crnoj Gori i za tridesetogodišnji period (1961.-1990. god.) iznosi oko 910 mm.</w:t>
      </w:r>
    </w:p>
    <w:p w:rsidR="00B9279E" w:rsidRPr="007B37D3" w:rsidRDefault="00B9279E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B9279E" w:rsidRPr="007B37D3" w:rsidRDefault="003B6279" w:rsidP="00A40BDA">
      <w:pPr>
        <w:spacing w:after="0"/>
        <w:ind w:left="-180" w:right="-27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U</w:t>
      </w:r>
      <w:r w:rsidR="00B9279E" w:rsidRPr="007B37D3">
        <w:rPr>
          <w:rFonts w:ascii="Arial" w:hAnsi="Arial" w:cs="Arial"/>
          <w:lang w:val="sr-Cyrl-CS"/>
        </w:rPr>
        <w:t xml:space="preserve">čestalost </w:t>
      </w:r>
      <w:r>
        <w:rPr>
          <w:rFonts w:ascii="Arial" w:hAnsi="Arial" w:cs="Arial"/>
        </w:rPr>
        <w:t xml:space="preserve">vjetrova </w:t>
      </w:r>
      <w:r w:rsidR="00DE2DF0">
        <w:rPr>
          <w:rFonts w:ascii="Arial" w:hAnsi="Arial" w:cs="Arial"/>
        </w:rPr>
        <w:t xml:space="preserve">na ovom </w:t>
      </w:r>
      <w:proofErr w:type="gramStart"/>
      <w:r w:rsidR="00DE2DF0">
        <w:rPr>
          <w:rFonts w:ascii="Arial" w:hAnsi="Arial" w:cs="Arial"/>
        </w:rPr>
        <w:t xml:space="preserve">prostoru </w:t>
      </w:r>
      <w:r>
        <w:rPr>
          <w:rFonts w:ascii="Arial" w:hAnsi="Arial" w:cs="Arial"/>
          <w:lang w:val="sr-Cyrl-CS"/>
        </w:rPr>
        <w:t>:</w:t>
      </w:r>
      <w:proofErr w:type="gramEnd"/>
      <w:r>
        <w:rPr>
          <w:rFonts w:ascii="Arial" w:hAnsi="Arial" w:cs="Arial"/>
          <w:lang w:val="sr-Cyrl-CS"/>
        </w:rPr>
        <w:t xml:space="preserve"> zapadni 22%, istočni </w:t>
      </w:r>
      <w:r w:rsidR="00B9279E" w:rsidRPr="007B37D3">
        <w:rPr>
          <w:rFonts w:ascii="Arial" w:hAnsi="Arial" w:cs="Arial"/>
          <w:lang w:val="sr-Cyrl-CS"/>
        </w:rPr>
        <w:t>9%, jugozapadni –</w:t>
      </w:r>
      <w:r>
        <w:rPr>
          <w:rFonts w:ascii="Arial" w:hAnsi="Arial" w:cs="Arial"/>
        </w:rPr>
        <w:t xml:space="preserve"> </w:t>
      </w:r>
      <w:r w:rsidR="00B9279E" w:rsidRPr="007B37D3">
        <w:rPr>
          <w:rFonts w:ascii="Arial" w:hAnsi="Arial" w:cs="Arial"/>
          <w:lang w:val="sr-Cyrl-CS"/>
        </w:rPr>
        <w:t>s</w:t>
      </w:r>
      <w:r w:rsidR="00B9279E" w:rsidRPr="007B37D3">
        <w:rPr>
          <w:rFonts w:ascii="Arial" w:hAnsi="Arial" w:cs="Arial"/>
        </w:rPr>
        <w:t>j</w:t>
      </w:r>
      <w:r w:rsidR="00B9279E" w:rsidRPr="007B37D3">
        <w:rPr>
          <w:rFonts w:ascii="Arial" w:hAnsi="Arial" w:cs="Arial"/>
          <w:lang w:val="sr-Cyrl-CS"/>
        </w:rPr>
        <w:t>evernoisto</w:t>
      </w:r>
      <w:r w:rsidR="00B9279E" w:rsidRPr="007B37D3">
        <w:rPr>
          <w:rFonts w:ascii="Arial" w:hAnsi="Arial" w:cs="Arial"/>
        </w:rPr>
        <w:t>č</w:t>
      </w:r>
      <w:r>
        <w:rPr>
          <w:rFonts w:ascii="Arial" w:hAnsi="Arial" w:cs="Arial"/>
          <w:lang w:val="sr-Cyrl-CS"/>
        </w:rPr>
        <w:t xml:space="preserve">ni </w:t>
      </w:r>
      <w:r w:rsidR="00B9279E" w:rsidRPr="007B37D3">
        <w:rPr>
          <w:rFonts w:ascii="Arial" w:hAnsi="Arial" w:cs="Arial"/>
          <w:lang w:val="sr-Cyrl-CS"/>
        </w:rPr>
        <w:t>3%</w:t>
      </w:r>
      <w:r>
        <w:rPr>
          <w:rFonts w:ascii="Arial" w:hAnsi="Arial" w:cs="Arial"/>
        </w:rPr>
        <w:t xml:space="preserve">, </w:t>
      </w:r>
      <w:r w:rsidR="00B9279E" w:rsidRPr="007B37D3">
        <w:rPr>
          <w:rFonts w:ascii="Arial" w:hAnsi="Arial" w:cs="Arial"/>
          <w:lang w:val="sr-Cyrl-CS"/>
        </w:rPr>
        <w:t>jugoisto</w:t>
      </w:r>
      <w:r w:rsidR="00B9279E" w:rsidRPr="007B37D3">
        <w:rPr>
          <w:rFonts w:ascii="Arial" w:hAnsi="Arial" w:cs="Arial"/>
        </w:rPr>
        <w:t>č</w:t>
      </w:r>
      <w:r>
        <w:rPr>
          <w:rFonts w:ascii="Arial" w:hAnsi="Arial" w:cs="Arial"/>
          <w:lang w:val="sr-Cyrl-CS"/>
        </w:rPr>
        <w:t>ni 3%</w:t>
      </w:r>
      <w:r>
        <w:rPr>
          <w:rFonts w:ascii="Arial" w:hAnsi="Arial" w:cs="Arial"/>
        </w:rPr>
        <w:t xml:space="preserve"> </w:t>
      </w:r>
      <w:r w:rsidR="00B9279E" w:rsidRPr="007B37D3">
        <w:rPr>
          <w:rFonts w:ascii="Arial" w:hAnsi="Arial" w:cs="Arial"/>
          <w:lang w:val="sr-Cyrl-CS"/>
        </w:rPr>
        <w:t>a najmanju s</w:t>
      </w:r>
      <w:r w:rsidR="00B9279E" w:rsidRPr="007B37D3">
        <w:rPr>
          <w:rFonts w:ascii="Arial" w:hAnsi="Arial" w:cs="Arial"/>
        </w:rPr>
        <w:t>j</w:t>
      </w:r>
      <w:r w:rsidR="00DE2DF0">
        <w:rPr>
          <w:rFonts w:ascii="Arial" w:hAnsi="Arial" w:cs="Arial"/>
          <w:lang w:val="sr-Cyrl-CS"/>
        </w:rPr>
        <w:t>everni i južni</w:t>
      </w:r>
      <w:r w:rsidR="00DE2DF0">
        <w:rPr>
          <w:rFonts w:ascii="Arial" w:hAnsi="Arial" w:cs="Arial"/>
        </w:rPr>
        <w:t xml:space="preserve"> </w:t>
      </w:r>
      <w:r w:rsidR="00B9279E" w:rsidRPr="007B37D3">
        <w:rPr>
          <w:rFonts w:ascii="Arial" w:hAnsi="Arial" w:cs="Arial"/>
          <w:lang w:val="sr-Cyrl-CS"/>
        </w:rPr>
        <w:t>12%.</w:t>
      </w:r>
    </w:p>
    <w:p w:rsidR="00925256" w:rsidRPr="007B37D3" w:rsidRDefault="00925256" w:rsidP="00A40BDA">
      <w:pPr>
        <w:pStyle w:val="NormalWeb"/>
        <w:shd w:val="clear" w:color="auto" w:fill="FFFFFF"/>
        <w:spacing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  <w:r w:rsidRPr="007B37D3">
        <w:rPr>
          <w:rFonts w:ascii="Arial" w:hAnsi="Arial" w:cs="Arial"/>
          <w:sz w:val="22"/>
          <w:szCs w:val="22"/>
        </w:rPr>
        <w:t>Srednjo</w:t>
      </w:r>
      <w:r w:rsidR="00DE2DF0">
        <w:rPr>
          <w:rFonts w:ascii="Arial" w:hAnsi="Arial" w:cs="Arial"/>
          <w:sz w:val="22"/>
          <w:szCs w:val="22"/>
        </w:rPr>
        <w:t xml:space="preserve"> </w:t>
      </w:r>
      <w:r w:rsidRPr="007B37D3">
        <w:rPr>
          <w:rFonts w:ascii="Arial" w:hAnsi="Arial" w:cs="Arial"/>
          <w:sz w:val="22"/>
          <w:szCs w:val="22"/>
        </w:rPr>
        <w:t>mjesečne najniže temperature su u januaru (-4,5</w:t>
      </w:r>
      <w:r w:rsidRPr="007B37D3">
        <w:rPr>
          <w:rFonts w:ascii="Arial" w:hAnsi="Arial" w:cs="Arial"/>
          <w:sz w:val="22"/>
          <w:szCs w:val="22"/>
          <w:vertAlign w:val="superscript"/>
        </w:rPr>
        <w:t>0</w:t>
      </w:r>
      <w:r w:rsidRPr="007B37D3">
        <w:rPr>
          <w:rFonts w:ascii="Arial" w:hAnsi="Arial" w:cs="Arial"/>
          <w:sz w:val="22"/>
          <w:szCs w:val="22"/>
        </w:rPr>
        <w:t>C), a najviše u julu (15,5</w:t>
      </w:r>
      <w:r w:rsidRPr="007B37D3">
        <w:rPr>
          <w:rFonts w:ascii="Arial" w:hAnsi="Arial" w:cs="Arial"/>
          <w:sz w:val="22"/>
          <w:szCs w:val="22"/>
          <w:vertAlign w:val="superscript"/>
        </w:rPr>
        <w:t>0</w:t>
      </w:r>
      <w:r w:rsidRPr="007B37D3">
        <w:rPr>
          <w:rFonts w:ascii="Arial" w:hAnsi="Arial" w:cs="Arial"/>
          <w:sz w:val="22"/>
          <w:szCs w:val="22"/>
        </w:rPr>
        <w:t>C), a srednja godišnja iznosi 6,3</w:t>
      </w:r>
      <w:r w:rsidRPr="007B37D3">
        <w:rPr>
          <w:rFonts w:ascii="Arial" w:hAnsi="Arial" w:cs="Arial"/>
          <w:sz w:val="22"/>
          <w:szCs w:val="22"/>
          <w:vertAlign w:val="superscript"/>
        </w:rPr>
        <w:t>0</w:t>
      </w:r>
      <w:r w:rsidRPr="007B37D3">
        <w:rPr>
          <w:rFonts w:ascii="Arial" w:hAnsi="Arial" w:cs="Arial"/>
          <w:sz w:val="22"/>
          <w:szCs w:val="22"/>
        </w:rPr>
        <w:t>C.</w:t>
      </w:r>
    </w:p>
    <w:p w:rsidR="00925256" w:rsidRPr="007B37D3" w:rsidRDefault="00925256" w:rsidP="00A40BDA">
      <w:pPr>
        <w:pStyle w:val="NormalWeb"/>
        <w:shd w:val="clear" w:color="auto" w:fill="FFFFFF"/>
        <w:spacing w:line="276" w:lineRule="auto"/>
        <w:ind w:left="-180" w:right="-270"/>
        <w:jc w:val="both"/>
        <w:rPr>
          <w:rFonts w:ascii="Arial" w:hAnsi="Arial" w:cs="Arial"/>
          <w:sz w:val="22"/>
          <w:szCs w:val="22"/>
        </w:rPr>
      </w:pPr>
      <w:r w:rsidRPr="007B37D3">
        <w:rPr>
          <w:rFonts w:ascii="Arial" w:hAnsi="Arial" w:cs="Arial"/>
          <w:sz w:val="22"/>
          <w:szCs w:val="22"/>
        </w:rPr>
        <w:t xml:space="preserve">Sniježni pokrivač se zadržava veoma dugo, </w:t>
      </w:r>
      <w:proofErr w:type="gramStart"/>
      <w:r w:rsidRPr="007B37D3">
        <w:rPr>
          <w:rFonts w:ascii="Arial" w:hAnsi="Arial" w:cs="Arial"/>
          <w:sz w:val="22"/>
          <w:szCs w:val="22"/>
        </w:rPr>
        <w:t>od</w:t>
      </w:r>
      <w:proofErr w:type="gramEnd"/>
      <w:r w:rsidRPr="007B37D3">
        <w:rPr>
          <w:rFonts w:ascii="Arial" w:hAnsi="Arial" w:cs="Arial"/>
          <w:sz w:val="22"/>
          <w:szCs w:val="22"/>
        </w:rPr>
        <w:t xml:space="preserve"> decembra do marta u gradu i do kraja maja na Hajli i Štedimu.</w:t>
      </w:r>
    </w:p>
    <w:p w:rsidR="002E4676" w:rsidRPr="007B37D3" w:rsidRDefault="002A6F0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A85E72" w:rsidRPr="007B37D3">
        <w:rPr>
          <w:rFonts w:ascii="Arial" w:hAnsi="Arial" w:cs="Arial"/>
          <w:b/>
        </w:rPr>
        <w:t>.9</w:t>
      </w:r>
      <w:r w:rsidR="002E4676" w:rsidRPr="007B37D3">
        <w:rPr>
          <w:rFonts w:ascii="Arial" w:hAnsi="Arial" w:cs="Arial"/>
          <w:b/>
        </w:rPr>
        <w:t>. Podaci o izvršenim geološkim istraživanjima, rezervama i kvalitetu mineralne sirovine</w:t>
      </w:r>
    </w:p>
    <w:p w:rsidR="00925256" w:rsidRPr="007B37D3" w:rsidRDefault="00925256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  <w:i/>
          <w:u w:val="single"/>
        </w:rPr>
      </w:pPr>
      <w:r w:rsidRPr="007B37D3">
        <w:rPr>
          <w:rFonts w:ascii="Arial" w:hAnsi="Arial" w:cs="Arial"/>
          <w:i/>
          <w:u w:val="single"/>
        </w:rPr>
        <w:t>Geološke karakteristike</w:t>
      </w:r>
    </w:p>
    <w:p w:rsidR="00E35ABF" w:rsidRPr="007B37D3" w:rsidRDefault="00FF101B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 terenu obuhvaćenom predmet</w:t>
      </w:r>
      <w:r w:rsidR="00E35ABF" w:rsidRPr="007B37D3">
        <w:rPr>
          <w:rFonts w:ascii="Arial" w:hAnsi="Arial" w:cs="Arial"/>
        </w:rPr>
        <w:t xml:space="preserve">nom lokacijom vršena su osnovna geološka istraživanja, kroz izradu osnovne geološka karte, OGK SFRJ, 1:100 000, list “Rožaje“, a detaljna geološka istraživanja, prema </w:t>
      </w:r>
      <w:r w:rsidR="00DE2DF0">
        <w:rPr>
          <w:rFonts w:ascii="Arial" w:hAnsi="Arial" w:cs="Arial"/>
        </w:rPr>
        <w:t>raspoloživim</w:t>
      </w:r>
      <w:r w:rsidR="00053DC6" w:rsidRPr="007B37D3">
        <w:rPr>
          <w:rFonts w:ascii="Arial" w:hAnsi="Arial" w:cs="Arial"/>
        </w:rPr>
        <w:t xml:space="preserve"> podacima</w:t>
      </w:r>
      <w:r w:rsidR="002F4E89" w:rsidRPr="007B37D3">
        <w:rPr>
          <w:rFonts w:ascii="Arial" w:hAnsi="Arial" w:cs="Arial"/>
        </w:rPr>
        <w:t>, na ovom prostoru nisu izvođen</w:t>
      </w:r>
      <w:r w:rsidR="00E35ABF" w:rsidRPr="007B37D3">
        <w:rPr>
          <w:rFonts w:ascii="Arial" w:hAnsi="Arial" w:cs="Arial"/>
        </w:rPr>
        <w:t>a.</w:t>
      </w:r>
    </w:p>
    <w:p w:rsidR="00053DC6" w:rsidRPr="007B37D3" w:rsidRDefault="00053DC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Prema podacima iz raspo</w:t>
      </w:r>
      <w:r w:rsidR="00FF101B" w:rsidRPr="007B37D3">
        <w:rPr>
          <w:rFonts w:ascii="Arial" w:hAnsi="Arial" w:cs="Arial"/>
        </w:rPr>
        <w:t>ložive dokumentacije, područje pojave</w:t>
      </w:r>
      <w:r w:rsidRPr="007B37D3">
        <w:rPr>
          <w:rFonts w:ascii="Arial" w:hAnsi="Arial" w:cs="Arial"/>
        </w:rPr>
        <w:t xml:space="preserve"> “Pogled</w:t>
      </w:r>
      <w:proofErr w:type="gramStart"/>
      <w:r w:rsidRPr="007B37D3">
        <w:rPr>
          <w:rFonts w:ascii="Arial" w:hAnsi="Arial" w:cs="Arial"/>
        </w:rPr>
        <w:t>“ nije</w:t>
      </w:r>
      <w:proofErr w:type="gramEnd"/>
      <w:r w:rsidRPr="007B37D3">
        <w:rPr>
          <w:rFonts w:ascii="Arial" w:hAnsi="Arial" w:cs="Arial"/>
        </w:rPr>
        <w:t xml:space="preserve"> do sada istraživano, kada su u pitanja namjenska ispitivanja ove mineralne sirovine. </w:t>
      </w:r>
    </w:p>
    <w:p w:rsidR="00925256" w:rsidRPr="007B37D3" w:rsidRDefault="00E35ABF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Prema osnovnoj geološkoj karti šireg prostora u</w:t>
      </w:r>
      <w:r w:rsidR="00925256" w:rsidRPr="007B37D3">
        <w:rPr>
          <w:rFonts w:ascii="Arial" w:hAnsi="Arial" w:cs="Arial"/>
        </w:rPr>
        <w:t>že područje lokaliteta “Pogled</w:t>
      </w:r>
      <w:proofErr w:type="gramStart"/>
      <w:r w:rsidR="00925256" w:rsidRPr="007B37D3">
        <w:rPr>
          <w:rFonts w:ascii="Arial" w:hAnsi="Arial" w:cs="Arial"/>
        </w:rPr>
        <w:t>“ i</w:t>
      </w:r>
      <w:proofErr w:type="gramEnd"/>
      <w:r w:rsidR="00925256" w:rsidRPr="007B37D3">
        <w:rPr>
          <w:rFonts w:ascii="Arial" w:hAnsi="Arial" w:cs="Arial"/>
        </w:rPr>
        <w:t xml:space="preserve"> sam</w:t>
      </w:r>
      <w:r w:rsidR="00FF101B" w:rsidRPr="007B37D3">
        <w:rPr>
          <w:rFonts w:ascii="Arial" w:hAnsi="Arial" w:cs="Arial"/>
        </w:rPr>
        <w:t xml:space="preserve">u </w:t>
      </w:r>
      <w:r w:rsidR="00925256" w:rsidRPr="007B37D3">
        <w:rPr>
          <w:rFonts w:ascii="Arial" w:hAnsi="Arial" w:cs="Arial"/>
        </w:rPr>
        <w:t>loka</w:t>
      </w:r>
      <w:r w:rsidR="00FF101B" w:rsidRPr="007B37D3">
        <w:rPr>
          <w:rFonts w:ascii="Arial" w:hAnsi="Arial" w:cs="Arial"/>
        </w:rPr>
        <w:t>ciju</w:t>
      </w:r>
      <w:r w:rsidR="00925256" w:rsidRPr="007B37D3">
        <w:rPr>
          <w:rFonts w:ascii="Arial" w:hAnsi="Arial" w:cs="Arial"/>
        </w:rPr>
        <w:t xml:space="preserve"> izgrađuju karbonatne sedimentne stijene srednjeg trijasa - ladinika (T</w:t>
      </w:r>
      <w:r w:rsidR="00925256" w:rsidRPr="007B37D3">
        <w:rPr>
          <w:rFonts w:ascii="Arial" w:hAnsi="Arial" w:cs="Arial"/>
          <w:vertAlign w:val="subscript"/>
        </w:rPr>
        <w:t>2</w:t>
      </w:r>
      <w:r w:rsidR="00925256" w:rsidRPr="007B37D3">
        <w:rPr>
          <w:rFonts w:ascii="Arial" w:hAnsi="Arial" w:cs="Arial"/>
          <w:vertAlign w:val="superscript"/>
        </w:rPr>
        <w:t>2</w:t>
      </w:r>
      <w:r w:rsidR="00925256" w:rsidRPr="007B37D3">
        <w:rPr>
          <w:rFonts w:ascii="Arial" w:hAnsi="Arial" w:cs="Arial"/>
        </w:rPr>
        <w:t xml:space="preserve">). </w:t>
      </w:r>
      <w:r w:rsidR="00FF101B" w:rsidRPr="007B37D3">
        <w:rPr>
          <w:rFonts w:ascii="Arial" w:hAnsi="Arial" w:cs="Arial"/>
        </w:rPr>
        <w:t xml:space="preserve">Karbonatni sediment su </w:t>
      </w:r>
      <w:r w:rsidR="00925256" w:rsidRPr="007B37D3">
        <w:rPr>
          <w:rFonts w:ascii="Arial" w:hAnsi="Arial" w:cs="Arial"/>
        </w:rPr>
        <w:t xml:space="preserve">predstavljeni tamnosivim do sivim stratifikovanim prekristalisalim krečnjacima, koji su ispresjecani kalcitskim žicama. Generalno ovi krečnjaci padaju prema jugoistoku pod uglom </w:t>
      </w:r>
      <w:proofErr w:type="gramStart"/>
      <w:r w:rsidR="00925256" w:rsidRPr="007B37D3">
        <w:rPr>
          <w:rFonts w:ascii="Arial" w:hAnsi="Arial" w:cs="Arial"/>
        </w:rPr>
        <w:t>od</w:t>
      </w:r>
      <w:proofErr w:type="gramEnd"/>
      <w:r w:rsidR="00925256" w:rsidRPr="007B37D3">
        <w:rPr>
          <w:rFonts w:ascii="Arial" w:hAnsi="Arial" w:cs="Arial"/>
        </w:rPr>
        <w:t xml:space="preserve"> 15 do 30</w:t>
      </w:r>
      <w:r w:rsidR="00925256" w:rsidRPr="007B37D3">
        <w:rPr>
          <w:rFonts w:ascii="Arial" w:hAnsi="Arial" w:cs="Arial"/>
          <w:vertAlign w:val="superscript"/>
        </w:rPr>
        <w:t>0</w:t>
      </w:r>
      <w:r w:rsidR="00925256" w:rsidRPr="007B37D3">
        <w:rPr>
          <w:rFonts w:ascii="Arial" w:hAnsi="Arial" w:cs="Arial"/>
        </w:rPr>
        <w:t xml:space="preserve">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lastRenderedPageBreak/>
        <w:t>Uglavnom su to debelobankoviti</w:t>
      </w:r>
      <w:r w:rsidR="00FF101B" w:rsidRPr="007B37D3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sivi krečnjaci koji imaju slabo izražene međuslojne površine i koji se smjenjuju </w:t>
      </w:r>
      <w:proofErr w:type="gramStart"/>
      <w:r w:rsidRPr="007B37D3">
        <w:rPr>
          <w:rFonts w:ascii="Arial" w:hAnsi="Arial" w:cs="Arial"/>
        </w:rPr>
        <w:t>ili</w:t>
      </w:r>
      <w:proofErr w:type="gramEnd"/>
      <w:r w:rsidRPr="007B37D3">
        <w:rPr>
          <w:rFonts w:ascii="Arial" w:hAnsi="Arial" w:cs="Arial"/>
        </w:rPr>
        <w:t xml:space="preserve"> prelaze u masivne krečnjake svjetlosive i sive boje, u nekim djelovima i rumenkastosive. Rumenkasti krečnjaci redovno sadrže mugle, konkrecije, žilice i nepravilna nagomilanja, u vidu zapuna, crvenog do crveno-žutog laporovito-karbonatno-gvožđevitog materiijala, koji im daje brečast izgled.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Krečnjaci su, uglavnom, mikritskog tipa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mikritskom osnovom, dok se sparit i mikrosparit redovno javljaju u gnijezdima, žilicama i prslinama, a ponekad potiskuju mikrit i izgrađuju veće zone u stijeni. Struktura im je mikro do sitnokristalasta. Često su prekristalisali i tektonizirani - zdruzgani, kada se uočava mermerisanje i brojne žilice kalcita, a u djelovima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više sistema prslina i pukotina, zaprljani su humusnim i gvožđevitim (limonitisanim) zemljastim materijalom.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  <w:i/>
          <w:u w:val="single"/>
        </w:rPr>
      </w:pPr>
      <w:r w:rsidRPr="007B37D3">
        <w:rPr>
          <w:rFonts w:ascii="Arial" w:hAnsi="Arial" w:cs="Arial"/>
          <w:i/>
          <w:u w:val="single"/>
        </w:rPr>
        <w:t>Rezerve mineralne sirovine</w:t>
      </w:r>
    </w:p>
    <w:p w:rsidR="00925256" w:rsidRPr="007B37D3" w:rsidRDefault="00053DC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S obzirom da ni</w:t>
      </w:r>
      <w:r w:rsidR="00925256" w:rsidRPr="007B37D3">
        <w:rPr>
          <w:rFonts w:ascii="Arial" w:hAnsi="Arial" w:cs="Arial"/>
        </w:rPr>
        <w:t xml:space="preserve">su vršena detaljna geološka istraživanja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ovom prostoru</w:t>
      </w:r>
      <w:r w:rsidR="00925256" w:rsidRPr="007B37D3">
        <w:rPr>
          <w:rFonts w:ascii="Arial" w:hAnsi="Arial" w:cs="Arial"/>
        </w:rPr>
        <w:t xml:space="preserve">, </w:t>
      </w:r>
      <w:r w:rsidRPr="007B37D3">
        <w:rPr>
          <w:rFonts w:ascii="Arial" w:hAnsi="Arial" w:cs="Arial"/>
        </w:rPr>
        <w:t>nema</w:t>
      </w:r>
      <w:r w:rsidR="00925256" w:rsidRPr="007B37D3">
        <w:rPr>
          <w:rFonts w:ascii="Arial" w:hAnsi="Arial" w:cs="Arial"/>
        </w:rPr>
        <w:t xml:space="preserve"> podataka o rezervama i kvalitetu </w:t>
      </w:r>
      <w:r w:rsidRPr="007B37D3">
        <w:rPr>
          <w:rFonts w:ascii="Arial" w:hAnsi="Arial" w:cs="Arial"/>
        </w:rPr>
        <w:t>tehničko-građevinskog kamena</w:t>
      </w:r>
      <w:r w:rsidR="00925256" w:rsidRPr="007B37D3">
        <w:rPr>
          <w:rFonts w:ascii="Arial" w:hAnsi="Arial" w:cs="Arial"/>
        </w:rPr>
        <w:t xml:space="preserve">. Može se konstatovati, </w:t>
      </w:r>
      <w:proofErr w:type="gramStart"/>
      <w:r w:rsidR="00925256" w:rsidRPr="007B37D3">
        <w:rPr>
          <w:rFonts w:ascii="Arial" w:hAnsi="Arial" w:cs="Arial"/>
        </w:rPr>
        <w:t>na</w:t>
      </w:r>
      <w:proofErr w:type="gramEnd"/>
      <w:r w:rsidR="00925256" w:rsidRPr="007B37D3">
        <w:rPr>
          <w:rFonts w:ascii="Arial" w:hAnsi="Arial" w:cs="Arial"/>
        </w:rPr>
        <w:t xml:space="preserve"> osnovu raspoloživih podataka, da se predmetna lokacija nalazi na povoljnom terenu sa aspekta geoloških faktora, a zbog svojih prirodnih karakteristika, može se smatrati kao teren povoljan za detaljna geološka istraživanja i eksploataciju tehničko-građevinskog kamena.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Na bazi izvršene procjene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="00ED1607">
        <w:rPr>
          <w:rFonts w:ascii="Arial" w:hAnsi="Arial" w:cs="Arial"/>
        </w:rPr>
        <w:t xml:space="preserve"> </w:t>
      </w:r>
      <w:r w:rsidR="00FF101B" w:rsidRPr="007B37D3">
        <w:rPr>
          <w:rFonts w:ascii="Arial" w:hAnsi="Arial" w:cs="Arial"/>
        </w:rPr>
        <w:t>pojavi</w:t>
      </w:r>
      <w:r w:rsidRPr="007B37D3">
        <w:rPr>
          <w:rFonts w:ascii="Arial" w:hAnsi="Arial" w:cs="Arial"/>
        </w:rPr>
        <w:t xml:space="preserve"> “Pogled”, uzimajući u obzir površinu prostora i morfološke karakteristike, potencijalne geološke rezerve tehničko-građevinskog kamena procijenjene su na 6.000.000 m</w:t>
      </w:r>
      <w:r w:rsidRPr="007B37D3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  <w:i/>
          <w:u w:val="single"/>
        </w:rPr>
      </w:pPr>
      <w:r w:rsidRPr="007B37D3">
        <w:rPr>
          <w:rFonts w:ascii="Arial" w:hAnsi="Arial" w:cs="Arial"/>
          <w:i/>
          <w:u w:val="single"/>
        </w:rPr>
        <w:t>Kvalitet mineralne sirovine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Nema podataka o kvalitativnim svojstvima mineralne sirovine. Da bi se dostigao optimalni stepen poznavanja ležišta u smislu rezervi i kvaliteta, ležišnih uslova i u vezi sa tim mogućnosti primjene i plasmana na tržištu, potrebno je izvršiti detaljna geološka istraživanja na način i u obimu koji će se definisati Projektom detaljnih geoloških istraživanja. </w:t>
      </w:r>
    </w:p>
    <w:p w:rsidR="00925256" w:rsidRPr="007B37D3" w:rsidRDefault="00925256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Izradom Elaborata o klasifikaciji, kategorizaciji i proračunu rezervi tehničko-građevinskog kamena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ležištu „Pogled“, nakon sprovedenih detaljnih geoloških istraživanja, dobiće se podaci o rezervama i kvalitetu predmetne mineralne sirovine.</w:t>
      </w:r>
    </w:p>
    <w:p w:rsidR="00BE7CF9" w:rsidRDefault="00D6597A" w:rsidP="00A40BDA">
      <w:pPr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Na predmetnom lokalitetu nisu vršena detaljna geološka istraživanja i </w:t>
      </w:r>
      <w:proofErr w:type="gramStart"/>
      <w:r w:rsidRPr="007B37D3">
        <w:rPr>
          <w:rFonts w:ascii="Arial" w:hAnsi="Arial" w:cs="Arial"/>
        </w:rPr>
        <w:t>n</w:t>
      </w:r>
      <w:r w:rsidRPr="00ED1607">
        <w:rPr>
          <w:rFonts w:ascii="Arial" w:hAnsi="Arial" w:cs="Arial"/>
        </w:rPr>
        <w:t>a</w:t>
      </w:r>
      <w:proofErr w:type="gramEnd"/>
      <w:r w:rsidRPr="00ED1607">
        <w:rPr>
          <w:rFonts w:ascii="Arial" w:hAnsi="Arial" w:cs="Arial"/>
        </w:rPr>
        <w:t xml:space="preserve"> osnovu analogije sa ležištima tehničko-građevinskog kamena sličnih geoloških kar</w:t>
      </w:r>
      <w:r w:rsidR="004C0CE3">
        <w:rPr>
          <w:rFonts w:ascii="Arial" w:hAnsi="Arial" w:cs="Arial"/>
        </w:rPr>
        <w:t>akteristika, očekuje se da se kr</w:t>
      </w:r>
      <w:r w:rsidRPr="00ED1607">
        <w:rPr>
          <w:rFonts w:ascii="Arial" w:hAnsi="Arial" w:cs="Arial"/>
        </w:rPr>
        <w:t>ečnjak sa ovog lokaliteta može koristiti kao tehničko-građevinski kamen.</w:t>
      </w:r>
    </w:p>
    <w:p w:rsidR="00DB3C82" w:rsidRDefault="00DB3C82" w:rsidP="00A40BDA">
      <w:pPr>
        <w:ind w:left="-180" w:right="-270"/>
        <w:jc w:val="both"/>
        <w:rPr>
          <w:rFonts w:ascii="Arial" w:hAnsi="Arial" w:cs="Arial"/>
        </w:rPr>
      </w:pPr>
    </w:p>
    <w:p w:rsidR="00DB3C82" w:rsidRDefault="00DB3C82" w:rsidP="00A40BDA">
      <w:pPr>
        <w:ind w:left="-180" w:right="-270"/>
        <w:jc w:val="both"/>
        <w:rPr>
          <w:rFonts w:ascii="Arial" w:hAnsi="Arial" w:cs="Arial"/>
        </w:rPr>
      </w:pPr>
    </w:p>
    <w:p w:rsidR="00DB3C82" w:rsidRDefault="00DB3C82" w:rsidP="00A40BDA">
      <w:pPr>
        <w:ind w:left="-180" w:right="-270"/>
        <w:jc w:val="both"/>
        <w:rPr>
          <w:rFonts w:ascii="Arial" w:hAnsi="Arial" w:cs="Arial"/>
        </w:rPr>
      </w:pPr>
    </w:p>
    <w:p w:rsidR="00DB3C82" w:rsidRDefault="00DB3C82" w:rsidP="00A40BDA">
      <w:pPr>
        <w:ind w:left="-180" w:right="-270"/>
        <w:jc w:val="both"/>
        <w:rPr>
          <w:rFonts w:ascii="Arial" w:hAnsi="Arial" w:cs="Arial"/>
        </w:rPr>
      </w:pPr>
    </w:p>
    <w:p w:rsidR="00DB3C82" w:rsidRPr="007B37D3" w:rsidRDefault="00DB3C82" w:rsidP="00A40BDA">
      <w:pPr>
        <w:ind w:left="-180" w:right="-270"/>
        <w:jc w:val="both"/>
        <w:rPr>
          <w:rFonts w:ascii="Arial" w:hAnsi="Arial" w:cs="Arial"/>
        </w:rPr>
      </w:pPr>
    </w:p>
    <w:p w:rsidR="002E4676" w:rsidRPr="007B37D3" w:rsidRDefault="002A6F0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2E4676" w:rsidRPr="007B37D3">
        <w:rPr>
          <w:rFonts w:ascii="Arial" w:hAnsi="Arial" w:cs="Arial"/>
          <w:b/>
        </w:rPr>
        <w:t>. ROK TRAJANJA KONCESIJE</w:t>
      </w:r>
    </w:p>
    <w:p w:rsidR="00A85E72" w:rsidRPr="007B37D3" w:rsidRDefault="00A85E72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A85E72" w:rsidRPr="007B37D3" w:rsidRDefault="00A85E7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Rok trajanja eksploatacije mineralne sirovine (vijek eksploatacije) zavisi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utvrđenih rezervi istih, godiš</w:t>
      </w:r>
      <w:r w:rsidR="00B56F6A">
        <w:rPr>
          <w:rFonts w:ascii="Arial" w:hAnsi="Arial" w:cs="Arial"/>
        </w:rPr>
        <w:t>njeg kapaciteta eksploatacije, od zahtjeva tržišta, kao i od roka važenja planske dokumentacije.</w:t>
      </w:r>
    </w:p>
    <w:p w:rsidR="00A85E72" w:rsidRPr="007B37D3" w:rsidRDefault="00ED1607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 obzirom </w:t>
      </w:r>
      <w:r>
        <w:rPr>
          <w:rFonts w:ascii="Arial" w:hAnsi="Arial" w:cs="Arial"/>
        </w:rPr>
        <w:t xml:space="preserve">da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</w:t>
      </w:r>
      <w:r w:rsidR="00A85E72" w:rsidRPr="007B37D3">
        <w:rPr>
          <w:rFonts w:ascii="Arial" w:hAnsi="Arial" w:cs="Arial"/>
        </w:rPr>
        <w:t>prostoru pojave tehničko-</w:t>
      </w:r>
      <w:r w:rsidR="00925256" w:rsidRPr="007B37D3">
        <w:rPr>
          <w:rFonts w:ascii="Arial" w:hAnsi="Arial" w:cs="Arial"/>
        </w:rPr>
        <w:t>građevinskog kamena “Pogled</w:t>
      </w:r>
      <w:r w:rsidR="00FF101B" w:rsidRPr="007B37D3">
        <w:rPr>
          <w:rFonts w:ascii="Arial" w:hAnsi="Arial" w:cs="Arial"/>
        </w:rPr>
        <w:t>” ni</w:t>
      </w:r>
      <w:r w:rsidR="00B56F6A">
        <w:rPr>
          <w:rFonts w:ascii="Arial" w:hAnsi="Arial" w:cs="Arial"/>
        </w:rPr>
        <w:t>je</w:t>
      </w:r>
      <w:r w:rsidR="00A85E72" w:rsidRPr="007B37D3">
        <w:rPr>
          <w:rFonts w:ascii="Arial" w:hAnsi="Arial" w:cs="Arial"/>
        </w:rPr>
        <w:t xml:space="preserve">su vršena </w:t>
      </w:r>
      <w:r>
        <w:rPr>
          <w:rFonts w:ascii="Arial" w:hAnsi="Arial" w:cs="Arial"/>
        </w:rPr>
        <w:t xml:space="preserve">detaljna geološka istraživanja </w:t>
      </w:r>
      <w:r w:rsidR="00A85E72" w:rsidRPr="007B37D3">
        <w:rPr>
          <w:rFonts w:ascii="Arial" w:hAnsi="Arial" w:cs="Arial"/>
        </w:rPr>
        <w:t>mogu se samo procijeniti pro</w:t>
      </w:r>
      <w:r w:rsidR="00925256" w:rsidRPr="007B37D3">
        <w:rPr>
          <w:rFonts w:ascii="Arial" w:hAnsi="Arial" w:cs="Arial"/>
        </w:rPr>
        <w:t>gnozne rezerve koje iznose oko 6</w:t>
      </w:r>
      <w:r w:rsidR="00D620F2" w:rsidRPr="007B37D3">
        <w:rPr>
          <w:rFonts w:ascii="Arial" w:hAnsi="Arial" w:cs="Arial"/>
        </w:rPr>
        <w:t>.0</w:t>
      </w:r>
      <w:r w:rsidR="00A85E72" w:rsidRPr="007B37D3">
        <w:rPr>
          <w:rFonts w:ascii="Arial" w:hAnsi="Arial" w:cs="Arial"/>
        </w:rPr>
        <w:t xml:space="preserve">00.000 </w:t>
      </w:r>
      <w:r w:rsidR="00A85E72" w:rsidRPr="00ED1607">
        <w:rPr>
          <w:rFonts w:ascii="Arial" w:hAnsi="Arial" w:cs="Arial"/>
        </w:rPr>
        <w:t>m</w:t>
      </w:r>
      <w:r w:rsidR="00A85E72" w:rsidRPr="00ED1607">
        <w:rPr>
          <w:rFonts w:ascii="Arial" w:hAnsi="Arial" w:cs="Arial"/>
          <w:vertAlign w:val="superscript"/>
        </w:rPr>
        <w:t>3</w:t>
      </w:r>
      <w:r w:rsidR="00A85E72" w:rsidRPr="007B37D3">
        <w:rPr>
          <w:rFonts w:ascii="Arial" w:hAnsi="Arial" w:cs="Arial"/>
        </w:rPr>
        <w:t xml:space="preserve"> č.s.m.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Za optimalno poznavanje ležišta</w:t>
      </w:r>
      <w:r w:rsidR="00FF101B" w:rsidRPr="007B37D3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u smislu utvrđenih rezervi viših kategorija, njihovog kvaliteta, ležišnih uslova, a u vezi sa tim i mogućnost primjene i plasmana na tržište, budući Koncesinar je dužan da izvede detaljna geološka istraživanja na istražno-eskploatacionom prostoru „</w:t>
      </w:r>
      <w:r w:rsidR="00925256" w:rsidRPr="007B37D3">
        <w:rPr>
          <w:rFonts w:ascii="Arial" w:hAnsi="Arial" w:cs="Arial"/>
        </w:rPr>
        <w:t>Pogled</w:t>
      </w:r>
      <w:r w:rsidRPr="007B37D3">
        <w:rPr>
          <w:rFonts w:ascii="Arial" w:hAnsi="Arial" w:cs="Arial"/>
        </w:rPr>
        <w:t>“ i da rezultate sprovedenih istraživanja prikaže u Elaboratu o klasifikaciji, kategorizaciji i proračunu rezervi tehničko-građevin</w:t>
      </w:r>
      <w:r w:rsidR="00D620F2" w:rsidRPr="007B37D3">
        <w:rPr>
          <w:rFonts w:ascii="Arial" w:hAnsi="Arial" w:cs="Arial"/>
        </w:rPr>
        <w:t>skog kamena ležišta</w:t>
      </w:r>
      <w:r w:rsidR="00925256" w:rsidRPr="007B37D3">
        <w:rPr>
          <w:rFonts w:ascii="Arial" w:hAnsi="Arial" w:cs="Arial"/>
        </w:rPr>
        <w:t xml:space="preserve"> „Pogled</w:t>
      </w:r>
      <w:r w:rsidRPr="007B37D3">
        <w:rPr>
          <w:rFonts w:ascii="Arial" w:hAnsi="Arial" w:cs="Arial"/>
        </w:rPr>
        <w:t>“.</w:t>
      </w: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Geološki istražni proces (izrada i revizija Projekta detaljnih geoloških istraživanja, izvođenje istražnih radova po istom i izrada Elaborata o klasifikaciji, kategorizaciji i proračunu rezervi tehničko-građevin</w:t>
      </w:r>
      <w:r w:rsidR="00925256" w:rsidRPr="007B37D3">
        <w:rPr>
          <w:rFonts w:ascii="Arial" w:hAnsi="Arial" w:cs="Arial"/>
        </w:rPr>
        <w:t>skog kamena ležišta „Pogled</w:t>
      </w:r>
      <w:r w:rsidRPr="007B37D3">
        <w:rPr>
          <w:rFonts w:ascii="Arial" w:hAnsi="Arial" w:cs="Arial"/>
        </w:rPr>
        <w:t xml:space="preserve">“) budući Koncesionar </w:t>
      </w:r>
      <w:proofErr w:type="gramStart"/>
      <w:r w:rsidRPr="007B37D3">
        <w:rPr>
          <w:rFonts w:ascii="Arial" w:hAnsi="Arial" w:cs="Arial"/>
        </w:rPr>
        <w:t>će</w:t>
      </w:r>
      <w:proofErr w:type="gramEnd"/>
      <w:r w:rsidRPr="007B37D3">
        <w:rPr>
          <w:rFonts w:ascii="Arial" w:hAnsi="Arial" w:cs="Arial"/>
        </w:rPr>
        <w:t xml:space="preserve"> uraditi u roku od </w:t>
      </w:r>
      <w:r w:rsidR="00FF101B" w:rsidRPr="007B37D3">
        <w:rPr>
          <w:rFonts w:ascii="Arial" w:hAnsi="Arial" w:cs="Arial"/>
        </w:rPr>
        <w:t>pola</w:t>
      </w:r>
      <w:r w:rsidRPr="007B37D3">
        <w:rPr>
          <w:rFonts w:ascii="Arial" w:hAnsi="Arial" w:cs="Arial"/>
        </w:rPr>
        <w:t xml:space="preserve"> godine od dana zaključenja Ugovora o koncesiji.</w:t>
      </w: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Kako je već naprijed navedeno,</w:t>
      </w:r>
      <w:r w:rsidR="00ED1607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na os</w:t>
      </w:r>
      <w:r w:rsidR="00925256" w:rsidRPr="007B37D3">
        <w:rPr>
          <w:rFonts w:ascii="Arial" w:hAnsi="Arial" w:cs="Arial"/>
        </w:rPr>
        <w:t>novu prognoznih rezervi od oko 6</w:t>
      </w:r>
      <w:r w:rsidR="00D620F2" w:rsidRPr="007B37D3">
        <w:rPr>
          <w:rFonts w:ascii="Arial" w:hAnsi="Arial" w:cs="Arial"/>
        </w:rPr>
        <w:t>.0</w:t>
      </w:r>
      <w:r w:rsidRPr="007B37D3">
        <w:rPr>
          <w:rFonts w:ascii="Arial" w:hAnsi="Arial" w:cs="Arial"/>
        </w:rPr>
        <w:t>00.000 m</w:t>
      </w:r>
      <w:r w:rsidRPr="00ED1607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č.s.m., uz iskorišćenje od 90 %, </w:t>
      </w:r>
      <w:r w:rsidR="00ED1607">
        <w:rPr>
          <w:rFonts w:ascii="Arial" w:hAnsi="Arial" w:cs="Arial"/>
        </w:rPr>
        <w:t>prognozne</w:t>
      </w:r>
      <w:r w:rsidRPr="007B37D3">
        <w:rPr>
          <w:rFonts w:ascii="Arial" w:hAnsi="Arial" w:cs="Arial"/>
        </w:rPr>
        <w:t xml:space="preserve"> eksp</w:t>
      </w:r>
      <w:r w:rsidR="00925256" w:rsidRPr="007B37D3">
        <w:rPr>
          <w:rFonts w:ascii="Arial" w:hAnsi="Arial" w:cs="Arial"/>
        </w:rPr>
        <w:t>loatacione rezerve bi bile oko 5.4</w:t>
      </w:r>
      <w:r w:rsidR="00D620F2" w:rsidRPr="007B37D3">
        <w:rPr>
          <w:rFonts w:ascii="Arial" w:hAnsi="Arial" w:cs="Arial"/>
        </w:rPr>
        <w:t>00</w:t>
      </w:r>
      <w:r w:rsidRPr="007B37D3">
        <w:rPr>
          <w:rFonts w:ascii="Arial" w:hAnsi="Arial" w:cs="Arial"/>
        </w:rPr>
        <w:t>.000 m</w:t>
      </w:r>
      <w:r w:rsidRPr="00ED1607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č.s.m. i na osnovu proizvodnje od 20.000 m</w:t>
      </w:r>
      <w:r w:rsidRPr="00ED1607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č.s.m. na godiš</w:t>
      </w:r>
      <w:r w:rsidR="00925256" w:rsidRPr="007B37D3">
        <w:rPr>
          <w:rFonts w:ascii="Arial" w:hAnsi="Arial" w:cs="Arial"/>
        </w:rPr>
        <w:t>njem nivou, ležište „Pogled</w:t>
      </w:r>
      <w:r w:rsidRPr="007B37D3">
        <w:rPr>
          <w:rFonts w:ascii="Arial" w:hAnsi="Arial" w:cs="Arial"/>
        </w:rPr>
        <w:t xml:space="preserve">“ imalo </w:t>
      </w:r>
      <w:r w:rsidR="009C0BB5" w:rsidRPr="007B37D3">
        <w:rPr>
          <w:rFonts w:ascii="Arial" w:hAnsi="Arial" w:cs="Arial"/>
        </w:rPr>
        <w:t>b</w:t>
      </w:r>
      <w:r w:rsidR="00925256" w:rsidRPr="007B37D3">
        <w:rPr>
          <w:rFonts w:ascii="Arial" w:hAnsi="Arial" w:cs="Arial"/>
        </w:rPr>
        <w:t>i vijek eksploatacije od oko 270</w:t>
      </w:r>
      <w:r w:rsidRPr="007B37D3">
        <w:rPr>
          <w:rFonts w:ascii="Arial" w:hAnsi="Arial" w:cs="Arial"/>
        </w:rPr>
        <w:t xml:space="preserve"> godina.</w:t>
      </w:r>
    </w:p>
    <w:p w:rsidR="00A85E72" w:rsidRPr="007B37D3" w:rsidRDefault="00A85E7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A162F1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U skladu </w:t>
      </w:r>
      <w:r w:rsidR="00BE7CF9" w:rsidRPr="007B37D3">
        <w:rPr>
          <w:rFonts w:ascii="Arial" w:hAnsi="Arial" w:cs="Arial"/>
        </w:rPr>
        <w:t>sa Odlukom o donošenju Lokalne studije lokacije „Pogled</w:t>
      </w:r>
      <w:proofErr w:type="gramStart"/>
      <w:r w:rsidR="00BE7CF9" w:rsidRPr="007B37D3">
        <w:rPr>
          <w:rFonts w:ascii="Arial" w:hAnsi="Arial" w:cs="Arial"/>
        </w:rPr>
        <w:t>“ i</w:t>
      </w:r>
      <w:proofErr w:type="gramEnd"/>
      <w:r w:rsidR="00BE7CF9" w:rsidRPr="007B37D3">
        <w:rPr>
          <w:rFonts w:ascii="Arial" w:hAnsi="Arial" w:cs="Arial"/>
        </w:rPr>
        <w:t xml:space="preserve"> plana za period od</w:t>
      </w:r>
      <w:r w:rsidR="00BE7CF9" w:rsidRPr="00F3209C">
        <w:rPr>
          <w:rFonts w:ascii="Arial" w:hAnsi="Arial" w:cs="Arial"/>
        </w:rPr>
        <w:t xml:space="preserve"> 5 (pet) godina), </w:t>
      </w:r>
      <w:r w:rsidRPr="007B37D3">
        <w:rPr>
          <w:rFonts w:ascii="Arial" w:hAnsi="Arial" w:cs="Arial"/>
        </w:rPr>
        <w:t>k</w:t>
      </w:r>
      <w:r w:rsidR="00D620F2" w:rsidRPr="007B37D3">
        <w:rPr>
          <w:rFonts w:ascii="Arial" w:hAnsi="Arial" w:cs="Arial"/>
        </w:rPr>
        <w:t>oncesija za detaljna geološka istraživanja i ekspl</w:t>
      </w:r>
      <w:r w:rsidRPr="007B37D3">
        <w:rPr>
          <w:rFonts w:ascii="Arial" w:hAnsi="Arial" w:cs="Arial"/>
        </w:rPr>
        <w:t xml:space="preserve">oataciju daje se na period </w:t>
      </w:r>
      <w:r w:rsidR="00925256" w:rsidRPr="007B37D3">
        <w:rPr>
          <w:rFonts w:ascii="Arial" w:hAnsi="Arial" w:cs="Arial"/>
        </w:rPr>
        <w:t xml:space="preserve">od </w:t>
      </w:r>
      <w:r w:rsidR="00BE7CF9" w:rsidRPr="007B37D3">
        <w:rPr>
          <w:rFonts w:ascii="Arial" w:hAnsi="Arial" w:cs="Arial"/>
        </w:rPr>
        <w:t>5</w:t>
      </w:r>
      <w:r w:rsidRPr="007B37D3">
        <w:rPr>
          <w:rFonts w:ascii="Arial" w:hAnsi="Arial" w:cs="Arial"/>
        </w:rPr>
        <w:t xml:space="preserve"> godina</w:t>
      </w:r>
      <w:r w:rsidR="00D620F2" w:rsidRPr="007B37D3">
        <w:rPr>
          <w:rFonts w:ascii="Arial" w:hAnsi="Arial" w:cs="Arial"/>
        </w:rPr>
        <w:t>, i to:</w:t>
      </w:r>
    </w:p>
    <w:p w:rsidR="00D620F2" w:rsidRPr="00ED1607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643751" w:rsidP="006579E2">
      <w:pPr>
        <w:pStyle w:val="ListParagraph"/>
        <w:numPr>
          <w:ilvl w:val="0"/>
          <w:numId w:val="1"/>
        </w:numPr>
        <w:spacing w:after="0"/>
        <w:ind w:left="-180" w:right="-27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6 (šest) mjeseci</w:t>
      </w:r>
      <w:r w:rsidR="00D620F2" w:rsidRPr="007B37D3">
        <w:rPr>
          <w:rFonts w:ascii="Arial" w:hAnsi="Arial" w:cs="Arial"/>
        </w:rPr>
        <w:t xml:space="preserve"> za detaljna geološka istraživanja,</w:t>
      </w:r>
    </w:p>
    <w:p w:rsidR="006579E2" w:rsidRDefault="00643751" w:rsidP="006579E2">
      <w:pPr>
        <w:pStyle w:val="ListParagraph"/>
        <w:numPr>
          <w:ilvl w:val="0"/>
          <w:numId w:val="1"/>
        </w:numPr>
        <w:spacing w:after="0"/>
        <w:ind w:left="-180" w:right="-27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6 (šest) mjeseci</w:t>
      </w:r>
      <w:r w:rsidR="00D620F2" w:rsidRPr="007B37D3">
        <w:rPr>
          <w:rFonts w:ascii="Arial" w:hAnsi="Arial" w:cs="Arial"/>
        </w:rPr>
        <w:t xml:space="preserve"> za: izradu rudarske dokumentacije, pribavljanja odobrenja, saglasnosti i dozvola za </w:t>
      </w:r>
      <w:r w:rsidR="006579E2">
        <w:rPr>
          <w:rFonts w:ascii="Arial" w:hAnsi="Arial" w:cs="Arial"/>
        </w:rPr>
        <w:t xml:space="preserve">  </w:t>
      </w:r>
    </w:p>
    <w:p w:rsidR="006579E2" w:rsidRDefault="006579E2" w:rsidP="006579E2">
      <w:pPr>
        <w:pStyle w:val="ListParagraph"/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D620F2" w:rsidRPr="007B37D3">
        <w:rPr>
          <w:rFonts w:ascii="Arial" w:hAnsi="Arial" w:cs="Arial"/>
        </w:rPr>
        <w:t>izvođenje</w:t>
      </w:r>
      <w:proofErr w:type="gramEnd"/>
      <w:r w:rsidR="00D620F2" w:rsidRPr="007B37D3">
        <w:rPr>
          <w:rFonts w:ascii="Arial" w:hAnsi="Arial" w:cs="Arial"/>
        </w:rPr>
        <w:t xml:space="preserve"> radova po istoj, pripremu ležišta za eksploataciju, instaliranje postrojenja i opreme </w:t>
      </w:r>
    </w:p>
    <w:p w:rsidR="00D620F2" w:rsidRPr="007B37D3" w:rsidRDefault="006579E2" w:rsidP="006579E2">
      <w:pPr>
        <w:pStyle w:val="ListParagraph"/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D620F2" w:rsidRPr="007B37D3">
        <w:rPr>
          <w:rFonts w:ascii="Arial" w:hAnsi="Arial" w:cs="Arial"/>
        </w:rPr>
        <w:t>potrebne</w:t>
      </w:r>
      <w:proofErr w:type="gramEnd"/>
      <w:r w:rsidR="00D620F2" w:rsidRPr="007B37D3">
        <w:rPr>
          <w:rFonts w:ascii="Arial" w:hAnsi="Arial" w:cs="Arial"/>
        </w:rPr>
        <w:t xml:space="preserve"> za eksploataciju, kao i pribavljanje upotrebne dozvole za izgrađene objekte i</w:t>
      </w:r>
    </w:p>
    <w:p w:rsidR="00D620F2" w:rsidRPr="00F3209C" w:rsidRDefault="00BE7CF9" w:rsidP="006579E2">
      <w:pPr>
        <w:pStyle w:val="ListParagraph"/>
        <w:numPr>
          <w:ilvl w:val="0"/>
          <w:numId w:val="1"/>
        </w:numPr>
        <w:spacing w:after="0"/>
        <w:ind w:left="-180" w:right="-270" w:firstLine="0"/>
        <w:jc w:val="both"/>
        <w:rPr>
          <w:rFonts w:ascii="Arial" w:hAnsi="Arial" w:cs="Arial"/>
        </w:rPr>
      </w:pPr>
      <w:r w:rsidRPr="00F3209C">
        <w:rPr>
          <w:rFonts w:ascii="Arial" w:hAnsi="Arial" w:cs="Arial"/>
        </w:rPr>
        <w:t>4</w:t>
      </w:r>
      <w:r w:rsidR="00643751">
        <w:rPr>
          <w:rFonts w:ascii="Arial" w:hAnsi="Arial" w:cs="Arial"/>
        </w:rPr>
        <w:t xml:space="preserve"> (četiri) </w:t>
      </w:r>
      <w:r w:rsidR="00D620F2" w:rsidRPr="00F3209C">
        <w:rPr>
          <w:rFonts w:ascii="Arial" w:hAnsi="Arial" w:cs="Arial"/>
        </w:rPr>
        <w:t>godin</w:t>
      </w:r>
      <w:r w:rsidR="00F57721" w:rsidRPr="00F3209C">
        <w:rPr>
          <w:rFonts w:ascii="Arial" w:hAnsi="Arial" w:cs="Arial"/>
        </w:rPr>
        <w:t>e</w:t>
      </w:r>
      <w:r w:rsidR="00D620F2" w:rsidRPr="00F3209C">
        <w:rPr>
          <w:rFonts w:ascii="Arial" w:hAnsi="Arial" w:cs="Arial"/>
        </w:rPr>
        <w:t xml:space="preserve"> za eksploataciju.</w:t>
      </w:r>
    </w:p>
    <w:p w:rsidR="00BE7CF9" w:rsidRPr="007B37D3" w:rsidRDefault="00BE7CF9" w:rsidP="00A40BDA">
      <w:pPr>
        <w:spacing w:after="0"/>
        <w:ind w:left="-180" w:right="-270"/>
        <w:jc w:val="both"/>
        <w:rPr>
          <w:rFonts w:ascii="Arial" w:hAnsi="Arial" w:cs="Arial"/>
          <w:b/>
          <w:color w:val="FF0000"/>
        </w:rPr>
      </w:pPr>
    </w:p>
    <w:p w:rsidR="00D620F2" w:rsidRPr="007B37D3" w:rsidRDefault="006579E2" w:rsidP="00A40BDA">
      <w:pPr>
        <w:pStyle w:val="Heading1"/>
        <w:spacing w:before="0" w:after="0"/>
        <w:ind w:left="-180" w:right="-270" w:hanging="432"/>
        <w:rPr>
          <w:sz w:val="22"/>
          <w:szCs w:val="22"/>
        </w:rPr>
      </w:pPr>
      <w:bookmarkStart w:id="5" w:name="_Toc402262934"/>
      <w:r>
        <w:rPr>
          <w:sz w:val="22"/>
          <w:szCs w:val="22"/>
        </w:rPr>
        <w:t xml:space="preserve">    </w:t>
      </w:r>
      <w:r w:rsidR="002A6F00">
        <w:rPr>
          <w:sz w:val="22"/>
          <w:szCs w:val="22"/>
        </w:rPr>
        <w:t>3</w:t>
      </w:r>
      <w:r w:rsidR="00BE7CF9" w:rsidRPr="007B37D3">
        <w:rPr>
          <w:sz w:val="22"/>
          <w:szCs w:val="22"/>
        </w:rPr>
        <w:t xml:space="preserve">. </w:t>
      </w:r>
      <w:r w:rsidR="00D620F2" w:rsidRPr="007B37D3">
        <w:rPr>
          <w:sz w:val="22"/>
          <w:szCs w:val="22"/>
        </w:rPr>
        <w:t>OSNOVNI PARAMETRI ZA OCJENU EKONOMSKE OPRAVDANOSTI INVESTICIJE</w:t>
      </w:r>
      <w:bookmarkEnd w:id="5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pStyle w:val="ListParagraph"/>
        <w:ind w:left="-180" w:right="-270"/>
        <w:rPr>
          <w:rFonts w:ascii="Arial" w:hAnsi="Arial" w:cs="Arial"/>
          <w:i/>
          <w:u w:val="single"/>
        </w:rPr>
      </w:pPr>
      <w:r w:rsidRPr="007B37D3">
        <w:rPr>
          <w:rFonts w:ascii="Arial" w:hAnsi="Arial" w:cs="Arial"/>
          <w:i/>
          <w:u w:val="single"/>
        </w:rPr>
        <w:t>Opis tehničko-tehnološkog procesa eksploatacije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 ovom poglavlju daju se osnovni parametri koji treba da posluže ponuđačima, odnosno potencijalnim investitorima pri obradi proizvodnog i ekonomsk</w:t>
      </w:r>
      <w:r w:rsidR="003F58F1" w:rsidRPr="007B37D3">
        <w:rPr>
          <w:rFonts w:ascii="Arial" w:hAnsi="Arial" w:cs="Arial"/>
        </w:rPr>
        <w:t>og aspekta</w:t>
      </w:r>
      <w:r w:rsidRPr="007B37D3">
        <w:rPr>
          <w:rFonts w:ascii="Arial" w:hAnsi="Arial" w:cs="Arial"/>
        </w:rPr>
        <w:t xml:space="preserve"> ponude i tehn</w:t>
      </w:r>
      <w:r w:rsidR="00E530C1">
        <w:rPr>
          <w:rFonts w:ascii="Arial" w:hAnsi="Arial" w:cs="Arial"/>
        </w:rPr>
        <w:t>ičko</w:t>
      </w:r>
      <w:r w:rsidRPr="007B37D3">
        <w:rPr>
          <w:rFonts w:ascii="Arial" w:hAnsi="Arial" w:cs="Arial"/>
        </w:rPr>
        <w:t>-ekonomske ocjene opravdanosti ove investicije.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6579E2" w:rsidP="00A40BDA">
      <w:pPr>
        <w:pStyle w:val="Heading2"/>
        <w:spacing w:before="0" w:after="0"/>
        <w:ind w:left="-180" w:right="-270" w:hanging="576"/>
        <w:rPr>
          <w:i w:val="0"/>
          <w:sz w:val="22"/>
          <w:szCs w:val="22"/>
        </w:rPr>
      </w:pPr>
      <w:bookmarkStart w:id="6" w:name="_Toc402262936"/>
      <w:r>
        <w:rPr>
          <w:i w:val="0"/>
          <w:sz w:val="22"/>
          <w:szCs w:val="22"/>
        </w:rPr>
        <w:t xml:space="preserve">         </w:t>
      </w:r>
      <w:r w:rsidR="002A6F00">
        <w:rPr>
          <w:i w:val="0"/>
          <w:sz w:val="22"/>
          <w:szCs w:val="22"/>
        </w:rPr>
        <w:t>3</w:t>
      </w:r>
      <w:r w:rsidR="00472C68" w:rsidRPr="007B37D3">
        <w:rPr>
          <w:i w:val="0"/>
          <w:sz w:val="22"/>
          <w:szCs w:val="22"/>
        </w:rPr>
        <w:t xml:space="preserve">.1. </w:t>
      </w:r>
      <w:r w:rsidR="00D620F2" w:rsidRPr="007B37D3">
        <w:rPr>
          <w:i w:val="0"/>
          <w:sz w:val="22"/>
          <w:szCs w:val="22"/>
        </w:rPr>
        <w:t>Ocjena mogućnosti korišćenja mineralne sirovine</w:t>
      </w:r>
      <w:bookmarkEnd w:id="6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B56F6A" w:rsidRDefault="00D620F2" w:rsidP="00A40BDA">
      <w:pPr>
        <w:shd w:val="clear" w:color="auto" w:fill="FFFFFF" w:themeFill="background1"/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U poglavlju </w:t>
      </w:r>
      <w:r w:rsidR="002A6F00">
        <w:rPr>
          <w:rFonts w:ascii="Arial" w:hAnsi="Arial" w:cs="Arial"/>
        </w:rPr>
        <w:t>1</w:t>
      </w:r>
      <w:r w:rsidRPr="007B37D3">
        <w:rPr>
          <w:rFonts w:ascii="Arial" w:hAnsi="Arial" w:cs="Arial"/>
        </w:rPr>
        <w:t>.</w:t>
      </w:r>
      <w:r w:rsidR="003F58F1" w:rsidRPr="007B37D3">
        <w:rPr>
          <w:rFonts w:ascii="Arial" w:hAnsi="Arial" w:cs="Arial"/>
        </w:rPr>
        <w:t>9.</w:t>
      </w:r>
      <w:r w:rsidRPr="007B37D3">
        <w:rPr>
          <w:rFonts w:ascii="Arial" w:hAnsi="Arial" w:cs="Arial"/>
        </w:rPr>
        <w:t xml:space="preserve">ovog akta date su potencijalne rezerve i </w:t>
      </w:r>
      <w:r w:rsidR="00F57721" w:rsidRPr="007B37D3">
        <w:rPr>
          <w:rFonts w:ascii="Arial" w:hAnsi="Arial" w:cs="Arial"/>
        </w:rPr>
        <w:t xml:space="preserve">podaci o </w:t>
      </w:r>
      <w:r w:rsidRPr="007B37D3">
        <w:rPr>
          <w:rFonts w:ascii="Arial" w:hAnsi="Arial" w:cs="Arial"/>
        </w:rPr>
        <w:t>kvalitet</w:t>
      </w:r>
      <w:r w:rsidR="00F57721" w:rsidRPr="007B37D3">
        <w:rPr>
          <w:rFonts w:ascii="Arial" w:hAnsi="Arial" w:cs="Arial"/>
        </w:rPr>
        <w:t>u</w:t>
      </w:r>
      <w:r w:rsidRPr="007B37D3">
        <w:rPr>
          <w:rFonts w:ascii="Arial" w:hAnsi="Arial" w:cs="Arial"/>
        </w:rPr>
        <w:t xml:space="preserve"> mineralne sirovine</w:t>
      </w:r>
      <w:r w:rsidR="00F57721" w:rsidRPr="007B37D3">
        <w:rPr>
          <w:rFonts w:ascii="Arial" w:hAnsi="Arial" w:cs="Arial"/>
        </w:rPr>
        <w:t>.</w:t>
      </w:r>
      <w:bookmarkStart w:id="7" w:name="_Toc402262937"/>
    </w:p>
    <w:p w:rsidR="00B56F6A" w:rsidRDefault="00B56F6A" w:rsidP="00A40BDA">
      <w:pPr>
        <w:shd w:val="clear" w:color="auto" w:fill="FFFFFF" w:themeFill="background1"/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2A6F00" w:rsidP="00A40BDA">
      <w:pPr>
        <w:pStyle w:val="Heading2"/>
        <w:shd w:val="clear" w:color="auto" w:fill="FFFFFF" w:themeFill="background1"/>
        <w:spacing w:before="0" w:after="0"/>
        <w:ind w:left="-180" w:right="-27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>3.</w:t>
      </w:r>
      <w:r w:rsidR="00472C68" w:rsidRPr="007B37D3">
        <w:rPr>
          <w:i w:val="0"/>
          <w:sz w:val="22"/>
          <w:szCs w:val="22"/>
        </w:rPr>
        <w:t xml:space="preserve">2. </w:t>
      </w:r>
      <w:r w:rsidR="00D620F2" w:rsidRPr="007B37D3">
        <w:rPr>
          <w:i w:val="0"/>
          <w:sz w:val="22"/>
          <w:szCs w:val="22"/>
        </w:rPr>
        <w:t>Proizvodni kapacitet i vijek eksploatacije</w:t>
      </w:r>
      <w:bookmarkEnd w:id="7"/>
    </w:p>
    <w:p w:rsidR="00D620F2" w:rsidRPr="007B37D3" w:rsidRDefault="00D620F2" w:rsidP="00A40BDA">
      <w:pPr>
        <w:shd w:val="clear" w:color="auto" w:fill="FFFFFF" w:themeFill="background1"/>
        <w:spacing w:after="0"/>
        <w:ind w:left="-180" w:right="-270"/>
        <w:rPr>
          <w:rFonts w:ascii="Arial" w:hAnsi="Arial" w:cs="Arial"/>
        </w:rPr>
      </w:pP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Potencijalne rezerve tehničko-građevinskog kamena iznose </w:t>
      </w:r>
      <w:r w:rsidR="00F10DEF" w:rsidRPr="007B37D3">
        <w:rPr>
          <w:rFonts w:ascii="Arial" w:hAnsi="Arial" w:cs="Arial"/>
        </w:rPr>
        <w:t>oko 6</w:t>
      </w:r>
      <w:r w:rsidR="00A162F1" w:rsidRPr="007B37D3">
        <w:rPr>
          <w:rFonts w:ascii="Arial" w:hAnsi="Arial" w:cs="Arial"/>
        </w:rPr>
        <w:t>.0</w:t>
      </w:r>
      <w:r w:rsidRPr="007B37D3">
        <w:rPr>
          <w:rFonts w:ascii="Arial" w:hAnsi="Arial" w:cs="Arial"/>
        </w:rPr>
        <w:t>00.000 m</w:t>
      </w:r>
      <w:r w:rsidRPr="00E530C1">
        <w:rPr>
          <w:rFonts w:ascii="Arial" w:hAnsi="Arial" w:cs="Arial"/>
          <w:vertAlign w:val="superscript"/>
        </w:rPr>
        <w:t>3</w:t>
      </w:r>
      <w:r w:rsidRPr="00E530C1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 xml:space="preserve">č.s.m. i </w:t>
      </w:r>
      <w:r w:rsidR="00E530C1">
        <w:rPr>
          <w:rFonts w:ascii="Arial" w:hAnsi="Arial" w:cs="Arial"/>
        </w:rPr>
        <w:t>biće</w:t>
      </w:r>
      <w:r w:rsidRPr="007B37D3">
        <w:rPr>
          <w:rFonts w:ascii="Arial" w:hAnsi="Arial" w:cs="Arial"/>
        </w:rPr>
        <w:t xml:space="preserve"> zahvaćene konturama površinskog kopa, a za predloženi</w:t>
      </w:r>
      <w:r w:rsidR="00F10DEF" w:rsidRPr="007B37D3">
        <w:rPr>
          <w:rFonts w:ascii="Arial" w:hAnsi="Arial" w:cs="Arial"/>
        </w:rPr>
        <w:t xml:space="preserve"> period trajanja koncesije od </w:t>
      </w:r>
      <w:r w:rsidR="00BE7CF9" w:rsidRPr="007B37D3">
        <w:rPr>
          <w:rFonts w:ascii="Arial" w:hAnsi="Arial" w:cs="Arial"/>
        </w:rPr>
        <w:t>4</w:t>
      </w:r>
      <w:r w:rsidRPr="007B37D3">
        <w:rPr>
          <w:rFonts w:ascii="Arial" w:hAnsi="Arial" w:cs="Arial"/>
        </w:rPr>
        <w:t xml:space="preserve"> godin</w:t>
      </w:r>
      <w:r w:rsidR="00F57721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(za eksploataciju) p</w:t>
      </w:r>
      <w:r w:rsidR="00BE7CF9" w:rsidRPr="007B37D3">
        <w:rPr>
          <w:rFonts w:ascii="Arial" w:hAnsi="Arial" w:cs="Arial"/>
        </w:rPr>
        <w:t>roizvodni kapacitet će iznositi</w:t>
      </w:r>
      <w:r w:rsidRPr="007B37D3">
        <w:rPr>
          <w:rFonts w:ascii="Arial" w:hAnsi="Arial" w:cs="Arial"/>
        </w:rPr>
        <w:t xml:space="preserve"> do 20.000 m</w:t>
      </w:r>
      <w:r w:rsidRPr="00E530C1">
        <w:rPr>
          <w:rFonts w:ascii="Arial" w:hAnsi="Arial" w:cs="Arial"/>
        </w:rPr>
        <w:t xml:space="preserve">3 </w:t>
      </w:r>
      <w:r w:rsidRPr="007B37D3">
        <w:rPr>
          <w:rFonts w:ascii="Arial" w:hAnsi="Arial" w:cs="Arial"/>
        </w:rPr>
        <w:t>č.s.m. ili 30.000 m</w:t>
      </w:r>
      <w:r w:rsidRPr="00E530C1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agregata (svih frakcija) na godišnjem nivou (K</w:t>
      </w:r>
      <w:r w:rsidRPr="00E530C1">
        <w:rPr>
          <w:rFonts w:ascii="Arial" w:hAnsi="Arial" w:cs="Arial"/>
        </w:rPr>
        <w:t>r</w:t>
      </w:r>
      <w:r w:rsidRPr="007B37D3">
        <w:rPr>
          <w:rFonts w:ascii="Arial" w:hAnsi="Arial" w:cs="Arial"/>
        </w:rPr>
        <w:t>=1,50).</w:t>
      </w:r>
    </w:p>
    <w:p w:rsidR="00E530C1" w:rsidRPr="007B37D3" w:rsidRDefault="00E530C1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Za godišnji kapacitet površinskog kopa od 20.000 m</w:t>
      </w:r>
      <w:r w:rsidRPr="00E530C1">
        <w:rPr>
          <w:rFonts w:ascii="Arial" w:hAnsi="Arial" w:cs="Arial"/>
          <w:vertAlign w:val="superscript"/>
        </w:rPr>
        <w:t>3</w:t>
      </w:r>
      <w:r w:rsidRPr="00E530C1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č.s.m.,</w:t>
      </w:r>
      <w:r w:rsidRPr="00B56F6A">
        <w:rPr>
          <w:rFonts w:ascii="Arial" w:hAnsi="Arial" w:cs="Arial"/>
          <w:color w:val="FF0000"/>
        </w:rPr>
        <w:t xml:space="preserve"> </w:t>
      </w:r>
      <w:r w:rsidRPr="00F3209C">
        <w:rPr>
          <w:rFonts w:ascii="Arial" w:hAnsi="Arial" w:cs="Arial"/>
        </w:rPr>
        <w:t>u predviđ</w:t>
      </w:r>
      <w:r w:rsidR="00F10DEF" w:rsidRPr="00F3209C">
        <w:rPr>
          <w:rFonts w:ascii="Arial" w:hAnsi="Arial" w:cs="Arial"/>
        </w:rPr>
        <w:t xml:space="preserve">enom periodu eksploatacije od </w:t>
      </w:r>
      <w:r w:rsidR="00BE7CF9" w:rsidRPr="00F3209C">
        <w:rPr>
          <w:rFonts w:ascii="Arial" w:hAnsi="Arial" w:cs="Arial"/>
        </w:rPr>
        <w:t>4</w:t>
      </w:r>
      <w:r w:rsidR="00F10DEF" w:rsidRPr="00F3209C">
        <w:rPr>
          <w:rFonts w:ascii="Arial" w:hAnsi="Arial" w:cs="Arial"/>
        </w:rPr>
        <w:t xml:space="preserve"> godin</w:t>
      </w:r>
      <w:r w:rsidR="00F57721" w:rsidRPr="00F3209C">
        <w:rPr>
          <w:rFonts w:ascii="Arial" w:hAnsi="Arial" w:cs="Arial"/>
        </w:rPr>
        <w:t>e</w:t>
      </w:r>
      <w:r w:rsidR="00F10DEF" w:rsidRPr="00B56F6A">
        <w:rPr>
          <w:rFonts w:ascii="Arial" w:hAnsi="Arial" w:cs="Arial"/>
          <w:color w:val="FF0000"/>
        </w:rPr>
        <w:t xml:space="preserve">, </w:t>
      </w:r>
      <w:r w:rsidR="00F10DEF" w:rsidRPr="007B37D3">
        <w:rPr>
          <w:rFonts w:ascii="Arial" w:hAnsi="Arial" w:cs="Arial"/>
        </w:rPr>
        <w:t xml:space="preserve">potrebno je </w:t>
      </w:r>
      <w:r w:rsidR="00BE7CF9" w:rsidRPr="007B37D3">
        <w:rPr>
          <w:rFonts w:ascii="Arial" w:hAnsi="Arial" w:cs="Arial"/>
        </w:rPr>
        <w:t>80 000</w:t>
      </w:r>
      <w:r w:rsidRPr="007B37D3">
        <w:rPr>
          <w:rFonts w:ascii="Arial" w:hAnsi="Arial" w:cs="Arial"/>
        </w:rPr>
        <w:t xml:space="preserve"> m</w:t>
      </w:r>
      <w:r w:rsidRPr="00E530C1">
        <w:rPr>
          <w:rFonts w:ascii="Arial" w:hAnsi="Arial" w:cs="Arial"/>
          <w:vertAlign w:val="superscript"/>
        </w:rPr>
        <w:t>3</w:t>
      </w:r>
      <w:r w:rsidRPr="00E530C1">
        <w:rPr>
          <w:rFonts w:ascii="Arial" w:hAnsi="Arial" w:cs="Arial"/>
        </w:rPr>
        <w:t xml:space="preserve"> </w:t>
      </w:r>
      <w:r w:rsidR="00A162F1" w:rsidRPr="007B37D3">
        <w:rPr>
          <w:rFonts w:ascii="Arial" w:hAnsi="Arial" w:cs="Arial"/>
        </w:rPr>
        <w:t>č</w:t>
      </w:r>
      <w:r w:rsidR="00F10DEF" w:rsidRPr="007B37D3">
        <w:rPr>
          <w:rFonts w:ascii="Arial" w:hAnsi="Arial" w:cs="Arial"/>
        </w:rPr>
        <w:t>.s.m</w:t>
      </w:r>
      <w:r w:rsidR="00F57721" w:rsidRPr="007B37D3">
        <w:rPr>
          <w:rFonts w:ascii="Arial" w:hAnsi="Arial" w:cs="Arial"/>
        </w:rPr>
        <w:t>.</w:t>
      </w:r>
      <w:r w:rsidR="00F10DEF" w:rsidRPr="007B37D3">
        <w:rPr>
          <w:rFonts w:ascii="Arial" w:hAnsi="Arial" w:cs="Arial"/>
        </w:rPr>
        <w:t xml:space="preserve"> ili </w:t>
      </w:r>
      <w:r w:rsidR="00472C68" w:rsidRPr="007B37D3">
        <w:rPr>
          <w:rFonts w:ascii="Arial" w:hAnsi="Arial" w:cs="Arial"/>
        </w:rPr>
        <w:t>1,33</w:t>
      </w:r>
      <w:r w:rsidRPr="007B37D3">
        <w:rPr>
          <w:rFonts w:ascii="Arial" w:hAnsi="Arial" w:cs="Arial"/>
        </w:rPr>
        <w:t xml:space="preserve"> % od potencijalnih </w:t>
      </w:r>
      <w:r w:rsidR="00A162F1" w:rsidRPr="007B37D3">
        <w:rPr>
          <w:rFonts w:ascii="Arial" w:hAnsi="Arial" w:cs="Arial"/>
        </w:rPr>
        <w:t xml:space="preserve">geoloških </w:t>
      </w:r>
      <w:r w:rsidRPr="007B37D3">
        <w:rPr>
          <w:rFonts w:ascii="Arial" w:hAnsi="Arial" w:cs="Arial"/>
        </w:rPr>
        <w:t xml:space="preserve">rezervi. To znači, da potencijalne rezerve daju mogućnost rada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ovo</w:t>
      </w:r>
      <w:r w:rsidR="00F57721" w:rsidRPr="007B37D3">
        <w:rPr>
          <w:rFonts w:ascii="Arial" w:hAnsi="Arial" w:cs="Arial"/>
        </w:rPr>
        <w:t>j</w:t>
      </w:r>
      <w:r w:rsidRPr="007B37D3">
        <w:rPr>
          <w:rFonts w:ascii="Arial" w:hAnsi="Arial" w:cs="Arial"/>
        </w:rPr>
        <w:t xml:space="preserve"> loka</w:t>
      </w:r>
      <w:r w:rsidR="00F57721" w:rsidRPr="007B37D3">
        <w:rPr>
          <w:rFonts w:ascii="Arial" w:hAnsi="Arial" w:cs="Arial"/>
        </w:rPr>
        <w:t>ciji</w:t>
      </w:r>
      <w:r w:rsidRPr="007B37D3">
        <w:rPr>
          <w:rFonts w:ascii="Arial" w:hAnsi="Arial" w:cs="Arial"/>
        </w:rPr>
        <w:t xml:space="preserve"> ne samo za predviđeni period trajanja koncesije nego i </w:t>
      </w:r>
      <w:r w:rsidR="00A162F1" w:rsidRPr="007B37D3">
        <w:rPr>
          <w:rFonts w:ascii="Arial" w:hAnsi="Arial" w:cs="Arial"/>
        </w:rPr>
        <w:t xml:space="preserve">znatno </w:t>
      </w:r>
      <w:r w:rsidRPr="007B37D3">
        <w:rPr>
          <w:rFonts w:ascii="Arial" w:hAnsi="Arial" w:cs="Arial"/>
        </w:rPr>
        <w:t xml:space="preserve">duže. </w:t>
      </w:r>
    </w:p>
    <w:p w:rsidR="00D620F2" w:rsidRPr="007B37D3" w:rsidRDefault="00D620F2" w:rsidP="00A40BDA">
      <w:pPr>
        <w:shd w:val="clear" w:color="auto" w:fill="FFFFFF" w:themeFill="background1"/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E530C1" w:rsidP="00A40BDA">
      <w:pPr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 obzirom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potencijalne</w:t>
      </w:r>
      <w:r w:rsidR="00D620F2" w:rsidRPr="007B37D3">
        <w:rPr>
          <w:rFonts w:ascii="Arial" w:hAnsi="Arial" w:cs="Arial"/>
        </w:rPr>
        <w:t xml:space="preserve"> rezerve, konfiguraciju terena, mogući razvoj kopa i druge povoljnosti, godišnji kapacitet se može povećati u odnosu na početni - minimalni godišnji kapacitet. To predstavlja značajnu povoljnost za ponuđače.</w:t>
      </w:r>
    </w:p>
    <w:p w:rsidR="00D620F2" w:rsidRPr="007B37D3" w:rsidRDefault="00D620F2" w:rsidP="00A40BDA">
      <w:pPr>
        <w:shd w:val="clear" w:color="auto" w:fill="FFFFFF" w:themeFill="background1"/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6579E2" w:rsidP="00A40BDA">
      <w:pPr>
        <w:pStyle w:val="Heading2"/>
        <w:shd w:val="clear" w:color="auto" w:fill="FFFFFF" w:themeFill="background1"/>
        <w:spacing w:before="0" w:after="0" w:line="240" w:lineRule="auto"/>
        <w:ind w:left="-180" w:right="-270" w:hanging="576"/>
        <w:rPr>
          <w:i w:val="0"/>
          <w:sz w:val="22"/>
          <w:szCs w:val="22"/>
        </w:rPr>
      </w:pPr>
      <w:bookmarkStart w:id="8" w:name="_Toc402262938"/>
      <w:r>
        <w:rPr>
          <w:i w:val="0"/>
          <w:sz w:val="22"/>
          <w:szCs w:val="22"/>
        </w:rPr>
        <w:t xml:space="preserve">         </w:t>
      </w:r>
      <w:r w:rsidR="002A6F00">
        <w:rPr>
          <w:i w:val="0"/>
          <w:sz w:val="22"/>
          <w:szCs w:val="22"/>
        </w:rPr>
        <w:t>3.</w:t>
      </w:r>
      <w:r w:rsidR="00472C68" w:rsidRPr="007B37D3">
        <w:rPr>
          <w:i w:val="0"/>
          <w:sz w:val="22"/>
          <w:szCs w:val="22"/>
        </w:rPr>
        <w:t xml:space="preserve">3. </w:t>
      </w:r>
      <w:r w:rsidR="00D620F2" w:rsidRPr="007B37D3">
        <w:rPr>
          <w:i w:val="0"/>
          <w:sz w:val="22"/>
          <w:szCs w:val="22"/>
        </w:rPr>
        <w:t>Opis tehničko-tehnološkog procesa eksploatacije</w:t>
      </w:r>
      <w:bookmarkEnd w:id="8"/>
    </w:p>
    <w:p w:rsidR="00D620F2" w:rsidRPr="007B37D3" w:rsidRDefault="00D620F2" w:rsidP="00A40BDA">
      <w:pPr>
        <w:shd w:val="clear" w:color="auto" w:fill="FFFFFF" w:themeFill="background1"/>
        <w:spacing w:after="0" w:line="240" w:lineRule="auto"/>
        <w:ind w:left="-180" w:right="-270"/>
        <w:rPr>
          <w:rFonts w:ascii="Arial" w:hAnsi="Arial" w:cs="Arial"/>
        </w:rPr>
      </w:pPr>
    </w:p>
    <w:p w:rsidR="00D620F2" w:rsidRDefault="003F58F1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 ovom ležištu</w:t>
      </w:r>
      <w:r w:rsidR="00D620F2" w:rsidRPr="007B37D3">
        <w:rPr>
          <w:rFonts w:ascii="Arial" w:hAnsi="Arial" w:cs="Arial"/>
        </w:rPr>
        <w:t xml:space="preserve"> tip površinskog</w:t>
      </w:r>
      <w:r w:rsidR="00E530C1">
        <w:rPr>
          <w:rFonts w:ascii="Arial" w:hAnsi="Arial" w:cs="Arial"/>
        </w:rPr>
        <w:t xml:space="preserve"> kopa </w:t>
      </w:r>
      <w:proofErr w:type="gramStart"/>
      <w:r w:rsidR="00E530C1">
        <w:rPr>
          <w:rFonts w:ascii="Arial" w:hAnsi="Arial" w:cs="Arial"/>
        </w:rPr>
        <w:t>će</w:t>
      </w:r>
      <w:proofErr w:type="gramEnd"/>
      <w:r w:rsidR="00E530C1">
        <w:rPr>
          <w:rFonts w:ascii="Arial" w:hAnsi="Arial" w:cs="Arial"/>
        </w:rPr>
        <w:t xml:space="preserve"> biti je tipično brdski</w:t>
      </w:r>
      <w:r w:rsidR="00D620F2" w:rsidRPr="007B37D3">
        <w:rPr>
          <w:rFonts w:ascii="Arial" w:hAnsi="Arial" w:cs="Arial"/>
        </w:rPr>
        <w:t xml:space="preserve"> </w:t>
      </w:r>
      <w:r w:rsidR="00E530C1">
        <w:rPr>
          <w:rFonts w:ascii="Arial" w:hAnsi="Arial" w:cs="Arial"/>
        </w:rPr>
        <w:t>što</w:t>
      </w:r>
      <w:r w:rsidR="00D620F2" w:rsidRPr="007B37D3">
        <w:rPr>
          <w:rFonts w:ascii="Arial" w:hAnsi="Arial" w:cs="Arial"/>
        </w:rPr>
        <w:t xml:space="preserve"> omogućuje primjenu klasične tehnologije na istom, eksploataci</w:t>
      </w:r>
      <w:r w:rsidRPr="007B37D3">
        <w:rPr>
          <w:rFonts w:ascii="Arial" w:hAnsi="Arial" w:cs="Arial"/>
        </w:rPr>
        <w:t>ja tehničko-građevinskog kamena</w:t>
      </w:r>
      <w:r w:rsidR="00D620F2" w:rsidRPr="007B37D3">
        <w:rPr>
          <w:rFonts w:ascii="Arial" w:hAnsi="Arial" w:cs="Arial"/>
        </w:rPr>
        <w:t xml:space="preserve"> vršiće se od najvisočije etaže prema najnižoj.</w:t>
      </w:r>
    </w:p>
    <w:p w:rsidR="00E530C1" w:rsidRPr="007B37D3" w:rsidRDefault="00E530C1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Tehnološki proces rada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površinskom kopu sastoji se od radnih operacija: </w:t>
      </w:r>
    </w:p>
    <w:p w:rsidR="00F10DEF" w:rsidRPr="007B37D3" w:rsidRDefault="00F10DEF" w:rsidP="00A40BDA">
      <w:pPr>
        <w:pStyle w:val="Default"/>
        <w:shd w:val="clear" w:color="auto" w:fill="FFFFFF" w:themeFill="background1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pripremni radovi,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bušenje,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miniranje,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utovar,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spacing w:after="30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transport, </w:t>
      </w:r>
    </w:p>
    <w:p w:rsidR="00D620F2" w:rsidRPr="007B37D3" w:rsidRDefault="00D620F2" w:rsidP="00DB3C82">
      <w:pPr>
        <w:pStyle w:val="Default"/>
        <w:numPr>
          <w:ilvl w:val="0"/>
          <w:numId w:val="7"/>
        </w:numPr>
        <w:shd w:val="clear" w:color="auto" w:fill="FFFFFF" w:themeFill="background1"/>
        <w:ind w:left="-180" w:right="-270" w:firstLine="0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7B37D3">
        <w:rPr>
          <w:rFonts w:ascii="Arial" w:hAnsi="Arial" w:cs="Arial"/>
          <w:color w:val="auto"/>
          <w:sz w:val="22"/>
          <w:szCs w:val="22"/>
        </w:rPr>
        <w:t>drobljenje</w:t>
      </w:r>
      <w:proofErr w:type="gramEnd"/>
      <w:r w:rsidRPr="007B37D3">
        <w:rPr>
          <w:rFonts w:ascii="Arial" w:hAnsi="Arial" w:cs="Arial"/>
          <w:color w:val="auto"/>
          <w:sz w:val="22"/>
          <w:szCs w:val="22"/>
        </w:rPr>
        <w:t xml:space="preserve"> i klasiranje. </w:t>
      </w:r>
    </w:p>
    <w:p w:rsidR="00E530C1" w:rsidRDefault="00E530C1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Cs/>
          <w:i/>
          <w:iCs/>
          <w:color w:val="auto"/>
          <w:sz w:val="22"/>
          <w:szCs w:val="22"/>
        </w:rPr>
      </w:pPr>
    </w:p>
    <w:p w:rsidR="00D620F2" w:rsidRPr="00B56F6A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Pripremni radovi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Pripremni radovi obuhvataju čišćenje i ravnanje terena, čišćenje etažnih ravni i pripremu istih za potrebe bušenja, miniranja i druge pomoćne radove. Pripremni radovi izvodiće se</w:t>
      </w:r>
      <w:r w:rsidR="00E530C1">
        <w:rPr>
          <w:rFonts w:ascii="Arial" w:hAnsi="Arial" w:cs="Arial"/>
        </w:rPr>
        <w:t xml:space="preserve"> buldozerom i </w:t>
      </w:r>
      <w:r w:rsidRPr="007B37D3">
        <w:rPr>
          <w:rFonts w:ascii="Arial" w:hAnsi="Arial" w:cs="Arial"/>
        </w:rPr>
        <w:t xml:space="preserve">bagerom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dubinskom korpom uz povremenu upotrebu hidrauličnog čekića.</w:t>
      </w:r>
    </w:p>
    <w:p w:rsidR="00472C68" w:rsidRPr="00B56F6A" w:rsidRDefault="00472C68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</w:p>
    <w:p w:rsidR="00D620F2" w:rsidRPr="00DB3C82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</w:t>
      </w:r>
      <w:r w:rsidR="00D620F2" w:rsidRPr="00DB3C8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Bušenje </w:t>
      </w:r>
    </w:p>
    <w:p w:rsidR="00D620F2" w:rsidRPr="007B37D3" w:rsidRDefault="00D620F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  <w:r w:rsidRPr="007B37D3">
        <w:rPr>
          <w:rFonts w:ascii="Arial" w:hAnsi="Arial" w:cs="Arial"/>
          <w:color w:val="auto"/>
          <w:sz w:val="22"/>
          <w:szCs w:val="22"/>
        </w:rPr>
        <w:t xml:space="preserve">Bušenje minskih bušotina vršilo bi se </w:t>
      </w:r>
      <w:proofErr w:type="gramStart"/>
      <w:r w:rsidRPr="007B37D3">
        <w:rPr>
          <w:rFonts w:ascii="Arial" w:hAnsi="Arial" w:cs="Arial"/>
          <w:color w:val="auto"/>
          <w:sz w:val="22"/>
          <w:szCs w:val="22"/>
        </w:rPr>
        <w:t>sa</w:t>
      </w:r>
      <w:proofErr w:type="gramEnd"/>
      <w:r w:rsidRPr="007B37D3">
        <w:rPr>
          <w:rFonts w:ascii="Arial" w:hAnsi="Arial" w:cs="Arial"/>
          <w:color w:val="auto"/>
          <w:sz w:val="22"/>
          <w:szCs w:val="22"/>
        </w:rPr>
        <w:t xml:space="preserve"> udarnoro-</w:t>
      </w:r>
      <w:r w:rsidR="00E530C1">
        <w:rPr>
          <w:rFonts w:ascii="Arial" w:hAnsi="Arial" w:cs="Arial"/>
          <w:color w:val="auto"/>
          <w:sz w:val="22"/>
          <w:szCs w:val="22"/>
        </w:rPr>
        <w:t>ro</w:t>
      </w:r>
      <w:r w:rsidRPr="007B37D3">
        <w:rPr>
          <w:rFonts w:ascii="Arial" w:hAnsi="Arial" w:cs="Arial"/>
          <w:color w:val="auto"/>
          <w:sz w:val="22"/>
          <w:szCs w:val="22"/>
        </w:rPr>
        <w:t xml:space="preserve">tacionom bušilicom prečnika Ø 76 mm. </w:t>
      </w:r>
    </w:p>
    <w:p w:rsidR="00472C68" w:rsidRPr="00B56F6A" w:rsidRDefault="00472C68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D620F2" w:rsidRPr="00B56F6A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Miniranje</w:t>
      </w:r>
    </w:p>
    <w:p w:rsidR="00D620F2" w:rsidRPr="007B37D3" w:rsidRDefault="00E530C1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Miniranje krečnjaka</w:t>
      </w:r>
      <w:r w:rsidR="00D620F2" w:rsidRPr="007B37D3">
        <w:rPr>
          <w:rFonts w:ascii="Arial" w:hAnsi="Arial" w:cs="Arial"/>
          <w:color w:val="auto"/>
          <w:sz w:val="22"/>
          <w:szCs w:val="22"/>
        </w:rPr>
        <w:t xml:space="preserve"> vršilo bi se praškastim eksplozivom, prečnika patrone Ø 60mm. </w:t>
      </w:r>
    </w:p>
    <w:p w:rsidR="00472C68" w:rsidRPr="007B37D3" w:rsidRDefault="00472C68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color w:val="auto"/>
          <w:sz w:val="22"/>
          <w:szCs w:val="22"/>
        </w:rPr>
      </w:pPr>
    </w:p>
    <w:p w:rsidR="00D620F2" w:rsidRPr="00B56F6A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</w:t>
      </w:r>
      <w:r w:rsidR="00B56F6A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Utovar</w:t>
      </w:r>
    </w:p>
    <w:p w:rsidR="00472C68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Utovar odminiranog krečnjaka vršio bi se bagerom kašikarom, zapremine kašike od 1</w:t>
      </w:r>
      <w:proofErr w:type="gramStart"/>
      <w:r w:rsidRPr="007B37D3">
        <w:rPr>
          <w:rFonts w:ascii="Arial" w:hAnsi="Arial" w:cs="Arial"/>
        </w:rPr>
        <w:t>,5</w:t>
      </w:r>
      <w:proofErr w:type="gramEnd"/>
      <w:r w:rsidRPr="007B37D3">
        <w:rPr>
          <w:rFonts w:ascii="Arial" w:hAnsi="Arial" w:cs="Arial"/>
        </w:rPr>
        <w:t xml:space="preserve"> m</w:t>
      </w:r>
      <w:r w:rsidR="00B56F6A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>,a utovar gotovog proizvoda utovarivačem zapremine korpe 3</w:t>
      </w:r>
      <w:r w:rsidR="00E530C1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m</w:t>
      </w:r>
      <w:r w:rsidR="00B56F6A">
        <w:rPr>
          <w:rFonts w:ascii="Arial" w:hAnsi="Arial" w:cs="Arial"/>
          <w:vertAlign w:val="superscript"/>
        </w:rPr>
        <w:t>3</w:t>
      </w:r>
      <w:r w:rsidR="00472C68" w:rsidRPr="007B37D3">
        <w:rPr>
          <w:rFonts w:ascii="Arial" w:hAnsi="Arial" w:cs="Arial"/>
        </w:rPr>
        <w:t>.</w:t>
      </w:r>
    </w:p>
    <w:p w:rsidR="00091C63" w:rsidRPr="007B37D3" w:rsidRDefault="00091C63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B56F6A" w:rsidRDefault="00DB3C82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  </w:t>
      </w:r>
      <w:r w:rsid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Transport 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Transport krečnjaka </w:t>
      </w:r>
      <w:proofErr w:type="gramStart"/>
      <w:r w:rsidRPr="007B37D3">
        <w:rPr>
          <w:rFonts w:ascii="Arial" w:hAnsi="Arial" w:cs="Arial"/>
        </w:rPr>
        <w:t>će</w:t>
      </w:r>
      <w:proofErr w:type="gramEnd"/>
      <w:r w:rsidRPr="007B37D3">
        <w:rPr>
          <w:rFonts w:ascii="Arial" w:hAnsi="Arial" w:cs="Arial"/>
        </w:rPr>
        <w:t xml:space="preserve"> biti gravitacijski, a mobilno drobilično postojenje će se postavljati I raditi do odminiranog ili naguranog tehničko-građevinskog kamena.</w:t>
      </w:r>
    </w:p>
    <w:p w:rsidR="00472C68" w:rsidRPr="007B37D3" w:rsidRDefault="00472C68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B56F6A" w:rsidRDefault="00CE0D3E" w:rsidP="00A40BDA">
      <w:pPr>
        <w:pStyle w:val="Default"/>
        <w:shd w:val="clear" w:color="auto" w:fill="FFFFFF" w:themeFill="background1"/>
        <w:spacing w:line="276" w:lineRule="auto"/>
        <w:ind w:left="-180" w:right="-27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   </w:t>
      </w:r>
      <w:r w:rsidR="00B56F6A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 </w:t>
      </w:r>
      <w:r w:rsidR="00D620F2" w:rsidRPr="00B56F6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Drobljenje i klasiranje 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Za dro</w:t>
      </w:r>
      <w:r w:rsidR="00E530C1">
        <w:rPr>
          <w:rFonts w:ascii="Arial" w:hAnsi="Arial" w:cs="Arial"/>
        </w:rPr>
        <w:t xml:space="preserve">bljenje materijala potrebno je </w:t>
      </w:r>
      <w:r w:rsidRPr="007B37D3">
        <w:rPr>
          <w:rFonts w:ascii="Arial" w:hAnsi="Arial" w:cs="Arial"/>
        </w:rPr>
        <w:t xml:space="preserve">mobilno postrojenje kapaciteta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15 m</w:t>
      </w:r>
      <w:r w:rsidR="00B56F6A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>/h, a za klasiranje mobilna sijačica is</w:t>
      </w:r>
      <w:r w:rsidR="00E530C1">
        <w:rPr>
          <w:rFonts w:ascii="Arial" w:hAnsi="Arial" w:cs="Arial"/>
        </w:rPr>
        <w:t>t</w:t>
      </w:r>
      <w:r w:rsidRPr="007B37D3">
        <w:rPr>
          <w:rFonts w:ascii="Arial" w:hAnsi="Arial" w:cs="Arial"/>
        </w:rPr>
        <w:t>og kapacieta.</w:t>
      </w:r>
    </w:p>
    <w:p w:rsidR="00D620F2" w:rsidRPr="00B56F6A" w:rsidRDefault="006579E2" w:rsidP="00A40BDA">
      <w:pPr>
        <w:pStyle w:val="Heading2"/>
        <w:shd w:val="clear" w:color="auto" w:fill="FFFFFF" w:themeFill="background1"/>
        <w:ind w:left="-180" w:right="-270" w:hanging="576"/>
        <w:jc w:val="both"/>
        <w:rPr>
          <w:sz w:val="22"/>
          <w:szCs w:val="22"/>
        </w:rPr>
      </w:pPr>
      <w:bookmarkStart w:id="9" w:name="_Toc402262939"/>
      <w:r>
        <w:rPr>
          <w:sz w:val="22"/>
          <w:szCs w:val="22"/>
        </w:rPr>
        <w:t xml:space="preserve">          </w:t>
      </w:r>
      <w:r w:rsidR="00091C63">
        <w:rPr>
          <w:sz w:val="22"/>
          <w:szCs w:val="22"/>
        </w:rPr>
        <w:t>3</w:t>
      </w:r>
      <w:r w:rsidR="00472C68" w:rsidRPr="00B56F6A">
        <w:rPr>
          <w:sz w:val="22"/>
          <w:szCs w:val="22"/>
        </w:rPr>
        <w:t>.</w:t>
      </w:r>
      <w:r w:rsidR="00DF3C50">
        <w:rPr>
          <w:sz w:val="22"/>
          <w:szCs w:val="22"/>
        </w:rPr>
        <w:t>4</w:t>
      </w:r>
      <w:r w:rsidR="00472C68" w:rsidRPr="00B56F6A">
        <w:rPr>
          <w:sz w:val="22"/>
          <w:szCs w:val="22"/>
        </w:rPr>
        <w:t xml:space="preserve"> </w:t>
      </w:r>
      <w:r w:rsidR="00D620F2" w:rsidRPr="00B56F6A">
        <w:rPr>
          <w:sz w:val="22"/>
          <w:szCs w:val="22"/>
        </w:rPr>
        <w:t>Snabdijevanje električnom energijom, gorivom, vodom i eksplozivom i eksplozivnim sredstvima</w:t>
      </w:r>
      <w:bookmarkEnd w:id="9"/>
    </w:p>
    <w:p w:rsidR="00B56F6A" w:rsidRPr="00B56F6A" w:rsidRDefault="00B56F6A" w:rsidP="00A40BDA">
      <w:pPr>
        <w:spacing w:after="0"/>
        <w:ind w:left="-180" w:right="-270"/>
      </w:pPr>
    </w:p>
    <w:p w:rsidR="007B37D3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Snabdijevanje električnom energijom je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postojeće trafostanice, vodom </w:t>
      </w:r>
      <w:r w:rsidR="00DF3C50">
        <w:rPr>
          <w:rFonts w:ascii="Arial" w:hAnsi="Arial" w:cs="Arial"/>
        </w:rPr>
        <w:t xml:space="preserve">iz gradskog vodovoda </w:t>
      </w:r>
      <w:r w:rsidRPr="007B37D3">
        <w:rPr>
          <w:rFonts w:ascii="Arial" w:hAnsi="Arial" w:cs="Arial"/>
        </w:rPr>
        <w:t>a eksplozivom i eksplozivnim sredstvima na tržištu kod specijalizovanih firmi.</w:t>
      </w:r>
      <w:bookmarkStart w:id="10" w:name="_Toc402262940"/>
    </w:p>
    <w:p w:rsidR="00B56F6A" w:rsidRPr="00B56F6A" w:rsidRDefault="00B56F6A" w:rsidP="00A40BDA">
      <w:pPr>
        <w:shd w:val="clear" w:color="auto" w:fill="FFFFFF" w:themeFill="background1"/>
        <w:spacing w:after="0"/>
        <w:ind w:left="-180" w:right="-270"/>
        <w:rPr>
          <w:rFonts w:ascii="Arial" w:hAnsi="Arial" w:cs="Arial"/>
          <w:b/>
          <w:i/>
        </w:rPr>
      </w:pPr>
    </w:p>
    <w:p w:rsidR="00E530C1" w:rsidRPr="00B56F6A" w:rsidRDefault="00DF3C50" w:rsidP="00A40BDA">
      <w:pPr>
        <w:shd w:val="clear" w:color="auto" w:fill="FFFFFF" w:themeFill="background1"/>
        <w:ind w:left="-180" w:right="-27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3</w:t>
      </w:r>
      <w:r w:rsidR="003F58F1" w:rsidRPr="00B56F6A">
        <w:rPr>
          <w:rFonts w:ascii="Arial" w:hAnsi="Arial" w:cs="Arial"/>
          <w:b/>
          <w:i/>
        </w:rPr>
        <w:t>.</w:t>
      </w:r>
      <w:r>
        <w:rPr>
          <w:rFonts w:ascii="Arial" w:hAnsi="Arial" w:cs="Arial"/>
          <w:b/>
          <w:i/>
        </w:rPr>
        <w:t>5</w:t>
      </w:r>
      <w:r w:rsidR="003F58F1" w:rsidRPr="00B56F6A">
        <w:rPr>
          <w:rFonts w:ascii="Arial" w:hAnsi="Arial" w:cs="Arial"/>
          <w:b/>
          <w:i/>
        </w:rPr>
        <w:t xml:space="preserve"> </w:t>
      </w:r>
      <w:r w:rsidR="00D620F2" w:rsidRPr="00B56F6A">
        <w:rPr>
          <w:rFonts w:ascii="Arial" w:hAnsi="Arial" w:cs="Arial"/>
          <w:b/>
          <w:i/>
        </w:rPr>
        <w:t>Potrebna oprema i mehanizacija</w:t>
      </w:r>
      <w:bookmarkEnd w:id="10"/>
    </w:p>
    <w:p w:rsidR="00B56F6A" w:rsidRPr="007B37D3" w:rsidRDefault="00B56F6A" w:rsidP="00A40BDA">
      <w:pPr>
        <w:shd w:val="clear" w:color="auto" w:fill="FFFFFF" w:themeFill="background1"/>
        <w:spacing w:after="0"/>
        <w:ind w:left="-180" w:right="-270"/>
        <w:rPr>
          <w:rFonts w:ascii="Arial" w:hAnsi="Arial" w:cs="Arial"/>
          <w:i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134"/>
        <w:gridCol w:w="2610"/>
        <w:gridCol w:w="1044"/>
      </w:tblGrid>
      <w:tr w:rsidR="00D620F2" w:rsidRPr="007B37D3" w:rsidTr="00D620F2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Redni broj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Naziv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Količina</w:t>
            </w:r>
          </w:p>
        </w:tc>
      </w:tr>
      <w:tr w:rsidR="00D620F2" w:rsidRPr="007B37D3" w:rsidTr="007B37D3"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Utovarivač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2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Bušilica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F3C50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3C50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3C50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Kamion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3C50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Drobilično postrojenje sa separacijom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Buldozer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Bager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Cistijerna za vodu</w:t>
            </w:r>
          </w:p>
        </w:tc>
        <w:tc>
          <w:tcPr>
            <w:tcW w:w="10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</w:tr>
      <w:tr w:rsidR="00D620F2" w:rsidRPr="007B37D3" w:rsidTr="007B37D3">
        <w:tc>
          <w:tcPr>
            <w:tcW w:w="4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 xml:space="preserve">UKUPNO:                    </w:t>
            </w:r>
            <w:r w:rsidR="00B56F6A">
              <w:rPr>
                <w:rFonts w:ascii="Arial" w:hAnsi="Arial" w:cs="Arial"/>
                <w:b/>
              </w:rPr>
              <w:t xml:space="preserve">                              </w:t>
            </w:r>
            <w:r w:rsidRPr="007B37D3">
              <w:rPr>
                <w:rFonts w:ascii="Arial" w:hAnsi="Arial" w:cs="Arial"/>
                <w:b/>
              </w:rPr>
              <w:t xml:space="preserve"> </w:t>
            </w:r>
            <w:r w:rsidR="00DB3C82">
              <w:rPr>
                <w:rFonts w:ascii="Arial" w:hAnsi="Arial" w:cs="Arial"/>
                <w:b/>
              </w:rPr>
              <w:t xml:space="preserve">   </w:t>
            </w:r>
            <w:r w:rsidR="00DF3C50">
              <w:rPr>
                <w:rFonts w:ascii="Arial" w:hAnsi="Arial" w:cs="Arial"/>
                <w:b/>
              </w:rPr>
              <w:t>7</w:t>
            </w:r>
          </w:p>
        </w:tc>
      </w:tr>
    </w:tbl>
    <w:p w:rsidR="00472C68" w:rsidRPr="00B56F6A" w:rsidRDefault="00472C68" w:rsidP="00A40BDA">
      <w:pPr>
        <w:ind w:left="-180" w:right="-270"/>
        <w:rPr>
          <w:rFonts w:ascii="Arial" w:eastAsia="Arial Unicode MS" w:hAnsi="Arial" w:cs="Arial"/>
          <w:b/>
          <w:bCs/>
          <w:i/>
          <w:iCs/>
          <w:kern w:val="1"/>
        </w:rPr>
      </w:pPr>
      <w:bookmarkStart w:id="11" w:name="_Toc402262941"/>
    </w:p>
    <w:p w:rsidR="00D620F2" w:rsidRPr="00B56F6A" w:rsidRDefault="001E150B" w:rsidP="00A40BDA">
      <w:pPr>
        <w:pStyle w:val="Heading2"/>
        <w:shd w:val="clear" w:color="auto" w:fill="FFFFFF" w:themeFill="background1"/>
        <w:spacing w:line="240" w:lineRule="auto"/>
        <w:ind w:left="-180" w:right="-270" w:hanging="576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DF3C50">
        <w:rPr>
          <w:sz w:val="22"/>
          <w:szCs w:val="22"/>
        </w:rPr>
        <w:t>3</w:t>
      </w:r>
      <w:r w:rsidR="007D756C" w:rsidRPr="00B56F6A">
        <w:rPr>
          <w:sz w:val="22"/>
          <w:szCs w:val="22"/>
        </w:rPr>
        <w:t>.</w:t>
      </w:r>
      <w:r w:rsidR="00DF3C50">
        <w:rPr>
          <w:sz w:val="22"/>
          <w:szCs w:val="22"/>
        </w:rPr>
        <w:t>6</w:t>
      </w:r>
      <w:r w:rsidR="00D620F2" w:rsidRPr="00B56F6A">
        <w:rPr>
          <w:sz w:val="22"/>
          <w:szCs w:val="22"/>
        </w:rPr>
        <w:t xml:space="preserve"> Objekti</w:t>
      </w:r>
      <w:bookmarkEnd w:id="11"/>
    </w:p>
    <w:p w:rsidR="00D620F2" w:rsidRDefault="00D620F2" w:rsidP="00A40BDA">
      <w:pPr>
        <w:shd w:val="clear" w:color="auto" w:fill="FFFFFF" w:themeFill="background1"/>
        <w:spacing w:after="0" w:line="240" w:lineRule="auto"/>
        <w:ind w:left="-180" w:right="-270"/>
        <w:rPr>
          <w:rFonts w:ascii="Arial" w:hAnsi="Arial" w:cs="Arial"/>
        </w:rPr>
      </w:pPr>
    </w:p>
    <w:p w:rsidR="00B56F6A" w:rsidRPr="007B37D3" w:rsidRDefault="00B56F6A" w:rsidP="00A40BDA">
      <w:pPr>
        <w:shd w:val="clear" w:color="auto" w:fill="FFFFFF" w:themeFill="background1"/>
        <w:spacing w:after="0"/>
        <w:ind w:left="-180" w:right="-270"/>
        <w:rPr>
          <w:rFonts w:ascii="Arial" w:hAnsi="Arial" w:cs="Arial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134"/>
        <w:gridCol w:w="2610"/>
        <w:gridCol w:w="1072"/>
      </w:tblGrid>
      <w:tr w:rsidR="00D620F2" w:rsidRPr="007B37D3" w:rsidTr="00DF3C50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Redni broj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Naziv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Količina</w:t>
            </w:r>
          </w:p>
        </w:tc>
      </w:tr>
      <w:tr w:rsidR="00D620F2" w:rsidRPr="007B37D3" w:rsidTr="00DF3C50"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1</w:t>
            </w:r>
          </w:p>
        </w:tc>
        <w:tc>
          <w:tcPr>
            <w:tcW w:w="2610" w:type="dxa"/>
            <w:tcBorders>
              <w:top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Kontejner za kancelarije i magacin (</w:t>
            </w:r>
            <w:r w:rsidR="00DF3C50">
              <w:rPr>
                <w:rFonts w:ascii="Arial" w:hAnsi="Arial" w:cs="Arial"/>
              </w:rPr>
              <w:t>2</w:t>
            </w:r>
            <w:r w:rsidRPr="007B37D3">
              <w:rPr>
                <w:rFonts w:ascii="Arial" w:hAnsi="Arial" w:cs="Arial"/>
              </w:rPr>
              <w:t>0m</w:t>
            </w:r>
            <w:r w:rsidRPr="007B37D3">
              <w:rPr>
                <w:rFonts w:ascii="Arial" w:hAnsi="Arial" w:cs="Arial"/>
                <w:vertAlign w:val="superscript"/>
              </w:rPr>
              <w:t>2</w:t>
            </w:r>
            <w:r w:rsidRPr="007B37D3">
              <w:rPr>
                <w:rFonts w:ascii="Arial" w:hAnsi="Arial" w:cs="Arial"/>
              </w:rPr>
              <w:t>)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620F2" w:rsidRPr="007B37D3" w:rsidTr="00DF3C50">
        <w:tc>
          <w:tcPr>
            <w:tcW w:w="48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 xml:space="preserve">UKUPNO:                                 </w:t>
            </w:r>
            <w:r w:rsidR="00B56F6A">
              <w:rPr>
                <w:rFonts w:ascii="Arial" w:hAnsi="Arial" w:cs="Arial"/>
                <w:b/>
              </w:rPr>
              <w:t xml:space="preserve">                 </w:t>
            </w:r>
            <w:r w:rsidR="00DB3C82">
              <w:rPr>
                <w:rFonts w:ascii="Arial" w:hAnsi="Arial" w:cs="Arial"/>
                <w:b/>
              </w:rPr>
              <w:t xml:space="preserve">   </w:t>
            </w:r>
            <w:r w:rsidR="00B56F6A">
              <w:rPr>
                <w:rFonts w:ascii="Arial" w:hAnsi="Arial" w:cs="Arial"/>
                <w:b/>
              </w:rPr>
              <w:t xml:space="preserve"> 2       </w:t>
            </w:r>
          </w:p>
        </w:tc>
      </w:tr>
    </w:tbl>
    <w:p w:rsidR="00B56F6A" w:rsidRDefault="00B56F6A" w:rsidP="00A40BDA">
      <w:pPr>
        <w:pStyle w:val="Heading2"/>
        <w:shd w:val="clear" w:color="auto" w:fill="FFFFFF" w:themeFill="background1"/>
        <w:spacing w:line="240" w:lineRule="auto"/>
        <w:ind w:left="-180" w:right="-270"/>
        <w:rPr>
          <w:rFonts w:eastAsia="Calibri"/>
          <w:bCs w:val="0"/>
          <w:iCs w:val="0"/>
          <w:sz w:val="22"/>
          <w:szCs w:val="22"/>
        </w:rPr>
      </w:pPr>
      <w:bookmarkStart w:id="12" w:name="_Toc402262942"/>
    </w:p>
    <w:p w:rsidR="00B56F6A" w:rsidRDefault="00B56F6A" w:rsidP="00A40BDA">
      <w:pPr>
        <w:pStyle w:val="Heading2"/>
        <w:shd w:val="clear" w:color="auto" w:fill="FFFFFF" w:themeFill="background1"/>
        <w:spacing w:line="240" w:lineRule="auto"/>
        <w:ind w:left="-180" w:right="-270"/>
        <w:rPr>
          <w:rFonts w:eastAsia="Calibri"/>
          <w:bCs w:val="0"/>
          <w:iCs w:val="0"/>
          <w:sz w:val="22"/>
          <w:szCs w:val="22"/>
        </w:rPr>
      </w:pPr>
    </w:p>
    <w:p w:rsidR="00643751" w:rsidRPr="00643751" w:rsidRDefault="00643751" w:rsidP="00A40BDA">
      <w:pPr>
        <w:ind w:left="-180" w:right="-270"/>
      </w:pPr>
    </w:p>
    <w:bookmarkEnd w:id="12"/>
    <w:p w:rsidR="00B56F6A" w:rsidRDefault="00B56F6A" w:rsidP="00A40BDA">
      <w:pPr>
        <w:ind w:left="-180" w:right="-270"/>
      </w:pPr>
    </w:p>
    <w:p w:rsidR="00DF3C50" w:rsidRDefault="00DF3C50" w:rsidP="00A40BDA">
      <w:pPr>
        <w:ind w:left="-180" w:right="-270"/>
      </w:pPr>
    </w:p>
    <w:p w:rsidR="00DF3C50" w:rsidRPr="00B56F6A" w:rsidRDefault="00DF3C50" w:rsidP="00A40BDA">
      <w:pPr>
        <w:ind w:left="-180" w:right="-270"/>
      </w:pPr>
    </w:p>
    <w:p w:rsidR="00B56F6A" w:rsidRPr="00B56F6A" w:rsidRDefault="001E150B" w:rsidP="00A40BDA">
      <w:pPr>
        <w:pStyle w:val="Heading2"/>
        <w:shd w:val="clear" w:color="auto" w:fill="FFFFFF" w:themeFill="background1"/>
        <w:spacing w:line="240" w:lineRule="auto"/>
        <w:ind w:left="-180" w:right="-270"/>
        <w:rPr>
          <w:sz w:val="22"/>
          <w:szCs w:val="22"/>
        </w:rPr>
      </w:pPr>
      <w:r>
        <w:rPr>
          <w:rFonts w:eastAsia="Calibri"/>
          <w:bCs w:val="0"/>
          <w:iCs w:val="0"/>
          <w:sz w:val="22"/>
          <w:szCs w:val="22"/>
        </w:rPr>
        <w:t xml:space="preserve">    </w:t>
      </w:r>
      <w:r w:rsidR="00DF3C50">
        <w:rPr>
          <w:rFonts w:eastAsia="Calibri"/>
          <w:bCs w:val="0"/>
          <w:iCs w:val="0"/>
          <w:sz w:val="22"/>
          <w:szCs w:val="22"/>
        </w:rPr>
        <w:t>3</w:t>
      </w:r>
      <w:r w:rsidR="00B56F6A" w:rsidRPr="00B56F6A">
        <w:rPr>
          <w:rFonts w:eastAsia="Calibri"/>
          <w:bCs w:val="0"/>
          <w:iCs w:val="0"/>
          <w:sz w:val="22"/>
          <w:szCs w:val="22"/>
        </w:rPr>
        <w:t>.</w:t>
      </w:r>
      <w:r w:rsidR="00DF3C50">
        <w:rPr>
          <w:rFonts w:eastAsia="Calibri"/>
          <w:bCs w:val="0"/>
          <w:iCs w:val="0"/>
          <w:sz w:val="22"/>
          <w:szCs w:val="22"/>
        </w:rPr>
        <w:t>7</w:t>
      </w:r>
      <w:r w:rsidR="00B56F6A" w:rsidRPr="00B56F6A">
        <w:rPr>
          <w:rFonts w:eastAsia="Calibri"/>
          <w:bCs w:val="0"/>
          <w:iCs w:val="0"/>
          <w:sz w:val="22"/>
          <w:szCs w:val="22"/>
        </w:rPr>
        <w:t xml:space="preserve"> </w:t>
      </w:r>
      <w:r w:rsidR="00B56F6A" w:rsidRPr="00B56F6A">
        <w:rPr>
          <w:sz w:val="22"/>
          <w:szCs w:val="22"/>
        </w:rPr>
        <w:t>Radna snaga</w:t>
      </w:r>
    </w:p>
    <w:p w:rsidR="00D620F2" w:rsidRDefault="00D620F2" w:rsidP="00A40BDA">
      <w:pPr>
        <w:shd w:val="clear" w:color="auto" w:fill="FFFFFF" w:themeFill="background1"/>
        <w:spacing w:after="0"/>
        <w:ind w:left="-180" w:right="-270"/>
        <w:rPr>
          <w:rFonts w:ascii="Arial" w:hAnsi="Arial" w:cs="Arial"/>
          <w:b/>
        </w:rPr>
      </w:pPr>
    </w:p>
    <w:p w:rsidR="00B56F6A" w:rsidRPr="007B37D3" w:rsidRDefault="00B56F6A" w:rsidP="00A40BDA">
      <w:pPr>
        <w:shd w:val="clear" w:color="auto" w:fill="FFFFFF" w:themeFill="background1"/>
        <w:spacing w:after="0"/>
        <w:ind w:left="-180" w:right="-270"/>
        <w:rPr>
          <w:rFonts w:ascii="Arial" w:hAnsi="Arial" w:cs="Arial"/>
          <w:b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99"/>
        <w:gridCol w:w="2430"/>
        <w:gridCol w:w="1272"/>
        <w:gridCol w:w="1710"/>
        <w:gridCol w:w="1008"/>
      </w:tblGrid>
      <w:tr w:rsidR="00D620F2" w:rsidRPr="007B37D3" w:rsidTr="007922F1"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Redni broj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Naziv radnog mjesta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Potrebna kvalifikacija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Struka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>Broj izvršioca</w:t>
            </w:r>
          </w:p>
        </w:tc>
      </w:tr>
      <w:tr w:rsidR="00D620F2" w:rsidRPr="007B37D3" w:rsidTr="007922F1">
        <w:tc>
          <w:tcPr>
            <w:tcW w:w="10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Upravnik</w:t>
            </w:r>
          </w:p>
        </w:tc>
        <w:tc>
          <w:tcPr>
            <w:tcW w:w="1272" w:type="dxa"/>
            <w:tcBorders>
              <w:top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VSS</w:t>
            </w:r>
          </w:p>
        </w:tc>
        <w:tc>
          <w:tcPr>
            <w:tcW w:w="1710" w:type="dxa"/>
            <w:tcBorders>
              <w:top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Dipl.inž. rudarstva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30" w:type="dxa"/>
            <w:tcBorders>
              <w:lef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Poslovođa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SSS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Rudarski tehničar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30" w:type="dxa"/>
            <w:tcBorders>
              <w:lef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Rukova</w:t>
            </w:r>
            <w:r w:rsidR="00DF3C50">
              <w:rPr>
                <w:rFonts w:ascii="Arial" w:hAnsi="Arial" w:cs="Arial"/>
                <w:sz w:val="22"/>
                <w:szCs w:val="22"/>
              </w:rPr>
              <w:t>la</w:t>
            </w:r>
            <w:r w:rsidRPr="007B37D3">
              <w:rPr>
                <w:rFonts w:ascii="Arial" w:hAnsi="Arial" w:cs="Arial"/>
                <w:sz w:val="22"/>
                <w:szCs w:val="22"/>
              </w:rPr>
              <w:t>c mobilnog postrojenja za preradu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Rukova</w:t>
            </w:r>
            <w:r w:rsidR="00DF3C50">
              <w:rPr>
                <w:rFonts w:ascii="Arial" w:hAnsi="Arial" w:cs="Arial"/>
                <w:sz w:val="22"/>
                <w:szCs w:val="22"/>
              </w:rPr>
              <w:t>la</w:t>
            </w:r>
            <w:r w:rsidRPr="007B37D3">
              <w:rPr>
                <w:rFonts w:ascii="Arial" w:hAnsi="Arial" w:cs="Arial"/>
                <w:sz w:val="22"/>
                <w:szCs w:val="22"/>
              </w:rPr>
              <w:t>c rud.-građ. mašina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30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Rukova</w:t>
            </w:r>
            <w:r w:rsidR="00DF3C50">
              <w:rPr>
                <w:rFonts w:ascii="Arial" w:hAnsi="Arial" w:cs="Arial"/>
                <w:sz w:val="22"/>
                <w:szCs w:val="22"/>
              </w:rPr>
              <w:t>la</w:t>
            </w:r>
            <w:r w:rsidRPr="007B37D3">
              <w:rPr>
                <w:rFonts w:ascii="Arial" w:hAnsi="Arial" w:cs="Arial"/>
                <w:sz w:val="22"/>
                <w:szCs w:val="22"/>
              </w:rPr>
              <w:t>c mašinama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Rukova</w:t>
            </w:r>
            <w:r w:rsidR="00DF3C50">
              <w:rPr>
                <w:rFonts w:ascii="Arial" w:hAnsi="Arial" w:cs="Arial"/>
                <w:sz w:val="22"/>
                <w:szCs w:val="22"/>
              </w:rPr>
              <w:t>la</w:t>
            </w:r>
            <w:r w:rsidRPr="007B37D3">
              <w:rPr>
                <w:rFonts w:ascii="Arial" w:hAnsi="Arial" w:cs="Arial"/>
                <w:sz w:val="22"/>
                <w:szCs w:val="22"/>
              </w:rPr>
              <w:t>c rud.-građ. mašina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30" w:type="dxa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Vozač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vozač</w:t>
            </w: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30" w:type="dxa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Bušač </w:t>
            </w:r>
          </w:p>
        </w:tc>
        <w:tc>
          <w:tcPr>
            <w:tcW w:w="1272" w:type="dxa"/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710" w:type="dxa"/>
            <w:tcBorders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F3C50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620F2" w:rsidRPr="007B37D3" w:rsidTr="007922F1">
        <w:tc>
          <w:tcPr>
            <w:tcW w:w="10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430" w:type="dxa"/>
            <w:tcBorders>
              <w:bottom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Stražar</w:t>
            </w:r>
          </w:p>
        </w:tc>
        <w:tc>
          <w:tcPr>
            <w:tcW w:w="1272" w:type="dxa"/>
            <w:tcBorders>
              <w:bottom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PK</w:t>
            </w: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7D3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D620F2" w:rsidRPr="007B37D3" w:rsidTr="007922F1">
        <w:trPr>
          <w:trHeight w:val="243"/>
        </w:trPr>
        <w:tc>
          <w:tcPr>
            <w:tcW w:w="751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7B37D3" w:rsidRDefault="00D620F2" w:rsidP="00A40BDA">
            <w:pPr>
              <w:shd w:val="clear" w:color="auto" w:fill="FFFFFF" w:themeFill="background1"/>
              <w:ind w:left="-180" w:right="-270"/>
              <w:rPr>
                <w:rFonts w:ascii="Arial" w:hAnsi="Arial" w:cs="Arial"/>
                <w:b/>
                <w:sz w:val="22"/>
                <w:szCs w:val="22"/>
              </w:rPr>
            </w:pPr>
            <w:r w:rsidRPr="007B37D3">
              <w:rPr>
                <w:rFonts w:ascii="Arial" w:hAnsi="Arial" w:cs="Arial"/>
                <w:b/>
                <w:sz w:val="22"/>
                <w:szCs w:val="22"/>
              </w:rPr>
              <w:t xml:space="preserve">UKUPNO:                                                                   </w:t>
            </w:r>
            <w:r w:rsidR="00B56F6A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</w:t>
            </w:r>
            <w:r w:rsidR="00DF3C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B37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F3C50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7B37D3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</w:t>
            </w:r>
          </w:p>
        </w:tc>
      </w:tr>
    </w:tbl>
    <w:p w:rsidR="00D620F2" w:rsidRPr="007B37D3" w:rsidRDefault="00D620F2" w:rsidP="00A40BDA">
      <w:pPr>
        <w:shd w:val="clear" w:color="auto" w:fill="FFFFFF" w:themeFill="background1"/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D620F2" w:rsidRDefault="00D620F2" w:rsidP="00A40BDA">
      <w:pPr>
        <w:shd w:val="clear" w:color="auto" w:fill="FFFFFF" w:themeFill="background1"/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>Napomena:</w:t>
      </w:r>
      <w:r w:rsidRPr="007B37D3">
        <w:rPr>
          <w:rFonts w:ascii="Arial" w:hAnsi="Arial" w:cs="Arial"/>
        </w:rPr>
        <w:t xml:space="preserve"> Zaposleni treba da ispunjavaju uslove propisane čl. 93 Zakona o rudarstvu („Sl. list CG“, br. 65/08). </w:t>
      </w:r>
    </w:p>
    <w:p w:rsidR="00AA1D17" w:rsidRDefault="00AA1D17" w:rsidP="00A40BDA">
      <w:pPr>
        <w:ind w:left="-180" w:right="-270"/>
        <w:rPr>
          <w:rFonts w:ascii="Arial" w:hAnsi="Arial" w:cs="Arial"/>
          <w:b/>
        </w:rPr>
      </w:pPr>
    </w:p>
    <w:p w:rsidR="00D620F2" w:rsidRPr="007B37D3" w:rsidRDefault="00AA1D17" w:rsidP="00A40BDA">
      <w:pPr>
        <w:ind w:left="-180" w:right="-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765BD" w:rsidRPr="007B37D3">
        <w:rPr>
          <w:rFonts w:ascii="Arial" w:hAnsi="Arial" w:cs="Arial"/>
          <w:b/>
        </w:rPr>
        <w:t>.</w:t>
      </w:r>
      <w:r w:rsidR="00D620F2" w:rsidRPr="007B37D3">
        <w:rPr>
          <w:rFonts w:ascii="Arial" w:hAnsi="Arial" w:cs="Arial"/>
          <w:b/>
        </w:rPr>
        <w:t xml:space="preserve"> MJERE ZA ZAŠTITU ŽIVOTNE SREDINE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Detaljna geološka istraživanja u manjoj mjeri mogu imati uticaj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životnu sredinu, dok eksploatacija i obrada mineralne sirovine, a time i tehničko-građevinskog kamena, je proces koji se, sa aspekta ekologije, smatra rizičnim.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>U zakonskim propisima koji regulušu zaštitu životne sredine naglašeni su osnovni principi njene zaštite, i to: prirodnih vrijednosti zemljišta, vode i vazduha, kao i biodiverziteta (biljni i životinjski svijet).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Shodno naprijed navedenom, Koncesinar je dužan da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istražno-ekspl</w:t>
      </w:r>
      <w:r w:rsidR="00F10DEF" w:rsidRPr="006A1E25">
        <w:rPr>
          <w:rFonts w:ascii="Arial" w:hAnsi="Arial" w:cs="Arial"/>
        </w:rPr>
        <w:t>oatacionom prostoru „Pogled</w:t>
      </w:r>
      <w:r w:rsidRPr="006A1E25">
        <w:rPr>
          <w:rFonts w:ascii="Arial" w:hAnsi="Arial" w:cs="Arial"/>
        </w:rPr>
        <w:t>“, pri planiranju i sprovođenju investicionog zahvata, sprovode postupak prethodne procjene uticaja na životnu sredinu, u sladu sa zakonom.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Rudarska aktivnost neminovno dovodi do nepovoljnih, odnosno, negativnih uticaja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životnu sredinu. U prvom redu, nepovoljni uticaji eksploatacije i obrade predmetne mineralne sirovine se odnose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značajniju promjenu reljefa, odnosno, značajniji uticaj na pejzaž, povećanu buku i neznatno zagađenje vazduha izduvnim gasovima i kamenom prašinom. 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Shodno ovome, ekološko-tehnički uslovi treba da obezbijede zaštitu </w:t>
      </w:r>
      <w:proofErr w:type="gramStart"/>
      <w:r w:rsidRPr="006A1E25">
        <w:rPr>
          <w:rFonts w:ascii="Arial" w:hAnsi="Arial" w:cs="Arial"/>
        </w:rPr>
        <w:t>od</w:t>
      </w:r>
      <w:proofErr w:type="gramEnd"/>
      <w:r w:rsidRPr="006A1E25">
        <w:rPr>
          <w:rFonts w:ascii="Arial" w:hAnsi="Arial" w:cs="Arial"/>
        </w:rPr>
        <w:t xml:space="preserve"> uticaja buke, vibracija, prašine i dugih štetnih uticaja po okolinu. Ove zahtjeve Koncesionar treba imati u vidu prilikom izbora opreme i mehanizacije, odnosno, da se </w:t>
      </w:r>
      <w:proofErr w:type="gramStart"/>
      <w:r w:rsidRPr="006A1E25">
        <w:rPr>
          <w:rFonts w:ascii="Arial" w:hAnsi="Arial" w:cs="Arial"/>
        </w:rPr>
        <w:t>od</w:t>
      </w:r>
      <w:proofErr w:type="gramEnd"/>
      <w:r w:rsidRPr="006A1E25">
        <w:rPr>
          <w:rFonts w:ascii="Arial" w:hAnsi="Arial" w:cs="Arial"/>
        </w:rPr>
        <w:t xml:space="preserve"> proizvođača istih posjeduje garancija za ispunjavanje zakonom propisanih standarda.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lastRenderedPageBreak/>
        <w:t xml:space="preserve">Nadležni državni organ procjenjuje potrebu izrade Elaborata o procjeni uticaja zahvata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životnu sredinu, koji se radi u skladu sa Zakonom o procjeni uticaja zahvata na životnu sredinu („Sl. list RCG“, br. 80/05 i „Sl. list CG“, br. 40/10, 73/10, 40/11 i 27/13).</w:t>
      </w: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6A1E25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6A1E25">
        <w:rPr>
          <w:rFonts w:ascii="Arial" w:hAnsi="Arial" w:cs="Arial"/>
        </w:rPr>
        <w:t xml:space="preserve">S obzirom </w:t>
      </w:r>
      <w:proofErr w:type="gramStart"/>
      <w:r w:rsidRPr="006A1E25">
        <w:rPr>
          <w:rFonts w:ascii="Arial" w:hAnsi="Arial" w:cs="Arial"/>
        </w:rPr>
        <w:t>na</w:t>
      </w:r>
      <w:proofErr w:type="gramEnd"/>
      <w:r w:rsidRPr="006A1E25">
        <w:rPr>
          <w:rFonts w:ascii="Arial" w:hAnsi="Arial" w:cs="Arial"/>
        </w:rPr>
        <w:t xml:space="preserve"> značaj očuvanja životne sredine, Koncesionar je dužan da se pridržava svih mjera zaštite životne sredine u skladu sa zakonskim propisima.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Zakonska regulativa koja uređuje ovu djelatnost je sljedeća: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253F51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Zakon o procjeni uticaja zahvata na životnu sredinu („Sl. list RCG“, br. 80/05 i „Sl. list CG“, br. 40/10, </w:t>
      </w:r>
      <w:r w:rsidR="00253F51">
        <w:rPr>
          <w:rFonts w:ascii="Arial" w:hAnsi="Arial" w:cs="Arial"/>
        </w:rPr>
        <w:t xml:space="preserve"> </w:t>
      </w:r>
    </w:p>
    <w:p w:rsidR="00D620F2" w:rsidRPr="007B37D3" w:rsidRDefault="00253F51" w:rsidP="00253F51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620F2" w:rsidRPr="007B37D3">
        <w:rPr>
          <w:rFonts w:ascii="Arial" w:hAnsi="Arial" w:cs="Arial"/>
        </w:rPr>
        <w:t>73/10, 40/11 i 27/13</w:t>
      </w:r>
      <w:r w:rsidR="00AA1D17">
        <w:rPr>
          <w:rFonts w:ascii="Arial" w:hAnsi="Arial" w:cs="Arial"/>
        </w:rPr>
        <w:t xml:space="preserve"> I 52/16</w:t>
      </w:r>
      <w:r w:rsidR="00D620F2" w:rsidRPr="007B37D3">
        <w:rPr>
          <w:rFonts w:ascii="Arial" w:hAnsi="Arial" w:cs="Arial"/>
        </w:rPr>
        <w:t>);</w:t>
      </w:r>
    </w:p>
    <w:p w:rsidR="00D620F2" w:rsidRPr="007B37D3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Zakon o zaštiti prirode („Sl. list CG“, br. </w:t>
      </w:r>
      <w:r w:rsidR="00071F77">
        <w:rPr>
          <w:rFonts w:ascii="Arial" w:hAnsi="Arial" w:cs="Arial"/>
        </w:rPr>
        <w:t>54/16</w:t>
      </w:r>
      <w:r w:rsidRPr="007B37D3">
        <w:rPr>
          <w:rFonts w:ascii="Arial" w:hAnsi="Arial" w:cs="Arial"/>
        </w:rPr>
        <w:t>);</w:t>
      </w:r>
    </w:p>
    <w:p w:rsidR="00253F51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Uredba o projektima za koje se vrši procjena uticaja na životnu sredinu („Sl. list RCG“, br. 20/07 i </w:t>
      </w:r>
    </w:p>
    <w:p w:rsidR="00D620F2" w:rsidRPr="007B37D3" w:rsidRDefault="00253F51" w:rsidP="00253F51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620F2" w:rsidRPr="007B37D3">
        <w:rPr>
          <w:rFonts w:ascii="Arial" w:hAnsi="Arial" w:cs="Arial"/>
        </w:rPr>
        <w:t>„Sl. list CG“, br. 47/13</w:t>
      </w:r>
      <w:r w:rsidR="00071F77">
        <w:rPr>
          <w:rFonts w:ascii="Arial" w:hAnsi="Arial" w:cs="Arial"/>
        </w:rPr>
        <w:t xml:space="preserve"> I 53/14</w:t>
      </w:r>
      <w:r w:rsidR="00D620F2" w:rsidRPr="007B37D3">
        <w:rPr>
          <w:rFonts w:ascii="Arial" w:hAnsi="Arial" w:cs="Arial"/>
        </w:rPr>
        <w:t>);</w:t>
      </w:r>
    </w:p>
    <w:p w:rsidR="00253F51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Uredba o visini naknada, načinu obračuna i plaćanja naknada zbog zagađenja životne sredine („Sl. </w:t>
      </w:r>
    </w:p>
    <w:p w:rsidR="00D620F2" w:rsidRPr="007B37D3" w:rsidRDefault="00253F51" w:rsidP="00253F51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D620F2" w:rsidRPr="007B37D3">
        <w:rPr>
          <w:rFonts w:ascii="Arial" w:hAnsi="Arial" w:cs="Arial"/>
        </w:rPr>
        <w:t>list</w:t>
      </w:r>
      <w:proofErr w:type="gramEnd"/>
      <w:r w:rsidR="00D620F2" w:rsidRPr="007B37D3">
        <w:rPr>
          <w:rFonts w:ascii="Arial" w:hAnsi="Arial" w:cs="Arial"/>
        </w:rPr>
        <w:t xml:space="preserve"> RCG“, br. 26/97, 09/00 i 52/00 i „Sl. list CG“, br. 33/08, 05/09, 64/09, 40/11 i 49/11);</w:t>
      </w:r>
    </w:p>
    <w:p w:rsidR="00253F51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Pravilnik o sadržaju dokumentacije koja se podnosi uz zahtjev za odlučivanje o potrebi procjene </w:t>
      </w:r>
      <w:r w:rsidR="00253F51">
        <w:rPr>
          <w:rFonts w:ascii="Arial" w:hAnsi="Arial" w:cs="Arial"/>
        </w:rPr>
        <w:t xml:space="preserve">   </w:t>
      </w:r>
    </w:p>
    <w:p w:rsidR="00D620F2" w:rsidRPr="007B37D3" w:rsidRDefault="00253F51" w:rsidP="00253F51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D620F2" w:rsidRPr="007B37D3">
        <w:rPr>
          <w:rFonts w:ascii="Arial" w:hAnsi="Arial" w:cs="Arial"/>
        </w:rPr>
        <w:t>uticaja</w:t>
      </w:r>
      <w:proofErr w:type="gramEnd"/>
      <w:r w:rsidR="00D620F2" w:rsidRPr="007B37D3">
        <w:rPr>
          <w:rFonts w:ascii="Arial" w:hAnsi="Arial" w:cs="Arial"/>
        </w:rPr>
        <w:t xml:space="preserve"> na životnu sredinu („Sl. list CG“, br. 14/07);</w:t>
      </w:r>
    </w:p>
    <w:p w:rsidR="00253F51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Pravilnik o sadržaju dokumentacije koja se podnosi uz zahtjev za određivanje obima i sadržaja </w:t>
      </w:r>
    </w:p>
    <w:p w:rsidR="00D620F2" w:rsidRPr="007B37D3" w:rsidRDefault="00253F51" w:rsidP="00253F51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620F2" w:rsidRPr="007B37D3">
        <w:rPr>
          <w:rFonts w:ascii="Arial" w:hAnsi="Arial" w:cs="Arial"/>
        </w:rPr>
        <w:t xml:space="preserve">Elaborata o procjeni uticaja </w:t>
      </w:r>
      <w:proofErr w:type="gramStart"/>
      <w:r w:rsidR="00D620F2" w:rsidRPr="007B37D3">
        <w:rPr>
          <w:rFonts w:ascii="Arial" w:hAnsi="Arial" w:cs="Arial"/>
        </w:rPr>
        <w:t>na</w:t>
      </w:r>
      <w:proofErr w:type="gramEnd"/>
      <w:r w:rsidR="00D620F2" w:rsidRPr="007B37D3">
        <w:rPr>
          <w:rFonts w:ascii="Arial" w:hAnsi="Arial" w:cs="Arial"/>
        </w:rPr>
        <w:t xml:space="preserve"> životnu sredinu („Sl. list CG“, br. 14/07); i</w:t>
      </w:r>
    </w:p>
    <w:p w:rsidR="007B37D3" w:rsidRPr="006A1E25" w:rsidRDefault="00D620F2" w:rsidP="00253F51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Pravilnik o sadržini Elaborata o procjeni uticaja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životnu sredinu („Sl. list CG“, br. 14/07).</w:t>
      </w:r>
    </w:p>
    <w:p w:rsidR="00D620F2" w:rsidRPr="007B37D3" w:rsidRDefault="001E150B" w:rsidP="00A40BDA">
      <w:pPr>
        <w:pStyle w:val="Heading1"/>
        <w:ind w:left="-180" w:right="-270" w:hanging="432"/>
        <w:rPr>
          <w:sz w:val="22"/>
          <w:szCs w:val="22"/>
        </w:rPr>
      </w:pPr>
      <w:bookmarkStart w:id="13" w:name="_Toc402262949"/>
      <w:r>
        <w:rPr>
          <w:sz w:val="22"/>
          <w:szCs w:val="22"/>
        </w:rPr>
        <w:t xml:space="preserve">       </w:t>
      </w:r>
      <w:r w:rsidR="00071F77">
        <w:rPr>
          <w:sz w:val="22"/>
          <w:szCs w:val="22"/>
        </w:rPr>
        <w:t>5</w:t>
      </w:r>
      <w:r w:rsidR="00F765BD" w:rsidRPr="007B37D3">
        <w:rPr>
          <w:sz w:val="22"/>
          <w:szCs w:val="22"/>
        </w:rPr>
        <w:t xml:space="preserve">. </w:t>
      </w:r>
      <w:r w:rsidR="00D620F2" w:rsidRPr="007B37D3">
        <w:rPr>
          <w:sz w:val="22"/>
          <w:szCs w:val="22"/>
        </w:rPr>
        <w:t>REKULTIVACIJA ISTRAŽNO-EKSPL</w:t>
      </w:r>
      <w:r w:rsidR="00F10DEF" w:rsidRPr="007B37D3">
        <w:rPr>
          <w:sz w:val="22"/>
          <w:szCs w:val="22"/>
        </w:rPr>
        <w:t>OATACIONOG PROSTORA “POGLED</w:t>
      </w:r>
      <w:r w:rsidR="00D620F2" w:rsidRPr="007B37D3">
        <w:rPr>
          <w:sz w:val="22"/>
          <w:szCs w:val="22"/>
        </w:rPr>
        <w:t>”</w:t>
      </w:r>
      <w:bookmarkEnd w:id="13"/>
    </w:p>
    <w:p w:rsidR="000156A4" w:rsidRPr="007B37D3" w:rsidRDefault="000156A4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Negativni uticaji budućih rudarskih aktivnosti </w:t>
      </w:r>
      <w:proofErr w:type="gramStart"/>
      <w:r w:rsidR="00B77602" w:rsidRPr="007B37D3">
        <w:rPr>
          <w:rFonts w:ascii="Arial" w:hAnsi="Arial" w:cs="Arial"/>
        </w:rPr>
        <w:t>na</w:t>
      </w:r>
      <w:proofErr w:type="gramEnd"/>
      <w:r w:rsidR="00F10DEF" w:rsidRPr="007B37D3">
        <w:rPr>
          <w:rFonts w:ascii="Arial" w:hAnsi="Arial" w:cs="Arial"/>
        </w:rPr>
        <w:t xml:space="preserve"> površinskom kopu “Pogled</w:t>
      </w:r>
      <w:r w:rsidRPr="007B37D3">
        <w:rPr>
          <w:rFonts w:ascii="Arial" w:hAnsi="Arial" w:cs="Arial"/>
        </w:rPr>
        <w:t xml:space="preserve">” sa kvalitativnom procjenom mogućih nepovoljnih uticaja na radnu i životnu sredinu, obrađeni su u poglavlju </w:t>
      </w:r>
      <w:r w:rsidR="00071F77">
        <w:rPr>
          <w:rFonts w:ascii="Arial" w:hAnsi="Arial" w:cs="Arial"/>
        </w:rPr>
        <w:t>4</w:t>
      </w:r>
      <w:r w:rsidR="00F765BD" w:rsidRPr="007B37D3">
        <w:rPr>
          <w:rFonts w:ascii="Arial" w:hAnsi="Arial" w:cs="Arial"/>
        </w:rPr>
        <w:t>.</w:t>
      </w:r>
      <w:r w:rsidR="00071F77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Mjere za zaštitu životne sredine.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 ovom poglavlju se obrađuje faza rekultivacije istražno-eksploatacionog prostora.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Novi zakonski uslovi za eksploataciju zahtijevaju da se izvrši rekultivacija prostora koji </w:t>
      </w:r>
      <w:proofErr w:type="gramStart"/>
      <w:r w:rsidRPr="007B37D3">
        <w:rPr>
          <w:rFonts w:ascii="Arial" w:hAnsi="Arial" w:cs="Arial"/>
        </w:rPr>
        <w:t>će</w:t>
      </w:r>
      <w:proofErr w:type="gramEnd"/>
      <w:r w:rsidRPr="007B37D3">
        <w:rPr>
          <w:rFonts w:ascii="Arial" w:hAnsi="Arial" w:cs="Arial"/>
        </w:rPr>
        <w:t xml:space="preserve"> biti degradiran obavljanjem koncesione djelatnosti, a sve to u cilju poboljšanja ekoloških uslova na samom lokalitetu i neposrednoj okolini.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Ako bi se degradirane površine ostavile, nakon izvođenja radova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eksploataciji, u istom stanju, mogu se očekivati neki od sljedećih negativnih uticaja:</w:t>
      </w: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314392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produžavanje nepovoljnog uticaja pejzažnog izgleda terena,</w:t>
      </w:r>
    </w:p>
    <w:p w:rsidR="00D620F2" w:rsidRPr="007B37D3" w:rsidRDefault="00D620F2" w:rsidP="00314392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pogoršavanje stanja degradiranih površina zbog pojave erozije, klizišta i sl.,</w:t>
      </w:r>
    </w:p>
    <w:p w:rsidR="00314392" w:rsidRDefault="00D620F2" w:rsidP="00314392">
      <w:pPr>
        <w:pStyle w:val="ListParagraph"/>
        <w:numPr>
          <w:ilvl w:val="0"/>
          <w:numId w:val="2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produžavanje negativnih uticaja na vazduh i okolno zemljište (podizanje prašine izazvane vjetrom, </w:t>
      </w:r>
      <w:r w:rsidR="00314392">
        <w:rPr>
          <w:rFonts w:ascii="Arial" w:hAnsi="Arial" w:cs="Arial"/>
        </w:rPr>
        <w:t xml:space="preserve"> </w:t>
      </w:r>
    </w:p>
    <w:p w:rsidR="00D620F2" w:rsidRPr="007B37D3" w:rsidRDefault="00314392" w:rsidP="00314392">
      <w:pPr>
        <w:pStyle w:val="ListParagraph"/>
        <w:suppressAutoHyphens/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D620F2" w:rsidRPr="007B37D3">
        <w:rPr>
          <w:rFonts w:ascii="Arial" w:hAnsi="Arial" w:cs="Arial"/>
        </w:rPr>
        <w:t>odnošenje</w:t>
      </w:r>
      <w:proofErr w:type="gramEnd"/>
      <w:r w:rsidR="00D620F2" w:rsidRPr="007B37D3">
        <w:rPr>
          <w:rFonts w:ascii="Arial" w:hAnsi="Arial" w:cs="Arial"/>
        </w:rPr>
        <w:t xml:space="preserve"> materijala površinskim – atmosferskim vodama).</w:t>
      </w: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Osnovni cilj rekultivacije je da se </w:t>
      </w:r>
      <w:proofErr w:type="gramStart"/>
      <w:r w:rsidR="00BF5CFA">
        <w:rPr>
          <w:rFonts w:ascii="Arial" w:hAnsi="Arial" w:cs="Arial"/>
        </w:rPr>
        <w:t>na</w:t>
      </w:r>
      <w:proofErr w:type="gramEnd"/>
      <w:r w:rsidR="00BF5CFA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prostoru, na kojem će biti vršena eksploatacija, da prirodna vrijednost</w:t>
      </w:r>
      <w:r w:rsidR="00BF5CFA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slična ili bolja od prvobitne, što je, prema procijenjenim sadašnjim uslovima na ovo</w:t>
      </w:r>
      <w:r w:rsidR="00D6597A" w:rsidRPr="007B37D3">
        <w:rPr>
          <w:rFonts w:ascii="Arial" w:hAnsi="Arial" w:cs="Arial"/>
        </w:rPr>
        <w:t>j</w:t>
      </w:r>
      <w:r w:rsidRPr="007B37D3">
        <w:rPr>
          <w:rFonts w:ascii="Arial" w:hAnsi="Arial" w:cs="Arial"/>
        </w:rPr>
        <w:t xml:space="preserve"> loka</w:t>
      </w:r>
      <w:r w:rsidR="00D6597A" w:rsidRPr="007B37D3">
        <w:rPr>
          <w:rFonts w:ascii="Arial" w:hAnsi="Arial" w:cs="Arial"/>
        </w:rPr>
        <w:t>ciji</w:t>
      </w:r>
      <w:r w:rsidRPr="007B37D3">
        <w:rPr>
          <w:rFonts w:ascii="Arial" w:hAnsi="Arial" w:cs="Arial"/>
        </w:rPr>
        <w:t xml:space="preserve">, sasvim moguće. 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Crna Gora ima zakonske propise usaglašene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standardima Evropske unije koji tretiraju rudarsku djelatnost, a u sklopu toga i obaveze Koncesionara za pridržavanje mjera zaštite životne i radne sredine i rekultivacije degradiranog prostora (Zakon o koncesijama, Zakon o rudarstvu i propisi iz oblasti zaštite životne sredine).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Zbog velike važnosti ove faze rada, zakonskim propisima utvrđena je obaveza izrade projektnih rješenja rekultivacije, izradom Glavnog rudarskog projekta (Pravilnik o sadržaji rudarskih projekata) </w:t>
      </w:r>
      <w:proofErr w:type="gramStart"/>
      <w:r w:rsidRPr="007B37D3">
        <w:rPr>
          <w:rFonts w:ascii="Arial" w:hAnsi="Arial" w:cs="Arial"/>
        </w:rPr>
        <w:t>ili</w:t>
      </w:r>
      <w:proofErr w:type="gramEnd"/>
      <w:r w:rsidRPr="007B37D3">
        <w:rPr>
          <w:rFonts w:ascii="Arial" w:hAnsi="Arial" w:cs="Arial"/>
        </w:rPr>
        <w:t xml:space="preserve"> izradom posebnog tehničkog projekta rekultivacije, koji je sastavni dio Glavnog rudarskog projekta.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Projektima se daju rješenja rudarsko-tehničke i biološke rekultivacije površina degradiranih izvođenjem rudarskih radova, uz uvažavanje uslova koji su utvrđeni Elaboratom o procjeni uticaja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životnu sredinu, vodnih uslova i sl.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Projekat se mora realizovati u fazama, odnosno radovi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rekultivaciji izvoditi sukcesivno, paralelno sa razvojem kopa. To znači da je </w:t>
      </w:r>
      <w:proofErr w:type="gramStart"/>
      <w:r w:rsidRPr="007B37D3">
        <w:rPr>
          <w:rFonts w:ascii="Arial" w:hAnsi="Arial" w:cs="Arial"/>
        </w:rPr>
        <w:t>sa</w:t>
      </w:r>
      <w:proofErr w:type="gramEnd"/>
      <w:r w:rsidRPr="007B37D3">
        <w:rPr>
          <w:rFonts w:ascii="Arial" w:hAnsi="Arial" w:cs="Arial"/>
        </w:rPr>
        <w:t xml:space="preserve"> radovima na rekultivaciji potrebno početi odmah po završetku svake etaže.</w:t>
      </w:r>
    </w:p>
    <w:p w:rsidR="00BF5CFA" w:rsidRPr="007B37D3" w:rsidRDefault="00BF5CFA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1E150B" w:rsidRDefault="001E150B" w:rsidP="00A40BDA">
      <w:pPr>
        <w:pStyle w:val="Heading2"/>
        <w:numPr>
          <w:ilvl w:val="1"/>
          <w:numId w:val="0"/>
        </w:numPr>
        <w:spacing w:before="0" w:after="0" w:line="240" w:lineRule="auto"/>
        <w:ind w:left="-180" w:right="-270" w:hanging="576"/>
        <w:rPr>
          <w:i w:val="0"/>
          <w:sz w:val="24"/>
          <w:szCs w:val="24"/>
        </w:rPr>
      </w:pPr>
      <w:bookmarkStart w:id="14" w:name="_Toc402262950"/>
      <w:r>
        <w:rPr>
          <w:sz w:val="24"/>
          <w:szCs w:val="24"/>
        </w:rPr>
        <w:t xml:space="preserve">         </w:t>
      </w:r>
      <w:r w:rsidR="000C7787" w:rsidRPr="001E150B">
        <w:rPr>
          <w:i w:val="0"/>
          <w:sz w:val="24"/>
          <w:szCs w:val="24"/>
        </w:rPr>
        <w:t xml:space="preserve">5.1 </w:t>
      </w:r>
      <w:r w:rsidR="00D620F2" w:rsidRPr="001E150B">
        <w:rPr>
          <w:i w:val="0"/>
          <w:sz w:val="24"/>
          <w:szCs w:val="24"/>
        </w:rPr>
        <w:t>Zaključak</w:t>
      </w:r>
      <w:bookmarkEnd w:id="14"/>
    </w:p>
    <w:p w:rsidR="00310130" w:rsidRPr="007B37D3" w:rsidRDefault="00310130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 skladu sa članom 71 Zakona o rudarstvu koncesionar je dužan da u toku i po završetku radova na eksploataciji predmetne mineralne sirovine, a najkasnije u roku od jedne godine od dana završetka radova, privede zemljište na eksploatacionom polju namjeni prema Projektu rekultivacije zemljišta, odnosno, da preduzme mjere zaštite životne sredine sadržane u Elaboratu o procjeni uticaja na životnu sredinu na koji je</w:t>
      </w:r>
      <w:r w:rsidR="00BF5CFA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od strane organa državne uprave nadležnog za poslove zaštite životne sredine</w:t>
      </w:r>
      <w:r w:rsidR="00BF5CFA">
        <w:rPr>
          <w:rFonts w:ascii="Arial" w:hAnsi="Arial" w:cs="Arial"/>
        </w:rPr>
        <w:t>,</w:t>
      </w:r>
      <w:r w:rsidRPr="007B37D3">
        <w:rPr>
          <w:rFonts w:ascii="Arial" w:hAnsi="Arial" w:cs="Arial"/>
        </w:rPr>
        <w:t xml:space="preserve"> data saglasnost i mjere zaštite voda u skladu sa zakonom.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O naprijed navedenim mjerama izvještavaju se nadležno ministarstvo za rudarstvo i ministarstva nadležna za poslove poljoprivrede, vodoprivrede, zaštite životne sredine i nadležni organ lokalne uprave.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Za sanaciju i rekultivaciju, saglasno odredbi člana 73 Zakona o rudarstvu, koncesionar je dužan da od svake jedinice proizvoda mineralne sirovine mjesečno izdvaja sredstva za djelimičnu ili potpunu sanaciju zemljišta, a prema odobrenim projektima sanacije i rekultivacije.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Visina sredstava za sanaciju i rekultivaciju prostora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kojem se izvode rudarski radovi, način obračunavanja, plaćanja i korišćenja sredstava bliže je uređen Uredbom o visini sredstava za sanaciju i rekultivaciju prostora na kojem se izvodi rudarski radovi, načinu obračunavanja, plaćanja i korišćenja tih sredstava (“Sl. list CG”, br. 51/11).</w:t>
      </w:r>
    </w:p>
    <w:p w:rsidR="00D620F2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E150B" w:rsidRDefault="001E150B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E150B" w:rsidRDefault="001E150B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E150B" w:rsidRDefault="001E150B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1E150B" w:rsidRPr="007B37D3" w:rsidRDefault="001E150B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F765BD" w:rsidP="00A40BDA">
      <w:pPr>
        <w:pStyle w:val="Heading1"/>
        <w:spacing w:before="0" w:after="0" w:line="240" w:lineRule="auto"/>
        <w:ind w:left="-180" w:right="-270" w:hanging="432"/>
        <w:rPr>
          <w:sz w:val="22"/>
          <w:szCs w:val="22"/>
          <w:lang w:val="sv-SE"/>
        </w:rPr>
      </w:pPr>
      <w:bookmarkStart w:id="15" w:name="_Toc402262951"/>
      <w:r w:rsidRPr="007B37D3">
        <w:rPr>
          <w:sz w:val="22"/>
          <w:szCs w:val="22"/>
          <w:lang w:val="sv-SE"/>
        </w:rPr>
        <w:lastRenderedPageBreak/>
        <w:t xml:space="preserve"> </w:t>
      </w:r>
      <w:r w:rsidR="001E150B">
        <w:rPr>
          <w:sz w:val="22"/>
          <w:szCs w:val="22"/>
          <w:lang w:val="sv-SE"/>
        </w:rPr>
        <w:t xml:space="preserve">      </w:t>
      </w:r>
      <w:r w:rsidR="00770C70">
        <w:rPr>
          <w:sz w:val="22"/>
          <w:szCs w:val="22"/>
          <w:lang w:val="sv-SE"/>
        </w:rPr>
        <w:t>6</w:t>
      </w:r>
      <w:r w:rsidRPr="007B37D3">
        <w:rPr>
          <w:sz w:val="22"/>
          <w:szCs w:val="22"/>
          <w:lang w:val="sv-SE"/>
        </w:rPr>
        <w:t xml:space="preserve">. </w:t>
      </w:r>
      <w:r w:rsidR="00770C70">
        <w:rPr>
          <w:sz w:val="22"/>
          <w:szCs w:val="22"/>
          <w:lang w:val="sv-SE"/>
        </w:rPr>
        <w:t>UNAPRE</w:t>
      </w:r>
      <w:r w:rsidR="00D620F2" w:rsidRPr="007B37D3">
        <w:rPr>
          <w:sz w:val="22"/>
          <w:szCs w:val="22"/>
          <w:lang w:val="sv-SE"/>
        </w:rPr>
        <w:t>ĐENJE ENERGETSKE EFIKASNOSTI</w:t>
      </w:r>
      <w:bookmarkEnd w:id="15"/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  <w:lang w:val="sv-SE"/>
        </w:rPr>
      </w:pPr>
    </w:p>
    <w:p w:rsidR="00D620F2" w:rsidRPr="00BF5CF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BF5CFA">
        <w:rPr>
          <w:rFonts w:ascii="Arial" w:hAnsi="Arial" w:cs="Arial"/>
        </w:rPr>
        <w:t xml:space="preserve">Radi efikasnog korišćenja energije, u skladu </w:t>
      </w:r>
      <w:proofErr w:type="gramStart"/>
      <w:r w:rsidRPr="00BF5CFA">
        <w:rPr>
          <w:rFonts w:ascii="Arial" w:hAnsi="Arial" w:cs="Arial"/>
        </w:rPr>
        <w:t>sa</w:t>
      </w:r>
      <w:proofErr w:type="gramEnd"/>
      <w:r w:rsidRPr="00BF5CFA">
        <w:rPr>
          <w:rFonts w:ascii="Arial" w:hAnsi="Arial" w:cs="Arial"/>
        </w:rPr>
        <w:t xml:space="preserve"> odredbama Zakona o </w:t>
      </w:r>
      <w:r w:rsidR="00FD360C">
        <w:rPr>
          <w:rFonts w:ascii="Arial" w:hAnsi="Arial" w:cs="Arial"/>
        </w:rPr>
        <w:t>efiskasnom korišćenju energije</w:t>
      </w:r>
      <w:r w:rsidRPr="00BF5CFA">
        <w:rPr>
          <w:rFonts w:ascii="Arial" w:hAnsi="Arial" w:cs="Arial"/>
        </w:rPr>
        <w:t xml:space="preserve"> (“Sl. list CG”, br. </w:t>
      </w:r>
      <w:r w:rsidR="00FD360C">
        <w:rPr>
          <w:rFonts w:ascii="Arial" w:hAnsi="Arial" w:cs="Arial"/>
        </w:rPr>
        <w:t>57/14</w:t>
      </w:r>
      <w:r w:rsidRPr="00BF5CFA">
        <w:rPr>
          <w:rFonts w:ascii="Arial" w:hAnsi="Arial" w:cs="Arial"/>
        </w:rPr>
        <w:t xml:space="preserve"> i </w:t>
      </w:r>
      <w:r w:rsidR="00FD360C">
        <w:rPr>
          <w:rFonts w:ascii="Arial" w:hAnsi="Arial" w:cs="Arial"/>
        </w:rPr>
        <w:t>3</w:t>
      </w:r>
      <w:r w:rsidRPr="00BF5CFA">
        <w:rPr>
          <w:rFonts w:ascii="Arial" w:hAnsi="Arial" w:cs="Arial"/>
        </w:rPr>
        <w:t>/1</w:t>
      </w:r>
      <w:r w:rsidR="00FD360C">
        <w:rPr>
          <w:rFonts w:ascii="Arial" w:hAnsi="Arial" w:cs="Arial"/>
        </w:rPr>
        <w:t>5</w:t>
      </w:r>
      <w:r w:rsidRPr="00BF5CFA">
        <w:rPr>
          <w:rFonts w:ascii="Arial" w:hAnsi="Arial" w:cs="Arial"/>
        </w:rPr>
        <w:t>), koncesionar je dužan da preduzima mjere za poboljšanje energetske efikasnosti.</w:t>
      </w:r>
    </w:p>
    <w:p w:rsidR="00D620F2" w:rsidRPr="00BF5CF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BF5CFA">
        <w:rPr>
          <w:rFonts w:ascii="Arial" w:hAnsi="Arial" w:cs="Arial"/>
        </w:rPr>
        <w:t xml:space="preserve">Koncesonar je dužan da kroz izradu tehničke i projektne dokumentacije predvidi sprovođenje mjera za poboljšanje energetske efikasnosti, odnosno, ostvarivanje uštede energije i njeno racionalno korišćenje primjenom provjerenih savremenih tehnologija, čije je korišćenje ekonomski opravdano. </w:t>
      </w:r>
    </w:p>
    <w:p w:rsidR="00D620F2" w:rsidRPr="00BF5CF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BF5CFA">
        <w:rPr>
          <w:rFonts w:ascii="Arial" w:hAnsi="Arial" w:cs="Arial"/>
        </w:rPr>
        <w:t xml:space="preserve">Sprovođenje mjera energetske efikasnosti utiče </w:t>
      </w:r>
      <w:proofErr w:type="gramStart"/>
      <w:r w:rsidRPr="00BF5CFA">
        <w:rPr>
          <w:rFonts w:ascii="Arial" w:hAnsi="Arial" w:cs="Arial"/>
        </w:rPr>
        <w:t>na</w:t>
      </w:r>
      <w:proofErr w:type="gramEnd"/>
      <w:r w:rsidRPr="00BF5CFA">
        <w:rPr>
          <w:rFonts w:ascii="Arial" w:hAnsi="Arial" w:cs="Arial"/>
        </w:rPr>
        <w:t xml:space="preserve"> kvalitet radne i životne sredine</w:t>
      </w:r>
      <w:r w:rsidRPr="007B37D3">
        <w:rPr>
          <w:rFonts w:ascii="Arial" w:hAnsi="Arial" w:cs="Arial"/>
          <w:lang w:val="sv-SE"/>
        </w:rPr>
        <w:t>.</w:t>
      </w:r>
    </w:p>
    <w:p w:rsidR="00310130" w:rsidRPr="007B37D3" w:rsidRDefault="0031013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  <w:lang w:val="sv-SE"/>
        </w:rPr>
      </w:pPr>
    </w:p>
    <w:p w:rsidR="00D620F2" w:rsidRPr="007B37D3" w:rsidRDefault="00EC730D" w:rsidP="00A40BDA">
      <w:pPr>
        <w:pStyle w:val="Heading1"/>
        <w:spacing w:before="0" w:after="0"/>
        <w:ind w:left="-180" w:right="-270"/>
        <w:rPr>
          <w:color w:val="000000"/>
          <w:sz w:val="22"/>
          <w:szCs w:val="22"/>
          <w:lang w:val="sv-SE"/>
        </w:rPr>
      </w:pPr>
      <w:bookmarkStart w:id="16" w:name="_Toc390549906"/>
      <w:bookmarkStart w:id="17" w:name="_Toc402262952"/>
      <w:r>
        <w:rPr>
          <w:sz w:val="22"/>
          <w:szCs w:val="22"/>
          <w:lang w:val="sv-SE"/>
        </w:rPr>
        <w:t>7</w:t>
      </w:r>
      <w:r w:rsidR="00306531" w:rsidRPr="007B37D3">
        <w:rPr>
          <w:sz w:val="22"/>
          <w:szCs w:val="22"/>
          <w:lang w:val="sv-SE"/>
        </w:rPr>
        <w:t xml:space="preserve">. </w:t>
      </w:r>
      <w:r w:rsidR="00D620F2" w:rsidRPr="007B37D3">
        <w:rPr>
          <w:sz w:val="22"/>
          <w:szCs w:val="22"/>
          <w:lang w:val="sv-SE"/>
        </w:rPr>
        <w:t xml:space="preserve">USLOVI KOJE JE DUŽAN DA ISPUNJAVA KONCESIONAR U POGLEDU TEHNIČKE OPREMLJENOSTI, FINANSIJSKE SPOSOBNOSTI I OSTALE REFERNCE I DOKAZE O ISPUNJAVANJU TIH USLOVA </w:t>
      </w:r>
      <w:bookmarkEnd w:id="16"/>
      <w:bookmarkEnd w:id="17"/>
    </w:p>
    <w:p w:rsidR="00D620F2" w:rsidRPr="007B37D3" w:rsidRDefault="00D620F2" w:rsidP="00A40BDA">
      <w:pPr>
        <w:spacing w:after="0"/>
        <w:ind w:left="-180" w:right="-270"/>
        <w:jc w:val="center"/>
        <w:rPr>
          <w:rFonts w:ascii="Arial" w:hAnsi="Arial" w:cs="Arial"/>
          <w:b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Obaveze koncesionara u pogledu ispunjavanja uslova definisanih u ovom poglavlju su sljedeće: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lang w:val="sv-SE"/>
        </w:rPr>
      </w:pPr>
    </w:p>
    <w:p w:rsidR="00D620F2" w:rsidRPr="0009522A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  <w:lang w:val="sv-SE"/>
        </w:rPr>
        <w:t>da</w:t>
      </w:r>
      <w:r w:rsidRPr="0009522A">
        <w:rPr>
          <w:rFonts w:ascii="Arial" w:hAnsi="Arial" w:cs="Arial"/>
        </w:rPr>
        <w:t>, u skladu sa članom 51 stav 2 Zakona o koncesijama, u roku od 60 dana od dana zaključenja Ugovora o koncesiji, osnuje i registruje privredno društvo ili drugo pravno lice sa sjedištem u Crnoj Gori, koje će obavljati koncesionu djelatnost ili da proširi registraciju za vršenje koncesione djelatnosti;</w:t>
      </w:r>
    </w:p>
    <w:p w:rsidR="00D620F2" w:rsidRPr="007B37D3" w:rsidRDefault="00D620F2" w:rsidP="001E150B">
      <w:pPr>
        <w:suppressAutoHyphens/>
        <w:spacing w:after="0"/>
        <w:ind w:left="-180" w:right="-270"/>
        <w:jc w:val="both"/>
        <w:rPr>
          <w:rFonts w:ascii="Arial" w:hAnsi="Arial" w:cs="Arial"/>
          <w:b/>
          <w:lang w:val="sv-SE"/>
        </w:rPr>
      </w:pPr>
    </w:p>
    <w:p w:rsidR="00D620F2" w:rsidRPr="0009522A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  <w:lang w:val="sv-SE"/>
        </w:rPr>
        <w:t xml:space="preserve">da </w:t>
      </w:r>
      <w:r w:rsidRPr="0009522A">
        <w:rPr>
          <w:rFonts w:ascii="Arial" w:hAnsi="Arial" w:cs="Arial"/>
        </w:rPr>
        <w:t>obezbijedi svu potrebnu geološku i rudarsku dokumentaciju, odobrenja i saglasnosti potrebnih za zakonito izvođenje radova;</w:t>
      </w:r>
    </w:p>
    <w:p w:rsidR="00B77602" w:rsidRPr="007B37D3" w:rsidRDefault="00B77602" w:rsidP="001E150B">
      <w:pPr>
        <w:suppressAutoHyphens/>
        <w:spacing w:after="0"/>
        <w:ind w:left="-180" w:right="-270"/>
        <w:jc w:val="both"/>
        <w:rPr>
          <w:rFonts w:ascii="Arial" w:hAnsi="Arial" w:cs="Arial"/>
          <w:b/>
          <w:lang w:val="sv-SE"/>
        </w:rPr>
      </w:pPr>
    </w:p>
    <w:p w:rsidR="00D620F2" w:rsidRPr="007B37D3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da obezbijedi opremu i mehanizaciju saglasno verifikovanoj rudarskoj i tehničkoj dokumentaciji - oprema i mehanizacija treba da ispunjava uslove propisane pravilnicima o tehičkim normativima za izvođenje planirane vrste radova na predmetnom lokalitetu;</w:t>
      </w:r>
    </w:p>
    <w:p w:rsidR="00B77602" w:rsidRPr="007B37D3" w:rsidRDefault="00B77602" w:rsidP="001E150B">
      <w:pPr>
        <w:suppressAutoHyphens/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D620F2" w:rsidRPr="007B37D3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da obezbijedi radnu snagu saglasno ovom Koncesionom aktu i rudarskoj i tehničkoj dokumentaciji - zaposleni moraju da ispunjavaju uslove (u pogledu stepena stručne spreme, radnog iskustva, obučenosti i ovlašćenja za vršenje tih poslova) u skladu sa Zakonom o rudarstvu;</w:t>
      </w:r>
    </w:p>
    <w:p w:rsidR="00D620F2" w:rsidRPr="007B37D3" w:rsidRDefault="001048B3" w:rsidP="001E150B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    </w:t>
      </w:r>
    </w:p>
    <w:p w:rsidR="00D620F2" w:rsidRDefault="00D620F2" w:rsidP="001E150B">
      <w:pPr>
        <w:numPr>
          <w:ilvl w:val="0"/>
          <w:numId w:val="5"/>
        </w:numPr>
        <w:suppressAutoHyphens/>
        <w:spacing w:after="0"/>
        <w:ind w:left="-180" w:right="-270" w:firstLine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da izvršava finansijski dio u pogledu obaveza utvrđenih Ugovorom o koncesiji, u smislu plaćanja koncesione naknade, dostavljanja obnovljive godišnje bankarske garancije, izdvajanja sredstava za rekultivaciju. Koncesionar mora da ostvaruje takve poslovne rezultate koji će mu omogućiti redovno poslovanje (redovno izmirivanje poreskih i drugih obaveza), a time i ispunjavanje ugovornih obaveza.</w:t>
      </w:r>
    </w:p>
    <w:p w:rsidR="001048B3" w:rsidRDefault="001048B3" w:rsidP="001048B3">
      <w:pPr>
        <w:pStyle w:val="ListParagraph"/>
        <w:rPr>
          <w:rFonts w:ascii="Arial" w:hAnsi="Arial" w:cs="Arial"/>
          <w:lang w:val="sv-SE"/>
        </w:rPr>
      </w:pPr>
    </w:p>
    <w:p w:rsidR="001048B3" w:rsidRDefault="001048B3" w:rsidP="001048B3">
      <w:pPr>
        <w:suppressAutoHyphens/>
        <w:spacing w:after="0"/>
        <w:ind w:right="-270"/>
        <w:jc w:val="both"/>
        <w:rPr>
          <w:rFonts w:ascii="Arial" w:hAnsi="Arial" w:cs="Arial"/>
          <w:lang w:val="sv-SE"/>
        </w:rPr>
      </w:pPr>
    </w:p>
    <w:p w:rsidR="001048B3" w:rsidRDefault="001048B3" w:rsidP="001048B3">
      <w:pPr>
        <w:suppressAutoHyphens/>
        <w:spacing w:after="0"/>
        <w:ind w:right="-270"/>
        <w:jc w:val="both"/>
        <w:rPr>
          <w:rFonts w:ascii="Arial" w:hAnsi="Arial" w:cs="Arial"/>
          <w:lang w:val="sv-SE"/>
        </w:rPr>
      </w:pPr>
    </w:p>
    <w:p w:rsidR="001048B3" w:rsidRPr="007B37D3" w:rsidRDefault="001048B3" w:rsidP="001048B3">
      <w:pPr>
        <w:suppressAutoHyphens/>
        <w:spacing w:after="0"/>
        <w:ind w:right="-270"/>
        <w:jc w:val="both"/>
        <w:rPr>
          <w:rFonts w:ascii="Arial" w:hAnsi="Arial" w:cs="Arial"/>
          <w:lang w:val="sv-SE"/>
        </w:rPr>
      </w:pPr>
    </w:p>
    <w:p w:rsidR="000156A4" w:rsidRPr="007B37D3" w:rsidRDefault="000156A4" w:rsidP="00A40BDA">
      <w:pPr>
        <w:suppressAutoHyphens/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D620F2" w:rsidRPr="007B37D3" w:rsidRDefault="001048B3" w:rsidP="00A40BDA">
      <w:pPr>
        <w:pStyle w:val="Heading1"/>
        <w:spacing w:before="0" w:after="0"/>
        <w:ind w:left="-180" w:right="-270" w:hanging="432"/>
        <w:rPr>
          <w:sz w:val="22"/>
          <w:szCs w:val="22"/>
          <w:lang w:val="sv-SE"/>
        </w:rPr>
      </w:pPr>
      <w:bookmarkStart w:id="18" w:name="_Toc402262953"/>
      <w:r>
        <w:rPr>
          <w:sz w:val="22"/>
          <w:szCs w:val="22"/>
          <w:lang w:val="sv-SE"/>
        </w:rPr>
        <w:lastRenderedPageBreak/>
        <w:t xml:space="preserve">       </w:t>
      </w:r>
      <w:r w:rsidR="000D5F11">
        <w:rPr>
          <w:sz w:val="22"/>
          <w:szCs w:val="22"/>
          <w:lang w:val="sv-SE"/>
        </w:rPr>
        <w:t>8</w:t>
      </w:r>
      <w:r w:rsidR="00306531" w:rsidRPr="007B37D3">
        <w:rPr>
          <w:sz w:val="22"/>
          <w:szCs w:val="22"/>
          <w:lang w:val="sv-SE"/>
        </w:rPr>
        <w:t xml:space="preserve">. </w:t>
      </w:r>
      <w:r w:rsidR="00D620F2" w:rsidRPr="007B37D3">
        <w:rPr>
          <w:sz w:val="22"/>
          <w:szCs w:val="22"/>
          <w:lang w:val="sv-SE"/>
        </w:rPr>
        <w:t>MINIMALNI – POČETNI  IZNOS KONCESIONE NAKNADE</w:t>
      </w:r>
      <w:bookmarkEnd w:id="18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v-SE"/>
        </w:rPr>
      </w:pPr>
    </w:p>
    <w:p w:rsidR="00D620F2" w:rsidRPr="0009522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09522A">
        <w:rPr>
          <w:rFonts w:ascii="Arial" w:hAnsi="Arial" w:cs="Arial"/>
        </w:rPr>
        <w:t xml:space="preserve">Za korišćenje prava </w:t>
      </w:r>
      <w:proofErr w:type="gramStart"/>
      <w:r w:rsidRPr="0009522A">
        <w:rPr>
          <w:rFonts w:ascii="Arial" w:hAnsi="Arial" w:cs="Arial"/>
        </w:rPr>
        <w:t>na</w:t>
      </w:r>
      <w:proofErr w:type="gramEnd"/>
      <w:r w:rsidRPr="0009522A">
        <w:rPr>
          <w:rFonts w:ascii="Arial" w:hAnsi="Arial" w:cs="Arial"/>
        </w:rPr>
        <w:t xml:space="preserve"> eksploataciju mineralne sirovine, zakonskim propisima predviđeno je plaćanje koncesione naknade.</w:t>
      </w:r>
    </w:p>
    <w:p w:rsidR="00D620F2" w:rsidRPr="0009522A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Koncesionim aktom se utvrđuje minimalni - početni iznos koncesione naknade.</w:t>
      </w:r>
    </w:p>
    <w:p w:rsidR="0009522A" w:rsidRPr="007B37D3" w:rsidRDefault="0009522A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09522A" w:rsidP="00A40BDA">
      <w:pPr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Minimalna</w:t>
      </w:r>
      <w:r w:rsidR="00D620F2" w:rsidRPr="007B37D3">
        <w:rPr>
          <w:rFonts w:ascii="Arial" w:hAnsi="Arial" w:cs="Arial"/>
        </w:rPr>
        <w:t xml:space="preserve"> koncesiona naknada se utvrđuje </w:t>
      </w:r>
      <w:proofErr w:type="gramStart"/>
      <w:r w:rsidR="00D620F2" w:rsidRPr="007B37D3">
        <w:rPr>
          <w:rFonts w:ascii="Arial" w:hAnsi="Arial" w:cs="Arial"/>
        </w:rPr>
        <w:t>na</w:t>
      </w:r>
      <w:proofErr w:type="gramEnd"/>
      <w:r w:rsidR="00D620F2" w:rsidRPr="007B37D3">
        <w:rPr>
          <w:rFonts w:ascii="Arial" w:hAnsi="Arial" w:cs="Arial"/>
        </w:rPr>
        <w:t xml:space="preserve"> osnovu Uredbe o kriterijumima i načinu obračuna iznosa minimalne koncesione naknade za ustupanje prava na istraživanje i eksploataciju mineralnih sirovina („Sl. list CG“, br. 37/11</w:t>
      </w:r>
      <w:r w:rsidR="00397795">
        <w:rPr>
          <w:rFonts w:ascii="Arial" w:hAnsi="Arial" w:cs="Arial"/>
        </w:rPr>
        <w:t xml:space="preserve"> I 40/16</w:t>
      </w:r>
      <w:r w:rsidR="00D620F2" w:rsidRPr="007B37D3">
        <w:rPr>
          <w:rFonts w:ascii="Arial" w:hAnsi="Arial" w:cs="Arial"/>
        </w:rPr>
        <w:t>).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Navedenom Uredbom je utvrđeno da se minimalna koncesiona naknada određuje za eksploataciju mineralnih sirovina, tj.</w:t>
      </w:r>
      <w:r w:rsidR="00397795">
        <w:rPr>
          <w:rFonts w:ascii="Arial" w:hAnsi="Arial" w:cs="Arial"/>
        </w:rPr>
        <w:t xml:space="preserve"> </w:t>
      </w:r>
      <w:proofErr w:type="gramStart"/>
      <w:r w:rsidRPr="007B37D3">
        <w:rPr>
          <w:rFonts w:ascii="Arial" w:hAnsi="Arial" w:cs="Arial"/>
        </w:rPr>
        <w:t>za</w:t>
      </w:r>
      <w:proofErr w:type="gramEnd"/>
      <w:r w:rsidRPr="007B37D3">
        <w:rPr>
          <w:rFonts w:ascii="Arial" w:hAnsi="Arial" w:cs="Arial"/>
        </w:rPr>
        <w:t xml:space="preserve"> period eksploatacije, a ne i za period koji je predviđen za detaljna geološka istraživanja.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1048B3" w:rsidP="00A40BD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</w:rPr>
      </w:pPr>
      <w:bookmarkStart w:id="19" w:name="_Toc402262954"/>
      <w:r>
        <w:rPr>
          <w:i w:val="0"/>
          <w:sz w:val="22"/>
          <w:szCs w:val="22"/>
        </w:rPr>
        <w:t xml:space="preserve">         </w:t>
      </w:r>
      <w:r w:rsidR="00397795">
        <w:rPr>
          <w:i w:val="0"/>
          <w:sz w:val="22"/>
          <w:szCs w:val="22"/>
        </w:rPr>
        <w:t>8</w:t>
      </w:r>
      <w:r w:rsidR="0056714D" w:rsidRPr="007B37D3">
        <w:rPr>
          <w:i w:val="0"/>
          <w:sz w:val="22"/>
          <w:szCs w:val="22"/>
        </w:rPr>
        <w:t xml:space="preserve">.1. </w:t>
      </w:r>
      <w:r w:rsidR="00D620F2" w:rsidRPr="007B37D3">
        <w:rPr>
          <w:i w:val="0"/>
          <w:sz w:val="22"/>
          <w:szCs w:val="22"/>
        </w:rPr>
        <w:t>Minimalni - početni iznos koncesione naknade za eksploataciju</w:t>
      </w:r>
      <w:bookmarkEnd w:id="19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Minimalna koncesiona naknada za eksploataciju (čl. 3 Uredbe) određuje se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osnovu sljedećih kriterijuma:</w:t>
      </w:r>
    </w:p>
    <w:p w:rsidR="00D620F2" w:rsidRPr="007B37D3" w:rsidRDefault="00D620F2" w:rsidP="001048B3">
      <w:pPr>
        <w:numPr>
          <w:ilvl w:val="0"/>
          <w:numId w:val="4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rezervi mineralne sirovine koja je predmet koncesije;</w:t>
      </w:r>
    </w:p>
    <w:p w:rsidR="00D620F2" w:rsidRPr="007B37D3" w:rsidRDefault="00D620F2" w:rsidP="001048B3">
      <w:pPr>
        <w:numPr>
          <w:ilvl w:val="0"/>
          <w:numId w:val="4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pripadnosti grupi ležišta;</w:t>
      </w:r>
    </w:p>
    <w:p w:rsidR="00D620F2" w:rsidRPr="007B37D3" w:rsidRDefault="00D620F2" w:rsidP="001048B3">
      <w:pPr>
        <w:numPr>
          <w:ilvl w:val="0"/>
          <w:numId w:val="4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kvaliteta mineralne sirovine; i</w:t>
      </w:r>
    </w:p>
    <w:p w:rsidR="00D620F2" w:rsidRPr="007B37D3" w:rsidRDefault="00D620F2" w:rsidP="001048B3">
      <w:pPr>
        <w:numPr>
          <w:ilvl w:val="0"/>
          <w:numId w:val="4"/>
        </w:numPr>
        <w:suppressAutoHyphens/>
        <w:spacing w:after="0"/>
        <w:ind w:left="-180" w:right="-270" w:firstLine="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tržišne</w:t>
      </w:r>
      <w:proofErr w:type="gramEnd"/>
      <w:r w:rsidRPr="007B37D3">
        <w:rPr>
          <w:rFonts w:ascii="Arial" w:hAnsi="Arial" w:cs="Arial"/>
        </w:rPr>
        <w:t xml:space="preserve"> cijene mineralne sirovine.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310130" w:rsidRDefault="004F284A" w:rsidP="00A40BDA">
      <w:pPr>
        <w:pStyle w:val="Heading3"/>
        <w:numPr>
          <w:ilvl w:val="2"/>
          <w:numId w:val="0"/>
        </w:numPr>
        <w:suppressAutoHyphens/>
        <w:spacing w:line="276" w:lineRule="auto"/>
        <w:ind w:left="-180" w:right="-270" w:hanging="720"/>
        <w:jc w:val="left"/>
        <w:rPr>
          <w:rFonts w:ascii="Arial" w:hAnsi="Arial" w:cs="Arial"/>
          <w:b/>
          <w:i/>
          <w:sz w:val="22"/>
          <w:szCs w:val="22"/>
        </w:rPr>
      </w:pPr>
      <w:bookmarkStart w:id="20" w:name="_Toc402262955"/>
      <w:r>
        <w:rPr>
          <w:rFonts w:ascii="Arial" w:hAnsi="Arial" w:cs="Arial"/>
          <w:b/>
          <w:i/>
          <w:sz w:val="22"/>
          <w:szCs w:val="22"/>
        </w:rPr>
        <w:t xml:space="preserve">           </w:t>
      </w:r>
      <w:r w:rsidR="00397795">
        <w:rPr>
          <w:rFonts w:ascii="Arial" w:hAnsi="Arial" w:cs="Arial"/>
          <w:b/>
          <w:i/>
          <w:sz w:val="22"/>
          <w:szCs w:val="22"/>
        </w:rPr>
        <w:t>8</w:t>
      </w:r>
      <w:r w:rsidR="0056714D" w:rsidRPr="00310130">
        <w:rPr>
          <w:rFonts w:ascii="Arial" w:hAnsi="Arial" w:cs="Arial"/>
          <w:b/>
          <w:i/>
          <w:sz w:val="22"/>
          <w:szCs w:val="22"/>
        </w:rPr>
        <w:t xml:space="preserve">.1.1. </w:t>
      </w:r>
      <w:r w:rsidR="00D620F2" w:rsidRPr="00310130">
        <w:rPr>
          <w:rFonts w:ascii="Arial" w:hAnsi="Arial" w:cs="Arial"/>
          <w:b/>
          <w:i/>
          <w:sz w:val="22"/>
          <w:szCs w:val="22"/>
        </w:rPr>
        <w:t>Rezerve mineralne sirovine</w:t>
      </w:r>
      <w:bookmarkEnd w:id="20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Potencijalne geološke rezerve tehničko-građevinskog kamena na istražno-eksploatac</w:t>
      </w:r>
      <w:r w:rsidR="004742BA" w:rsidRPr="007B37D3">
        <w:rPr>
          <w:rFonts w:ascii="Arial" w:hAnsi="Arial" w:cs="Arial"/>
        </w:rPr>
        <w:t>ionom prostoru „Pogled</w:t>
      </w:r>
      <w:proofErr w:type="gramStart"/>
      <w:r w:rsidRPr="007B37D3">
        <w:rPr>
          <w:rFonts w:ascii="Arial" w:hAnsi="Arial" w:cs="Arial"/>
        </w:rPr>
        <w:t>“ iznose</w:t>
      </w:r>
      <w:proofErr w:type="gramEnd"/>
      <w:r w:rsidR="00163B9D">
        <w:rPr>
          <w:rFonts w:ascii="Arial" w:hAnsi="Arial" w:cs="Arial"/>
        </w:rPr>
        <w:t xml:space="preserve"> </w:t>
      </w:r>
      <w:r w:rsidR="00F10DEF" w:rsidRPr="007B37D3">
        <w:rPr>
          <w:rFonts w:ascii="Arial" w:hAnsi="Arial" w:cs="Arial"/>
        </w:rPr>
        <w:t>6</w:t>
      </w:r>
      <w:r w:rsidRPr="007B37D3">
        <w:rPr>
          <w:rFonts w:ascii="Arial" w:hAnsi="Arial" w:cs="Arial"/>
        </w:rPr>
        <w:t>.</w:t>
      </w:r>
      <w:r w:rsidR="00E842BF" w:rsidRPr="007B37D3">
        <w:rPr>
          <w:rFonts w:ascii="Arial" w:hAnsi="Arial" w:cs="Arial"/>
        </w:rPr>
        <w:t>0</w:t>
      </w:r>
      <w:r w:rsidRPr="007B37D3">
        <w:rPr>
          <w:rFonts w:ascii="Arial" w:hAnsi="Arial" w:cs="Arial"/>
        </w:rPr>
        <w:t>00.000 m</w:t>
      </w:r>
      <w:r w:rsidRPr="00397795">
        <w:rPr>
          <w:rFonts w:ascii="Arial" w:hAnsi="Arial" w:cs="Arial"/>
          <w:vertAlign w:val="superscript"/>
        </w:rPr>
        <w:t>3</w:t>
      </w:r>
      <w:r w:rsidRPr="00163B9D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č.s.m.</w:t>
      </w:r>
    </w:p>
    <w:p w:rsidR="0056714D" w:rsidRPr="007B37D3" w:rsidRDefault="0056714D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Prema minimalnom godišnjem kapacitetu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20.000 m</w:t>
      </w:r>
      <w:r w:rsidRPr="00397795">
        <w:rPr>
          <w:rFonts w:ascii="Arial" w:hAnsi="Arial" w:cs="Arial"/>
          <w:vertAlign w:val="superscript"/>
        </w:rPr>
        <w:t>3</w:t>
      </w:r>
      <w:r w:rsidRPr="00163B9D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 xml:space="preserve">č.s.m. tehničko-građevinskog kamena, </w:t>
      </w:r>
      <w:r w:rsidRPr="00F3209C">
        <w:rPr>
          <w:rFonts w:ascii="Arial" w:hAnsi="Arial" w:cs="Arial"/>
        </w:rPr>
        <w:t>za</w:t>
      </w:r>
      <w:r w:rsidR="00F10DEF" w:rsidRPr="00F3209C">
        <w:rPr>
          <w:rFonts w:ascii="Arial" w:hAnsi="Arial" w:cs="Arial"/>
        </w:rPr>
        <w:t xml:space="preserve"> period od </w:t>
      </w:r>
      <w:r w:rsidR="00472C68" w:rsidRPr="00F3209C">
        <w:rPr>
          <w:rFonts w:ascii="Arial" w:hAnsi="Arial" w:cs="Arial"/>
        </w:rPr>
        <w:t>4</w:t>
      </w:r>
      <w:r w:rsidRPr="00F3209C">
        <w:rPr>
          <w:rFonts w:ascii="Arial" w:hAnsi="Arial" w:cs="Arial"/>
        </w:rPr>
        <w:t xml:space="preserve"> godin</w:t>
      </w:r>
      <w:r w:rsidR="00AA2291" w:rsidRPr="00F3209C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(period koncesije za eksploataciju) </w:t>
      </w:r>
      <w:r w:rsidR="00F10DEF" w:rsidRPr="007B37D3">
        <w:rPr>
          <w:rFonts w:ascii="Arial" w:hAnsi="Arial" w:cs="Arial"/>
        </w:rPr>
        <w:t xml:space="preserve">otkopalo bi se </w:t>
      </w:r>
      <w:r w:rsidR="00472C68" w:rsidRPr="007B37D3">
        <w:rPr>
          <w:rFonts w:ascii="Arial" w:hAnsi="Arial" w:cs="Arial"/>
        </w:rPr>
        <w:t>80.</w:t>
      </w:r>
      <w:r w:rsidRPr="007B37D3">
        <w:rPr>
          <w:rFonts w:ascii="Arial" w:hAnsi="Arial" w:cs="Arial"/>
        </w:rPr>
        <w:t>000 m</w:t>
      </w:r>
      <w:r w:rsidRPr="00163B9D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č.s.m tehničko-građevinskog kamena. Od 20.000 m</w:t>
      </w:r>
      <w:r w:rsidRPr="00163B9D">
        <w:rPr>
          <w:rFonts w:ascii="Arial" w:hAnsi="Arial" w:cs="Arial"/>
          <w:vertAlign w:val="superscript"/>
        </w:rPr>
        <w:t>3</w:t>
      </w:r>
      <w:r w:rsidRPr="00163B9D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č.s.m. na godišnjem nivou u procesu dalje obrade sirovine dobilo bi se 30.000 m</w:t>
      </w:r>
      <w:r w:rsidRPr="00163B9D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agregata različitih frakcija (k</w:t>
      </w:r>
      <w:r w:rsidRPr="00163B9D">
        <w:rPr>
          <w:rFonts w:ascii="Arial" w:hAnsi="Arial" w:cs="Arial"/>
        </w:rPr>
        <w:t>r</w:t>
      </w:r>
      <w:proofErr w:type="gramStart"/>
      <w:r w:rsidRPr="007B37D3">
        <w:rPr>
          <w:rFonts w:ascii="Arial" w:hAnsi="Arial" w:cs="Arial"/>
        </w:rPr>
        <w:t>,=</w:t>
      </w:r>
      <w:proofErr w:type="gramEnd"/>
      <w:r w:rsidRPr="007B37D3">
        <w:rPr>
          <w:rFonts w:ascii="Arial" w:hAnsi="Arial" w:cs="Arial"/>
        </w:rPr>
        <w:t xml:space="preserve">1,5) što bi za period </w:t>
      </w:r>
      <w:r w:rsidR="00F10DEF" w:rsidRPr="007B37D3">
        <w:rPr>
          <w:rFonts w:ascii="Arial" w:hAnsi="Arial" w:cs="Arial"/>
        </w:rPr>
        <w:t xml:space="preserve">od </w:t>
      </w:r>
      <w:r w:rsidR="00472C68" w:rsidRPr="007B37D3">
        <w:rPr>
          <w:rFonts w:ascii="Arial" w:hAnsi="Arial" w:cs="Arial"/>
        </w:rPr>
        <w:t>4</w:t>
      </w:r>
      <w:r w:rsidR="00163B9D">
        <w:rPr>
          <w:rFonts w:ascii="Arial" w:hAnsi="Arial" w:cs="Arial"/>
        </w:rPr>
        <w:t xml:space="preserve"> </w:t>
      </w:r>
      <w:r w:rsidRPr="007B37D3">
        <w:rPr>
          <w:rFonts w:ascii="Arial" w:hAnsi="Arial" w:cs="Arial"/>
        </w:rPr>
        <w:t>godin</w:t>
      </w:r>
      <w:r w:rsidR="00AA2291" w:rsidRPr="007B37D3">
        <w:rPr>
          <w:rFonts w:ascii="Arial" w:hAnsi="Arial" w:cs="Arial"/>
        </w:rPr>
        <w:t>e</w:t>
      </w:r>
      <w:r w:rsidRPr="007B37D3">
        <w:rPr>
          <w:rFonts w:ascii="Arial" w:hAnsi="Arial" w:cs="Arial"/>
        </w:rPr>
        <w:t xml:space="preserve"> iznosilo </w:t>
      </w:r>
      <w:r w:rsidR="00472C68" w:rsidRPr="007B37D3">
        <w:rPr>
          <w:rFonts w:ascii="Arial" w:hAnsi="Arial" w:cs="Arial"/>
        </w:rPr>
        <w:t>120</w:t>
      </w:r>
      <w:r w:rsidRPr="007B37D3">
        <w:rPr>
          <w:rFonts w:ascii="Arial" w:hAnsi="Arial" w:cs="Arial"/>
        </w:rPr>
        <w:t>.000 m</w:t>
      </w:r>
      <w:r w:rsidRPr="00163B9D">
        <w:rPr>
          <w:rFonts w:ascii="Arial" w:hAnsi="Arial" w:cs="Arial"/>
          <w:vertAlign w:val="superscript"/>
        </w:rPr>
        <w:t>3</w:t>
      </w:r>
      <w:r w:rsidRPr="007B37D3">
        <w:rPr>
          <w:rFonts w:ascii="Arial" w:hAnsi="Arial" w:cs="Arial"/>
        </w:rPr>
        <w:t xml:space="preserve"> tržišnog proizvoda.</w:t>
      </w:r>
    </w:p>
    <w:p w:rsidR="00D620F2" w:rsidRPr="00310130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310130" w:rsidRDefault="004F284A" w:rsidP="00A40BDA">
      <w:pPr>
        <w:pStyle w:val="Heading3"/>
        <w:numPr>
          <w:ilvl w:val="2"/>
          <w:numId w:val="0"/>
        </w:numPr>
        <w:suppressAutoHyphens/>
        <w:spacing w:line="276" w:lineRule="auto"/>
        <w:ind w:left="-180" w:right="-270" w:hanging="720"/>
        <w:jc w:val="left"/>
        <w:rPr>
          <w:rFonts w:ascii="Arial" w:hAnsi="Arial" w:cs="Arial"/>
          <w:b/>
          <w:i/>
          <w:sz w:val="22"/>
          <w:szCs w:val="22"/>
        </w:rPr>
      </w:pPr>
      <w:bookmarkStart w:id="21" w:name="_Toc402262956"/>
      <w:r>
        <w:rPr>
          <w:rFonts w:ascii="Arial" w:hAnsi="Arial" w:cs="Arial"/>
          <w:b/>
          <w:i/>
          <w:sz w:val="22"/>
          <w:szCs w:val="22"/>
        </w:rPr>
        <w:t xml:space="preserve">          </w:t>
      </w:r>
      <w:r w:rsidR="00397795">
        <w:rPr>
          <w:rFonts w:ascii="Arial" w:hAnsi="Arial" w:cs="Arial"/>
          <w:b/>
          <w:i/>
          <w:sz w:val="22"/>
          <w:szCs w:val="22"/>
        </w:rPr>
        <w:t>8</w:t>
      </w:r>
      <w:r w:rsidR="00D620F2" w:rsidRPr="00310130">
        <w:rPr>
          <w:rFonts w:ascii="Arial" w:hAnsi="Arial" w:cs="Arial"/>
          <w:b/>
          <w:i/>
          <w:sz w:val="22"/>
          <w:szCs w:val="22"/>
        </w:rPr>
        <w:t>.1.2</w:t>
      </w:r>
      <w:r w:rsidR="0056714D" w:rsidRPr="00310130">
        <w:rPr>
          <w:rFonts w:ascii="Arial" w:hAnsi="Arial" w:cs="Arial"/>
          <w:b/>
          <w:i/>
          <w:sz w:val="22"/>
          <w:szCs w:val="22"/>
        </w:rPr>
        <w:t>.</w:t>
      </w:r>
      <w:r w:rsidR="00D620F2" w:rsidRPr="00310130">
        <w:rPr>
          <w:rFonts w:ascii="Arial" w:hAnsi="Arial" w:cs="Arial"/>
          <w:b/>
          <w:i/>
          <w:sz w:val="22"/>
          <w:szCs w:val="22"/>
        </w:rPr>
        <w:t xml:space="preserve"> Pripadnost grupi ležišta</w:t>
      </w:r>
      <w:bookmarkEnd w:id="21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</w:rPr>
      </w:pPr>
    </w:p>
    <w:p w:rsidR="006E4E99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Istražno-eksploatacioni prostor tehničko-</w:t>
      </w:r>
      <w:r w:rsidR="00E842BF" w:rsidRPr="007B37D3">
        <w:rPr>
          <w:rFonts w:ascii="Arial" w:hAnsi="Arial" w:cs="Arial"/>
        </w:rPr>
        <w:t>građevins</w:t>
      </w:r>
      <w:r w:rsidR="00F10DEF" w:rsidRPr="007B37D3">
        <w:rPr>
          <w:rFonts w:ascii="Arial" w:hAnsi="Arial" w:cs="Arial"/>
        </w:rPr>
        <w:t>kog kamena „Pogled</w:t>
      </w:r>
      <w:r w:rsidRPr="007B37D3">
        <w:rPr>
          <w:rFonts w:ascii="Arial" w:hAnsi="Arial" w:cs="Arial"/>
        </w:rPr>
        <w:t xml:space="preserve">“, prema navedenoj Uredbi, 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osnovu postojećih karakteristika i očekivanih uslova za eksploataciju, svrstana je u treću grupu geogenih ležišta (G</w:t>
      </w:r>
      <w:r w:rsidR="00967203">
        <w:rPr>
          <w:rFonts w:ascii="Arial" w:hAnsi="Arial" w:cs="Arial"/>
          <w:vertAlign w:val="subscript"/>
        </w:rPr>
        <w:t>3</w:t>
      </w:r>
      <w:r w:rsidRPr="007B37D3">
        <w:rPr>
          <w:rFonts w:ascii="Arial" w:hAnsi="Arial" w:cs="Arial"/>
        </w:rPr>
        <w:t>).</w:t>
      </w:r>
    </w:p>
    <w:p w:rsidR="00F10DEF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Po tom osnovu procentni iznos za obračun </w:t>
      </w:r>
      <w:r w:rsidR="00397795">
        <w:rPr>
          <w:rFonts w:ascii="Arial" w:hAnsi="Arial" w:cs="Arial"/>
        </w:rPr>
        <w:t>minimalne</w:t>
      </w:r>
      <w:r w:rsidRPr="007B37D3">
        <w:rPr>
          <w:rFonts w:ascii="Arial" w:hAnsi="Arial" w:cs="Arial"/>
        </w:rPr>
        <w:t xml:space="preserve">- početne koncesione naknade (čl. 15 Uredbe) iznosi </w:t>
      </w:r>
      <w:r w:rsidRPr="00163B9D">
        <w:rPr>
          <w:rFonts w:ascii="Arial" w:hAnsi="Arial" w:cs="Arial"/>
        </w:rPr>
        <w:t>7%</w:t>
      </w:r>
      <w:r w:rsidR="00163B9D">
        <w:rPr>
          <w:rFonts w:ascii="Arial" w:hAnsi="Arial" w:cs="Arial"/>
        </w:rPr>
        <w:t xml:space="preserve"> </w:t>
      </w:r>
      <w:proofErr w:type="gramStart"/>
      <w:r w:rsidRPr="007B37D3">
        <w:rPr>
          <w:rFonts w:ascii="Arial" w:hAnsi="Arial" w:cs="Arial"/>
        </w:rPr>
        <w:t>od</w:t>
      </w:r>
      <w:proofErr w:type="gramEnd"/>
      <w:r w:rsidRPr="007B37D3">
        <w:rPr>
          <w:rFonts w:ascii="Arial" w:hAnsi="Arial" w:cs="Arial"/>
        </w:rPr>
        <w:t xml:space="preserve"> tržišne vrijednosti eksploatacionih rezervi tehničko-građevinskog kamena, za koncesioni period</w:t>
      </w:r>
      <w:r w:rsidR="00F10DEF" w:rsidRPr="007B37D3">
        <w:rPr>
          <w:rFonts w:ascii="Arial" w:hAnsi="Arial" w:cs="Arial"/>
        </w:rPr>
        <w:t xml:space="preserve"> </w:t>
      </w:r>
      <w:r w:rsidR="00F10DEF" w:rsidRPr="00F3209C">
        <w:rPr>
          <w:rFonts w:ascii="Arial" w:hAnsi="Arial" w:cs="Arial"/>
        </w:rPr>
        <w:t xml:space="preserve">za eksploataciju od </w:t>
      </w:r>
      <w:r w:rsidR="00AA2291" w:rsidRPr="00F3209C">
        <w:rPr>
          <w:rFonts w:ascii="Arial" w:hAnsi="Arial" w:cs="Arial"/>
        </w:rPr>
        <w:t>4</w:t>
      </w:r>
      <w:r w:rsidRPr="00F3209C">
        <w:rPr>
          <w:rFonts w:ascii="Arial" w:hAnsi="Arial" w:cs="Arial"/>
        </w:rPr>
        <w:t xml:space="preserve"> godin</w:t>
      </w:r>
      <w:r w:rsidR="00AA2291" w:rsidRPr="00F3209C">
        <w:rPr>
          <w:rFonts w:ascii="Arial" w:hAnsi="Arial" w:cs="Arial"/>
        </w:rPr>
        <w:t>e</w:t>
      </w:r>
      <w:r w:rsidRPr="00F3209C">
        <w:rPr>
          <w:rFonts w:ascii="Arial" w:hAnsi="Arial" w:cs="Arial"/>
        </w:rPr>
        <w:t>.</w:t>
      </w:r>
    </w:p>
    <w:p w:rsidR="00163B9D" w:rsidRPr="00310130" w:rsidRDefault="00163B9D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bookmarkStart w:id="22" w:name="_Toc402262957"/>
    </w:p>
    <w:p w:rsidR="00D620F2" w:rsidRPr="00310130" w:rsidRDefault="00E13D31" w:rsidP="00A40BDA">
      <w:pPr>
        <w:spacing w:after="0"/>
        <w:ind w:left="-180" w:right="-27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>8</w:t>
      </w:r>
      <w:r w:rsidR="00306531" w:rsidRPr="00310130">
        <w:rPr>
          <w:rFonts w:ascii="Arial" w:hAnsi="Arial" w:cs="Arial"/>
          <w:b/>
          <w:i/>
        </w:rPr>
        <w:t xml:space="preserve">.1.3. </w:t>
      </w:r>
      <w:r w:rsidR="00D620F2" w:rsidRPr="00310130">
        <w:rPr>
          <w:rFonts w:ascii="Arial" w:hAnsi="Arial" w:cs="Arial"/>
          <w:b/>
          <w:i/>
        </w:rPr>
        <w:t>Kvalitet mineralne sirovine</w:t>
      </w:r>
      <w:bookmarkEnd w:id="22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Default="006E4E99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 predmetnom lokalitetu ni</w:t>
      </w:r>
      <w:r w:rsidR="00D620F2" w:rsidRPr="007B37D3">
        <w:rPr>
          <w:rFonts w:ascii="Arial" w:hAnsi="Arial" w:cs="Arial"/>
        </w:rPr>
        <w:t xml:space="preserve">su vršena detaljna geološka istraživanja i </w:t>
      </w:r>
      <w:proofErr w:type="gramStart"/>
      <w:r w:rsidR="00D620F2" w:rsidRPr="007B37D3">
        <w:rPr>
          <w:rFonts w:ascii="Arial" w:hAnsi="Arial" w:cs="Arial"/>
        </w:rPr>
        <w:t>n</w:t>
      </w:r>
      <w:r w:rsidR="00D620F2" w:rsidRPr="00163B9D">
        <w:rPr>
          <w:rFonts w:ascii="Arial" w:hAnsi="Arial" w:cs="Arial"/>
        </w:rPr>
        <w:t>a</w:t>
      </w:r>
      <w:proofErr w:type="gramEnd"/>
      <w:r w:rsidR="00D620F2" w:rsidRPr="00163B9D">
        <w:rPr>
          <w:rFonts w:ascii="Arial" w:hAnsi="Arial" w:cs="Arial"/>
        </w:rPr>
        <w:t xml:space="preserve"> osnovu analogije sa ležištima tehničko-građevinskog kamena sličnih geoloških karakteristika, </w:t>
      </w:r>
      <w:r w:rsidRPr="00163B9D">
        <w:rPr>
          <w:rFonts w:ascii="Arial" w:hAnsi="Arial" w:cs="Arial"/>
        </w:rPr>
        <w:t>očekuje se</w:t>
      </w:r>
      <w:r w:rsidR="00D620F2" w:rsidRPr="00163B9D">
        <w:rPr>
          <w:rFonts w:ascii="Arial" w:hAnsi="Arial" w:cs="Arial"/>
        </w:rPr>
        <w:t xml:space="preserve"> da se krečnjak sa ovog lokaliteta može koristiti kao tehničko-građevinski kamen.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i/>
          <w:lang w:val="sr-Latn-CS"/>
        </w:rPr>
      </w:pPr>
    </w:p>
    <w:p w:rsidR="00D620F2" w:rsidRPr="00310130" w:rsidRDefault="004F284A" w:rsidP="00A40BDA">
      <w:pPr>
        <w:pStyle w:val="Heading3"/>
        <w:numPr>
          <w:ilvl w:val="2"/>
          <w:numId w:val="0"/>
        </w:numPr>
        <w:suppressAutoHyphens/>
        <w:spacing w:line="276" w:lineRule="auto"/>
        <w:ind w:left="-180" w:right="-270" w:hanging="720"/>
        <w:jc w:val="left"/>
        <w:rPr>
          <w:rFonts w:ascii="Arial" w:hAnsi="Arial" w:cs="Arial"/>
          <w:b/>
          <w:i/>
          <w:sz w:val="22"/>
          <w:szCs w:val="22"/>
          <w:lang w:val="sr-Latn-CS"/>
        </w:rPr>
      </w:pPr>
      <w:bookmarkStart w:id="23" w:name="_Toc402262958"/>
      <w:r>
        <w:rPr>
          <w:rFonts w:ascii="Arial" w:hAnsi="Arial" w:cs="Arial"/>
          <w:b/>
          <w:i/>
          <w:sz w:val="22"/>
          <w:szCs w:val="22"/>
          <w:lang w:val="sr-Latn-CS"/>
        </w:rPr>
        <w:t xml:space="preserve">           </w:t>
      </w:r>
      <w:r w:rsidR="00E13D31">
        <w:rPr>
          <w:rFonts w:ascii="Arial" w:hAnsi="Arial" w:cs="Arial"/>
          <w:b/>
          <w:i/>
          <w:sz w:val="22"/>
          <w:szCs w:val="22"/>
          <w:lang w:val="sr-Latn-CS"/>
        </w:rPr>
        <w:t>8</w:t>
      </w:r>
      <w:r w:rsidR="00306531" w:rsidRPr="00310130">
        <w:rPr>
          <w:rFonts w:ascii="Arial" w:hAnsi="Arial" w:cs="Arial"/>
          <w:b/>
          <w:i/>
          <w:sz w:val="22"/>
          <w:szCs w:val="22"/>
          <w:lang w:val="sr-Latn-CS"/>
        </w:rPr>
        <w:t xml:space="preserve">.1.4. </w:t>
      </w:r>
      <w:r w:rsidR="00D620F2" w:rsidRPr="00310130">
        <w:rPr>
          <w:rFonts w:ascii="Arial" w:hAnsi="Arial" w:cs="Arial"/>
          <w:b/>
          <w:i/>
          <w:sz w:val="22"/>
          <w:szCs w:val="22"/>
          <w:lang w:val="sr-Latn-CS"/>
        </w:rPr>
        <w:t>Tržišna vrijednost rezervi</w:t>
      </w:r>
      <w:bookmarkEnd w:id="23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163B9D">
        <w:rPr>
          <w:rFonts w:ascii="Arial" w:hAnsi="Arial" w:cs="Arial"/>
          <w:lang w:val="sr-Latn-CS"/>
        </w:rPr>
        <w:t xml:space="preserve">Na osnovu podataka, dostavljenih od Zavoda za statistiku, akt br. </w:t>
      </w:r>
      <w:r w:rsidR="00F600F6" w:rsidRPr="00163B9D">
        <w:rPr>
          <w:rFonts w:ascii="Arial" w:hAnsi="Arial" w:cs="Arial"/>
          <w:lang w:val="sr-Latn-CS"/>
        </w:rPr>
        <w:t>01-705/2 od 01.03.2018. godine</w:t>
      </w:r>
      <w:r w:rsidR="00E13D31">
        <w:rPr>
          <w:rFonts w:ascii="Arial" w:hAnsi="Arial" w:cs="Arial"/>
          <w:lang w:val="sr-Latn-CS"/>
        </w:rPr>
        <w:t xml:space="preserve">, </w:t>
      </w:r>
      <w:r w:rsidR="00F600F6" w:rsidRPr="00163B9D">
        <w:rPr>
          <w:rFonts w:ascii="Arial" w:eastAsia="Times New Roman" w:hAnsi="Arial" w:cs="Arial"/>
          <w:lang w:val="sr-Latn-CS"/>
        </w:rPr>
        <w:t>prosječno ostvarena prodajna cijene jedinice proizvoda u 2017. godini</w:t>
      </w:r>
      <w:r w:rsidR="00F600F6" w:rsidRPr="00163B9D">
        <w:rPr>
          <w:rFonts w:ascii="Arial" w:hAnsi="Arial" w:cs="Arial"/>
        </w:rPr>
        <w:t xml:space="preserve"> </w:t>
      </w:r>
      <w:r w:rsidR="00E13D31">
        <w:rPr>
          <w:rFonts w:ascii="Arial" w:hAnsi="Arial" w:cs="Arial"/>
        </w:rPr>
        <w:t>(</w:t>
      </w:r>
      <w:r w:rsidRPr="00163B9D">
        <w:rPr>
          <w:rFonts w:ascii="Arial" w:hAnsi="Arial" w:cs="Arial"/>
          <w:lang w:val="sr-Latn-CS"/>
        </w:rPr>
        <w:t xml:space="preserve">čl. 16 Uredbe) iznosi </w:t>
      </w:r>
      <w:r w:rsidRPr="00163B9D">
        <w:rPr>
          <w:rFonts w:ascii="Arial" w:hAnsi="Arial" w:cs="Arial"/>
          <w:b/>
          <w:lang w:val="sr-Latn-CS"/>
        </w:rPr>
        <w:t>15,9</w:t>
      </w:r>
      <w:r w:rsidR="00F600F6" w:rsidRPr="00163B9D">
        <w:rPr>
          <w:rFonts w:ascii="Arial" w:hAnsi="Arial" w:cs="Arial"/>
          <w:b/>
          <w:lang w:val="sr-Latn-CS"/>
        </w:rPr>
        <w:t>5</w:t>
      </w:r>
      <w:r w:rsidRPr="00163B9D">
        <w:rPr>
          <w:rFonts w:ascii="Arial" w:hAnsi="Arial" w:cs="Arial"/>
          <w:b/>
          <w:lang w:val="sr-Latn-CS"/>
        </w:rPr>
        <w:t xml:space="preserve"> €/m</w:t>
      </w:r>
      <w:r w:rsidRPr="00163B9D">
        <w:rPr>
          <w:rFonts w:ascii="Arial" w:hAnsi="Arial" w:cs="Arial"/>
          <w:b/>
          <w:vertAlign w:val="superscript"/>
          <w:lang w:val="sr-Latn-CS"/>
        </w:rPr>
        <w:t>3</w:t>
      </w:r>
      <w:r w:rsidR="00E13D31">
        <w:rPr>
          <w:rFonts w:ascii="Arial" w:hAnsi="Arial" w:cs="Arial"/>
          <w:b/>
          <w:vertAlign w:val="superscript"/>
          <w:lang w:val="sr-Latn-CS"/>
        </w:rPr>
        <w:t xml:space="preserve"> </w:t>
      </w:r>
      <w:r w:rsidR="00E13D31">
        <w:rPr>
          <w:rFonts w:ascii="Arial" w:hAnsi="Arial" w:cs="Arial"/>
          <w:lang w:val="sr-Latn-CS"/>
        </w:rPr>
        <w:t>r.m.</w:t>
      </w:r>
      <w:r w:rsidR="00E13D31" w:rsidRPr="007B37D3">
        <w:rPr>
          <w:rFonts w:ascii="Arial" w:hAnsi="Arial" w:cs="Arial"/>
          <w:lang w:val="sr-Latn-CS"/>
        </w:rPr>
        <w:t xml:space="preserve"> </w:t>
      </w: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Na osnovu usvojenih parametara, tržišna vrijednost rezervi tehničko-građevinskog kamena koje se mogu otkopati </w:t>
      </w:r>
      <w:r w:rsidRPr="00F3209C">
        <w:rPr>
          <w:rFonts w:ascii="Arial" w:hAnsi="Arial" w:cs="Arial"/>
          <w:lang w:val="sr-Latn-CS"/>
        </w:rPr>
        <w:t>prema mini</w:t>
      </w:r>
      <w:r w:rsidR="00F10DEF" w:rsidRPr="00F3209C">
        <w:rPr>
          <w:rFonts w:ascii="Arial" w:hAnsi="Arial" w:cs="Arial"/>
          <w:lang w:val="sr-Latn-CS"/>
        </w:rPr>
        <w:t xml:space="preserve">malnom godišnjem kapacitetu za </w:t>
      </w:r>
      <w:r w:rsidR="006E4E99" w:rsidRPr="00F3209C">
        <w:rPr>
          <w:rFonts w:ascii="Arial" w:hAnsi="Arial" w:cs="Arial"/>
          <w:lang w:val="sr-Latn-CS"/>
        </w:rPr>
        <w:t>4</w:t>
      </w:r>
      <w:r w:rsidRPr="00F3209C">
        <w:rPr>
          <w:rFonts w:ascii="Arial" w:hAnsi="Arial" w:cs="Arial"/>
          <w:lang w:val="sr-Latn-CS"/>
        </w:rPr>
        <w:t xml:space="preserve"> godina je:</w:t>
      </w:r>
      <w:r w:rsidRPr="007B37D3">
        <w:rPr>
          <w:rFonts w:ascii="Arial" w:hAnsi="Arial" w:cs="Arial"/>
          <w:lang w:val="sr-Latn-CS"/>
        </w:rPr>
        <w:t xml:space="preserve"> </w:t>
      </w:r>
    </w:p>
    <w:p w:rsidR="00163B9D" w:rsidRPr="007B37D3" w:rsidRDefault="00163B9D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163B9D" w:rsidRDefault="00F10DEF" w:rsidP="00A40BDA">
      <w:pPr>
        <w:spacing w:after="0"/>
        <w:ind w:left="-180" w:right="-270"/>
        <w:jc w:val="both"/>
        <w:rPr>
          <w:rFonts w:ascii="Arial" w:hAnsi="Arial" w:cs="Arial"/>
          <w:b/>
          <w:lang w:val="sr-Latn-CS"/>
        </w:rPr>
      </w:pPr>
      <w:r w:rsidRPr="00163B9D">
        <w:rPr>
          <w:rFonts w:ascii="Arial" w:hAnsi="Arial" w:cs="Arial"/>
          <w:b/>
          <w:lang w:val="sr-Latn-CS"/>
        </w:rPr>
        <w:t xml:space="preserve">VP= </w:t>
      </w:r>
      <w:r w:rsidR="006E4E99" w:rsidRPr="00163B9D">
        <w:rPr>
          <w:rFonts w:ascii="Arial" w:hAnsi="Arial" w:cs="Arial"/>
          <w:b/>
          <w:lang w:val="sr-Latn-CS"/>
        </w:rPr>
        <w:t>80</w:t>
      </w:r>
      <w:r w:rsidR="00D620F2" w:rsidRPr="00163B9D">
        <w:rPr>
          <w:rFonts w:ascii="Arial" w:hAnsi="Arial" w:cs="Arial"/>
          <w:b/>
          <w:lang w:val="sr-Latn-CS"/>
        </w:rPr>
        <w:t>.000 m</w:t>
      </w:r>
      <w:r w:rsidR="00D620F2" w:rsidRPr="00163B9D">
        <w:rPr>
          <w:rFonts w:ascii="Arial" w:hAnsi="Arial" w:cs="Arial"/>
          <w:b/>
          <w:vertAlign w:val="superscript"/>
          <w:lang w:val="sr-Latn-CS"/>
        </w:rPr>
        <w:t xml:space="preserve">3 </w:t>
      </w:r>
      <w:r w:rsidR="00D620F2" w:rsidRPr="00163B9D">
        <w:rPr>
          <w:rFonts w:ascii="Arial" w:hAnsi="Arial" w:cs="Arial"/>
          <w:b/>
          <w:lang w:val="sr-Latn-CS"/>
        </w:rPr>
        <w:t>č.s.m x 1,5 x 15,9</w:t>
      </w:r>
      <w:r w:rsidR="00F600F6" w:rsidRPr="00163B9D">
        <w:rPr>
          <w:rFonts w:ascii="Arial" w:hAnsi="Arial" w:cs="Arial"/>
          <w:b/>
          <w:lang w:val="sr-Latn-CS"/>
        </w:rPr>
        <w:t>5</w:t>
      </w:r>
      <w:r w:rsidR="00D620F2" w:rsidRPr="00163B9D">
        <w:rPr>
          <w:rFonts w:ascii="Arial" w:hAnsi="Arial" w:cs="Arial"/>
          <w:b/>
          <w:lang w:val="sr-Latn-CS"/>
        </w:rPr>
        <w:t xml:space="preserve"> €/m</w:t>
      </w:r>
      <w:r w:rsidR="00D620F2" w:rsidRPr="00163B9D">
        <w:rPr>
          <w:rFonts w:ascii="Arial" w:hAnsi="Arial" w:cs="Arial"/>
          <w:b/>
          <w:vertAlign w:val="superscript"/>
          <w:lang w:val="sr-Latn-CS"/>
        </w:rPr>
        <w:t xml:space="preserve">3 </w:t>
      </w:r>
      <w:r w:rsidRPr="00163B9D">
        <w:rPr>
          <w:rFonts w:ascii="Arial" w:hAnsi="Arial" w:cs="Arial"/>
          <w:b/>
          <w:lang w:val="sr-Latn-CS"/>
        </w:rPr>
        <w:t xml:space="preserve">= </w:t>
      </w:r>
      <w:r w:rsidR="006E4E99" w:rsidRPr="00163B9D">
        <w:rPr>
          <w:rFonts w:ascii="Arial" w:hAnsi="Arial" w:cs="Arial"/>
          <w:b/>
          <w:lang w:val="sr-Latn-CS"/>
        </w:rPr>
        <w:t>1</w:t>
      </w:r>
      <w:r w:rsidRPr="00163B9D">
        <w:rPr>
          <w:rFonts w:ascii="Arial" w:hAnsi="Arial" w:cs="Arial"/>
          <w:b/>
          <w:lang w:val="sr-Latn-CS"/>
        </w:rPr>
        <w:t>.</w:t>
      </w:r>
      <w:r w:rsidR="006E4E99" w:rsidRPr="00163B9D">
        <w:rPr>
          <w:rFonts w:ascii="Arial" w:hAnsi="Arial" w:cs="Arial"/>
          <w:b/>
          <w:lang w:val="sr-Latn-CS"/>
        </w:rPr>
        <w:t>9</w:t>
      </w:r>
      <w:r w:rsidR="00F600F6" w:rsidRPr="00163B9D">
        <w:rPr>
          <w:rFonts w:ascii="Arial" w:hAnsi="Arial" w:cs="Arial"/>
          <w:b/>
          <w:lang w:val="sr-Latn-CS"/>
        </w:rPr>
        <w:t>14</w:t>
      </w:r>
      <w:r w:rsidR="006E4E99" w:rsidRPr="00163B9D">
        <w:rPr>
          <w:rFonts w:ascii="Arial" w:hAnsi="Arial" w:cs="Arial"/>
          <w:b/>
          <w:lang w:val="sr-Latn-CS"/>
        </w:rPr>
        <w:t>.</w:t>
      </w:r>
      <w:r w:rsidR="00F600F6" w:rsidRPr="00163B9D">
        <w:rPr>
          <w:rFonts w:ascii="Arial" w:hAnsi="Arial" w:cs="Arial"/>
          <w:b/>
          <w:lang w:val="sr-Latn-CS"/>
        </w:rPr>
        <w:t>0</w:t>
      </w:r>
      <w:r w:rsidR="00D620F2" w:rsidRPr="00163B9D">
        <w:rPr>
          <w:rFonts w:ascii="Arial" w:hAnsi="Arial" w:cs="Arial"/>
          <w:b/>
          <w:lang w:val="sr-Latn-CS"/>
        </w:rPr>
        <w:t>00,00 € ili 47</w:t>
      </w:r>
      <w:r w:rsidR="00F600F6" w:rsidRPr="00163B9D">
        <w:rPr>
          <w:rFonts w:ascii="Arial" w:hAnsi="Arial" w:cs="Arial"/>
          <w:b/>
          <w:lang w:val="sr-Latn-CS"/>
        </w:rPr>
        <w:t>8</w:t>
      </w:r>
      <w:r w:rsidR="00D620F2" w:rsidRPr="00163B9D">
        <w:rPr>
          <w:rFonts w:ascii="Arial" w:hAnsi="Arial" w:cs="Arial"/>
          <w:b/>
          <w:lang w:val="sr-Latn-CS"/>
        </w:rPr>
        <w:t>.</w:t>
      </w:r>
      <w:r w:rsidR="00F600F6" w:rsidRPr="00163B9D">
        <w:rPr>
          <w:rFonts w:ascii="Arial" w:hAnsi="Arial" w:cs="Arial"/>
          <w:b/>
          <w:lang w:val="sr-Latn-CS"/>
        </w:rPr>
        <w:t>5</w:t>
      </w:r>
      <w:r w:rsidR="00D620F2" w:rsidRPr="00163B9D">
        <w:rPr>
          <w:rFonts w:ascii="Arial" w:hAnsi="Arial" w:cs="Arial"/>
          <w:b/>
          <w:lang w:val="sr-Latn-CS"/>
        </w:rPr>
        <w:t>00,00 €/godišnje</w:t>
      </w: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lang w:val="sr-Latn-CS"/>
        </w:rPr>
      </w:pPr>
    </w:p>
    <w:p w:rsidR="00D620F2" w:rsidRPr="00B906A9" w:rsidRDefault="00B906A9" w:rsidP="00A40BDA">
      <w:pPr>
        <w:pStyle w:val="Heading2"/>
        <w:numPr>
          <w:ilvl w:val="1"/>
          <w:numId w:val="0"/>
        </w:numPr>
        <w:spacing w:before="0" w:after="0"/>
        <w:ind w:left="-180" w:right="-270"/>
        <w:jc w:val="both"/>
        <w:rPr>
          <w:i w:val="0"/>
          <w:sz w:val="22"/>
          <w:szCs w:val="22"/>
        </w:rPr>
      </w:pPr>
      <w:bookmarkStart w:id="24" w:name="_Toc402262959"/>
      <w:r w:rsidRPr="00B906A9">
        <w:rPr>
          <w:i w:val="0"/>
          <w:sz w:val="22"/>
          <w:szCs w:val="22"/>
        </w:rPr>
        <w:t xml:space="preserve">8.2 </w:t>
      </w:r>
      <w:r w:rsidR="00D620F2" w:rsidRPr="00B906A9">
        <w:rPr>
          <w:i w:val="0"/>
          <w:sz w:val="22"/>
          <w:szCs w:val="22"/>
        </w:rPr>
        <w:t>Obračun minimalne koncesione naknade</w:t>
      </w:r>
      <w:bookmarkEnd w:id="24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Minimalna koncesiona naknada za eksploataciju (čl. 18 Uredbe) obračunava se po obrascu: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163B9D">
        <w:rPr>
          <w:rFonts w:ascii="Arial" w:hAnsi="Arial" w:cs="Arial"/>
          <w:b/>
        </w:rPr>
        <w:t>MDN= VP x G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color w:val="1F497D" w:themeColor="text2"/>
        </w:rPr>
      </w:pP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163B9D">
        <w:rPr>
          <w:rFonts w:ascii="Arial" w:hAnsi="Arial" w:cs="Arial"/>
        </w:rPr>
        <w:t>gdje</w:t>
      </w:r>
      <w:proofErr w:type="gramEnd"/>
      <w:r w:rsidRPr="00163B9D">
        <w:rPr>
          <w:rFonts w:ascii="Arial" w:hAnsi="Arial" w:cs="Arial"/>
        </w:rPr>
        <w:t xml:space="preserve"> su</w:t>
      </w:r>
    </w:p>
    <w:p w:rsidR="00D620F2" w:rsidRPr="00163B9D" w:rsidRDefault="00D442AC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163B9D">
        <w:rPr>
          <w:rFonts w:ascii="Arial" w:hAnsi="Arial" w:cs="Arial"/>
        </w:rPr>
        <w:t xml:space="preserve">VP - vrijednost proizvodnje = </w:t>
      </w:r>
      <w:r w:rsidR="006E4E99" w:rsidRPr="00163B9D">
        <w:rPr>
          <w:rFonts w:ascii="Arial" w:hAnsi="Arial" w:cs="Arial"/>
        </w:rPr>
        <w:t>1 9</w:t>
      </w:r>
      <w:r w:rsidR="00F600F6" w:rsidRPr="00163B9D">
        <w:rPr>
          <w:rFonts w:ascii="Arial" w:hAnsi="Arial" w:cs="Arial"/>
        </w:rPr>
        <w:t>14.0</w:t>
      </w:r>
      <w:r w:rsidR="006E4E99" w:rsidRPr="00163B9D">
        <w:rPr>
          <w:rFonts w:ascii="Arial" w:hAnsi="Arial" w:cs="Arial"/>
        </w:rPr>
        <w:t>00,00</w:t>
      </w:r>
      <w:r w:rsidRPr="00163B9D">
        <w:rPr>
          <w:rFonts w:ascii="Arial" w:hAnsi="Arial" w:cs="Arial"/>
        </w:rPr>
        <w:t xml:space="preserve"> € (za </w:t>
      </w:r>
      <w:r w:rsidR="006E4E99" w:rsidRPr="00163B9D">
        <w:rPr>
          <w:rFonts w:ascii="Arial" w:hAnsi="Arial" w:cs="Arial"/>
        </w:rPr>
        <w:t>4</w:t>
      </w:r>
      <w:r w:rsidR="00D620F2" w:rsidRPr="00163B9D">
        <w:rPr>
          <w:rFonts w:ascii="Arial" w:hAnsi="Arial" w:cs="Arial"/>
        </w:rPr>
        <w:t xml:space="preserve"> godin</w:t>
      </w:r>
      <w:r w:rsidR="006E4E99" w:rsidRPr="00163B9D">
        <w:rPr>
          <w:rFonts w:ascii="Arial" w:hAnsi="Arial" w:cs="Arial"/>
        </w:rPr>
        <w:t>e</w:t>
      </w:r>
      <w:r w:rsidR="00D620F2" w:rsidRPr="00163B9D">
        <w:rPr>
          <w:rFonts w:ascii="Arial" w:hAnsi="Arial" w:cs="Arial"/>
        </w:rPr>
        <w:t>)</w:t>
      </w: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163B9D">
        <w:rPr>
          <w:rFonts w:ascii="Arial" w:hAnsi="Arial" w:cs="Arial"/>
        </w:rPr>
        <w:t>VP - vrijednost godišnje proizvodnje = 47</w:t>
      </w:r>
      <w:r w:rsidR="00F600F6" w:rsidRPr="00163B9D">
        <w:rPr>
          <w:rFonts w:ascii="Arial" w:hAnsi="Arial" w:cs="Arial"/>
        </w:rPr>
        <w:t>8</w:t>
      </w:r>
      <w:r w:rsidRPr="00163B9D">
        <w:rPr>
          <w:rFonts w:ascii="Arial" w:hAnsi="Arial" w:cs="Arial"/>
        </w:rPr>
        <w:t>.</w:t>
      </w:r>
      <w:r w:rsidR="00F600F6" w:rsidRPr="00163B9D">
        <w:rPr>
          <w:rFonts w:ascii="Arial" w:hAnsi="Arial" w:cs="Arial"/>
        </w:rPr>
        <w:t>5</w:t>
      </w:r>
      <w:r w:rsidRPr="00163B9D">
        <w:rPr>
          <w:rFonts w:ascii="Arial" w:hAnsi="Arial" w:cs="Arial"/>
        </w:rPr>
        <w:t>00,00 €</w:t>
      </w: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163B9D">
        <w:rPr>
          <w:rFonts w:ascii="Arial" w:hAnsi="Arial" w:cs="Arial"/>
        </w:rPr>
        <w:t xml:space="preserve">G - </w:t>
      </w:r>
      <w:proofErr w:type="gramStart"/>
      <w:r w:rsidRPr="00163B9D">
        <w:rPr>
          <w:rFonts w:ascii="Arial" w:hAnsi="Arial" w:cs="Arial"/>
        </w:rPr>
        <w:t>minimalni</w:t>
      </w:r>
      <w:proofErr w:type="gramEnd"/>
      <w:r w:rsidRPr="00163B9D">
        <w:rPr>
          <w:rFonts w:ascii="Arial" w:hAnsi="Arial" w:cs="Arial"/>
        </w:rPr>
        <w:t xml:space="preserve"> procentni iznos (7%)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color w:val="1F497D" w:themeColor="text2"/>
        </w:rPr>
      </w:pPr>
    </w:p>
    <w:p w:rsidR="00D620F2" w:rsidRPr="00163B9D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163B9D">
        <w:rPr>
          <w:rFonts w:ascii="Arial" w:hAnsi="Arial" w:cs="Arial"/>
          <w:b/>
        </w:rPr>
        <w:t>M</w:t>
      </w:r>
      <w:r w:rsidR="00D442AC" w:rsidRPr="00163B9D">
        <w:rPr>
          <w:rFonts w:ascii="Arial" w:hAnsi="Arial" w:cs="Arial"/>
          <w:b/>
        </w:rPr>
        <w:t xml:space="preserve">DN = </w:t>
      </w:r>
      <w:r w:rsidR="00F600F6" w:rsidRPr="00163B9D">
        <w:rPr>
          <w:rFonts w:ascii="Arial" w:hAnsi="Arial" w:cs="Arial"/>
          <w:b/>
        </w:rPr>
        <w:t>1.</w:t>
      </w:r>
      <w:r w:rsidR="006E4E99" w:rsidRPr="00163B9D">
        <w:rPr>
          <w:rFonts w:ascii="Arial" w:hAnsi="Arial" w:cs="Arial"/>
          <w:b/>
        </w:rPr>
        <w:t>9</w:t>
      </w:r>
      <w:r w:rsidR="00F600F6" w:rsidRPr="00163B9D">
        <w:rPr>
          <w:rFonts w:ascii="Arial" w:hAnsi="Arial" w:cs="Arial"/>
          <w:b/>
        </w:rPr>
        <w:t>14.</w:t>
      </w:r>
      <w:r w:rsidR="00163B9D" w:rsidRPr="00163B9D">
        <w:rPr>
          <w:rFonts w:ascii="Arial" w:hAnsi="Arial" w:cs="Arial"/>
          <w:b/>
        </w:rPr>
        <w:t>000</w:t>
      </w:r>
      <w:proofErr w:type="gramStart"/>
      <w:r w:rsidR="006E4E99" w:rsidRPr="00163B9D">
        <w:rPr>
          <w:rFonts w:ascii="Arial" w:hAnsi="Arial" w:cs="Arial"/>
          <w:b/>
        </w:rPr>
        <w:t>,00</w:t>
      </w:r>
      <w:proofErr w:type="gramEnd"/>
      <w:r w:rsidR="00E13D31">
        <w:rPr>
          <w:rFonts w:ascii="Arial" w:hAnsi="Arial" w:cs="Arial"/>
          <w:b/>
        </w:rPr>
        <w:t xml:space="preserve"> </w:t>
      </w:r>
      <w:r w:rsidR="00F600F6" w:rsidRPr="00163B9D">
        <w:rPr>
          <w:rFonts w:ascii="Arial" w:hAnsi="Arial" w:cs="Arial"/>
          <w:b/>
        </w:rPr>
        <w:t>x 0,07 = 133.980</w:t>
      </w:r>
      <w:r w:rsidRPr="00163B9D">
        <w:rPr>
          <w:rFonts w:ascii="Arial" w:hAnsi="Arial" w:cs="Arial"/>
          <w:b/>
        </w:rPr>
        <w:t>,00 €</w:t>
      </w:r>
      <w:r w:rsidR="00D442AC" w:rsidRPr="00163B9D">
        <w:rPr>
          <w:rFonts w:ascii="Arial" w:hAnsi="Arial" w:cs="Arial"/>
        </w:rPr>
        <w:t xml:space="preserve"> (ukupno za </w:t>
      </w:r>
      <w:r w:rsidR="006E4E99" w:rsidRPr="00163B9D">
        <w:rPr>
          <w:rFonts w:ascii="Arial" w:hAnsi="Arial" w:cs="Arial"/>
        </w:rPr>
        <w:t>4</w:t>
      </w:r>
      <w:r w:rsidRPr="00163B9D">
        <w:rPr>
          <w:rFonts w:ascii="Arial" w:hAnsi="Arial" w:cs="Arial"/>
        </w:rPr>
        <w:t xml:space="preserve"> godin</w:t>
      </w:r>
      <w:r w:rsidR="00E13D31">
        <w:rPr>
          <w:rFonts w:ascii="Arial" w:hAnsi="Arial" w:cs="Arial"/>
        </w:rPr>
        <w:t>e</w:t>
      </w:r>
      <w:r w:rsidRPr="00163B9D">
        <w:rPr>
          <w:rFonts w:ascii="Arial" w:hAnsi="Arial" w:cs="Arial"/>
        </w:rPr>
        <w:t>)</w:t>
      </w:r>
    </w:p>
    <w:p w:rsidR="00D620F2" w:rsidRDefault="006E4E99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163B9D">
        <w:rPr>
          <w:rFonts w:ascii="Arial" w:hAnsi="Arial" w:cs="Arial"/>
          <w:b/>
        </w:rPr>
        <w:t>MDN = 47</w:t>
      </w:r>
      <w:r w:rsidR="00F600F6" w:rsidRPr="00163B9D">
        <w:rPr>
          <w:rFonts w:ascii="Arial" w:hAnsi="Arial" w:cs="Arial"/>
          <w:b/>
        </w:rPr>
        <w:t>8</w:t>
      </w:r>
      <w:r w:rsidRPr="00163B9D">
        <w:rPr>
          <w:rFonts w:ascii="Arial" w:hAnsi="Arial" w:cs="Arial"/>
          <w:b/>
        </w:rPr>
        <w:t>.</w:t>
      </w:r>
      <w:r w:rsidR="00F600F6" w:rsidRPr="00163B9D">
        <w:rPr>
          <w:rFonts w:ascii="Arial" w:hAnsi="Arial" w:cs="Arial"/>
          <w:b/>
        </w:rPr>
        <w:t>5</w:t>
      </w:r>
      <w:r w:rsidRPr="00163B9D">
        <w:rPr>
          <w:rFonts w:ascii="Arial" w:hAnsi="Arial" w:cs="Arial"/>
          <w:b/>
        </w:rPr>
        <w:t>00,00 x 0</w:t>
      </w:r>
      <w:proofErr w:type="gramStart"/>
      <w:r w:rsidRPr="00163B9D">
        <w:rPr>
          <w:rFonts w:ascii="Arial" w:hAnsi="Arial" w:cs="Arial"/>
          <w:b/>
        </w:rPr>
        <w:t>,07</w:t>
      </w:r>
      <w:proofErr w:type="gramEnd"/>
      <w:r w:rsidRPr="00163B9D">
        <w:rPr>
          <w:rFonts w:ascii="Arial" w:hAnsi="Arial" w:cs="Arial"/>
          <w:b/>
        </w:rPr>
        <w:t xml:space="preserve"> = </w:t>
      </w:r>
      <w:r w:rsidR="00D620F2" w:rsidRPr="00163B9D">
        <w:rPr>
          <w:rFonts w:ascii="Arial" w:hAnsi="Arial" w:cs="Arial"/>
          <w:b/>
        </w:rPr>
        <w:t>33.4</w:t>
      </w:r>
      <w:r w:rsidR="00F600F6" w:rsidRPr="00163B9D">
        <w:rPr>
          <w:rFonts w:ascii="Arial" w:hAnsi="Arial" w:cs="Arial"/>
          <w:b/>
        </w:rPr>
        <w:t>95</w:t>
      </w:r>
      <w:r w:rsidR="00D620F2" w:rsidRPr="00163B9D">
        <w:rPr>
          <w:rFonts w:ascii="Arial" w:hAnsi="Arial" w:cs="Arial"/>
          <w:b/>
        </w:rPr>
        <w:t>,00 €/godišnje</w:t>
      </w:r>
    </w:p>
    <w:p w:rsidR="00310130" w:rsidRPr="00163B9D" w:rsidRDefault="00310130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Koncesiona naknada (čl. 19 Uredbe) za eksploataciju sastoji se iz stalnog (SDN) (nepromjenjivog) i promjenjivog (PDN) dijela naknade.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Obračunata minimalna kon</w:t>
      </w:r>
      <w:r w:rsidR="00FD0CB6">
        <w:rPr>
          <w:rFonts w:ascii="Arial" w:hAnsi="Arial" w:cs="Arial"/>
        </w:rPr>
        <w:t>cesiona naknada</w:t>
      </w:r>
      <w:r w:rsidRPr="007B37D3">
        <w:rPr>
          <w:rFonts w:ascii="Arial" w:hAnsi="Arial" w:cs="Arial"/>
        </w:rPr>
        <w:t xml:space="preserve"> predstavlja minimalni iznos stalnog (nepromjenjivog) dijela koncesione naknade: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FD0CB6">
        <w:rPr>
          <w:rFonts w:ascii="Arial" w:hAnsi="Arial" w:cs="Arial"/>
          <w:b/>
        </w:rPr>
        <w:t>-</w:t>
      </w:r>
      <w:r w:rsidR="004F284A">
        <w:rPr>
          <w:rFonts w:ascii="Arial" w:hAnsi="Arial" w:cs="Arial"/>
          <w:b/>
        </w:rPr>
        <w:t xml:space="preserve"> </w:t>
      </w:r>
      <w:r w:rsidR="00D442AC" w:rsidRPr="00FD0CB6">
        <w:rPr>
          <w:rFonts w:ascii="Arial" w:hAnsi="Arial" w:cs="Arial"/>
          <w:b/>
        </w:rPr>
        <w:t xml:space="preserve">Za period </w:t>
      </w:r>
      <w:proofErr w:type="gramStart"/>
      <w:r w:rsidR="00D442AC" w:rsidRPr="00FD0CB6">
        <w:rPr>
          <w:rFonts w:ascii="Arial" w:hAnsi="Arial" w:cs="Arial"/>
          <w:b/>
        </w:rPr>
        <w:t>od</w:t>
      </w:r>
      <w:proofErr w:type="gramEnd"/>
      <w:r w:rsidR="00FD0CB6">
        <w:rPr>
          <w:rFonts w:ascii="Arial" w:hAnsi="Arial" w:cs="Arial"/>
          <w:b/>
        </w:rPr>
        <w:t xml:space="preserve"> </w:t>
      </w:r>
      <w:r w:rsidR="006E4E99" w:rsidRPr="00FD0CB6">
        <w:rPr>
          <w:rFonts w:ascii="Arial" w:hAnsi="Arial" w:cs="Arial"/>
          <w:b/>
        </w:rPr>
        <w:t>4</w:t>
      </w:r>
      <w:r w:rsidR="00D442AC" w:rsidRPr="00FD0CB6">
        <w:rPr>
          <w:rFonts w:ascii="Arial" w:hAnsi="Arial" w:cs="Arial"/>
          <w:b/>
        </w:rPr>
        <w:t xml:space="preserve"> godina SDN = </w:t>
      </w:r>
      <w:r w:rsidR="00F600F6" w:rsidRPr="00FD0CB6">
        <w:rPr>
          <w:rFonts w:ascii="Arial" w:hAnsi="Arial" w:cs="Arial"/>
          <w:b/>
        </w:rPr>
        <w:t>133.980</w:t>
      </w:r>
      <w:r w:rsidRPr="00FD0CB6">
        <w:rPr>
          <w:rFonts w:ascii="Arial" w:hAnsi="Arial" w:cs="Arial"/>
          <w:b/>
        </w:rPr>
        <w:t>,00 €</w:t>
      </w:r>
    </w:p>
    <w:p w:rsidR="00FD0CB6" w:rsidRPr="00FD0CB6" w:rsidRDefault="00FD0CB6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FD0CB6">
        <w:rPr>
          <w:rFonts w:ascii="Arial" w:hAnsi="Arial" w:cs="Arial"/>
          <w:b/>
        </w:rPr>
        <w:t>- SDN (godišnje) = 33.</w:t>
      </w:r>
      <w:r w:rsidR="00F600F6" w:rsidRPr="00FD0CB6">
        <w:rPr>
          <w:rFonts w:ascii="Arial" w:hAnsi="Arial" w:cs="Arial"/>
          <w:b/>
        </w:rPr>
        <w:t>495</w:t>
      </w:r>
      <w:r w:rsidRPr="00FD0CB6">
        <w:rPr>
          <w:rFonts w:ascii="Arial" w:hAnsi="Arial" w:cs="Arial"/>
          <w:b/>
        </w:rPr>
        <w:t>,00 €.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color w:val="1F497D" w:themeColor="text2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 xml:space="preserve">Stalni dio koncesione naknade koji se utvrđuje Ugovorom o koncesiji, može, u </w:t>
      </w:r>
      <w:r w:rsidR="00E13D31">
        <w:rPr>
          <w:rFonts w:ascii="Arial" w:hAnsi="Arial" w:cs="Arial"/>
          <w:b/>
        </w:rPr>
        <w:t xml:space="preserve">zavisnosti </w:t>
      </w:r>
      <w:proofErr w:type="gramStart"/>
      <w:r w:rsidR="00E13D31">
        <w:rPr>
          <w:rFonts w:ascii="Arial" w:hAnsi="Arial" w:cs="Arial"/>
          <w:b/>
        </w:rPr>
        <w:t>od</w:t>
      </w:r>
      <w:proofErr w:type="gramEnd"/>
      <w:r w:rsidR="00E13D31">
        <w:rPr>
          <w:rFonts w:ascii="Arial" w:hAnsi="Arial" w:cs="Arial"/>
          <w:b/>
        </w:rPr>
        <w:t xml:space="preserve"> ponuda biti veći </w:t>
      </w:r>
      <w:r w:rsidRPr="007B37D3">
        <w:rPr>
          <w:rFonts w:ascii="Arial" w:hAnsi="Arial" w:cs="Arial"/>
          <w:b/>
        </w:rPr>
        <w:t>od obračunatog minimalnog iznosa.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FD0CB6">
        <w:rPr>
          <w:rFonts w:ascii="Arial" w:hAnsi="Arial" w:cs="Arial"/>
          <w:b/>
        </w:rPr>
        <w:lastRenderedPageBreak/>
        <w:t xml:space="preserve">Zainteresovani ponuđači treba svojim ponudama, a u zavisnosti </w:t>
      </w:r>
      <w:proofErr w:type="gramStart"/>
      <w:r w:rsidRPr="00FD0CB6">
        <w:rPr>
          <w:rFonts w:ascii="Arial" w:hAnsi="Arial" w:cs="Arial"/>
          <w:b/>
        </w:rPr>
        <w:t>od</w:t>
      </w:r>
      <w:proofErr w:type="gramEnd"/>
      <w:r w:rsidRPr="00FD0CB6">
        <w:rPr>
          <w:rFonts w:ascii="Arial" w:hAnsi="Arial" w:cs="Arial"/>
          <w:b/>
        </w:rPr>
        <w:t xml:space="preserve"> sopstvene ekonomsko-finansijske analize, da ponude godišnji obim proizvodnje i procentualni iznos za obračun koncesione naknade, koji ne mogu biti manji od elemenata na osnovu kojih je obračunat minimalni iznos naknade. </w:t>
      </w:r>
    </w:p>
    <w:p w:rsidR="00E80C35" w:rsidRPr="007B37D3" w:rsidRDefault="00E80C35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FD0CB6">
        <w:rPr>
          <w:rFonts w:ascii="Arial" w:hAnsi="Arial" w:cs="Arial"/>
        </w:rPr>
        <w:t>Ugovoreni godišnji iznos SDN Koncesionar plaća tokom konesionog perioda u jednakim polugodišnjim ratama do kraja juna, odnosno, decembra tekuće godine.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u w:val="single"/>
        </w:rPr>
      </w:pPr>
    </w:p>
    <w:p w:rsidR="00D620F2" w:rsidRPr="007B37D3" w:rsidRDefault="007F4E5A" w:rsidP="00A40BDA">
      <w:pPr>
        <w:pStyle w:val="Heading2"/>
        <w:numPr>
          <w:ilvl w:val="1"/>
          <w:numId w:val="0"/>
        </w:numPr>
        <w:spacing w:before="0" w:after="0"/>
        <w:ind w:left="-180" w:right="-270"/>
        <w:jc w:val="both"/>
        <w:rPr>
          <w:i w:val="0"/>
          <w:sz w:val="22"/>
          <w:szCs w:val="22"/>
        </w:rPr>
      </w:pPr>
      <w:bookmarkStart w:id="25" w:name="_Toc402262960"/>
      <w:r>
        <w:rPr>
          <w:i w:val="0"/>
          <w:sz w:val="22"/>
          <w:szCs w:val="22"/>
        </w:rPr>
        <w:t>8</w:t>
      </w:r>
      <w:r w:rsidR="00306531" w:rsidRPr="007B37D3">
        <w:rPr>
          <w:i w:val="0"/>
          <w:sz w:val="22"/>
          <w:szCs w:val="22"/>
        </w:rPr>
        <w:t>.</w:t>
      </w:r>
      <w:r>
        <w:rPr>
          <w:i w:val="0"/>
          <w:sz w:val="22"/>
          <w:szCs w:val="22"/>
        </w:rPr>
        <w:t>3</w:t>
      </w:r>
      <w:r w:rsidR="00306531" w:rsidRPr="007B37D3">
        <w:rPr>
          <w:i w:val="0"/>
          <w:sz w:val="22"/>
          <w:szCs w:val="22"/>
        </w:rPr>
        <w:t xml:space="preserve">. </w:t>
      </w:r>
      <w:r w:rsidR="00D620F2" w:rsidRPr="007B37D3">
        <w:rPr>
          <w:i w:val="0"/>
          <w:sz w:val="22"/>
          <w:szCs w:val="22"/>
        </w:rPr>
        <w:t>Promjenjivi dio koncesione naknade (PDN)</w:t>
      </w:r>
      <w:bookmarkEnd w:id="25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FD0CB6">
        <w:rPr>
          <w:rFonts w:ascii="Arial" w:hAnsi="Arial" w:cs="Arial"/>
        </w:rPr>
        <w:t>Promjenjivi dio naknade obračunava se godišnje po obrascu: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FD0CB6" w:rsidRDefault="007B37D3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FD0CB6">
        <w:rPr>
          <w:rFonts w:ascii="Arial" w:hAnsi="Arial" w:cs="Arial"/>
          <w:b/>
        </w:rPr>
        <w:t>PDN</w:t>
      </w:r>
      <w:r w:rsidR="00403C16">
        <w:rPr>
          <w:rFonts w:ascii="Arial" w:hAnsi="Arial" w:cs="Arial"/>
          <w:b/>
        </w:rPr>
        <w:t xml:space="preserve"> </w:t>
      </w:r>
      <w:r w:rsidRPr="00FD0CB6">
        <w:rPr>
          <w:rFonts w:ascii="Arial" w:hAnsi="Arial" w:cs="Arial"/>
          <w:b/>
        </w:rPr>
        <w:t>=</w:t>
      </w:r>
      <w:r w:rsidR="00403C16">
        <w:rPr>
          <w:rFonts w:ascii="Arial" w:hAnsi="Arial" w:cs="Arial"/>
          <w:b/>
        </w:rPr>
        <w:t xml:space="preserve"> </w:t>
      </w:r>
      <w:r w:rsidRPr="00FD0CB6">
        <w:rPr>
          <w:rFonts w:ascii="Arial" w:hAnsi="Arial" w:cs="Arial"/>
          <w:b/>
        </w:rPr>
        <w:t>VP</w:t>
      </w:r>
      <w:r w:rsidR="00A21FEC">
        <w:rPr>
          <w:rFonts w:ascii="Arial" w:hAnsi="Arial" w:cs="Arial"/>
          <w:b/>
        </w:rPr>
        <w:t xml:space="preserve"> </w:t>
      </w:r>
      <w:r w:rsidRPr="00FD0CB6">
        <w:rPr>
          <w:rFonts w:ascii="Arial" w:hAnsi="Arial" w:cs="Arial"/>
          <w:b/>
        </w:rPr>
        <w:t>x</w:t>
      </w:r>
      <w:r w:rsidR="00A21FEC">
        <w:rPr>
          <w:rFonts w:ascii="Arial" w:hAnsi="Arial" w:cs="Arial"/>
          <w:b/>
        </w:rPr>
        <w:t xml:space="preserve"> </w:t>
      </w:r>
      <w:r w:rsidRPr="00FD0CB6">
        <w:rPr>
          <w:rFonts w:ascii="Arial" w:hAnsi="Arial" w:cs="Arial"/>
          <w:b/>
        </w:rPr>
        <w:t>(</w:t>
      </w:r>
      <w:r w:rsidR="00D620F2" w:rsidRPr="00FD0CB6">
        <w:rPr>
          <w:rFonts w:ascii="Arial" w:hAnsi="Arial" w:cs="Arial"/>
          <w:b/>
        </w:rPr>
        <w:t>G</w:t>
      </w:r>
      <w:r w:rsidR="00F600F6" w:rsidRPr="00FD0CB6">
        <w:rPr>
          <w:rFonts w:ascii="Arial" w:hAnsi="Arial" w:cs="Arial"/>
          <w:b/>
        </w:rPr>
        <w:t>+</w:t>
      </w:r>
      <w:r w:rsidR="00D620F2" w:rsidRPr="00FD0CB6">
        <w:rPr>
          <w:rFonts w:ascii="Arial" w:hAnsi="Arial" w:cs="Arial"/>
          <w:b/>
        </w:rPr>
        <w:t>K) &gt; SDN (godišnjeg iznosa)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7F4E5A" w:rsidP="00A40BDA">
      <w:pPr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</w:rPr>
        <w:t>Gdje su: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</w:rPr>
        <w:t xml:space="preserve">VP - godišnja vrijednost proizvodnje obračunata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osnovu ostvarene godišnje proizvodnje mineralne sirovine </w:t>
      </w:r>
      <w:r w:rsidR="007F4E5A">
        <w:rPr>
          <w:rFonts w:ascii="Arial" w:hAnsi="Arial" w:cs="Arial"/>
        </w:rPr>
        <w:t>i</w:t>
      </w:r>
      <w:r w:rsidRPr="007B37D3">
        <w:rPr>
          <w:rFonts w:ascii="Arial" w:hAnsi="Arial" w:cs="Arial"/>
        </w:rPr>
        <w:t xml:space="preserve"> prosječne godišnje prodajne cijene proizvoda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G - </w:t>
      </w:r>
      <w:proofErr w:type="gramStart"/>
      <w:r w:rsidRPr="007B37D3">
        <w:rPr>
          <w:rFonts w:ascii="Arial" w:hAnsi="Arial" w:cs="Arial"/>
        </w:rPr>
        <w:t>ugovoreni</w:t>
      </w:r>
      <w:proofErr w:type="gramEnd"/>
      <w:r w:rsidRPr="007B37D3">
        <w:rPr>
          <w:rFonts w:ascii="Arial" w:hAnsi="Arial" w:cs="Arial"/>
        </w:rPr>
        <w:t xml:space="preserve"> procentualni iznos za pripadnost grupi ležišta (ne manji od 7%)</w:t>
      </w:r>
    </w:p>
    <w:p w:rsidR="007F4E5A" w:rsidRPr="007F4E5A" w:rsidRDefault="00D620F2" w:rsidP="00A40BDA">
      <w:pPr>
        <w:suppressAutoHyphens/>
        <w:spacing w:after="0"/>
        <w:ind w:left="-180" w:right="-270"/>
        <w:jc w:val="both"/>
        <w:rPr>
          <w:rFonts w:ascii="Arial" w:hAnsi="Arial" w:cs="Arial"/>
        </w:rPr>
      </w:pPr>
      <w:r w:rsidRPr="007F4E5A">
        <w:rPr>
          <w:rFonts w:ascii="Arial" w:hAnsi="Arial" w:cs="Arial"/>
        </w:rPr>
        <w:t xml:space="preserve">K - </w:t>
      </w:r>
      <w:proofErr w:type="gramStart"/>
      <w:r w:rsidRPr="007F4E5A">
        <w:rPr>
          <w:rFonts w:ascii="Arial" w:hAnsi="Arial" w:cs="Arial"/>
        </w:rPr>
        <w:t>vrijednost</w:t>
      </w:r>
      <w:proofErr w:type="gramEnd"/>
      <w:r w:rsidRPr="007F4E5A">
        <w:rPr>
          <w:rFonts w:ascii="Arial" w:hAnsi="Arial" w:cs="Arial"/>
        </w:rPr>
        <w:t xml:space="preserve"> korektivn</w:t>
      </w:r>
      <w:r w:rsidR="007F4E5A" w:rsidRPr="007F4E5A">
        <w:rPr>
          <w:rFonts w:ascii="Arial" w:hAnsi="Arial" w:cs="Arial"/>
        </w:rPr>
        <w:t>og</w:t>
      </w:r>
      <w:r w:rsidRPr="007F4E5A">
        <w:rPr>
          <w:rFonts w:ascii="Arial" w:hAnsi="Arial" w:cs="Arial"/>
        </w:rPr>
        <w:t xml:space="preserve"> faktora</w:t>
      </w:r>
      <w:r w:rsidR="003D7E99">
        <w:rPr>
          <w:rFonts w:ascii="Arial" w:hAnsi="Arial" w:cs="Arial"/>
        </w:rPr>
        <w:t xml:space="preserve"> po osnovu ostvarene </w:t>
      </w:r>
      <w:r w:rsidR="007F4E5A" w:rsidRPr="007F4E5A">
        <w:rPr>
          <w:rFonts w:ascii="Arial" w:hAnsi="Arial" w:cs="Arial"/>
        </w:rPr>
        <w:t>proizvodnje, obračunati iznos se uvećava od 0 do 3% (čl. 21 Uredbe).</w:t>
      </w:r>
    </w:p>
    <w:p w:rsidR="00FD0CB6" w:rsidRPr="007B37D3" w:rsidRDefault="00FD0CB6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4F284A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Promjenjivi dio naknade, obračunava se na kraju svake godine. Uplata se vrši jedanput godišnje na osnovu Rješenja nadležnog </w:t>
      </w:r>
      <w:r w:rsidR="004F284A" w:rsidRPr="004F284A">
        <w:rPr>
          <w:rFonts w:ascii="Arial" w:hAnsi="Arial" w:cs="Arial"/>
          <w:lang w:val="sr-Latn-CS"/>
        </w:rPr>
        <w:t>organa uprave.</w:t>
      </w:r>
    </w:p>
    <w:p w:rsidR="007F4E5A" w:rsidRPr="007F4E5A" w:rsidRDefault="007F4E5A" w:rsidP="00A40BDA">
      <w:pPr>
        <w:spacing w:after="0"/>
        <w:ind w:left="-180" w:right="-270"/>
        <w:jc w:val="both"/>
        <w:rPr>
          <w:rFonts w:ascii="Arial" w:hAnsi="Arial" w:cs="Arial"/>
          <w:color w:val="FF0000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Obračun PDN se vrši na osnovu sljedeće dokumentacije:</w:t>
      </w:r>
    </w:p>
    <w:p w:rsidR="00D620F2" w:rsidRPr="007B37D3" w:rsidRDefault="00D620F2" w:rsidP="009C0713">
      <w:pPr>
        <w:numPr>
          <w:ilvl w:val="0"/>
          <w:numId w:val="4"/>
        </w:numPr>
        <w:suppressAutoHyphens/>
        <w:spacing w:after="0"/>
        <w:ind w:left="-180" w:right="-270" w:hanging="9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godišnjeg tehničkog izvještaja;</w:t>
      </w:r>
    </w:p>
    <w:p w:rsidR="00D620F2" w:rsidRPr="007B37D3" w:rsidRDefault="00D620F2" w:rsidP="009C0713">
      <w:pPr>
        <w:numPr>
          <w:ilvl w:val="0"/>
          <w:numId w:val="4"/>
        </w:numPr>
        <w:suppressAutoHyphens/>
        <w:spacing w:after="0"/>
        <w:ind w:left="-180" w:right="-270" w:hanging="9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izvještaja o radu i ostvarenom prihodu po osnovu ostvarene proizvodnje mineralne sirovine; i</w:t>
      </w:r>
    </w:p>
    <w:p w:rsidR="00D620F2" w:rsidRDefault="00D620F2" w:rsidP="009C0713">
      <w:pPr>
        <w:numPr>
          <w:ilvl w:val="0"/>
          <w:numId w:val="4"/>
        </w:numPr>
        <w:suppressAutoHyphens/>
        <w:spacing w:after="0"/>
        <w:ind w:left="-180" w:right="-270" w:hanging="9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dokaza</w:t>
      </w:r>
      <w:proofErr w:type="gramEnd"/>
      <w:r w:rsidRPr="007B37D3">
        <w:rPr>
          <w:rFonts w:ascii="Arial" w:hAnsi="Arial" w:cs="Arial"/>
        </w:rPr>
        <w:t xml:space="preserve"> o količinama i prosječno ostvarenim prodajnim cijenama jedinice proizvoda na domaćem i stranom tržištu.</w:t>
      </w:r>
    </w:p>
    <w:p w:rsidR="00D620F2" w:rsidRPr="00FD0CB6" w:rsidRDefault="00D620F2" w:rsidP="00A40BDA">
      <w:pPr>
        <w:suppressAutoHyphens/>
        <w:spacing w:after="0"/>
        <w:ind w:left="-180" w:right="-270"/>
        <w:jc w:val="both"/>
        <w:rPr>
          <w:rFonts w:ascii="Arial" w:hAnsi="Arial" w:cs="Arial"/>
        </w:rPr>
      </w:pPr>
      <w:r w:rsidRPr="00FD0CB6">
        <w:rPr>
          <w:rFonts w:ascii="Arial" w:hAnsi="Arial" w:cs="Arial"/>
        </w:rPr>
        <w:t xml:space="preserve">Dokumentaciju za obračun PDN podnosi koncesionar najkasnije do kraja </w:t>
      </w:r>
      <w:proofErr w:type="gramStart"/>
      <w:r w:rsidRPr="00FD0CB6">
        <w:rPr>
          <w:rFonts w:ascii="Arial" w:hAnsi="Arial" w:cs="Arial"/>
        </w:rPr>
        <w:t>marta</w:t>
      </w:r>
      <w:proofErr w:type="gramEnd"/>
      <w:r w:rsidRPr="00FD0CB6">
        <w:rPr>
          <w:rFonts w:ascii="Arial" w:hAnsi="Arial" w:cs="Arial"/>
        </w:rPr>
        <w:t xml:space="preserve"> tekuće, za prethodnu godin</w:t>
      </w:r>
      <w:r w:rsidR="00C03EA9">
        <w:rPr>
          <w:rFonts w:ascii="Arial" w:hAnsi="Arial" w:cs="Arial"/>
        </w:rPr>
        <w:t>u</w:t>
      </w:r>
      <w:r w:rsidRPr="00FD0CB6">
        <w:rPr>
          <w:rFonts w:ascii="Arial" w:hAnsi="Arial" w:cs="Arial"/>
        </w:rPr>
        <w:t>.</w:t>
      </w:r>
    </w:p>
    <w:p w:rsidR="000D47C1" w:rsidRPr="007B37D3" w:rsidRDefault="000D47C1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EB116F" w:rsidRPr="007B37D3" w:rsidRDefault="00EB116F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7B37D3" w:rsidRDefault="007F4E5A" w:rsidP="00A40BDA">
      <w:pPr>
        <w:pStyle w:val="Heading1"/>
        <w:keepLines/>
        <w:widowControl w:val="0"/>
        <w:spacing w:before="0" w:after="0" w:line="240" w:lineRule="auto"/>
        <w:ind w:left="-180" w:right="-270"/>
        <w:rPr>
          <w:sz w:val="22"/>
          <w:szCs w:val="22"/>
        </w:rPr>
      </w:pPr>
      <w:bookmarkStart w:id="26" w:name="_Toc390549915"/>
      <w:r>
        <w:rPr>
          <w:sz w:val="22"/>
          <w:szCs w:val="22"/>
        </w:rPr>
        <w:t>9</w:t>
      </w:r>
      <w:r w:rsidR="00EB116F" w:rsidRPr="007B37D3">
        <w:rPr>
          <w:sz w:val="22"/>
          <w:szCs w:val="22"/>
        </w:rPr>
        <w:t xml:space="preserve">. </w:t>
      </w:r>
      <w:r w:rsidR="00D620F2" w:rsidRPr="007B37D3">
        <w:rPr>
          <w:sz w:val="22"/>
          <w:szCs w:val="22"/>
        </w:rPr>
        <w:t>KRITERIJUMI ZA IZBOR NAJPOVOLJNIJE PONUDE</w:t>
      </w:r>
      <w:bookmarkEnd w:id="26"/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</w:rPr>
      </w:pP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Kriterijumi na osnovu kojih se vrši vrednovanje ponuda su sljedeći:</w:t>
      </w:r>
    </w:p>
    <w:p w:rsidR="006E4E99" w:rsidRPr="007B37D3" w:rsidRDefault="006E4E99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v-S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9"/>
        <w:gridCol w:w="7073"/>
        <w:gridCol w:w="1608"/>
      </w:tblGrid>
      <w:tr w:rsidR="00D620F2" w:rsidRPr="007B37D3" w:rsidTr="00F3209C">
        <w:trPr>
          <w:trHeight w:val="285"/>
        </w:trPr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20F2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  <w:lang w:val="sr-Latn-CS"/>
              </w:rPr>
            </w:pPr>
            <w:r w:rsidRPr="007B37D3">
              <w:rPr>
                <w:rFonts w:ascii="Arial" w:hAnsi="Arial" w:cs="Arial"/>
                <w:b/>
                <w:lang w:val="sr-Latn-CS"/>
              </w:rPr>
              <w:t>R.B.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:rsidR="00D620F2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  <w:lang w:val="sr-Latn-CS"/>
              </w:rPr>
              <w:t xml:space="preserve">K R I </w:t>
            </w:r>
            <w:r w:rsidRPr="007B37D3">
              <w:rPr>
                <w:rFonts w:ascii="Arial" w:hAnsi="Arial" w:cs="Arial"/>
                <w:b/>
              </w:rPr>
              <w:t>T E R I J U M I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20F2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Broj bodova</w:t>
            </w:r>
          </w:p>
        </w:tc>
      </w:tr>
      <w:tr w:rsidR="00D620F2" w:rsidRPr="007B37D3" w:rsidTr="00F3209C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D620F2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7B37D3" w:rsidRDefault="00F01F15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620F2" w:rsidRPr="007B37D3">
              <w:rPr>
                <w:rFonts w:ascii="Arial" w:hAnsi="Arial" w:cs="Arial"/>
                <w:b/>
              </w:rPr>
              <w:t>0</w:t>
            </w:r>
          </w:p>
        </w:tc>
      </w:tr>
      <w:tr w:rsidR="00D620F2" w:rsidRPr="007B37D3" w:rsidTr="00F3209C">
        <w:trPr>
          <w:trHeight w:val="285"/>
        </w:trPr>
        <w:tc>
          <w:tcPr>
            <w:tcW w:w="65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92896" w:rsidRPr="007B37D3" w:rsidRDefault="00D620F2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Ponuđeni  obim godišnje rudarske proizvodnje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7B37D3" w:rsidRDefault="00F01F15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620F2" w:rsidRPr="007B37D3">
              <w:rPr>
                <w:rFonts w:ascii="Arial" w:hAnsi="Arial" w:cs="Arial"/>
                <w:b/>
              </w:rPr>
              <w:t>0</w:t>
            </w:r>
          </w:p>
        </w:tc>
      </w:tr>
      <w:tr w:rsidR="00F92896" w:rsidRPr="007B37D3" w:rsidTr="00F3209C">
        <w:trPr>
          <w:trHeight w:val="252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2896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9.3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92896" w:rsidRPr="00310130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color w:val="FF0000"/>
              </w:rPr>
            </w:pPr>
            <w:r w:rsidRPr="007B37D3">
              <w:rPr>
                <w:rFonts w:ascii="Arial" w:hAnsi="Arial" w:cs="Arial"/>
              </w:rPr>
              <w:t>Reference ponuđača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92896" w:rsidRPr="00310130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  <w:color w:val="FF0000"/>
              </w:rPr>
            </w:pPr>
            <w:r w:rsidRPr="007B37D3">
              <w:rPr>
                <w:rFonts w:ascii="Arial" w:hAnsi="Arial" w:cs="Arial"/>
                <w:b/>
              </w:rPr>
              <w:t>20</w:t>
            </w:r>
          </w:p>
        </w:tc>
      </w:tr>
      <w:tr w:rsidR="00F3209C" w:rsidRPr="007B37D3" w:rsidTr="00F3209C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3209C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9.4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Finansijski aspekt-</w:t>
            </w:r>
            <w:r w:rsidR="007603BA">
              <w:rPr>
                <w:rFonts w:ascii="Arial" w:hAnsi="Arial" w:cs="Arial"/>
              </w:rPr>
              <w:t xml:space="preserve"> </w:t>
            </w:r>
            <w:r w:rsidRPr="007B37D3">
              <w:rPr>
                <w:rFonts w:ascii="Arial" w:hAnsi="Arial" w:cs="Arial"/>
              </w:rPr>
              <w:t>prosječni bruto prihod u posljednje tri godine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</w:tr>
      <w:tr w:rsidR="00F3209C" w:rsidRPr="007B37D3" w:rsidTr="00F3209C">
        <w:trPr>
          <w:trHeight w:val="287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3209C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9.5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Finansijski aspekt-</w:t>
            </w:r>
            <w:r w:rsidR="007603BA">
              <w:rPr>
                <w:rFonts w:ascii="Arial" w:hAnsi="Arial" w:cs="Arial"/>
              </w:rPr>
              <w:t xml:space="preserve"> prosječni</w:t>
            </w:r>
            <w:r w:rsidRPr="007B37D3">
              <w:rPr>
                <w:rFonts w:ascii="Arial" w:hAnsi="Arial" w:cs="Arial"/>
              </w:rPr>
              <w:t xml:space="preserve"> profit u posljednje tri godine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</w:tr>
      <w:tr w:rsidR="00F3209C" w:rsidRPr="007B37D3" w:rsidTr="00F3209C">
        <w:trPr>
          <w:trHeight w:val="315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209C" w:rsidRPr="007603BA" w:rsidRDefault="00C03EA9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603BA">
              <w:rPr>
                <w:rFonts w:ascii="Arial" w:hAnsi="Arial" w:cs="Arial"/>
              </w:rPr>
              <w:t>9.6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</w:rPr>
            </w:pPr>
            <w:r w:rsidRPr="007B37D3">
              <w:rPr>
                <w:rFonts w:ascii="Arial" w:hAnsi="Arial" w:cs="Arial"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3209C" w:rsidRPr="007B37D3" w:rsidRDefault="00F3209C" w:rsidP="00A40BDA">
            <w:pPr>
              <w:spacing w:after="0"/>
              <w:ind w:left="-180" w:right="-2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</w:tbl>
    <w:p w:rsidR="00D620F2" w:rsidRPr="007B37D3" w:rsidRDefault="00C03EA9" w:rsidP="00A40BDA">
      <w:pPr>
        <w:pStyle w:val="Heading2"/>
        <w:numPr>
          <w:ilvl w:val="1"/>
          <w:numId w:val="0"/>
        </w:numPr>
        <w:spacing w:before="0" w:after="0"/>
        <w:ind w:left="-180" w:right="-270"/>
        <w:rPr>
          <w:i w:val="0"/>
          <w:sz w:val="22"/>
          <w:szCs w:val="22"/>
          <w:lang w:val="sv-SE"/>
        </w:rPr>
      </w:pPr>
      <w:bookmarkStart w:id="27" w:name="_Toc390549916"/>
      <w:bookmarkStart w:id="28" w:name="_Toc402262962"/>
      <w:r>
        <w:rPr>
          <w:i w:val="0"/>
          <w:sz w:val="22"/>
          <w:szCs w:val="22"/>
          <w:lang w:val="sv-SE"/>
        </w:rPr>
        <w:lastRenderedPageBreak/>
        <w:t>9</w:t>
      </w:r>
      <w:r w:rsidR="00D620F2" w:rsidRPr="007B37D3">
        <w:rPr>
          <w:i w:val="0"/>
          <w:sz w:val="22"/>
          <w:szCs w:val="22"/>
          <w:lang w:val="sv-SE"/>
        </w:rPr>
        <w:t>.1</w:t>
      </w:r>
      <w:r w:rsidR="00A03CA4" w:rsidRPr="007B37D3">
        <w:rPr>
          <w:i w:val="0"/>
          <w:sz w:val="22"/>
          <w:szCs w:val="22"/>
          <w:lang w:val="sv-SE"/>
        </w:rPr>
        <w:t>.</w:t>
      </w:r>
      <w:r w:rsidR="00D620F2" w:rsidRPr="007B37D3">
        <w:rPr>
          <w:i w:val="0"/>
          <w:sz w:val="22"/>
          <w:szCs w:val="22"/>
          <w:lang w:val="sv-SE"/>
        </w:rPr>
        <w:t xml:space="preserve"> Ponuđeni procentualni iznos za obračun koncesione naknade</w:t>
      </w:r>
      <w:bookmarkEnd w:id="27"/>
      <w:bookmarkEnd w:id="28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C03EA9">
        <w:rPr>
          <w:rFonts w:ascii="Arial" w:hAnsi="Arial" w:cs="Arial"/>
          <w:lang w:val="sv-SE"/>
        </w:rPr>
        <w:t xml:space="preserve">Tačkom </w:t>
      </w:r>
      <w:r w:rsidR="00C03EA9" w:rsidRPr="00C03EA9">
        <w:rPr>
          <w:rFonts w:ascii="Arial" w:hAnsi="Arial" w:cs="Arial"/>
          <w:lang w:val="sv-SE"/>
        </w:rPr>
        <w:t>8</w:t>
      </w:r>
      <w:r w:rsidRPr="00C03EA9">
        <w:rPr>
          <w:rFonts w:ascii="Arial" w:hAnsi="Arial" w:cs="Arial"/>
          <w:lang w:val="sv-SE"/>
        </w:rPr>
        <w:t>.1.2 Koncesionog akta – Pripadnost grupi ležišta,</w:t>
      </w:r>
      <w:r w:rsidRPr="007B37D3">
        <w:rPr>
          <w:rFonts w:ascii="Arial" w:hAnsi="Arial" w:cs="Arial"/>
          <w:lang w:val="sv-SE"/>
        </w:rPr>
        <w:t xml:space="preserve"> je definisano da se ležište tehničko-građevinskog</w:t>
      </w:r>
      <w:r w:rsidR="00A40477">
        <w:rPr>
          <w:rFonts w:ascii="Arial" w:hAnsi="Arial" w:cs="Arial"/>
          <w:lang w:val="sv-SE"/>
        </w:rPr>
        <w:t xml:space="preserve"> </w:t>
      </w:r>
      <w:r w:rsidR="00D442AC" w:rsidRPr="007B37D3">
        <w:rPr>
          <w:rFonts w:ascii="Arial" w:hAnsi="Arial" w:cs="Arial"/>
          <w:lang w:val="sv-SE"/>
        </w:rPr>
        <w:t>kamena „Pogled</w:t>
      </w:r>
      <w:r w:rsidRPr="007B37D3">
        <w:rPr>
          <w:rFonts w:ascii="Arial" w:hAnsi="Arial" w:cs="Arial"/>
          <w:lang w:val="sv-SE"/>
        </w:rPr>
        <w:t>“, na osnovu postojećih karakteristika i očekivanih uslova za eksploataciju, svrstava u treću grupu geogenih ležišta (G</w:t>
      </w:r>
      <w:r w:rsidRPr="007B37D3">
        <w:rPr>
          <w:rFonts w:ascii="Arial" w:hAnsi="Arial" w:cs="Arial"/>
          <w:vertAlign w:val="subscript"/>
          <w:lang w:val="sv-SE"/>
        </w:rPr>
        <w:t>3</w:t>
      </w:r>
      <w:r w:rsidRPr="007B37D3">
        <w:rPr>
          <w:rFonts w:ascii="Arial" w:hAnsi="Arial" w:cs="Arial"/>
          <w:lang w:val="sv-SE"/>
        </w:rPr>
        <w:t>).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Po tom osnovu, shodno Uredbi o kriterijumima i načinu obračuna iznosa minimalne koncesione naknade za ustupanje prava na istraživanje i eksploataciju mineralnih sirovina</w:t>
      </w:r>
      <w:r w:rsidR="00C03EA9">
        <w:rPr>
          <w:rFonts w:ascii="Arial" w:hAnsi="Arial" w:cs="Arial"/>
          <w:lang w:val="sv-SE"/>
        </w:rPr>
        <w:t>,</w:t>
      </w:r>
      <w:r w:rsidRPr="007B37D3">
        <w:rPr>
          <w:rFonts w:ascii="Arial" w:hAnsi="Arial" w:cs="Arial"/>
          <w:lang w:val="sv-SE"/>
        </w:rPr>
        <w:t xml:space="preserve"> procentni iznos za obračun minimalne - početne koncesione naknade (čl. 15 Uredbe) iznosi </w:t>
      </w:r>
      <w:r w:rsidRPr="007B37D3">
        <w:rPr>
          <w:rFonts w:ascii="Arial" w:hAnsi="Arial" w:cs="Arial"/>
          <w:b/>
          <w:lang w:val="sv-SE"/>
        </w:rPr>
        <w:t>7%</w:t>
      </w:r>
      <w:r w:rsidRPr="007B37D3">
        <w:rPr>
          <w:rFonts w:ascii="Arial" w:hAnsi="Arial" w:cs="Arial"/>
          <w:lang w:val="sv-SE"/>
        </w:rPr>
        <w:t xml:space="preserve"> od tržišne vrijednosti bilansnih ili eksploatacionih rezervi tehničko-građevinskog kamena, odnosno, ukupnog tržišnog proizvoda, za koncesioni period za eksploataciju od </w:t>
      </w:r>
      <w:r w:rsidR="0064798C" w:rsidRPr="007B37D3">
        <w:rPr>
          <w:rFonts w:ascii="Arial" w:hAnsi="Arial" w:cs="Arial"/>
          <w:lang w:val="sv-SE"/>
        </w:rPr>
        <w:t>4</w:t>
      </w:r>
      <w:r w:rsidRPr="007B37D3">
        <w:rPr>
          <w:rFonts w:ascii="Arial" w:hAnsi="Arial" w:cs="Arial"/>
          <w:lang w:val="sv-SE"/>
        </w:rPr>
        <w:t xml:space="preserve"> godin</w:t>
      </w:r>
      <w:r w:rsidR="0064798C" w:rsidRPr="007B37D3">
        <w:rPr>
          <w:rFonts w:ascii="Arial" w:hAnsi="Arial" w:cs="Arial"/>
          <w:lang w:val="sv-SE"/>
        </w:rPr>
        <w:t>e</w:t>
      </w:r>
      <w:r w:rsidRPr="007B37D3">
        <w:rPr>
          <w:rFonts w:ascii="Arial" w:hAnsi="Arial" w:cs="Arial"/>
          <w:lang w:val="sv-SE"/>
        </w:rPr>
        <w:t>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Ponuđači mogu ponuditi procentni iznos tržišne vrijednosti bilansnih ili eksploatacionih rezervi tehničko-građevinskog  kamena koj</w:t>
      </w:r>
      <w:r w:rsidR="00C03EA9">
        <w:rPr>
          <w:rFonts w:ascii="Arial" w:hAnsi="Arial" w:cs="Arial"/>
          <w:lang w:val="sv-SE"/>
        </w:rPr>
        <w:t>i</w:t>
      </w:r>
      <w:r w:rsidRPr="007B37D3">
        <w:rPr>
          <w:rFonts w:ascii="Arial" w:hAnsi="Arial" w:cs="Arial"/>
          <w:lang w:val="sv-SE"/>
        </w:rPr>
        <w:t xml:space="preserve"> je</w:t>
      </w:r>
      <w:r w:rsidR="00C03EA9">
        <w:rPr>
          <w:rFonts w:ascii="Arial" w:hAnsi="Arial" w:cs="Arial"/>
          <w:lang w:val="sv-SE"/>
        </w:rPr>
        <w:t xml:space="preserve"> jednak ili </w:t>
      </w:r>
      <w:r w:rsidRPr="007B37D3">
        <w:rPr>
          <w:rFonts w:ascii="Arial" w:hAnsi="Arial" w:cs="Arial"/>
          <w:lang w:val="sv-SE"/>
        </w:rPr>
        <w:t>veći od 7%.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Ovaj kriterijum se izračunava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sljedeći način: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F01F15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Kriterijum:  P % / MP% x 3</w:t>
      </w:r>
      <w:r w:rsidR="00D620F2" w:rsidRPr="007B37D3">
        <w:rPr>
          <w:rFonts w:ascii="Arial" w:hAnsi="Arial" w:cs="Arial"/>
          <w:b/>
        </w:rPr>
        <w:t>0,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gdje</w:t>
      </w:r>
      <w:proofErr w:type="gramEnd"/>
      <w:r w:rsidRPr="007B37D3">
        <w:rPr>
          <w:rFonts w:ascii="Arial" w:hAnsi="Arial" w:cs="Arial"/>
        </w:rPr>
        <w:t>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P% - označava % ponuđača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MP % - označava mak</w:t>
      </w:r>
      <w:r w:rsidR="00C03EA9">
        <w:rPr>
          <w:rFonts w:ascii="Arial" w:hAnsi="Arial" w:cs="Arial"/>
        </w:rPr>
        <w:t>s</w:t>
      </w:r>
      <w:r w:rsidRPr="007B37D3">
        <w:rPr>
          <w:rFonts w:ascii="Arial" w:hAnsi="Arial" w:cs="Arial"/>
        </w:rPr>
        <w:t xml:space="preserve">imalno ponuđeni %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tenderu</w:t>
      </w:r>
    </w:p>
    <w:p w:rsidR="00D620F2" w:rsidRPr="007B37D3" w:rsidRDefault="00F01F15" w:rsidP="00A40BDA">
      <w:pPr>
        <w:spacing w:after="0"/>
        <w:ind w:left="-180" w:right="-27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D620F2" w:rsidRPr="007B37D3">
        <w:rPr>
          <w:rFonts w:ascii="Arial" w:hAnsi="Arial" w:cs="Arial"/>
          <w:b/>
        </w:rPr>
        <w:t>0</w:t>
      </w:r>
      <w:r w:rsidR="00D620F2" w:rsidRPr="007B37D3">
        <w:rPr>
          <w:rFonts w:ascii="Arial" w:hAnsi="Arial" w:cs="Arial"/>
        </w:rPr>
        <w:t xml:space="preserve"> – </w:t>
      </w:r>
      <w:proofErr w:type="gramStart"/>
      <w:r w:rsidR="00D620F2" w:rsidRPr="007B37D3">
        <w:rPr>
          <w:rFonts w:ascii="Arial" w:hAnsi="Arial" w:cs="Arial"/>
        </w:rPr>
        <w:t>broj</w:t>
      </w:r>
      <w:proofErr w:type="gramEnd"/>
      <w:r w:rsidR="00D620F2" w:rsidRPr="007B37D3">
        <w:rPr>
          <w:rFonts w:ascii="Arial" w:hAnsi="Arial" w:cs="Arial"/>
        </w:rPr>
        <w:t xml:space="preserve"> bodova za ovaj kriterijum 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A40477" w:rsidP="00A40BD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  <w:lang w:val="sv-SE"/>
        </w:rPr>
      </w:pPr>
      <w:bookmarkStart w:id="29" w:name="_Toc390549917"/>
      <w:bookmarkStart w:id="30" w:name="_Toc402262963"/>
      <w:r>
        <w:rPr>
          <w:i w:val="0"/>
          <w:sz w:val="22"/>
          <w:szCs w:val="22"/>
          <w:lang w:val="sv-SE"/>
        </w:rPr>
        <w:t xml:space="preserve">        </w:t>
      </w:r>
      <w:r w:rsidR="001D4BF8">
        <w:rPr>
          <w:i w:val="0"/>
          <w:sz w:val="22"/>
          <w:szCs w:val="22"/>
          <w:lang w:val="sv-SE"/>
        </w:rPr>
        <w:t xml:space="preserve"> </w:t>
      </w:r>
      <w:r w:rsidR="00C03EA9">
        <w:rPr>
          <w:i w:val="0"/>
          <w:sz w:val="22"/>
          <w:szCs w:val="22"/>
          <w:lang w:val="sv-SE"/>
        </w:rPr>
        <w:t>9</w:t>
      </w:r>
      <w:r w:rsidR="00D620F2" w:rsidRPr="007B37D3">
        <w:rPr>
          <w:i w:val="0"/>
          <w:sz w:val="22"/>
          <w:szCs w:val="22"/>
          <w:lang w:val="sv-SE"/>
        </w:rPr>
        <w:t>.2</w:t>
      </w:r>
      <w:r w:rsidR="0064798C" w:rsidRPr="007B37D3">
        <w:rPr>
          <w:i w:val="0"/>
          <w:sz w:val="22"/>
          <w:szCs w:val="22"/>
          <w:lang w:val="sv-SE"/>
        </w:rPr>
        <w:t>.</w:t>
      </w:r>
      <w:r w:rsidR="00D620F2" w:rsidRPr="007B37D3">
        <w:rPr>
          <w:i w:val="0"/>
          <w:sz w:val="22"/>
          <w:szCs w:val="22"/>
          <w:lang w:val="sv-SE"/>
        </w:rPr>
        <w:t xml:space="preserve"> Ponuđeni ukupni obim rudarske proizvodnje</w:t>
      </w:r>
      <w:bookmarkEnd w:id="29"/>
      <w:bookmarkEnd w:id="30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v-SE"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C03EA9">
        <w:rPr>
          <w:rFonts w:ascii="Arial" w:hAnsi="Arial" w:cs="Arial"/>
          <w:lang w:val="sv-SE"/>
        </w:rPr>
        <w:t xml:space="preserve">Tačkom </w:t>
      </w:r>
      <w:r w:rsidR="00C03EA9" w:rsidRPr="00C03EA9">
        <w:rPr>
          <w:rFonts w:ascii="Arial" w:hAnsi="Arial" w:cs="Arial"/>
          <w:lang w:val="sv-SE"/>
        </w:rPr>
        <w:t>8</w:t>
      </w:r>
      <w:r w:rsidRPr="00C03EA9">
        <w:rPr>
          <w:rFonts w:ascii="Arial" w:hAnsi="Arial" w:cs="Arial"/>
          <w:lang w:val="sv-SE"/>
        </w:rPr>
        <w:t>.1.1 Koncesionog akta- Rezerve mineralne sirovine,</w:t>
      </w:r>
      <w:r w:rsidRPr="00FD0CB6">
        <w:rPr>
          <w:rFonts w:ascii="Arial" w:hAnsi="Arial" w:cs="Arial"/>
          <w:lang w:val="sv-SE"/>
        </w:rPr>
        <w:t xml:space="preserve"> je </w:t>
      </w:r>
      <w:r w:rsidRPr="00FD0CB6">
        <w:rPr>
          <w:rFonts w:ascii="Arial" w:hAnsi="Arial" w:cs="Arial"/>
        </w:rPr>
        <w:t>definisano da</w:t>
      </w:r>
      <w:r w:rsidR="00FD0CB6" w:rsidRPr="00FD0CB6">
        <w:rPr>
          <w:rFonts w:ascii="Arial" w:hAnsi="Arial" w:cs="Arial"/>
        </w:rPr>
        <w:t xml:space="preserve"> </w:t>
      </w:r>
      <w:r w:rsidRPr="00FD0CB6">
        <w:rPr>
          <w:rFonts w:ascii="Arial" w:hAnsi="Arial" w:cs="Arial"/>
        </w:rPr>
        <w:t>potencijalne rezerve pojave tehničko-g</w:t>
      </w:r>
      <w:r w:rsidR="00D442AC" w:rsidRPr="00FD0CB6">
        <w:rPr>
          <w:rFonts w:ascii="Arial" w:hAnsi="Arial" w:cs="Arial"/>
        </w:rPr>
        <w:t>rađevinskog  kamena „Pogled</w:t>
      </w:r>
      <w:r w:rsidRPr="00FD0CB6">
        <w:rPr>
          <w:rFonts w:ascii="Arial" w:hAnsi="Arial" w:cs="Arial"/>
        </w:rPr>
        <w:t xml:space="preserve">“  iznose </w:t>
      </w:r>
      <w:r w:rsidR="00D442AC" w:rsidRPr="00FD0CB6">
        <w:rPr>
          <w:rFonts w:ascii="Arial" w:hAnsi="Arial" w:cs="Arial"/>
        </w:rPr>
        <w:t>6</w:t>
      </w:r>
      <w:r w:rsidRPr="00FD0CB6">
        <w:rPr>
          <w:rFonts w:ascii="Arial" w:hAnsi="Arial" w:cs="Arial"/>
        </w:rPr>
        <w:t>.</w:t>
      </w:r>
      <w:r w:rsidR="00E842BF" w:rsidRPr="00FD0CB6">
        <w:rPr>
          <w:rFonts w:ascii="Arial" w:hAnsi="Arial" w:cs="Arial"/>
        </w:rPr>
        <w:t>0</w:t>
      </w:r>
      <w:r w:rsidRPr="00FD0CB6">
        <w:rPr>
          <w:rFonts w:ascii="Arial" w:hAnsi="Arial" w:cs="Arial"/>
        </w:rPr>
        <w:t>00.000</w:t>
      </w:r>
      <w:r w:rsidR="00FD0CB6" w:rsidRPr="00FD0CB6">
        <w:rPr>
          <w:rFonts w:ascii="Arial" w:hAnsi="Arial" w:cs="Arial"/>
        </w:rPr>
        <w:t xml:space="preserve"> </w:t>
      </w:r>
      <w:r w:rsidRPr="00FD0CB6">
        <w:rPr>
          <w:rFonts w:ascii="Arial" w:hAnsi="Arial" w:cs="Arial"/>
        </w:rPr>
        <w:t>m</w:t>
      </w:r>
      <w:r w:rsidRPr="003557E6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č.s.m. Prema minimalnom g</w:t>
      </w:r>
      <w:r w:rsidR="00783D3C">
        <w:rPr>
          <w:rFonts w:ascii="Arial" w:hAnsi="Arial" w:cs="Arial"/>
        </w:rPr>
        <w:t xml:space="preserve">odišnjem kapacitetu </w:t>
      </w:r>
      <w:proofErr w:type="gramStart"/>
      <w:r w:rsidR="00783D3C">
        <w:rPr>
          <w:rFonts w:ascii="Arial" w:hAnsi="Arial" w:cs="Arial"/>
        </w:rPr>
        <w:t>od</w:t>
      </w:r>
      <w:proofErr w:type="gramEnd"/>
      <w:r w:rsidR="00783D3C">
        <w:rPr>
          <w:rFonts w:ascii="Arial" w:hAnsi="Arial" w:cs="Arial"/>
        </w:rPr>
        <w:t xml:space="preserve"> 20.000 m</w:t>
      </w:r>
      <w:r w:rsidR="00783D3C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č.s.m. tehničko-gra</w:t>
      </w:r>
      <w:r w:rsidR="00D442AC" w:rsidRPr="00FD0CB6">
        <w:rPr>
          <w:rFonts w:ascii="Arial" w:hAnsi="Arial" w:cs="Arial"/>
        </w:rPr>
        <w:t xml:space="preserve">đevinskog kamena, za period od </w:t>
      </w:r>
      <w:r w:rsidR="0064798C" w:rsidRPr="00FD0CB6">
        <w:rPr>
          <w:rFonts w:ascii="Arial" w:hAnsi="Arial" w:cs="Arial"/>
        </w:rPr>
        <w:t>4</w:t>
      </w:r>
      <w:r w:rsidRPr="00FD0CB6">
        <w:rPr>
          <w:rFonts w:ascii="Arial" w:hAnsi="Arial" w:cs="Arial"/>
        </w:rPr>
        <w:t xml:space="preserve"> godin</w:t>
      </w:r>
      <w:r w:rsidR="00D6597A" w:rsidRPr="00FD0CB6">
        <w:rPr>
          <w:rFonts w:ascii="Arial" w:hAnsi="Arial" w:cs="Arial"/>
        </w:rPr>
        <w:t>e</w:t>
      </w:r>
      <w:r w:rsidRPr="00FD0CB6">
        <w:rPr>
          <w:rFonts w:ascii="Arial" w:hAnsi="Arial" w:cs="Arial"/>
        </w:rPr>
        <w:t xml:space="preserve"> (period koncesije za</w:t>
      </w:r>
      <w:r w:rsidR="00D442AC" w:rsidRPr="00FD0CB6">
        <w:rPr>
          <w:rFonts w:ascii="Arial" w:hAnsi="Arial" w:cs="Arial"/>
        </w:rPr>
        <w:t xml:space="preserve"> eksploataciju) otkopalo bi se </w:t>
      </w:r>
      <w:r w:rsidR="0064798C" w:rsidRPr="00FD0CB6">
        <w:rPr>
          <w:rFonts w:ascii="Arial" w:hAnsi="Arial" w:cs="Arial"/>
        </w:rPr>
        <w:t>80</w:t>
      </w:r>
      <w:r w:rsidRPr="00FD0CB6">
        <w:rPr>
          <w:rFonts w:ascii="Arial" w:hAnsi="Arial" w:cs="Arial"/>
        </w:rPr>
        <w:t>.000 m</w:t>
      </w:r>
      <w:r w:rsidRPr="003871D1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 tehničko-g</w:t>
      </w:r>
      <w:r w:rsidR="00783D3C">
        <w:rPr>
          <w:rFonts w:ascii="Arial" w:hAnsi="Arial" w:cs="Arial"/>
        </w:rPr>
        <w:t>rađevinskog kamena. Od 20.000 m</w:t>
      </w:r>
      <w:r w:rsidR="00783D3C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č.s.m. </w:t>
      </w:r>
      <w:proofErr w:type="gramStart"/>
      <w:r w:rsidRPr="00FD0CB6">
        <w:rPr>
          <w:rFonts w:ascii="Arial" w:hAnsi="Arial" w:cs="Arial"/>
        </w:rPr>
        <w:t>na</w:t>
      </w:r>
      <w:proofErr w:type="gramEnd"/>
      <w:r w:rsidRPr="00FD0CB6">
        <w:rPr>
          <w:rFonts w:ascii="Arial" w:hAnsi="Arial" w:cs="Arial"/>
        </w:rPr>
        <w:t xml:space="preserve"> godišnjem nivou u procesu dalje obrade</w:t>
      </w:r>
      <w:r w:rsidR="00783D3C">
        <w:rPr>
          <w:rFonts w:ascii="Arial" w:hAnsi="Arial" w:cs="Arial"/>
        </w:rPr>
        <w:t xml:space="preserve"> sirovine dobilo bi se 30.000 m</w:t>
      </w:r>
      <w:r w:rsidR="00783D3C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agregata različitih</w:t>
      </w:r>
      <w:r w:rsidR="00D442AC" w:rsidRPr="00FD0CB6">
        <w:rPr>
          <w:rFonts w:ascii="Arial" w:hAnsi="Arial" w:cs="Arial"/>
        </w:rPr>
        <w:t xml:space="preserve"> frakcija, što bi za period od </w:t>
      </w:r>
      <w:r w:rsidR="0064798C" w:rsidRPr="00FD0CB6">
        <w:rPr>
          <w:rFonts w:ascii="Arial" w:hAnsi="Arial" w:cs="Arial"/>
        </w:rPr>
        <w:t>4</w:t>
      </w:r>
      <w:r w:rsidR="00D442AC" w:rsidRPr="00FD0CB6">
        <w:rPr>
          <w:rFonts w:ascii="Arial" w:hAnsi="Arial" w:cs="Arial"/>
        </w:rPr>
        <w:t xml:space="preserve"> godin</w:t>
      </w:r>
      <w:r w:rsidR="0064798C" w:rsidRPr="00FD0CB6">
        <w:rPr>
          <w:rFonts w:ascii="Arial" w:hAnsi="Arial" w:cs="Arial"/>
        </w:rPr>
        <w:t>e</w:t>
      </w:r>
      <w:r w:rsidR="00D442AC" w:rsidRPr="00FD0CB6">
        <w:rPr>
          <w:rFonts w:ascii="Arial" w:hAnsi="Arial" w:cs="Arial"/>
        </w:rPr>
        <w:t xml:space="preserve"> iznosilo </w:t>
      </w:r>
      <w:r w:rsidR="0064798C" w:rsidRPr="00FD0CB6">
        <w:rPr>
          <w:rFonts w:ascii="Arial" w:hAnsi="Arial" w:cs="Arial"/>
        </w:rPr>
        <w:t>120</w:t>
      </w:r>
      <w:r w:rsidRPr="00FD0CB6">
        <w:rPr>
          <w:rFonts w:ascii="Arial" w:hAnsi="Arial" w:cs="Arial"/>
        </w:rPr>
        <w:t>.000 m</w:t>
      </w:r>
      <w:r w:rsidRPr="003557E6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tržišnog proizvoda.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FD0CB6">
        <w:rPr>
          <w:rFonts w:ascii="Arial" w:hAnsi="Arial" w:cs="Arial"/>
        </w:rPr>
        <w:t xml:space="preserve">Ponuđači mogu ponuditi obim godišnje rudarske proizvodnje koji je jednak </w:t>
      </w:r>
      <w:proofErr w:type="gramStart"/>
      <w:r w:rsidRPr="00FD0CB6">
        <w:rPr>
          <w:rFonts w:ascii="Arial" w:hAnsi="Arial" w:cs="Arial"/>
        </w:rPr>
        <w:t>i</w:t>
      </w:r>
      <w:r w:rsidR="00783D3C">
        <w:rPr>
          <w:rFonts w:ascii="Arial" w:hAnsi="Arial" w:cs="Arial"/>
        </w:rPr>
        <w:t>li</w:t>
      </w:r>
      <w:proofErr w:type="gramEnd"/>
      <w:r w:rsidR="00783D3C">
        <w:rPr>
          <w:rFonts w:ascii="Arial" w:hAnsi="Arial" w:cs="Arial"/>
        </w:rPr>
        <w:t xml:space="preserve"> veći od 20.000 m</w:t>
      </w:r>
      <w:r w:rsidR="00783D3C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č.s.m. </w:t>
      </w: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bookmarkStart w:id="31" w:name="_Toc390549918"/>
      <w:r w:rsidRPr="00FD0CB6">
        <w:rPr>
          <w:rFonts w:ascii="Arial" w:hAnsi="Arial" w:cs="Arial"/>
        </w:rPr>
        <w:t xml:space="preserve">Ovaj kriterijum se izračunava </w:t>
      </w:r>
      <w:proofErr w:type="gramStart"/>
      <w:r w:rsidRPr="00FD0CB6">
        <w:rPr>
          <w:rFonts w:ascii="Arial" w:hAnsi="Arial" w:cs="Arial"/>
        </w:rPr>
        <w:t>na</w:t>
      </w:r>
      <w:proofErr w:type="gramEnd"/>
      <w:r w:rsidRPr="00FD0CB6">
        <w:rPr>
          <w:rFonts w:ascii="Arial" w:hAnsi="Arial" w:cs="Arial"/>
        </w:rPr>
        <w:t xml:space="preserve"> sljedeći način:</w:t>
      </w:r>
    </w:p>
    <w:p w:rsidR="00D620F2" w:rsidRPr="00FD0CB6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64798C" w:rsidP="00A40BDA">
      <w:pPr>
        <w:spacing w:after="0"/>
        <w:ind w:left="-180" w:right="-270"/>
        <w:rPr>
          <w:rFonts w:ascii="Arial" w:hAnsi="Arial" w:cs="Arial"/>
          <w:b/>
          <w:bCs/>
          <w:lang w:val="sr-Latn-CS"/>
        </w:rPr>
      </w:pPr>
      <w:r w:rsidRPr="007B37D3">
        <w:rPr>
          <w:rFonts w:ascii="Arial" w:hAnsi="Arial" w:cs="Arial"/>
          <w:b/>
          <w:bCs/>
          <w:lang w:val="sr-Latn-CS"/>
        </w:rPr>
        <w:t xml:space="preserve">Kriterijum: </w:t>
      </w:r>
      <w:r w:rsidR="00F01F15">
        <w:rPr>
          <w:rFonts w:ascii="Arial" w:hAnsi="Arial" w:cs="Arial"/>
          <w:b/>
          <w:bCs/>
          <w:lang w:val="sr-Latn-CS"/>
        </w:rPr>
        <w:t>PGP/MPGP x 3</w:t>
      </w:r>
      <w:r w:rsidR="00D620F2" w:rsidRPr="007B37D3">
        <w:rPr>
          <w:rFonts w:ascii="Arial" w:hAnsi="Arial" w:cs="Arial"/>
          <w:b/>
          <w:bCs/>
          <w:lang w:val="sr-Latn-CS"/>
        </w:rPr>
        <w:t>0,</w:t>
      </w:r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b/>
          <w:bCs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bCs/>
          <w:lang w:val="sr-Latn-CS"/>
        </w:rPr>
      </w:pPr>
      <w:r w:rsidRPr="007B37D3">
        <w:rPr>
          <w:rFonts w:ascii="Arial" w:hAnsi="Arial" w:cs="Arial"/>
          <w:bCs/>
          <w:lang w:val="sr-Latn-CS"/>
        </w:rPr>
        <w:t>gdje:</w:t>
      </w:r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bCs/>
          <w:lang w:val="sr-Latn-CS"/>
        </w:rPr>
      </w:pPr>
      <w:r w:rsidRPr="007B37D3">
        <w:rPr>
          <w:rFonts w:ascii="Arial" w:hAnsi="Arial" w:cs="Arial"/>
          <w:bCs/>
          <w:lang w:val="sr-Latn-CS"/>
        </w:rPr>
        <w:t>PGP - označava ponuđenu godišnju proizvodnju</w:t>
      </w:r>
    </w:p>
    <w:p w:rsidR="00FD0CB6" w:rsidRPr="007B37D3" w:rsidRDefault="00D620F2" w:rsidP="00A40BDA">
      <w:pPr>
        <w:spacing w:after="0"/>
        <w:ind w:left="-180" w:right="-270"/>
        <w:rPr>
          <w:rFonts w:ascii="Arial" w:hAnsi="Arial" w:cs="Arial"/>
          <w:bCs/>
          <w:lang w:val="sr-Latn-CS"/>
        </w:rPr>
      </w:pPr>
      <w:r w:rsidRPr="007B37D3">
        <w:rPr>
          <w:rFonts w:ascii="Arial" w:hAnsi="Arial" w:cs="Arial"/>
          <w:bCs/>
          <w:lang w:val="sr-Latn-CS"/>
        </w:rPr>
        <w:t>MPGP - označava maskimalno ponuđenu  godišnju proizvodnju ponuđenu  na tenderu</w:t>
      </w:r>
    </w:p>
    <w:p w:rsidR="00F92896" w:rsidRDefault="00F01F15" w:rsidP="00A40BDA">
      <w:pPr>
        <w:spacing w:after="0"/>
        <w:ind w:left="-180" w:right="-270"/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/>
          <w:bCs/>
          <w:lang w:val="sr-Latn-CS"/>
        </w:rPr>
        <w:t>3</w:t>
      </w:r>
      <w:r w:rsidR="00D620F2" w:rsidRPr="007B37D3">
        <w:rPr>
          <w:rFonts w:ascii="Arial" w:hAnsi="Arial" w:cs="Arial"/>
          <w:b/>
          <w:bCs/>
          <w:lang w:val="sr-Latn-CS"/>
        </w:rPr>
        <w:t>0</w:t>
      </w:r>
      <w:r w:rsidR="00D620F2" w:rsidRPr="007B37D3">
        <w:rPr>
          <w:rFonts w:ascii="Arial" w:hAnsi="Arial" w:cs="Arial"/>
          <w:bCs/>
          <w:lang w:val="sr-Latn-CS"/>
        </w:rPr>
        <w:t xml:space="preserve"> – broj bodova za ovaj kriterijum</w:t>
      </w:r>
    </w:p>
    <w:p w:rsidR="00AD660B" w:rsidRDefault="00AD660B" w:rsidP="00A40BDA">
      <w:pPr>
        <w:spacing w:after="0"/>
        <w:ind w:left="-180" w:right="-270"/>
        <w:rPr>
          <w:rFonts w:ascii="Arial" w:hAnsi="Arial" w:cs="Arial"/>
          <w:bCs/>
          <w:lang w:val="sr-Latn-CS"/>
        </w:rPr>
      </w:pPr>
    </w:p>
    <w:p w:rsidR="00310130" w:rsidRPr="00310130" w:rsidRDefault="00310130" w:rsidP="00A40BDA">
      <w:pPr>
        <w:spacing w:after="0"/>
        <w:ind w:left="-180" w:right="-270"/>
        <w:rPr>
          <w:rFonts w:ascii="Arial" w:hAnsi="Arial" w:cs="Arial"/>
          <w:bCs/>
          <w:color w:val="FF0000"/>
          <w:lang w:val="sr-Latn-CS"/>
        </w:rPr>
      </w:pPr>
    </w:p>
    <w:p w:rsidR="00D620F2" w:rsidRPr="007B37D3" w:rsidRDefault="003557E6" w:rsidP="00A40BDA">
      <w:pPr>
        <w:pStyle w:val="Heading2"/>
        <w:numPr>
          <w:ilvl w:val="1"/>
          <w:numId w:val="0"/>
        </w:numPr>
        <w:spacing w:before="0" w:after="0" w:line="240" w:lineRule="auto"/>
        <w:ind w:left="-180" w:right="-270"/>
        <w:rPr>
          <w:i w:val="0"/>
          <w:sz w:val="22"/>
          <w:szCs w:val="22"/>
        </w:rPr>
      </w:pPr>
      <w:bookmarkStart w:id="32" w:name="_Toc401751594"/>
      <w:bookmarkStart w:id="33" w:name="_Toc401849820"/>
      <w:bookmarkStart w:id="34" w:name="_Toc402262965"/>
      <w:bookmarkEnd w:id="31"/>
      <w:r>
        <w:rPr>
          <w:i w:val="0"/>
          <w:sz w:val="22"/>
          <w:szCs w:val="22"/>
        </w:rPr>
        <w:lastRenderedPageBreak/>
        <w:t>9</w:t>
      </w:r>
      <w:r w:rsidR="00F3209C">
        <w:rPr>
          <w:i w:val="0"/>
          <w:sz w:val="22"/>
          <w:szCs w:val="22"/>
        </w:rPr>
        <w:t>.3</w:t>
      </w:r>
      <w:r w:rsidR="0064798C" w:rsidRPr="007B37D3">
        <w:rPr>
          <w:i w:val="0"/>
          <w:sz w:val="22"/>
          <w:szCs w:val="22"/>
        </w:rPr>
        <w:t xml:space="preserve"> </w:t>
      </w:r>
      <w:r w:rsidR="00D620F2" w:rsidRPr="007B37D3">
        <w:rPr>
          <w:i w:val="0"/>
          <w:sz w:val="22"/>
          <w:szCs w:val="22"/>
        </w:rPr>
        <w:t xml:space="preserve">Reference ponuđača </w:t>
      </w:r>
      <w:bookmarkEnd w:id="32"/>
      <w:bookmarkEnd w:id="33"/>
      <w:bookmarkEnd w:id="34"/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Pr="00BA64E2" w:rsidRDefault="00D620F2" w:rsidP="00A40BDA">
      <w:pPr>
        <w:spacing w:after="120"/>
        <w:ind w:left="-180" w:right="-270"/>
        <w:jc w:val="both"/>
        <w:rPr>
          <w:rFonts w:ascii="Arial" w:eastAsia="Times New Roman" w:hAnsi="Arial" w:cs="Arial"/>
          <w:color w:val="000000" w:themeColor="text1"/>
        </w:rPr>
      </w:pPr>
      <w:r w:rsidRPr="00BA64E2">
        <w:rPr>
          <w:rFonts w:ascii="Arial" w:eastAsia="Times New Roman" w:hAnsi="Arial" w:cs="Arial"/>
          <w:color w:val="000000" w:themeColor="text1"/>
        </w:rPr>
        <w:t xml:space="preserve">Ponuđač je dužan da dokaže postojanje iskustva u eksploataciji čvrstih mineralnih sirovina, </w:t>
      </w:r>
      <w:r w:rsidR="003557E6">
        <w:rPr>
          <w:rFonts w:ascii="Arial" w:eastAsia="Times New Roman" w:hAnsi="Arial" w:cs="Arial"/>
          <w:color w:val="000000" w:themeColor="text1"/>
        </w:rPr>
        <w:t xml:space="preserve">odnosno, iskustvo u obavljanju druge privredne djelatnosti koja podrazumijeva srodnu tehnologiju rada, </w:t>
      </w:r>
      <w:r w:rsidRPr="00BA64E2">
        <w:rPr>
          <w:rFonts w:ascii="Arial" w:eastAsia="Times New Roman" w:hAnsi="Arial" w:cs="Arial"/>
          <w:color w:val="000000" w:themeColor="text1"/>
        </w:rPr>
        <w:t xml:space="preserve">poštovanje izvršavanja ugovornih obaveza, </w:t>
      </w:r>
      <w:r w:rsidR="003557E6">
        <w:rPr>
          <w:rFonts w:ascii="Arial" w:eastAsia="Times New Roman" w:hAnsi="Arial" w:cs="Arial"/>
          <w:color w:val="000000" w:themeColor="text1"/>
        </w:rPr>
        <w:t xml:space="preserve">u smislu dostavljanja, između ostalog, liste izvršenih poslova koji su izvedeni ili se realizuju u posljednje tri godine sa rokovima izvođenja radova, uključujući vrijednost, vrijeme </w:t>
      </w:r>
      <w:r w:rsidR="00855609">
        <w:rPr>
          <w:rFonts w:ascii="Arial" w:eastAsia="Times New Roman" w:hAnsi="Arial" w:cs="Arial"/>
          <w:color w:val="000000" w:themeColor="text1"/>
        </w:rPr>
        <w:t xml:space="preserve">i </w:t>
      </w:r>
      <w:r w:rsidR="003557E6">
        <w:rPr>
          <w:rFonts w:ascii="Arial" w:eastAsia="Times New Roman" w:hAnsi="Arial" w:cs="Arial"/>
          <w:color w:val="000000" w:themeColor="text1"/>
        </w:rPr>
        <w:t xml:space="preserve">lokaciju izvođenja, uz dostavljanje potvrde o izvršenim poslovima I načinu na koji su isti obavljeni od strane poslovnih partnera ponuđača, plasman </w:t>
      </w:r>
      <w:r w:rsidRPr="00BA64E2">
        <w:rPr>
          <w:rFonts w:ascii="Arial" w:eastAsia="Times New Roman" w:hAnsi="Arial" w:cs="Arial"/>
          <w:color w:val="000000" w:themeColor="text1"/>
        </w:rPr>
        <w:t xml:space="preserve">proizvoda </w:t>
      </w:r>
      <w:r w:rsidR="00855609">
        <w:rPr>
          <w:rFonts w:ascii="Arial" w:eastAsia="Times New Roman" w:hAnsi="Arial" w:cs="Arial"/>
          <w:color w:val="000000" w:themeColor="text1"/>
        </w:rPr>
        <w:t>i</w:t>
      </w:r>
      <w:r w:rsidR="003557E6">
        <w:rPr>
          <w:rFonts w:ascii="Arial" w:eastAsia="Times New Roman" w:hAnsi="Arial" w:cs="Arial"/>
          <w:color w:val="000000" w:themeColor="text1"/>
        </w:rPr>
        <w:t xml:space="preserve"> usluga </w:t>
      </w:r>
      <w:r w:rsidRPr="00BA64E2">
        <w:rPr>
          <w:rFonts w:ascii="Arial" w:eastAsia="Times New Roman" w:hAnsi="Arial" w:cs="Arial"/>
          <w:color w:val="000000" w:themeColor="text1"/>
        </w:rPr>
        <w:t>na tržište.</w:t>
      </w:r>
    </w:p>
    <w:p w:rsidR="00D620F2" w:rsidRPr="00BA64E2" w:rsidRDefault="00D620F2" w:rsidP="00A40BDA">
      <w:pPr>
        <w:spacing w:after="120"/>
        <w:ind w:left="-180" w:right="-270"/>
        <w:jc w:val="both"/>
        <w:rPr>
          <w:rFonts w:ascii="Arial" w:eastAsia="Times New Roman" w:hAnsi="Arial" w:cs="Arial"/>
          <w:color w:val="000000" w:themeColor="text1"/>
        </w:rPr>
      </w:pPr>
      <w:r w:rsidRPr="00BA64E2">
        <w:rPr>
          <w:rFonts w:ascii="Arial" w:eastAsia="Times New Roman" w:hAnsi="Arial" w:cs="Arial"/>
          <w:color w:val="000000" w:themeColor="text1"/>
        </w:rPr>
        <w:t xml:space="preserve">Najveći broj bodova po ovom kriterijumu </w:t>
      </w:r>
      <w:proofErr w:type="gramStart"/>
      <w:r w:rsidRPr="00BA64E2">
        <w:rPr>
          <w:rFonts w:ascii="Arial" w:eastAsia="Times New Roman" w:hAnsi="Arial" w:cs="Arial"/>
          <w:color w:val="000000" w:themeColor="text1"/>
        </w:rPr>
        <w:t>će</w:t>
      </w:r>
      <w:proofErr w:type="gramEnd"/>
      <w:r w:rsidRPr="00BA64E2">
        <w:rPr>
          <w:rFonts w:ascii="Arial" w:eastAsia="Times New Roman" w:hAnsi="Arial" w:cs="Arial"/>
          <w:color w:val="000000" w:themeColor="text1"/>
        </w:rPr>
        <w:t xml:space="preserve"> se dati ponuđač</w:t>
      </w:r>
      <w:r w:rsidR="00AD660B">
        <w:rPr>
          <w:rFonts w:ascii="Arial" w:eastAsia="Times New Roman" w:hAnsi="Arial" w:cs="Arial"/>
          <w:color w:val="000000" w:themeColor="text1"/>
        </w:rPr>
        <w:t>u</w:t>
      </w:r>
      <w:r w:rsidRPr="00BA64E2">
        <w:rPr>
          <w:rFonts w:ascii="Arial" w:eastAsia="Times New Roman" w:hAnsi="Arial" w:cs="Arial"/>
          <w:color w:val="000000" w:themeColor="text1"/>
        </w:rPr>
        <w:t xml:space="preserve"> koji najbolje dokumentuje i dokaže prethodno </w:t>
      </w:r>
      <w:r w:rsidR="00855609">
        <w:rPr>
          <w:rFonts w:ascii="Arial" w:eastAsia="Times New Roman" w:hAnsi="Arial" w:cs="Arial"/>
          <w:color w:val="000000" w:themeColor="text1"/>
        </w:rPr>
        <w:t>navedeno</w:t>
      </w:r>
      <w:r w:rsidRPr="00BA64E2">
        <w:rPr>
          <w:rFonts w:ascii="Arial" w:eastAsia="Times New Roman" w:hAnsi="Arial" w:cs="Arial"/>
          <w:color w:val="000000" w:themeColor="text1"/>
        </w:rPr>
        <w:t>.</w:t>
      </w:r>
    </w:p>
    <w:p w:rsidR="00E842BF" w:rsidRPr="007B37D3" w:rsidRDefault="00E842BF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855609" w:rsidP="00A40BDA">
      <w:pPr>
        <w:pStyle w:val="Heading2"/>
        <w:numPr>
          <w:ilvl w:val="1"/>
          <w:numId w:val="0"/>
        </w:numPr>
        <w:suppressAutoHyphens w:val="0"/>
        <w:spacing w:before="0" w:after="0" w:line="240" w:lineRule="auto"/>
        <w:ind w:left="-180" w:right="-270"/>
        <w:rPr>
          <w:rFonts w:eastAsia="Calibri"/>
          <w:i w:val="0"/>
          <w:sz w:val="22"/>
          <w:szCs w:val="22"/>
          <w:lang w:val="sr-Latn-CS"/>
        </w:rPr>
      </w:pPr>
      <w:r>
        <w:rPr>
          <w:rFonts w:eastAsia="Calibri"/>
          <w:i w:val="0"/>
          <w:sz w:val="22"/>
          <w:szCs w:val="22"/>
          <w:lang w:val="sr-Latn-CS"/>
        </w:rPr>
        <w:t>9</w:t>
      </w:r>
      <w:r w:rsidR="00F3209C">
        <w:rPr>
          <w:rFonts w:eastAsia="Calibri"/>
          <w:i w:val="0"/>
          <w:sz w:val="22"/>
          <w:szCs w:val="22"/>
          <w:lang w:val="sr-Latn-CS"/>
        </w:rPr>
        <w:t>.4</w:t>
      </w:r>
      <w:r w:rsidR="0064798C" w:rsidRPr="007B37D3">
        <w:rPr>
          <w:rFonts w:eastAsia="Calibri"/>
          <w:i w:val="0"/>
          <w:sz w:val="22"/>
          <w:szCs w:val="22"/>
          <w:lang w:val="sr-Latn-CS"/>
        </w:rPr>
        <w:t xml:space="preserve"> </w:t>
      </w:r>
      <w:r w:rsidR="00D620F2" w:rsidRPr="007B37D3">
        <w:rPr>
          <w:rFonts w:eastAsia="Calibri"/>
          <w:i w:val="0"/>
          <w:sz w:val="22"/>
          <w:szCs w:val="22"/>
          <w:lang w:val="sr-Latn-CS"/>
        </w:rPr>
        <w:t>Finansijski aspekt-</w:t>
      </w:r>
      <w:r>
        <w:rPr>
          <w:rFonts w:eastAsia="Calibri"/>
          <w:i w:val="0"/>
          <w:sz w:val="22"/>
          <w:szCs w:val="22"/>
          <w:lang w:val="sr-Latn-CS"/>
        </w:rPr>
        <w:t xml:space="preserve"> </w:t>
      </w:r>
      <w:r w:rsidR="00D620F2" w:rsidRPr="007B37D3">
        <w:rPr>
          <w:rFonts w:eastAsia="Calibri"/>
          <w:i w:val="0"/>
          <w:sz w:val="22"/>
          <w:szCs w:val="22"/>
          <w:lang w:val="sr-Latn-CS"/>
        </w:rPr>
        <w:t>Prosječni bruto prihod ponuđača u posljednje tri godine</w:t>
      </w:r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Ovaj kriterijum se izračunava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sljedeći način:</w:t>
      </w:r>
    </w:p>
    <w:p w:rsidR="000156A4" w:rsidRPr="007B37D3" w:rsidRDefault="000156A4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</w:p>
    <w:p w:rsidR="00D620F2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Kriteriju</w:t>
      </w:r>
      <w:r w:rsidR="00D6597A" w:rsidRPr="007B37D3">
        <w:rPr>
          <w:rFonts w:ascii="Arial" w:hAnsi="Arial" w:cs="Arial"/>
          <w:b/>
        </w:rPr>
        <w:t>m:</w:t>
      </w:r>
      <w:r w:rsidRPr="007B37D3">
        <w:rPr>
          <w:rFonts w:ascii="Arial" w:hAnsi="Arial" w:cs="Arial"/>
          <w:b/>
        </w:rPr>
        <w:t xml:space="preserve"> PBP / MBP x 5,</w:t>
      </w:r>
    </w:p>
    <w:p w:rsidR="00310130" w:rsidRPr="007B37D3" w:rsidRDefault="00310130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gdje</w:t>
      </w:r>
      <w:proofErr w:type="gramEnd"/>
      <w:r w:rsidRPr="007B37D3">
        <w:rPr>
          <w:rFonts w:ascii="Arial" w:hAnsi="Arial" w:cs="Arial"/>
        </w:rPr>
        <w:t>:</w:t>
      </w: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 xml:space="preserve">PBP – </w:t>
      </w:r>
      <w:r w:rsidRPr="007B37D3">
        <w:rPr>
          <w:rFonts w:ascii="Arial" w:hAnsi="Arial" w:cs="Arial"/>
        </w:rPr>
        <w:t>označava prosječni bruto prihod ponuđača za posljednje tri godine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>MBP –</w:t>
      </w:r>
      <w:r w:rsidRPr="007B37D3">
        <w:rPr>
          <w:rFonts w:ascii="Arial" w:hAnsi="Arial" w:cs="Arial"/>
        </w:rPr>
        <w:t xml:space="preserve"> označava maksimalni prosječni bruto prihod za posljednje tri godine ponuđen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tenderu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>5 –</w:t>
      </w:r>
      <w:r w:rsidRPr="007B37D3">
        <w:rPr>
          <w:rFonts w:ascii="Arial" w:hAnsi="Arial" w:cs="Arial"/>
        </w:rPr>
        <w:t>označava broj bodova po ovom kriterijumu</w:t>
      </w:r>
    </w:p>
    <w:p w:rsidR="0064798C" w:rsidRPr="007B37D3" w:rsidRDefault="0064798C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E842BF" w:rsidRPr="007B37D3" w:rsidRDefault="005E354D" w:rsidP="00A40BDA">
      <w:pPr>
        <w:pStyle w:val="Heading2"/>
        <w:numPr>
          <w:ilvl w:val="1"/>
          <w:numId w:val="0"/>
        </w:numPr>
        <w:suppressAutoHyphens w:val="0"/>
        <w:spacing w:before="0" w:after="0"/>
        <w:ind w:left="-180" w:right="-270" w:hanging="576"/>
        <w:rPr>
          <w:rFonts w:eastAsia="Calibri"/>
          <w:i w:val="0"/>
          <w:sz w:val="22"/>
          <w:szCs w:val="22"/>
          <w:lang w:val="sr-Latn-CS"/>
        </w:rPr>
      </w:pPr>
      <w:r>
        <w:rPr>
          <w:rFonts w:eastAsia="Calibri"/>
          <w:i w:val="0"/>
          <w:sz w:val="22"/>
          <w:szCs w:val="22"/>
          <w:lang w:val="sr-Latn-CS"/>
        </w:rPr>
        <w:t xml:space="preserve">         </w:t>
      </w:r>
      <w:r w:rsidR="00855609">
        <w:rPr>
          <w:rFonts w:eastAsia="Calibri"/>
          <w:i w:val="0"/>
          <w:sz w:val="22"/>
          <w:szCs w:val="22"/>
          <w:lang w:val="sr-Latn-CS"/>
        </w:rPr>
        <w:t>9.</w:t>
      </w:r>
      <w:r w:rsidR="00F3209C">
        <w:rPr>
          <w:rFonts w:eastAsia="Calibri"/>
          <w:i w:val="0"/>
          <w:sz w:val="22"/>
          <w:szCs w:val="22"/>
          <w:lang w:val="sr-Latn-CS"/>
        </w:rPr>
        <w:t>5</w:t>
      </w:r>
      <w:r w:rsidR="0064798C" w:rsidRPr="007B37D3">
        <w:rPr>
          <w:rFonts w:eastAsia="Calibri"/>
          <w:i w:val="0"/>
          <w:sz w:val="22"/>
          <w:szCs w:val="22"/>
          <w:lang w:val="sr-Latn-CS"/>
        </w:rPr>
        <w:t xml:space="preserve"> </w:t>
      </w:r>
      <w:r w:rsidR="00BA64E2">
        <w:rPr>
          <w:rFonts w:eastAsia="Calibri"/>
          <w:i w:val="0"/>
          <w:sz w:val="22"/>
          <w:szCs w:val="22"/>
          <w:lang w:val="sr-Latn-CS"/>
        </w:rPr>
        <w:t>Finansijski aspekt - Prosječni</w:t>
      </w:r>
      <w:r w:rsidR="00D620F2" w:rsidRPr="007B37D3">
        <w:rPr>
          <w:rFonts w:eastAsia="Calibri"/>
          <w:i w:val="0"/>
          <w:sz w:val="22"/>
          <w:szCs w:val="22"/>
          <w:lang w:val="sr-Latn-CS"/>
        </w:rPr>
        <w:t xml:space="preserve"> profit ponuđača u posljednje tri godine </w:t>
      </w:r>
    </w:p>
    <w:p w:rsidR="00E842BF" w:rsidRPr="007B37D3" w:rsidRDefault="00E842BF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Ovaj kriterijum se izračunava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sljedeći način: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64798C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Kriterijum:</w:t>
      </w:r>
      <w:r w:rsidR="00D620F2" w:rsidRPr="007B37D3">
        <w:rPr>
          <w:rFonts w:ascii="Arial" w:hAnsi="Arial" w:cs="Arial"/>
          <w:b/>
        </w:rPr>
        <w:t xml:space="preserve"> PNP / MNP x 5,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proofErr w:type="gramStart"/>
      <w:r w:rsidRPr="007B37D3">
        <w:rPr>
          <w:rFonts w:ascii="Arial" w:hAnsi="Arial" w:cs="Arial"/>
        </w:rPr>
        <w:t>gdje</w:t>
      </w:r>
      <w:proofErr w:type="gramEnd"/>
      <w:r w:rsidRPr="007B37D3">
        <w:rPr>
          <w:rFonts w:ascii="Arial" w:hAnsi="Arial" w:cs="Arial"/>
        </w:rPr>
        <w:t>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 xml:space="preserve">PNP – </w:t>
      </w:r>
      <w:r w:rsidRPr="007B37D3">
        <w:rPr>
          <w:rFonts w:ascii="Arial" w:hAnsi="Arial" w:cs="Arial"/>
        </w:rPr>
        <w:t xml:space="preserve">označava prosječni </w:t>
      </w:r>
      <w:r w:rsidR="00740FBC">
        <w:rPr>
          <w:rFonts w:ascii="Arial" w:hAnsi="Arial" w:cs="Arial"/>
        </w:rPr>
        <w:t>profit</w:t>
      </w:r>
      <w:r w:rsidRPr="007B37D3">
        <w:rPr>
          <w:rFonts w:ascii="Arial" w:hAnsi="Arial" w:cs="Arial"/>
        </w:rPr>
        <w:t xml:space="preserve"> ponuđača za posljednje tri godine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>MNP –</w:t>
      </w:r>
      <w:r w:rsidRPr="007B37D3">
        <w:rPr>
          <w:rFonts w:ascii="Arial" w:hAnsi="Arial" w:cs="Arial"/>
        </w:rPr>
        <w:t xml:space="preserve"> označava maksimalni prosječni </w:t>
      </w:r>
      <w:r w:rsidR="00740FBC">
        <w:rPr>
          <w:rFonts w:ascii="Arial" w:hAnsi="Arial" w:cs="Arial"/>
        </w:rPr>
        <w:t>profit</w:t>
      </w:r>
      <w:r w:rsidRPr="007B37D3">
        <w:rPr>
          <w:rFonts w:ascii="Arial" w:hAnsi="Arial" w:cs="Arial"/>
        </w:rPr>
        <w:t xml:space="preserve"> za posljednje tri godine ponuđen </w:t>
      </w:r>
      <w:proofErr w:type="gramStart"/>
      <w:r w:rsidRPr="007B37D3">
        <w:rPr>
          <w:rFonts w:ascii="Arial" w:hAnsi="Arial" w:cs="Arial"/>
        </w:rPr>
        <w:t>na</w:t>
      </w:r>
      <w:proofErr w:type="gramEnd"/>
      <w:r w:rsidRPr="007B37D3">
        <w:rPr>
          <w:rFonts w:ascii="Arial" w:hAnsi="Arial" w:cs="Arial"/>
        </w:rPr>
        <w:t xml:space="preserve"> tenderu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</w:rPr>
      </w:pPr>
      <w:r w:rsidRPr="007B37D3">
        <w:rPr>
          <w:rFonts w:ascii="Arial" w:hAnsi="Arial" w:cs="Arial"/>
          <w:b/>
        </w:rPr>
        <w:t>5 –</w:t>
      </w:r>
      <w:r w:rsidR="005E354D">
        <w:rPr>
          <w:rFonts w:ascii="Arial" w:hAnsi="Arial" w:cs="Arial"/>
          <w:b/>
        </w:rPr>
        <w:t xml:space="preserve"> </w:t>
      </w:r>
      <w:proofErr w:type="gramStart"/>
      <w:r w:rsidRPr="007B37D3">
        <w:rPr>
          <w:rFonts w:ascii="Arial" w:hAnsi="Arial" w:cs="Arial"/>
        </w:rPr>
        <w:t>označava</w:t>
      </w:r>
      <w:proofErr w:type="gramEnd"/>
      <w:r w:rsidRPr="007B37D3">
        <w:rPr>
          <w:rFonts w:ascii="Arial" w:hAnsi="Arial" w:cs="Arial"/>
        </w:rPr>
        <w:t xml:space="preserve"> broj bodova po ovom kriterijum</w:t>
      </w:r>
    </w:p>
    <w:p w:rsidR="00E842BF" w:rsidRPr="007B37D3" w:rsidRDefault="00E842BF" w:rsidP="00A40BDA">
      <w:pPr>
        <w:spacing w:after="0"/>
        <w:ind w:left="-180" w:right="-270"/>
        <w:jc w:val="both"/>
        <w:rPr>
          <w:rFonts w:ascii="Arial" w:hAnsi="Arial" w:cs="Arial"/>
        </w:rPr>
      </w:pPr>
    </w:p>
    <w:p w:rsidR="00D620F2" w:rsidRPr="007B37D3" w:rsidRDefault="005E354D" w:rsidP="00A40BDA">
      <w:pPr>
        <w:pStyle w:val="Heading2"/>
        <w:numPr>
          <w:ilvl w:val="1"/>
          <w:numId w:val="0"/>
        </w:numPr>
        <w:suppressAutoHyphens w:val="0"/>
        <w:spacing w:before="0" w:after="0"/>
        <w:ind w:left="-180" w:right="-270" w:hanging="576"/>
        <w:rPr>
          <w:rFonts w:eastAsia="Calibri"/>
          <w:i w:val="0"/>
          <w:sz w:val="22"/>
          <w:szCs w:val="22"/>
          <w:lang w:val="sr-Latn-CS"/>
        </w:rPr>
      </w:pPr>
      <w:bookmarkStart w:id="35" w:name="_Toc436124908"/>
      <w:r>
        <w:rPr>
          <w:rFonts w:eastAsia="Calibri"/>
          <w:i w:val="0"/>
          <w:sz w:val="22"/>
          <w:szCs w:val="22"/>
          <w:lang w:val="sr-Latn-CS"/>
        </w:rPr>
        <w:t xml:space="preserve">          </w:t>
      </w:r>
      <w:r w:rsidR="00740FBC">
        <w:rPr>
          <w:rFonts w:eastAsia="Calibri"/>
          <w:i w:val="0"/>
          <w:sz w:val="22"/>
          <w:szCs w:val="22"/>
          <w:lang w:val="sr-Latn-CS"/>
        </w:rPr>
        <w:t>9</w:t>
      </w:r>
      <w:r w:rsidR="00F3209C">
        <w:rPr>
          <w:rFonts w:eastAsia="Calibri"/>
          <w:i w:val="0"/>
          <w:sz w:val="22"/>
          <w:szCs w:val="22"/>
          <w:lang w:val="sr-Latn-CS"/>
        </w:rPr>
        <w:t>.6</w:t>
      </w:r>
      <w:r w:rsidR="0064798C" w:rsidRPr="007B37D3">
        <w:rPr>
          <w:rFonts w:eastAsia="Calibri"/>
          <w:i w:val="0"/>
          <w:sz w:val="22"/>
          <w:szCs w:val="22"/>
          <w:lang w:val="sr-Latn-CS"/>
        </w:rPr>
        <w:t xml:space="preserve">. </w:t>
      </w:r>
      <w:r w:rsidR="00D620F2" w:rsidRPr="007B37D3">
        <w:rPr>
          <w:rFonts w:eastAsia="Calibri"/>
          <w:i w:val="0"/>
          <w:sz w:val="22"/>
          <w:szCs w:val="22"/>
          <w:lang w:val="sr-Latn-CS"/>
        </w:rPr>
        <w:t>Kvalitet poslovnog plana i efekti na zapošljavanje i ekonomski razvoj</w:t>
      </w:r>
      <w:bookmarkEnd w:id="35"/>
    </w:p>
    <w:p w:rsidR="00E842BF" w:rsidRPr="007B37D3" w:rsidRDefault="00E842BF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264F3A" w:rsidRDefault="00264F3A" w:rsidP="00A40BDA">
      <w:pPr>
        <w:spacing w:after="0" w:line="240" w:lineRule="auto"/>
        <w:ind w:left="-180" w:right="-27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Ponuđač je dužan da u skladu sa parametrima iz Koncesionog akta opiše poslovni plan za realizaciju koncesije i efekte realizacije koncesije na zapošljavanje i ekonomski razvoj.</w:t>
      </w:r>
    </w:p>
    <w:p w:rsidR="00264F3A" w:rsidRDefault="00264F3A" w:rsidP="00A40BDA">
      <w:pPr>
        <w:spacing w:after="0" w:line="240" w:lineRule="auto"/>
        <w:ind w:left="-180" w:right="-27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Ponuđač je, između ostalog, dužan opisati </w:t>
      </w:r>
      <w:r>
        <w:rPr>
          <w:rFonts w:ascii="Arial" w:eastAsia="Times New Roman" w:hAnsi="Arial" w:cs="Arial"/>
          <w:lang w:val="sr-Latn-CS"/>
        </w:rPr>
        <w:t>planirana investiciona ulaganja za realizaciju koncesije (ulaganja u nabavku opreme i mehanizacije, u izgradnju infrastrukturnih objekata i u izradu projektne i ostale tehničke dokumentacije, itd..), zapošljavanje radne snage, plasman proizvoda na tržište, itd.</w:t>
      </w:r>
    </w:p>
    <w:p w:rsidR="00264F3A" w:rsidRDefault="00264F3A" w:rsidP="00A40BDA">
      <w:pPr>
        <w:spacing w:after="0" w:line="240" w:lineRule="auto"/>
        <w:ind w:left="-180" w:right="-270"/>
        <w:jc w:val="both"/>
        <w:rPr>
          <w:rFonts w:ascii="Arial" w:eastAsia="Arial Unicode MS" w:hAnsi="Arial" w:cs="Arial"/>
          <w:lang w:val="sr-Latn-CS"/>
        </w:rPr>
      </w:pPr>
    </w:p>
    <w:p w:rsidR="00264F3A" w:rsidRDefault="00264F3A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D620F2" w:rsidRPr="007B37D3" w:rsidRDefault="00D620F2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5E354D" w:rsidP="00A40BDA">
      <w:pPr>
        <w:pStyle w:val="Heading1"/>
        <w:spacing w:before="0" w:after="0" w:line="240" w:lineRule="auto"/>
        <w:ind w:left="-180" w:right="-270" w:hanging="432"/>
        <w:rPr>
          <w:sz w:val="22"/>
          <w:szCs w:val="22"/>
          <w:lang w:val="sr-Latn-CS"/>
        </w:rPr>
      </w:pPr>
      <w:bookmarkStart w:id="36" w:name="_Toc390549920"/>
      <w:bookmarkStart w:id="37" w:name="_Toc402262970"/>
      <w:r>
        <w:rPr>
          <w:sz w:val="22"/>
          <w:szCs w:val="22"/>
          <w:lang w:val="sr-Latn-CS"/>
        </w:rPr>
        <w:lastRenderedPageBreak/>
        <w:t xml:space="preserve">       </w:t>
      </w:r>
      <w:r w:rsidR="00264F3A">
        <w:rPr>
          <w:sz w:val="22"/>
          <w:szCs w:val="22"/>
          <w:lang w:val="sr-Latn-CS"/>
        </w:rPr>
        <w:t>10</w:t>
      </w:r>
      <w:r w:rsidR="0064798C" w:rsidRPr="007B37D3">
        <w:rPr>
          <w:sz w:val="22"/>
          <w:szCs w:val="22"/>
          <w:lang w:val="sr-Latn-CS"/>
        </w:rPr>
        <w:t xml:space="preserve">. </w:t>
      </w:r>
      <w:r w:rsidR="00D620F2" w:rsidRPr="007B37D3">
        <w:rPr>
          <w:sz w:val="22"/>
          <w:szCs w:val="22"/>
          <w:lang w:val="sr-Latn-CS"/>
        </w:rPr>
        <w:t>SPISAK POTREBNE TEHNIČKE DOKUMENTACIJE SA USLOVIMA ZA NJENU IZRADU, ODOBRENJA, SAGLASNOSTI I MIŠLJENJA ZA OBAVLJANJE KONCESIONE DJELATNOSTI</w:t>
      </w:r>
      <w:bookmarkEnd w:id="36"/>
      <w:bookmarkEnd w:id="37"/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264F3A" w:rsidP="00A40BDA">
      <w:pPr>
        <w:pStyle w:val="Heading2"/>
        <w:spacing w:before="0" w:after="0" w:line="240" w:lineRule="auto"/>
        <w:ind w:left="-180" w:right="-270"/>
        <w:rPr>
          <w:i w:val="0"/>
          <w:sz w:val="22"/>
          <w:szCs w:val="22"/>
          <w:lang w:val="sr-Latn-CS"/>
        </w:rPr>
      </w:pPr>
      <w:bookmarkStart w:id="38" w:name="_Toc402221835"/>
      <w:r>
        <w:rPr>
          <w:i w:val="0"/>
          <w:sz w:val="22"/>
          <w:szCs w:val="22"/>
          <w:lang w:val="sr-Latn-CS"/>
        </w:rPr>
        <w:t>10</w:t>
      </w:r>
      <w:r w:rsidR="0064798C" w:rsidRPr="007B37D3">
        <w:rPr>
          <w:i w:val="0"/>
          <w:sz w:val="22"/>
          <w:szCs w:val="22"/>
          <w:lang w:val="sr-Latn-CS"/>
        </w:rPr>
        <w:t xml:space="preserve">.1. </w:t>
      </w:r>
      <w:r>
        <w:rPr>
          <w:i w:val="0"/>
          <w:sz w:val="22"/>
          <w:szCs w:val="22"/>
          <w:lang w:val="sr-Latn-CS"/>
        </w:rPr>
        <w:t>Geološka</w:t>
      </w:r>
      <w:r w:rsidR="00D620F2" w:rsidRPr="007B37D3">
        <w:rPr>
          <w:i w:val="0"/>
          <w:sz w:val="22"/>
          <w:szCs w:val="22"/>
          <w:lang w:val="sr-Latn-CS"/>
        </w:rPr>
        <w:t xml:space="preserve"> istraživanja</w:t>
      </w:r>
      <w:bookmarkEnd w:id="38"/>
    </w:p>
    <w:p w:rsidR="00D620F2" w:rsidRPr="007B37D3" w:rsidRDefault="00D620F2" w:rsidP="00A40BDA">
      <w:pPr>
        <w:spacing w:after="0" w:line="240" w:lineRule="auto"/>
        <w:ind w:left="-180" w:right="-270"/>
        <w:rPr>
          <w:rFonts w:ascii="Arial" w:hAnsi="Arial" w:cs="Arial"/>
          <w:b/>
          <w:lang w:val="sr-Latn-CS"/>
        </w:rPr>
      </w:pP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Tokom eksploatacije, shodno odredbama Zakona o geološkim istraživanjima, budući Koncesionar je dužan da izvodi geološka istraživanja u cilju povećanja ukupnih rezervi mineralne sirovine.</w:t>
      </w: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Tokom koncesionog perioda budući Koncesionar je dužan da, u skladu sa odredbama Zakona o geološkim istraživanjima, dostavlja nadležnom državnom organu za rudarstvo i geološka istraživanja svake pete godine na ovjeru Elaborat o kasifikaciji, kategorizaciji i proračunu rezervi mineralne sirovine, sa stanjem na dan 31. decembar prethodne godine, koji se izrađuje na osnovu posebnih propisa.</w:t>
      </w:r>
    </w:p>
    <w:p w:rsidR="00D620F2" w:rsidRPr="00BA64E2" w:rsidRDefault="00D620F2" w:rsidP="00A40BDA">
      <w:pPr>
        <w:spacing w:after="0"/>
        <w:ind w:left="-180" w:right="-270"/>
        <w:jc w:val="both"/>
        <w:rPr>
          <w:rFonts w:ascii="Arial" w:eastAsia="Times New Roman" w:hAnsi="Arial" w:cs="Arial"/>
          <w:color w:val="000000" w:themeColor="text1"/>
        </w:rPr>
      </w:pPr>
    </w:p>
    <w:p w:rsidR="00D620F2" w:rsidRPr="007B37D3" w:rsidRDefault="00D620F2" w:rsidP="00A40BDA">
      <w:pPr>
        <w:pStyle w:val="Heading2"/>
        <w:spacing w:before="0" w:after="0"/>
        <w:ind w:left="-180" w:right="-270"/>
        <w:rPr>
          <w:i w:val="0"/>
          <w:sz w:val="22"/>
          <w:szCs w:val="22"/>
          <w:lang w:val="sr-Latn-CS"/>
        </w:rPr>
      </w:pPr>
      <w:bookmarkStart w:id="39" w:name="_Toc402221836"/>
      <w:r w:rsidRPr="007B37D3">
        <w:rPr>
          <w:i w:val="0"/>
          <w:sz w:val="22"/>
          <w:szCs w:val="22"/>
          <w:lang w:val="sr-Latn-CS"/>
        </w:rPr>
        <w:t>1</w:t>
      </w:r>
      <w:r w:rsidR="00C50A15">
        <w:rPr>
          <w:i w:val="0"/>
          <w:sz w:val="22"/>
          <w:szCs w:val="22"/>
          <w:lang w:val="sr-Latn-CS"/>
        </w:rPr>
        <w:t>0</w:t>
      </w:r>
      <w:r w:rsidRPr="007B37D3">
        <w:rPr>
          <w:i w:val="0"/>
          <w:sz w:val="22"/>
          <w:szCs w:val="22"/>
          <w:lang w:val="sr-Latn-CS"/>
        </w:rPr>
        <w:t>.2</w:t>
      </w:r>
      <w:r w:rsidR="00781B19" w:rsidRPr="007B37D3">
        <w:rPr>
          <w:i w:val="0"/>
          <w:sz w:val="22"/>
          <w:szCs w:val="22"/>
          <w:lang w:val="sr-Latn-CS"/>
        </w:rPr>
        <w:t xml:space="preserve">. </w:t>
      </w:r>
      <w:r w:rsidRPr="007B37D3">
        <w:rPr>
          <w:i w:val="0"/>
          <w:sz w:val="22"/>
          <w:szCs w:val="22"/>
          <w:lang w:val="sr-Latn-CS"/>
        </w:rPr>
        <w:t xml:space="preserve"> </w:t>
      </w:r>
      <w:r w:rsidR="00C50A15">
        <w:rPr>
          <w:i w:val="0"/>
          <w:sz w:val="22"/>
          <w:szCs w:val="22"/>
          <w:lang w:val="sr-Latn-CS"/>
        </w:rPr>
        <w:t>Esplo</w:t>
      </w:r>
      <w:r w:rsidRPr="007B37D3">
        <w:rPr>
          <w:i w:val="0"/>
          <w:sz w:val="22"/>
          <w:szCs w:val="22"/>
          <w:lang w:val="sr-Latn-CS"/>
        </w:rPr>
        <w:t>atacije mineralne sirovine</w:t>
      </w:r>
      <w:bookmarkEnd w:id="39"/>
    </w:p>
    <w:p w:rsidR="00310130" w:rsidRPr="00BA64E2" w:rsidRDefault="00310130" w:rsidP="00A40BDA">
      <w:pPr>
        <w:spacing w:after="0"/>
        <w:ind w:left="-180" w:right="-270"/>
        <w:jc w:val="both"/>
        <w:rPr>
          <w:rFonts w:ascii="Arial" w:eastAsia="Times New Roman" w:hAnsi="Arial" w:cs="Arial"/>
          <w:b/>
          <w:color w:val="000000" w:themeColor="text1"/>
        </w:rPr>
      </w:pPr>
    </w:p>
    <w:p w:rsidR="00D620F2" w:rsidRPr="00C50A15" w:rsidRDefault="00AF4A64" w:rsidP="00A40BD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</w:rPr>
      </w:pPr>
      <w:bookmarkStart w:id="40" w:name="_Toc402262971"/>
      <w:r>
        <w:rPr>
          <w:i w:val="0"/>
          <w:sz w:val="22"/>
          <w:szCs w:val="22"/>
        </w:rPr>
        <w:t xml:space="preserve">         </w:t>
      </w:r>
      <w:r w:rsidR="00D620F2" w:rsidRPr="00C50A15">
        <w:rPr>
          <w:i w:val="0"/>
          <w:sz w:val="22"/>
          <w:szCs w:val="22"/>
        </w:rPr>
        <w:t>1</w:t>
      </w:r>
      <w:r w:rsidR="00C50A15" w:rsidRPr="00C50A15">
        <w:rPr>
          <w:i w:val="0"/>
          <w:sz w:val="22"/>
          <w:szCs w:val="22"/>
        </w:rPr>
        <w:t>0</w:t>
      </w:r>
      <w:r w:rsidR="00D620F2" w:rsidRPr="00C50A15">
        <w:rPr>
          <w:i w:val="0"/>
          <w:sz w:val="22"/>
          <w:szCs w:val="22"/>
        </w:rPr>
        <w:t>.2.1</w:t>
      </w:r>
      <w:r w:rsidR="00781B19" w:rsidRPr="00C50A15">
        <w:rPr>
          <w:i w:val="0"/>
          <w:sz w:val="22"/>
          <w:szCs w:val="22"/>
        </w:rPr>
        <w:t>.</w:t>
      </w:r>
      <w:r w:rsidR="00D620F2" w:rsidRPr="00C50A15">
        <w:rPr>
          <w:i w:val="0"/>
          <w:sz w:val="22"/>
          <w:szCs w:val="22"/>
        </w:rPr>
        <w:t xml:space="preserve"> Odobrenje za eksploataciju mineralne sirovine </w:t>
      </w:r>
      <w:proofErr w:type="gramStart"/>
      <w:r w:rsidR="00D620F2" w:rsidRPr="00C50A15">
        <w:rPr>
          <w:i w:val="0"/>
          <w:sz w:val="22"/>
          <w:szCs w:val="22"/>
        </w:rPr>
        <w:t>na</w:t>
      </w:r>
      <w:proofErr w:type="gramEnd"/>
      <w:r w:rsidR="00D620F2" w:rsidRPr="00C50A15">
        <w:rPr>
          <w:i w:val="0"/>
          <w:sz w:val="22"/>
          <w:szCs w:val="22"/>
        </w:rPr>
        <w:t xml:space="preserve"> eksploatacionom polju</w:t>
      </w:r>
      <w:bookmarkEnd w:id="40"/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Odobrenje za eksploataciju mineralne sirovine na eksploatacionom polju, u skladu sa članom 33 Zakona o rudarstvu, izdaje Ministarstvo ekonomije na zahtjev investitora. Uz zahtjev se dostavlja i sljedeća dokumentacija:</w:t>
      </w:r>
    </w:p>
    <w:p w:rsidR="00C50A15" w:rsidRDefault="00C50A15" w:rsidP="00AF4A6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ugovor o koncesiji;</w:t>
      </w:r>
    </w:p>
    <w:p w:rsidR="00AF4A64" w:rsidRDefault="00C50A15" w:rsidP="00AF4A6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situaciona karta u razmjeri 1:10.000 ( ili većoj) sa ucrtanim granicama eksploatacionog polja, javnim </w:t>
      </w:r>
      <w:r w:rsidR="00AF4A64">
        <w:rPr>
          <w:rFonts w:ascii="Arial" w:hAnsi="Arial" w:cs="Arial"/>
          <w:lang w:val="sr-Latn-CS"/>
        </w:rPr>
        <w:t xml:space="preserve"> </w:t>
      </w:r>
    </w:p>
    <w:p w:rsidR="00AF4A64" w:rsidRDefault="00AF4A64" w:rsidP="00AF4A64">
      <w:pPr>
        <w:pStyle w:val="ListParagraph"/>
        <w:autoSpaceDE w:val="0"/>
        <w:autoSpaceDN w:val="0"/>
        <w:adjustRightInd w:val="0"/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 xml:space="preserve">saobraćajnicama, rudarskim radovima i drugim objektima koji se nalaze na eksploatacionom polju, </w:t>
      </w:r>
    </w:p>
    <w:p w:rsidR="00C50A15" w:rsidRDefault="00AF4A64" w:rsidP="00AF4A64">
      <w:pPr>
        <w:pStyle w:val="ListParagraph"/>
        <w:autoSpaceDE w:val="0"/>
        <w:autoSpaceDN w:val="0"/>
        <w:adjustRightInd w:val="0"/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>opisom granica, nazivom eksploatacionog polja i naznačenjem opštine na čijoj se teritoriji nalazi;</w:t>
      </w:r>
    </w:p>
    <w:p w:rsidR="00AF4A64" w:rsidRDefault="00C50A15" w:rsidP="00AF4A6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potvrdu o bilansnim rezervama mineralnih sirovina koja se izdaje u skladu sa važećim propisima o </w:t>
      </w:r>
      <w:r w:rsidR="00AF4A64">
        <w:rPr>
          <w:rFonts w:ascii="Arial" w:hAnsi="Arial" w:cs="Arial"/>
          <w:lang w:val="sr-Latn-CS"/>
        </w:rPr>
        <w:t xml:space="preserve"> </w:t>
      </w:r>
    </w:p>
    <w:p w:rsidR="00C50A15" w:rsidRDefault="00AF4A64" w:rsidP="00AF4A64">
      <w:pPr>
        <w:pStyle w:val="ListParagraph"/>
        <w:autoSpaceDE w:val="0"/>
        <w:autoSpaceDN w:val="0"/>
        <w:adjustRightInd w:val="0"/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>klasifikaciji i kategorizaciji rezervi;</w:t>
      </w:r>
    </w:p>
    <w:p w:rsidR="00AF4A64" w:rsidRDefault="00C50A15" w:rsidP="00AF4A6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studija izvodljivosti eksploatacije ležišta mineralnih sirovina sa prikazom uslova i načina </w:t>
      </w:r>
    </w:p>
    <w:p w:rsidR="00AF4A64" w:rsidRDefault="00AF4A64" w:rsidP="00AF4A64">
      <w:pPr>
        <w:pStyle w:val="ListParagraph"/>
        <w:autoSpaceDE w:val="0"/>
        <w:autoSpaceDN w:val="0"/>
        <w:adjustRightInd w:val="0"/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 xml:space="preserve">eksploatacije i pripreme mineralnih sirovina sa dinamikom izvođenja radova i podacima o </w:t>
      </w:r>
    </w:p>
    <w:p w:rsidR="00AF4A64" w:rsidRDefault="00AF4A64" w:rsidP="00AF4A64">
      <w:pPr>
        <w:pStyle w:val="ListParagraph"/>
        <w:autoSpaceDE w:val="0"/>
        <w:autoSpaceDN w:val="0"/>
        <w:adjustRightInd w:val="0"/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 xml:space="preserve">metanoobilnosti, zaprašenosti i zavodnjenosti, oplemenjivanju, upotrebi i plasmanu, mjerama zaštite </w:t>
      </w:r>
    </w:p>
    <w:p w:rsidR="00C50A15" w:rsidRDefault="00AF4A64" w:rsidP="00AF4A64">
      <w:pPr>
        <w:pStyle w:val="ListParagraph"/>
        <w:autoSpaceDE w:val="0"/>
        <w:autoSpaceDN w:val="0"/>
        <w:adjustRightInd w:val="0"/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>i sanacije životne sredine kao i podacima o tehničkoj opremljenosti i stručnim kadrovima;</w:t>
      </w:r>
    </w:p>
    <w:p w:rsidR="00C50A15" w:rsidRDefault="00C50A15" w:rsidP="00AF4A6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mišljenje nadležnog organa za zaštitu životne sredine na studiju izvodljivosti eksploatacije;</w:t>
      </w:r>
    </w:p>
    <w:p w:rsidR="00AF4A64" w:rsidRDefault="00C50A15" w:rsidP="00AF4A6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akt organa nadležnog za poslove urbanizma u pogledu usaglašenosti planirane eksploatacije </w:t>
      </w:r>
    </w:p>
    <w:p w:rsidR="00C50A15" w:rsidRDefault="00AF4A64" w:rsidP="00AF4A64">
      <w:pPr>
        <w:pStyle w:val="ListParagraph"/>
        <w:autoSpaceDE w:val="0"/>
        <w:autoSpaceDN w:val="0"/>
        <w:adjustRightInd w:val="0"/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C50A15">
        <w:rPr>
          <w:rFonts w:ascii="Arial" w:hAnsi="Arial" w:cs="Arial"/>
          <w:lang w:val="sr-Latn-CS"/>
        </w:rPr>
        <w:t>mineralnih sirovina sa odgovarajućim prostornim, odnosno urbanističkim planovima;</w:t>
      </w:r>
    </w:p>
    <w:p w:rsidR="00C50A15" w:rsidRDefault="00C50A15" w:rsidP="00AF4A6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licenca za izvođenje radova;</w:t>
      </w:r>
    </w:p>
    <w:p w:rsidR="00C50A15" w:rsidRDefault="00C50A15" w:rsidP="00AF4A6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drugi podaci od značaja za izdavanje odobrenja na zahtjev nadležnog organa.</w:t>
      </w:r>
    </w:p>
    <w:p w:rsidR="00C50A15" w:rsidRDefault="00C50A15" w:rsidP="00A40BDA">
      <w:pPr>
        <w:pStyle w:val="ListParagraph"/>
        <w:autoSpaceDE w:val="0"/>
        <w:autoSpaceDN w:val="0"/>
        <w:adjustRightInd w:val="0"/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C50A15" w:rsidRDefault="00D620F2" w:rsidP="00A40BDA">
      <w:pPr>
        <w:pStyle w:val="Heading2"/>
        <w:numPr>
          <w:ilvl w:val="1"/>
          <w:numId w:val="0"/>
        </w:numPr>
        <w:spacing w:before="0" w:after="0"/>
        <w:ind w:left="-180" w:right="-270"/>
        <w:rPr>
          <w:i w:val="0"/>
          <w:sz w:val="22"/>
          <w:szCs w:val="22"/>
          <w:lang w:val="sv-SE"/>
        </w:rPr>
      </w:pPr>
      <w:bookmarkStart w:id="41" w:name="_Toc402262972"/>
      <w:r w:rsidRPr="00C50A15">
        <w:rPr>
          <w:rFonts w:eastAsia="Calibri"/>
          <w:bCs w:val="0"/>
          <w:i w:val="0"/>
          <w:iCs w:val="0"/>
          <w:kern w:val="0"/>
          <w:sz w:val="22"/>
          <w:szCs w:val="22"/>
        </w:rPr>
        <w:t>1</w:t>
      </w:r>
      <w:r w:rsidR="00C50A15" w:rsidRPr="00C50A15">
        <w:rPr>
          <w:rFonts w:eastAsia="Calibri"/>
          <w:bCs w:val="0"/>
          <w:i w:val="0"/>
          <w:iCs w:val="0"/>
          <w:kern w:val="0"/>
          <w:sz w:val="22"/>
          <w:szCs w:val="22"/>
        </w:rPr>
        <w:t>0</w:t>
      </w:r>
      <w:r w:rsidRPr="00C50A15">
        <w:rPr>
          <w:rFonts w:eastAsia="Calibri"/>
          <w:bCs w:val="0"/>
          <w:i w:val="0"/>
          <w:iCs w:val="0"/>
          <w:kern w:val="0"/>
          <w:sz w:val="22"/>
          <w:szCs w:val="22"/>
        </w:rPr>
        <w:t>.2.2</w:t>
      </w:r>
      <w:r w:rsidR="00781B19" w:rsidRPr="00C50A15">
        <w:rPr>
          <w:rFonts w:eastAsia="Calibri"/>
          <w:bCs w:val="0"/>
          <w:i w:val="0"/>
          <w:iCs w:val="0"/>
          <w:kern w:val="0"/>
          <w:sz w:val="22"/>
          <w:szCs w:val="22"/>
        </w:rPr>
        <w:t>.</w:t>
      </w:r>
      <w:r w:rsidR="00152A40">
        <w:rPr>
          <w:rFonts w:eastAsia="Calibri"/>
          <w:bCs w:val="0"/>
          <w:i w:val="0"/>
          <w:iCs w:val="0"/>
          <w:kern w:val="0"/>
          <w:sz w:val="22"/>
          <w:szCs w:val="22"/>
        </w:rPr>
        <w:t xml:space="preserve"> </w:t>
      </w:r>
      <w:r w:rsidRPr="00C50A15">
        <w:rPr>
          <w:i w:val="0"/>
          <w:sz w:val="22"/>
          <w:szCs w:val="22"/>
          <w:lang w:val="sv-SE"/>
        </w:rPr>
        <w:t>Odobrenje</w:t>
      </w:r>
      <w:r w:rsidR="00310130" w:rsidRPr="00C50A15">
        <w:rPr>
          <w:i w:val="0"/>
          <w:sz w:val="22"/>
          <w:szCs w:val="22"/>
          <w:lang w:val="sv-SE"/>
        </w:rPr>
        <w:t xml:space="preserve"> </w:t>
      </w:r>
      <w:r w:rsidRPr="00C50A15">
        <w:rPr>
          <w:i w:val="0"/>
          <w:sz w:val="22"/>
          <w:szCs w:val="22"/>
          <w:lang w:val="sv-SE"/>
        </w:rPr>
        <w:t>za</w:t>
      </w:r>
      <w:r w:rsidR="00310130" w:rsidRPr="00C50A15">
        <w:rPr>
          <w:i w:val="0"/>
          <w:sz w:val="22"/>
          <w:szCs w:val="22"/>
          <w:lang w:val="sv-SE"/>
        </w:rPr>
        <w:t xml:space="preserve"> </w:t>
      </w:r>
      <w:r w:rsidRPr="00C50A15">
        <w:rPr>
          <w:i w:val="0"/>
          <w:sz w:val="22"/>
          <w:szCs w:val="22"/>
          <w:lang w:val="sv-SE"/>
        </w:rPr>
        <w:t>izvo</w:t>
      </w:r>
      <w:r w:rsidRPr="00C50A15">
        <w:rPr>
          <w:i w:val="0"/>
          <w:sz w:val="22"/>
          <w:szCs w:val="22"/>
        </w:rPr>
        <w:t>đ</w:t>
      </w:r>
      <w:r w:rsidRPr="00C50A15">
        <w:rPr>
          <w:i w:val="0"/>
          <w:sz w:val="22"/>
          <w:szCs w:val="22"/>
          <w:lang w:val="sv-SE"/>
        </w:rPr>
        <w:t>enje</w:t>
      </w:r>
      <w:r w:rsidR="00310130" w:rsidRPr="00C50A15">
        <w:rPr>
          <w:i w:val="0"/>
          <w:sz w:val="22"/>
          <w:szCs w:val="22"/>
          <w:lang w:val="sv-SE"/>
        </w:rPr>
        <w:t xml:space="preserve"> </w:t>
      </w:r>
      <w:r w:rsidRPr="00C50A15">
        <w:rPr>
          <w:i w:val="0"/>
          <w:sz w:val="22"/>
          <w:szCs w:val="22"/>
          <w:lang w:val="sv-SE"/>
        </w:rPr>
        <w:t>radova po rudarskom projektu</w:t>
      </w:r>
      <w:bookmarkEnd w:id="41"/>
    </w:p>
    <w:p w:rsidR="00D620F2" w:rsidRPr="00C50A15" w:rsidRDefault="00D620F2" w:rsidP="00A40BDA">
      <w:pPr>
        <w:spacing w:after="0"/>
        <w:ind w:left="-180" w:right="-270"/>
        <w:jc w:val="both"/>
        <w:rPr>
          <w:rFonts w:ascii="Arial" w:hAnsi="Arial" w:cs="Arial"/>
          <w:b/>
          <w:lang w:val="sv-SE"/>
        </w:rPr>
      </w:pP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Nakon dobijanja odobrenja za eksploataciju mineralne sirovine na eksploatacionom polju, pristupa se izradi rudarske tehničke dokumentacije –rudarskog projekta eksploatacije.</w:t>
      </w: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Rudarski projekat izrađuje se za izgradnju novih rudarskih objekata, sistema otvaranja i pripreme rudarskih objekata radi eksploatacije mineralne sirovine. Rudarski projekat podliježe tehničkoj kontroli (reviziji), koju vrši nadležni organ preko stručne komisije ili pravnog lica koje ima Licencu za izradu rudarskih projekata.</w:t>
      </w: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Odobrenje za izvođenje radova po rudarskom projektu, u skladu sa članom 53 Zakona o rudarstvu, izdaje Ministarstvo ekonomije na zahtjev investitora. Uz zahtjev se dostavlja i sljedeća dokumentacija:</w:t>
      </w: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C50A15" w:rsidRDefault="00C50A15" w:rsidP="00152A40">
      <w:pPr>
        <w:pStyle w:val="ListParagraph"/>
        <w:numPr>
          <w:ilvl w:val="0"/>
          <w:numId w:val="12"/>
        </w:numPr>
        <w:spacing w:after="0" w:line="240" w:lineRule="auto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rudarski projekat sa revizionom klauzulom;</w:t>
      </w:r>
    </w:p>
    <w:p w:rsidR="00C50A15" w:rsidRDefault="00C50A15" w:rsidP="00152A40">
      <w:pPr>
        <w:pStyle w:val="ListParagraph"/>
        <w:numPr>
          <w:ilvl w:val="0"/>
          <w:numId w:val="12"/>
        </w:numPr>
        <w:spacing w:after="0" w:line="240" w:lineRule="auto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potvrda-saglasnost organa koji je izdao uslove da je rudarski projekat urađen u skladu sa izdatim uslovima;</w:t>
      </w:r>
    </w:p>
    <w:p w:rsidR="00C50A15" w:rsidRDefault="00C50A15" w:rsidP="00152A40">
      <w:pPr>
        <w:pStyle w:val="ListParagraph"/>
        <w:numPr>
          <w:ilvl w:val="0"/>
          <w:numId w:val="12"/>
        </w:numPr>
        <w:spacing w:after="0" w:line="240" w:lineRule="auto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urbanističko-tehnički uslovi;</w:t>
      </w:r>
    </w:p>
    <w:p w:rsidR="00C50A15" w:rsidRDefault="00C50A15" w:rsidP="00152A40">
      <w:pPr>
        <w:pStyle w:val="ListParagraph"/>
        <w:numPr>
          <w:ilvl w:val="0"/>
          <w:numId w:val="12"/>
        </w:numPr>
        <w:spacing w:after="0" w:line="240" w:lineRule="auto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dokaz o pravu svojine ili korišćenja na zemljištu, odnosno službenosti za najmanje dvije godine eksploatacije mineralne sirovine prema dinamici utvrđenoj koncesionim pravom;</w:t>
      </w:r>
    </w:p>
    <w:p w:rsidR="00C50A15" w:rsidRDefault="00C50A15" w:rsidP="00152A40">
      <w:pPr>
        <w:pStyle w:val="ListParagraph"/>
        <w:numPr>
          <w:ilvl w:val="0"/>
          <w:numId w:val="12"/>
        </w:numPr>
        <w:spacing w:after="0" w:line="240" w:lineRule="auto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saglasnost organa državne uprave nadležnog za poslove zaštite životne sredine na elaborat procjene uticaja na životnu sredinu ili odluku da nije potrebno vršiti procjenu uticaja koje se izdaju u skladu sa posebnim propisom;</w:t>
      </w:r>
    </w:p>
    <w:p w:rsidR="00C50A15" w:rsidRDefault="00C50A15" w:rsidP="00152A40">
      <w:pPr>
        <w:pStyle w:val="ListParagraph"/>
        <w:numPr>
          <w:ilvl w:val="0"/>
          <w:numId w:val="12"/>
        </w:numPr>
        <w:spacing w:after="0" w:line="240" w:lineRule="auto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vodoprivredna saglasnost na projekte kada eksploatacija mineralnih sirovina utiče na režim voda;</w:t>
      </w:r>
    </w:p>
    <w:p w:rsidR="00C50A15" w:rsidRDefault="00C50A15" w:rsidP="00152A40">
      <w:pPr>
        <w:pStyle w:val="ListParagraph"/>
        <w:numPr>
          <w:ilvl w:val="0"/>
          <w:numId w:val="12"/>
        </w:numPr>
        <w:spacing w:after="0" w:line="240" w:lineRule="auto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saobraćajna saglasnost za pristup javnim saobraćajnicama;</w:t>
      </w:r>
    </w:p>
    <w:p w:rsidR="00C50A15" w:rsidRDefault="00C50A15" w:rsidP="00152A40">
      <w:pPr>
        <w:pStyle w:val="ListParagraph"/>
        <w:numPr>
          <w:ilvl w:val="0"/>
          <w:numId w:val="12"/>
        </w:numPr>
        <w:spacing w:after="0" w:line="240" w:lineRule="auto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licenca za izvođenje radova;</w:t>
      </w:r>
    </w:p>
    <w:p w:rsidR="00C50A15" w:rsidRDefault="00C50A15" w:rsidP="00152A40">
      <w:pPr>
        <w:pStyle w:val="ListParagraph"/>
        <w:numPr>
          <w:ilvl w:val="0"/>
          <w:numId w:val="12"/>
        </w:numPr>
        <w:spacing w:after="0" w:line="240" w:lineRule="auto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dokaz o plaćenoj naknadi za promjenu namjene korišćenja poljoprivrednog zemljišta.</w:t>
      </w: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C50A15" w:rsidRDefault="00C50A15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 izgradnju rudarskih objekata i postrojenja dostavlja se i dokumentacija u skladu sa propisima o građenju u zavisnosti od vrste objekta i utvrđenih uslova za izradu tehničke dokumentacije, a naročito sljedeće saglasnosti: elektro-energetska, zaštite na radu, sanitarna, protivpožarna, vodovodna, za priključenje na telekomunikacionu mrežu.</w:t>
      </w:r>
    </w:p>
    <w:p w:rsidR="00DC0935" w:rsidRPr="00310130" w:rsidRDefault="00DC0935" w:rsidP="00A40BDA">
      <w:pPr>
        <w:spacing w:after="0"/>
        <w:ind w:left="-180" w:right="-270"/>
        <w:jc w:val="both"/>
        <w:rPr>
          <w:rFonts w:ascii="Arial" w:hAnsi="Arial" w:cs="Arial"/>
          <w:u w:val="single"/>
          <w:lang w:val="sr-Latn-CS"/>
        </w:rPr>
      </w:pPr>
    </w:p>
    <w:p w:rsidR="000156A4" w:rsidRPr="00C50A15" w:rsidRDefault="00D620F2" w:rsidP="00A40BDA">
      <w:pPr>
        <w:pStyle w:val="Heading3"/>
        <w:suppressAutoHyphens/>
        <w:spacing w:line="276" w:lineRule="auto"/>
        <w:ind w:left="-180" w:right="-270"/>
        <w:jc w:val="left"/>
        <w:rPr>
          <w:rFonts w:ascii="Arial" w:hAnsi="Arial" w:cs="Arial"/>
          <w:b/>
          <w:sz w:val="22"/>
          <w:szCs w:val="22"/>
          <w:lang w:val="sr-Latn-CS"/>
        </w:rPr>
      </w:pPr>
      <w:bookmarkStart w:id="42" w:name="_Toc435529036"/>
      <w:bookmarkStart w:id="43" w:name="_Toc436124913"/>
      <w:r w:rsidRPr="00C50A15">
        <w:rPr>
          <w:rFonts w:ascii="Arial" w:hAnsi="Arial" w:cs="Arial"/>
          <w:b/>
          <w:sz w:val="22"/>
          <w:szCs w:val="22"/>
          <w:lang w:val="sr-Latn-CS"/>
        </w:rPr>
        <w:t>1</w:t>
      </w:r>
      <w:r w:rsidR="00C50A15" w:rsidRPr="00C50A15">
        <w:rPr>
          <w:rFonts w:ascii="Arial" w:hAnsi="Arial" w:cs="Arial"/>
          <w:b/>
          <w:sz w:val="22"/>
          <w:szCs w:val="22"/>
          <w:lang w:val="sr-Latn-CS"/>
        </w:rPr>
        <w:t>0</w:t>
      </w:r>
      <w:r w:rsidRPr="00C50A15">
        <w:rPr>
          <w:rFonts w:ascii="Arial" w:hAnsi="Arial" w:cs="Arial"/>
          <w:b/>
          <w:sz w:val="22"/>
          <w:szCs w:val="22"/>
          <w:lang w:val="sr-Latn-CS"/>
        </w:rPr>
        <w:t>.2.3</w:t>
      </w:r>
      <w:r w:rsidR="00781B19" w:rsidRPr="00C50A15">
        <w:rPr>
          <w:rFonts w:ascii="Arial" w:hAnsi="Arial" w:cs="Arial"/>
          <w:b/>
          <w:sz w:val="22"/>
          <w:szCs w:val="22"/>
          <w:lang w:val="sr-Latn-CS"/>
        </w:rPr>
        <w:t>.</w:t>
      </w:r>
      <w:r w:rsidRPr="00C50A15">
        <w:rPr>
          <w:rFonts w:ascii="Arial" w:hAnsi="Arial" w:cs="Arial"/>
          <w:b/>
          <w:sz w:val="22"/>
          <w:szCs w:val="22"/>
          <w:lang w:val="sr-Latn-CS"/>
        </w:rPr>
        <w:t xml:space="preserve"> Odobrenje za upotrebu rudarskih objekata</w:t>
      </w:r>
      <w:bookmarkEnd w:id="42"/>
      <w:bookmarkEnd w:id="43"/>
    </w:p>
    <w:p w:rsidR="00B83D41" w:rsidRPr="007B37D3" w:rsidRDefault="00B83D41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Izgrađeni rudarski objekti ili djelovi rudarskih objekata koji se mogu samostalno koristiti, prije početka korišćenja, podliježu tehničkom pregledu, koji obuhvata pregled: rudarskih i građevinskih radova, električnih postrojenja, uređaja i instalacija i rudarske opreme i postrojenja.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Tehničkim pregledom utvrđuje se usklađenost izvedenih radova sa tehničkom dokumentacijom na osnovu koje je izdato odobrenje za izvođenje radova, tehničkim propisima čija je primjena obavezna pri izgradnji rudarskih objekata i mjerama i normativima zaštite na radu i zaštite životne sredine. Troškove tehničkog pregleda snosi investitor.</w:t>
      </w:r>
    </w:p>
    <w:p w:rsidR="00DC0935" w:rsidRPr="007B37D3" w:rsidRDefault="00DC0935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Tehnički pregled i odobrenje za upotrebu rudarskih objekata ili dijela objekta vrši nadležni organ preko stručne komisije ili pravnog lica u skladu sa propisima o izgradnji objekata.</w:t>
      </w:r>
    </w:p>
    <w:p w:rsidR="00D620F2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Ako je za izdavanje odobrenja za upotrebu rudarskih objekata posebnim zakonom propisana obaveza prethodnog pribavljanja saglasnosti ili dozvole drugih organa ili organizacija, uz zahtjev za izdavanje odobrenja podnosi se i saglasnost, odnosno, dozvola. </w:t>
      </w:r>
    </w:p>
    <w:p w:rsidR="007B37D3" w:rsidRPr="007B37D3" w:rsidRDefault="007B37D3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0B7804" w:rsidRDefault="000B7804" w:rsidP="000B7804">
      <w:pPr>
        <w:pStyle w:val="Heading2"/>
        <w:numPr>
          <w:ilvl w:val="1"/>
          <w:numId w:val="0"/>
        </w:numPr>
        <w:spacing w:before="0" w:after="0" w:line="240" w:lineRule="auto"/>
        <w:ind w:left="-180" w:right="-270" w:hanging="576"/>
        <w:rPr>
          <w:i w:val="0"/>
          <w:sz w:val="22"/>
          <w:szCs w:val="22"/>
          <w:lang w:val="sv-SE"/>
        </w:rPr>
      </w:pPr>
      <w:bookmarkStart w:id="44" w:name="_Toc390549926"/>
      <w:r>
        <w:rPr>
          <w:i w:val="0"/>
          <w:sz w:val="22"/>
          <w:szCs w:val="22"/>
          <w:lang w:val="sv-SE"/>
        </w:rPr>
        <w:t xml:space="preserve">         </w:t>
      </w:r>
      <w:r w:rsidR="00D620F2" w:rsidRPr="007B37D3">
        <w:rPr>
          <w:i w:val="0"/>
          <w:sz w:val="22"/>
          <w:szCs w:val="22"/>
          <w:lang w:val="sv-SE"/>
        </w:rPr>
        <w:t>1</w:t>
      </w:r>
      <w:bookmarkStart w:id="45" w:name="_Toc402262974"/>
      <w:r w:rsidR="002E1DBF">
        <w:rPr>
          <w:i w:val="0"/>
          <w:sz w:val="22"/>
          <w:szCs w:val="22"/>
          <w:lang w:val="sv-SE"/>
        </w:rPr>
        <w:t>1</w:t>
      </w:r>
      <w:r w:rsidR="00781B19" w:rsidRPr="007B37D3">
        <w:rPr>
          <w:i w:val="0"/>
          <w:sz w:val="22"/>
          <w:szCs w:val="22"/>
          <w:lang w:val="sv-SE"/>
        </w:rPr>
        <w:t xml:space="preserve">. </w:t>
      </w:r>
      <w:r>
        <w:rPr>
          <w:i w:val="0"/>
          <w:sz w:val="22"/>
          <w:szCs w:val="22"/>
          <w:lang w:val="sv-SE"/>
        </w:rPr>
        <w:t xml:space="preserve"> </w:t>
      </w:r>
      <w:r w:rsidR="00D620F2" w:rsidRPr="007B37D3">
        <w:rPr>
          <w:i w:val="0"/>
          <w:sz w:val="22"/>
          <w:szCs w:val="22"/>
          <w:lang w:val="sv-SE"/>
        </w:rPr>
        <w:t xml:space="preserve">HRONOLOGIJA IZRADE TEHNIČKE DOKUMENTACIJE I PRIBAVLJANJE ODOBRENJA I </w:t>
      </w:r>
      <w:r>
        <w:rPr>
          <w:i w:val="0"/>
          <w:sz w:val="22"/>
          <w:szCs w:val="22"/>
          <w:lang w:val="sv-SE"/>
        </w:rPr>
        <w:t xml:space="preserve"> </w:t>
      </w:r>
    </w:p>
    <w:p w:rsidR="00D620F2" w:rsidRDefault="000B7804" w:rsidP="000B7804">
      <w:pPr>
        <w:pStyle w:val="Heading2"/>
        <w:numPr>
          <w:ilvl w:val="1"/>
          <w:numId w:val="0"/>
        </w:numPr>
        <w:spacing w:before="0" w:after="0" w:line="240" w:lineRule="auto"/>
        <w:ind w:left="-180" w:right="-270" w:hanging="576"/>
        <w:rPr>
          <w:i w:val="0"/>
          <w:sz w:val="22"/>
          <w:szCs w:val="22"/>
          <w:lang w:val="sv-SE"/>
        </w:rPr>
      </w:pPr>
      <w:r>
        <w:rPr>
          <w:i w:val="0"/>
          <w:sz w:val="22"/>
          <w:szCs w:val="22"/>
          <w:lang w:val="sv-SE"/>
        </w:rPr>
        <w:t xml:space="preserve">                </w:t>
      </w:r>
      <w:r w:rsidR="00D620F2" w:rsidRPr="007B37D3">
        <w:rPr>
          <w:i w:val="0"/>
          <w:sz w:val="22"/>
          <w:szCs w:val="22"/>
          <w:lang w:val="sv-SE"/>
        </w:rPr>
        <w:t>SAGLASNOSTI ZA IZVOĐENJE RUDARSKIH RADOVA</w:t>
      </w:r>
      <w:bookmarkEnd w:id="44"/>
      <w:bookmarkEnd w:id="45"/>
    </w:p>
    <w:p w:rsidR="000B7804" w:rsidRPr="000B7804" w:rsidRDefault="000B7804" w:rsidP="000B7804">
      <w:pPr>
        <w:spacing w:after="0" w:line="240" w:lineRule="auto"/>
        <w:rPr>
          <w:lang w:val="sv-SE"/>
        </w:rPr>
      </w:pPr>
    </w:p>
    <w:p w:rsidR="00A40BDA" w:rsidRDefault="00A40BDA" w:rsidP="000B7804">
      <w:pPr>
        <w:pStyle w:val="ListParagraph"/>
        <w:numPr>
          <w:ilvl w:val="0"/>
          <w:numId w:val="13"/>
        </w:numPr>
        <w:tabs>
          <w:tab w:val="left" w:pos="1170"/>
        </w:tabs>
        <w:spacing w:after="0" w:line="240" w:lineRule="auto"/>
        <w:ind w:left="-180" w:right="-270" w:firstLine="0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Izdavanje Licence za izvođenje rudarskih radova; </w:t>
      </w:r>
    </w:p>
    <w:p w:rsidR="00A40BDA" w:rsidRPr="00A40BDA" w:rsidRDefault="00A40BDA" w:rsidP="00A91749">
      <w:pPr>
        <w:pStyle w:val="ListParagraph"/>
        <w:numPr>
          <w:ilvl w:val="0"/>
          <w:numId w:val="13"/>
        </w:numPr>
        <w:tabs>
          <w:tab w:val="left" w:pos="1170"/>
        </w:tabs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 w:rsidRPr="00A40BDA">
        <w:rPr>
          <w:rFonts w:ascii="Arial" w:hAnsi="Arial" w:cs="Arial"/>
          <w:lang w:val="sr-Latn-CS"/>
        </w:rPr>
        <w:t>Izrada rudarskog projekta i njegova revizija od strane Ministarstva ekonomije;</w:t>
      </w:r>
    </w:p>
    <w:p w:rsidR="00A40BDA" w:rsidRDefault="00A40BDA" w:rsidP="00A91749">
      <w:pPr>
        <w:pStyle w:val="ListParagraph"/>
        <w:numPr>
          <w:ilvl w:val="0"/>
          <w:numId w:val="13"/>
        </w:numPr>
        <w:tabs>
          <w:tab w:val="left" w:pos="1170"/>
        </w:tabs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Dobijanje odobrenja za eksploataciju mineralne sirovine na eksploatacionom polju;</w:t>
      </w:r>
    </w:p>
    <w:p w:rsidR="00A40BDA" w:rsidRDefault="00A40BDA" w:rsidP="00A91749">
      <w:pPr>
        <w:pStyle w:val="ListParagraph"/>
        <w:numPr>
          <w:ilvl w:val="0"/>
          <w:numId w:val="13"/>
        </w:numPr>
        <w:tabs>
          <w:tab w:val="left" w:pos="1170"/>
        </w:tabs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Dobijanje odobrenja za izvođenje radova po rudarskom projektu;</w:t>
      </w:r>
    </w:p>
    <w:p w:rsidR="00A40BDA" w:rsidRDefault="00A40BDA" w:rsidP="00A91749">
      <w:pPr>
        <w:pStyle w:val="ListParagraph"/>
        <w:numPr>
          <w:ilvl w:val="0"/>
          <w:numId w:val="13"/>
        </w:numPr>
        <w:tabs>
          <w:tab w:val="left" w:pos="1170"/>
        </w:tabs>
        <w:spacing w:after="0" w:line="240" w:lineRule="auto"/>
        <w:ind w:left="-18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Tehnički prijem rudarskih objekata.</w:t>
      </w:r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v-SE"/>
        </w:rPr>
      </w:pPr>
    </w:p>
    <w:p w:rsidR="00D620F2" w:rsidRPr="007B37D3" w:rsidRDefault="00D620F2" w:rsidP="00A40BDA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  <w:b/>
          <w:lang w:val="sv-SE"/>
        </w:rPr>
      </w:pPr>
    </w:p>
    <w:p w:rsidR="005A6EF0" w:rsidRDefault="005A6EF0" w:rsidP="00A40BDA">
      <w:pPr>
        <w:pStyle w:val="Heading1"/>
        <w:spacing w:before="0" w:after="0"/>
        <w:ind w:left="-180" w:right="-270" w:hanging="432"/>
        <w:jc w:val="both"/>
        <w:rPr>
          <w:sz w:val="22"/>
          <w:szCs w:val="22"/>
          <w:lang w:val="sv-SE"/>
        </w:rPr>
      </w:pPr>
      <w:bookmarkStart w:id="46" w:name="_Toc402262975"/>
      <w:r>
        <w:rPr>
          <w:sz w:val="22"/>
          <w:szCs w:val="22"/>
          <w:lang w:val="sv-SE"/>
        </w:rPr>
        <w:t xml:space="preserve">     </w:t>
      </w:r>
      <w:r w:rsidR="00781B19" w:rsidRPr="007B37D3">
        <w:rPr>
          <w:sz w:val="22"/>
          <w:szCs w:val="22"/>
          <w:lang w:val="sv-SE"/>
        </w:rPr>
        <w:t>1</w:t>
      </w:r>
      <w:r w:rsidR="00A40BDA">
        <w:rPr>
          <w:sz w:val="22"/>
          <w:szCs w:val="22"/>
          <w:lang w:val="sv-SE"/>
        </w:rPr>
        <w:t>2</w:t>
      </w:r>
      <w:r w:rsidR="00781B19" w:rsidRPr="007B37D3">
        <w:rPr>
          <w:sz w:val="22"/>
          <w:szCs w:val="22"/>
          <w:lang w:val="sv-SE"/>
        </w:rPr>
        <w:t>.</w:t>
      </w:r>
      <w:r>
        <w:rPr>
          <w:sz w:val="22"/>
          <w:szCs w:val="22"/>
          <w:lang w:val="sv-SE"/>
        </w:rPr>
        <w:t xml:space="preserve"> </w:t>
      </w:r>
      <w:r w:rsidR="00781B19" w:rsidRPr="007B37D3">
        <w:rPr>
          <w:sz w:val="22"/>
          <w:szCs w:val="22"/>
          <w:lang w:val="sv-SE"/>
        </w:rPr>
        <w:t xml:space="preserve"> </w:t>
      </w:r>
      <w:r w:rsidR="00D620F2" w:rsidRPr="007B37D3">
        <w:rPr>
          <w:sz w:val="22"/>
          <w:szCs w:val="22"/>
          <w:lang w:val="sv-SE"/>
        </w:rPr>
        <w:t>OSNOVNI ELEMENTI TENDER</w:t>
      </w:r>
      <w:r w:rsidR="003640E6">
        <w:rPr>
          <w:sz w:val="22"/>
          <w:szCs w:val="22"/>
          <w:lang w:val="sv-SE"/>
        </w:rPr>
        <w:t xml:space="preserve">SKE DOKUMENTACIJE (JAVNI OGLAS, </w:t>
      </w:r>
      <w:r w:rsidR="00D620F2" w:rsidRPr="007B37D3">
        <w:rPr>
          <w:sz w:val="22"/>
          <w:szCs w:val="22"/>
          <w:lang w:val="sv-SE"/>
        </w:rPr>
        <w:t xml:space="preserve">DOKUMENTACIJA </w:t>
      </w:r>
      <w:r>
        <w:rPr>
          <w:sz w:val="22"/>
          <w:szCs w:val="22"/>
          <w:lang w:val="sv-SE"/>
        </w:rPr>
        <w:t xml:space="preserve">   </w:t>
      </w:r>
    </w:p>
    <w:p w:rsidR="00D620F2" w:rsidRPr="007B37D3" w:rsidRDefault="005A6EF0" w:rsidP="00A40BDA">
      <w:pPr>
        <w:pStyle w:val="Heading1"/>
        <w:spacing w:before="0" w:after="0"/>
        <w:ind w:left="-180" w:right="-270" w:hanging="432"/>
        <w:jc w:val="both"/>
        <w:rPr>
          <w:sz w:val="22"/>
          <w:szCs w:val="22"/>
          <w:lang w:val="sv-SE"/>
        </w:rPr>
      </w:pPr>
      <w:r>
        <w:rPr>
          <w:sz w:val="22"/>
          <w:szCs w:val="22"/>
          <w:lang w:val="sv-SE"/>
        </w:rPr>
        <w:t xml:space="preserve">            </w:t>
      </w:r>
      <w:r w:rsidR="00D620F2" w:rsidRPr="007B37D3">
        <w:rPr>
          <w:sz w:val="22"/>
          <w:szCs w:val="22"/>
          <w:lang w:val="sv-SE"/>
        </w:rPr>
        <w:t>VEZANA ZA OGLAS)</w:t>
      </w:r>
      <w:bookmarkEnd w:id="46"/>
    </w:p>
    <w:p w:rsidR="00D620F2" w:rsidRPr="007B37D3" w:rsidRDefault="00D620F2" w:rsidP="00A40BDA">
      <w:pPr>
        <w:spacing w:after="0"/>
        <w:ind w:left="-180" w:right="-270"/>
        <w:jc w:val="center"/>
        <w:rPr>
          <w:rFonts w:ascii="Arial" w:hAnsi="Arial" w:cs="Arial"/>
          <w:b/>
          <w:lang w:val="sv-SE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  <w:r w:rsidRPr="007B37D3">
        <w:rPr>
          <w:rFonts w:ascii="Arial" w:hAnsi="Arial" w:cs="Arial"/>
          <w:b/>
        </w:rPr>
        <w:t>Tendersku dokumentaciju čine sljedeća dokumenta: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b/>
        </w:rPr>
      </w:pP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Koncesioni akt;</w:t>
      </w: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Dokumentacija vezana uz ponudu;</w:t>
      </w: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Javni oglas,</w:t>
      </w: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Uputstvo za podnošenje ponuda i</w:t>
      </w:r>
    </w:p>
    <w:p w:rsidR="00D620F2" w:rsidRPr="007B37D3" w:rsidRDefault="00D620F2" w:rsidP="005A6EF0">
      <w:pPr>
        <w:pStyle w:val="ListParagraph"/>
        <w:numPr>
          <w:ilvl w:val="0"/>
          <w:numId w:val="3"/>
        </w:numPr>
        <w:suppressAutoHyphens/>
        <w:spacing w:after="0"/>
        <w:ind w:left="360" w:right="-270"/>
        <w:contextualSpacing w:val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>Nacrt ugovora o koncesiji.</w:t>
      </w:r>
      <w:bookmarkStart w:id="47" w:name="_Toc401959458"/>
      <w:bookmarkStart w:id="48" w:name="_Toc401959551"/>
      <w:bookmarkStart w:id="49" w:name="_Toc435529039"/>
      <w:bookmarkStart w:id="50" w:name="_Toc436124916"/>
    </w:p>
    <w:p w:rsidR="00DC0935" w:rsidRPr="007B37D3" w:rsidRDefault="00DC0935" w:rsidP="00A40BDA">
      <w:pPr>
        <w:pStyle w:val="ListParagraph"/>
        <w:suppressAutoHyphens/>
        <w:spacing w:after="0"/>
        <w:ind w:left="-180" w:right="-270"/>
        <w:contextualSpacing w:val="0"/>
        <w:jc w:val="both"/>
        <w:rPr>
          <w:rFonts w:ascii="Arial" w:hAnsi="Arial" w:cs="Arial"/>
        </w:rPr>
      </w:pPr>
    </w:p>
    <w:p w:rsidR="00D620F2" w:rsidRPr="007B37D3" w:rsidRDefault="005A6EF0" w:rsidP="00A40BD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</w:t>
      </w:r>
      <w:r w:rsidR="00D620F2" w:rsidRPr="007B37D3">
        <w:rPr>
          <w:i w:val="0"/>
          <w:sz w:val="22"/>
          <w:szCs w:val="22"/>
        </w:rPr>
        <w:t>1</w:t>
      </w:r>
      <w:r w:rsidR="009D1430">
        <w:rPr>
          <w:i w:val="0"/>
          <w:sz w:val="22"/>
          <w:szCs w:val="22"/>
        </w:rPr>
        <w:t>2</w:t>
      </w:r>
      <w:r w:rsidR="00D620F2" w:rsidRPr="007B37D3">
        <w:rPr>
          <w:i w:val="0"/>
          <w:sz w:val="22"/>
          <w:szCs w:val="22"/>
        </w:rPr>
        <w:t>.1</w:t>
      </w:r>
      <w:r w:rsidR="00781B19" w:rsidRPr="007B37D3">
        <w:rPr>
          <w:i w:val="0"/>
          <w:sz w:val="22"/>
          <w:szCs w:val="22"/>
        </w:rPr>
        <w:t>.</w:t>
      </w:r>
      <w:r w:rsidR="00D620F2" w:rsidRPr="007B37D3">
        <w:rPr>
          <w:i w:val="0"/>
          <w:sz w:val="22"/>
          <w:szCs w:val="22"/>
        </w:rPr>
        <w:t xml:space="preserve"> Dokumentacija koja se prilaže uz ponudu</w:t>
      </w:r>
      <w:bookmarkEnd w:id="47"/>
      <w:bookmarkEnd w:id="48"/>
      <w:bookmarkEnd w:id="49"/>
      <w:bookmarkEnd w:id="50"/>
    </w:p>
    <w:p w:rsidR="00DC0935" w:rsidRPr="007B37D3" w:rsidRDefault="00DC0935" w:rsidP="00A40BDA">
      <w:pPr>
        <w:spacing w:after="0"/>
        <w:ind w:left="-180" w:right="-270"/>
        <w:rPr>
          <w:rFonts w:ascii="Arial" w:hAnsi="Arial" w:cs="Arial"/>
        </w:rPr>
      </w:pPr>
    </w:p>
    <w:p w:rsidR="00D51083" w:rsidRDefault="00D51083" w:rsidP="00D51083">
      <w:pPr>
        <w:spacing w:after="0" w:line="240" w:lineRule="auto"/>
        <w:jc w:val="both"/>
        <w:rPr>
          <w:rFonts w:ascii="Arial" w:eastAsia="Arial Unicode MS" w:hAnsi="Arial" w:cs="Arial"/>
          <w:lang w:val="sr-Latn-CS"/>
        </w:rPr>
      </w:pPr>
      <w:bookmarkStart w:id="51" w:name="_Toc390549930"/>
      <w:r>
        <w:rPr>
          <w:rFonts w:ascii="Arial" w:hAnsi="Arial" w:cs="Arial"/>
          <w:lang w:val="sr-Latn-CS"/>
        </w:rPr>
        <w:t>Shodno članu 23 Zakona o koncesijama nepodobni da učestvuju na javnom nadmetanju za davanje koncesije su:</w:t>
      </w:r>
    </w:p>
    <w:p w:rsidR="00D51083" w:rsidRDefault="00D51083" w:rsidP="00D5108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D51083" w:rsidRDefault="00D51083" w:rsidP="00A91749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privredna društva, druga pravna lica i preduzetnici nad kojima je pokrenut postupak stečaja ili </w:t>
      </w:r>
    </w:p>
    <w:p w:rsidR="005A6EF0" w:rsidRDefault="005A6EF0" w:rsidP="00D51083">
      <w:pPr>
        <w:pStyle w:val="ListParagraph"/>
        <w:spacing w:after="0" w:line="240" w:lineRule="auto"/>
        <w:ind w:left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</w:t>
      </w:r>
      <w:r w:rsidR="00D51083">
        <w:rPr>
          <w:rFonts w:ascii="Arial" w:hAnsi="Arial" w:cs="Arial"/>
          <w:lang w:val="sr-Latn-CS"/>
        </w:rPr>
        <w:t xml:space="preserve">likvidacije, osim postupka reorganizacije u skladu sa zakonom kojim je uređena insolventnost </w:t>
      </w:r>
      <w:r>
        <w:rPr>
          <w:rFonts w:ascii="Arial" w:hAnsi="Arial" w:cs="Arial"/>
          <w:lang w:val="sr-Latn-CS"/>
        </w:rPr>
        <w:t xml:space="preserve">    </w:t>
      </w:r>
    </w:p>
    <w:p w:rsidR="00D51083" w:rsidRDefault="005A6EF0" w:rsidP="00D51083">
      <w:pPr>
        <w:pStyle w:val="ListParagraph"/>
        <w:spacing w:after="0" w:line="240" w:lineRule="auto"/>
        <w:ind w:left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</w:t>
      </w:r>
      <w:r w:rsidR="00D51083">
        <w:rPr>
          <w:rFonts w:ascii="Arial" w:hAnsi="Arial" w:cs="Arial"/>
          <w:lang w:val="sr-Latn-CS"/>
        </w:rPr>
        <w:t>privrednih društava;</w:t>
      </w:r>
    </w:p>
    <w:p w:rsidR="005A6EF0" w:rsidRDefault="00D51083" w:rsidP="005A6EF0">
      <w:pPr>
        <w:pStyle w:val="ListParagraph"/>
        <w:numPr>
          <w:ilvl w:val="0"/>
          <w:numId w:val="15"/>
        </w:numPr>
        <w:spacing w:after="0" w:line="240" w:lineRule="auto"/>
        <w:ind w:left="36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privredna društva, druga pravna lica, preduzetnici i fizička lica koja su pravosnažnom presudom osuđena za krivično djelo izvršeno u vr</w:t>
      </w:r>
      <w:r w:rsidR="005A6EF0">
        <w:rPr>
          <w:rFonts w:ascii="Arial" w:hAnsi="Arial" w:cs="Arial"/>
          <w:lang w:val="sr-Latn-CS"/>
        </w:rPr>
        <w:t>šenju profesionalne djelatnosti;</w:t>
      </w:r>
    </w:p>
    <w:p w:rsidR="005A6EF0" w:rsidRPr="005A6EF0" w:rsidRDefault="00D51083" w:rsidP="005A6EF0">
      <w:pPr>
        <w:pStyle w:val="ListParagraph"/>
        <w:numPr>
          <w:ilvl w:val="0"/>
          <w:numId w:val="15"/>
        </w:numPr>
        <w:spacing w:after="0" w:line="240" w:lineRule="auto"/>
        <w:ind w:left="360"/>
        <w:jc w:val="both"/>
        <w:rPr>
          <w:rFonts w:ascii="Arial" w:hAnsi="Arial" w:cs="Arial"/>
          <w:lang w:val="sr-Latn-CS"/>
        </w:rPr>
      </w:pPr>
      <w:r w:rsidRPr="005A6EF0">
        <w:rPr>
          <w:rFonts w:ascii="Arial" w:hAnsi="Arial" w:cs="Arial"/>
          <w:lang w:val="sr-Latn-CS"/>
        </w:rPr>
        <w:t xml:space="preserve">privredna društva, druga pravna lica, preduzetnici i fizička lica koja imaju neizmirene </w:t>
      </w:r>
    </w:p>
    <w:p w:rsidR="005A6EF0" w:rsidRDefault="005A6EF0" w:rsidP="005A6EF0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</w:t>
      </w:r>
      <w:r w:rsidR="00D51083" w:rsidRPr="005A6EF0">
        <w:rPr>
          <w:rFonts w:ascii="Arial" w:hAnsi="Arial" w:cs="Arial"/>
          <w:lang w:val="sr-Latn-CS"/>
        </w:rPr>
        <w:t xml:space="preserve">poreske obaveze i obaveze po osnovu kazni izrečenih u krivičnom ili prekršajnom postupku, </w:t>
      </w:r>
      <w:r>
        <w:rPr>
          <w:rFonts w:ascii="Arial" w:hAnsi="Arial" w:cs="Arial"/>
          <w:lang w:val="sr-Latn-CS"/>
        </w:rPr>
        <w:t xml:space="preserve">  </w:t>
      </w:r>
    </w:p>
    <w:p w:rsidR="00D51083" w:rsidRPr="005A6EF0" w:rsidRDefault="005A6EF0" w:rsidP="005A6EF0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</w:t>
      </w:r>
      <w:r w:rsidR="00D51083" w:rsidRPr="005A6EF0">
        <w:rPr>
          <w:rFonts w:ascii="Arial" w:hAnsi="Arial" w:cs="Arial"/>
          <w:lang w:val="sr-Latn-CS"/>
        </w:rPr>
        <w:t>u periodu od najmanje tri godine prije objavljivanja javnog oglasa.</w:t>
      </w:r>
    </w:p>
    <w:p w:rsidR="00D51083" w:rsidRDefault="00D51083" w:rsidP="00D5108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D51083" w:rsidRDefault="00D51083" w:rsidP="00D51083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S tim u vezi, u cilju dokazivanja da je ponuđač podoban da učestvuje u postupku javog nadmetanja, neophodno je dostaviti sljedeću dokumentaciju:</w:t>
      </w:r>
    </w:p>
    <w:p w:rsidR="00D51083" w:rsidRDefault="00D51083" w:rsidP="00D51083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D51083" w:rsidRPr="00B5150F" w:rsidRDefault="00D51083" w:rsidP="00B5150F">
      <w:pPr>
        <w:pStyle w:val="ListParagraph"/>
        <w:numPr>
          <w:ilvl w:val="0"/>
          <w:numId w:val="23"/>
        </w:numPr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 w:rsidRPr="00B5150F">
        <w:rPr>
          <w:rFonts w:ascii="Arial" w:eastAsia="Times New Roman" w:hAnsi="Arial" w:cs="Arial"/>
          <w:lang w:val="sr-Latn-CS"/>
        </w:rPr>
        <w:t xml:space="preserve">Izvod iz sudskog, ili drugog odgovarajućeg registra države u kojoj ponuđač ima sjedište- </w:t>
      </w:r>
      <w:r w:rsidR="00B5150F" w:rsidRPr="00B5150F">
        <w:rPr>
          <w:rFonts w:ascii="Arial" w:eastAsia="Times New Roman" w:hAnsi="Arial" w:cs="Arial"/>
          <w:lang w:val="sr-Latn-CS"/>
        </w:rPr>
        <w:t xml:space="preserve">   </w:t>
      </w:r>
      <w:r w:rsidRPr="00B5150F">
        <w:rPr>
          <w:rFonts w:ascii="Arial" w:eastAsia="Times New Roman" w:hAnsi="Arial" w:cs="Arial"/>
          <w:lang w:val="sr-Latn-CS"/>
        </w:rPr>
        <w:t>dokaz izdaje CRPS;</w:t>
      </w:r>
    </w:p>
    <w:p w:rsidR="00D51083" w:rsidRDefault="00D51083" w:rsidP="00B5150F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dokaz da protiv privrednog društva, drugog pravnog lica i preduzetnika nije pokrenut postupak stečaja - dokaz/potvrdu izdaje Privredni sud;</w:t>
      </w:r>
    </w:p>
    <w:p w:rsidR="00D51083" w:rsidRDefault="00D51083" w:rsidP="00B5150F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dokaz da privredno društvo, drugo pravno lica i preduzetnik nijesu pokrenuli postupak dobrovoljne likvidacije - dokaz/potvrdu izdaje CRPS;</w:t>
      </w:r>
    </w:p>
    <w:p w:rsidR="00D51083" w:rsidRDefault="00D51083" w:rsidP="00B5150F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Arial" w:eastAsia="Times New Roman" w:hAnsi="Arial" w:cs="Arial"/>
          <w:u w:val="single"/>
          <w:lang w:val="sr-Latn-CS"/>
        </w:rPr>
      </w:pPr>
      <w:r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nije pravosnažno osuđeno za krivično djelo izvršeno u vršenju profesionalne djelatnosti – </w:t>
      </w:r>
      <w:r>
        <w:rPr>
          <w:rFonts w:ascii="Arial" w:eastAsia="Times New Roman" w:hAnsi="Arial" w:cs="Arial"/>
          <w:u w:val="single"/>
          <w:lang w:val="sr-Latn-CS"/>
        </w:rPr>
        <w:t>dokaz/potvrdu za privredno društvo, drugo pravno lice i preduzetnika izdaje Ministarstvo pravde,</w:t>
      </w:r>
      <w:r>
        <w:rPr>
          <w:rFonts w:ascii="Arial" w:eastAsia="Times New Roman" w:hAnsi="Arial" w:cs="Arial"/>
          <w:lang w:val="sr-Latn-CS"/>
        </w:rPr>
        <w:t xml:space="preserve"> a za fizička lica dokaz/potvrdu izdaje </w:t>
      </w:r>
      <w:r>
        <w:rPr>
          <w:rFonts w:ascii="Arial" w:eastAsia="Times New Roman" w:hAnsi="Arial" w:cs="Arial"/>
          <w:u w:val="single"/>
          <w:lang w:val="sr-Latn-CS"/>
        </w:rPr>
        <w:t>nadležni Osnovni sud;</w:t>
      </w:r>
    </w:p>
    <w:p w:rsidR="00D51083" w:rsidRDefault="00D51083" w:rsidP="00B5150F">
      <w:pPr>
        <w:pStyle w:val="ListParagraph"/>
        <w:numPr>
          <w:ilvl w:val="0"/>
          <w:numId w:val="16"/>
        </w:numPr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D51083" w:rsidRPr="00B5150F" w:rsidRDefault="00D51083" w:rsidP="00B5150F">
      <w:pPr>
        <w:pStyle w:val="ListParagraph"/>
        <w:numPr>
          <w:ilvl w:val="0"/>
          <w:numId w:val="16"/>
        </w:numPr>
        <w:suppressAutoHyphens/>
        <w:spacing w:after="0"/>
        <w:ind w:left="36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>
        <w:rPr>
          <w:rFonts w:ascii="Arial" w:eastAsia="Times New Roman" w:hAnsi="Arial" w:cs="Arial"/>
          <w:u w:val="single"/>
          <w:lang w:val="sr-Latn-CS"/>
        </w:rPr>
        <w:t>dokaz/potvrdu izdaje Ministarstvo pravde</w:t>
      </w:r>
      <w:r w:rsidR="00B5150F">
        <w:rPr>
          <w:rFonts w:ascii="Arial" w:eastAsia="Times New Roman" w:hAnsi="Arial" w:cs="Arial"/>
          <w:u w:val="single"/>
          <w:lang w:val="sr-Latn-CS"/>
        </w:rPr>
        <w:t>.</w:t>
      </w:r>
    </w:p>
    <w:p w:rsidR="00D51083" w:rsidRDefault="00D51083" w:rsidP="00D51083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lastRenderedPageBreak/>
        <w:t>Navedeni dokazi ne smiju biti stariji od devedeset (90) dana od dana objavljivanja oglasa.</w:t>
      </w:r>
    </w:p>
    <w:p w:rsidR="00D51083" w:rsidRDefault="00D51083" w:rsidP="00D51083">
      <w:pPr>
        <w:spacing w:after="0" w:line="240" w:lineRule="auto"/>
        <w:jc w:val="both"/>
        <w:rPr>
          <w:rFonts w:ascii="Arial" w:eastAsia="Arial Unicode MS" w:hAnsi="Arial" w:cs="Arial"/>
          <w:color w:val="FF0000"/>
          <w:lang w:val="sr-Latn-CS"/>
        </w:rPr>
      </w:pPr>
    </w:p>
    <w:p w:rsidR="00D51083" w:rsidRDefault="00D51083" w:rsidP="00D51083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51083" w:rsidRDefault="00D51083" w:rsidP="00D51083">
      <w:pPr>
        <w:spacing w:after="0" w:line="240" w:lineRule="auto"/>
        <w:jc w:val="both"/>
        <w:rPr>
          <w:rFonts w:ascii="Arial" w:hAnsi="Arial" w:cs="Arial"/>
          <w:color w:val="FF0000"/>
          <w:lang w:val="sr-Latn-CS"/>
        </w:rPr>
      </w:pPr>
    </w:p>
    <w:p w:rsidR="00D51083" w:rsidRDefault="00D51083" w:rsidP="00D51083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Pored navedenog, ponuđač je dužan dostaviti i:</w:t>
      </w:r>
    </w:p>
    <w:p w:rsidR="00D51083" w:rsidRDefault="00D51083" w:rsidP="00D51083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D51083" w:rsidRDefault="00D51083" w:rsidP="00D61ED9">
      <w:pPr>
        <w:pStyle w:val="Default"/>
        <w:widowControl w:val="0"/>
        <w:numPr>
          <w:ilvl w:val="0"/>
          <w:numId w:val="17"/>
        </w:numPr>
        <w:ind w:left="450" w:hanging="450"/>
        <w:jc w:val="both"/>
        <w:rPr>
          <w:rFonts w:ascii="Arial" w:eastAsia="Times New Roman" w:hAnsi="Arial" w:cs="Arial"/>
          <w:color w:val="auto"/>
          <w:sz w:val="22"/>
          <w:szCs w:val="22"/>
          <w:lang w:val="sr-Latn-CS"/>
        </w:rPr>
      </w:pPr>
      <w:r>
        <w:rPr>
          <w:rFonts w:ascii="Arial" w:eastAsia="Times New Roman" w:hAnsi="Arial" w:cs="Arial"/>
          <w:color w:val="auto"/>
          <w:sz w:val="22"/>
          <w:szCs w:val="22"/>
          <w:lang w:val="sr-Latn-CS"/>
        </w:rPr>
        <w:t>Bankarsku garanciju ponude u skladu sa Uputstvom za podnošenje ponuda i</w:t>
      </w:r>
    </w:p>
    <w:p w:rsidR="00D51083" w:rsidRDefault="00D51083" w:rsidP="00D61ED9">
      <w:pPr>
        <w:pStyle w:val="Default"/>
        <w:widowControl w:val="0"/>
        <w:numPr>
          <w:ilvl w:val="0"/>
          <w:numId w:val="17"/>
        </w:numPr>
        <w:ind w:left="450" w:hanging="450"/>
        <w:jc w:val="both"/>
        <w:rPr>
          <w:rFonts w:ascii="Arial" w:eastAsia="Times New Roman" w:hAnsi="Arial" w:cs="Arial"/>
          <w:color w:val="auto"/>
          <w:sz w:val="22"/>
          <w:szCs w:val="22"/>
          <w:lang w:val="sr-Latn-CS"/>
        </w:rPr>
      </w:pPr>
      <w:r>
        <w:rPr>
          <w:rFonts w:ascii="Arial" w:eastAsia="Times New Roman" w:hAnsi="Arial" w:cs="Arial"/>
          <w:color w:val="auto"/>
          <w:sz w:val="22"/>
          <w:szCs w:val="22"/>
          <w:lang w:val="sr-Latn-CS"/>
        </w:rPr>
        <w:t>Popunjeni Obrazac iz Uputstva za podnošenje ponuda.</w:t>
      </w:r>
    </w:p>
    <w:p w:rsidR="00D51083" w:rsidRDefault="00D51083" w:rsidP="00D51083">
      <w:pPr>
        <w:pStyle w:val="Default"/>
        <w:jc w:val="both"/>
        <w:rPr>
          <w:rFonts w:ascii="Arial" w:eastAsia="Times New Roman" w:hAnsi="Arial" w:cs="Arial"/>
          <w:color w:val="FF0000"/>
          <w:sz w:val="22"/>
          <w:szCs w:val="22"/>
          <w:lang w:val="sr-Latn-CS"/>
        </w:rPr>
      </w:pPr>
    </w:p>
    <w:p w:rsidR="00D51083" w:rsidRDefault="00D51083" w:rsidP="00D51083">
      <w:pPr>
        <w:pStyle w:val="Default"/>
        <w:jc w:val="both"/>
        <w:rPr>
          <w:rFonts w:ascii="Arial" w:eastAsia="Calibri" w:hAnsi="Arial" w:cs="Arial"/>
          <w:color w:val="auto"/>
          <w:sz w:val="22"/>
          <w:szCs w:val="22"/>
          <w:lang w:val="sr-Latn-CS"/>
        </w:rPr>
      </w:pPr>
      <w:r>
        <w:rPr>
          <w:rFonts w:ascii="Arial" w:eastAsia="Times New Roman" w:hAnsi="Arial" w:cs="Arial"/>
          <w:color w:val="auto"/>
          <w:sz w:val="22"/>
          <w:szCs w:val="22"/>
          <w:lang w:val="sr-Latn-CS"/>
        </w:rPr>
        <w:t xml:space="preserve">U slučaju da Ponuđač nastupa kao konzorcijum kompanija, onda je za svakog člana konzorcijuma neophodno dostaviti dokaze kojima se potvrđuje da je član </w:t>
      </w:r>
      <w:r>
        <w:rPr>
          <w:rFonts w:ascii="Arial" w:hAnsi="Arial" w:cs="Arial"/>
          <w:color w:val="auto"/>
          <w:sz w:val="22"/>
          <w:szCs w:val="22"/>
          <w:lang w:val="sr-Latn-CS"/>
        </w:rPr>
        <w:t>podoban da učestvuje u postupku javnog nadmetanja, kao i ugovor o konzorcijumu, koji izričito predviđa:</w:t>
      </w:r>
    </w:p>
    <w:p w:rsidR="00D51083" w:rsidRDefault="00D51083" w:rsidP="00D51083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D51083" w:rsidRDefault="00D51083" w:rsidP="00D61ED9">
      <w:pPr>
        <w:pStyle w:val="Default"/>
        <w:widowControl w:val="0"/>
        <w:numPr>
          <w:ilvl w:val="0"/>
          <w:numId w:val="18"/>
        </w:numPr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da će svi članovi konzorcijuma biti solidarno odgovorni za izvršenje Ugovora u skladu sa njegovim uslovima; </w:t>
      </w:r>
    </w:p>
    <w:p w:rsidR="00D51083" w:rsidRDefault="00D51083" w:rsidP="00D61ED9">
      <w:pPr>
        <w:pStyle w:val="Default"/>
        <w:widowControl w:val="0"/>
        <w:numPr>
          <w:ilvl w:val="0"/>
          <w:numId w:val="18"/>
        </w:numPr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procenat učešća u konzorcijumu;</w:t>
      </w:r>
    </w:p>
    <w:p w:rsidR="00D51083" w:rsidRDefault="00D51083" w:rsidP="00D61ED9">
      <w:pPr>
        <w:pStyle w:val="Default"/>
        <w:widowControl w:val="0"/>
        <w:numPr>
          <w:ilvl w:val="0"/>
          <w:numId w:val="18"/>
        </w:numPr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obaveze svakog člana konzorcijuma i </w:t>
      </w:r>
    </w:p>
    <w:p w:rsidR="00D51083" w:rsidRDefault="00D51083" w:rsidP="00D61ED9">
      <w:pPr>
        <w:pStyle w:val="Default"/>
        <w:widowControl w:val="0"/>
        <w:numPr>
          <w:ilvl w:val="0"/>
          <w:numId w:val="18"/>
        </w:numPr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ovlašćenje jednog člana koji će istupati u ime konzorcijuma. </w:t>
      </w:r>
    </w:p>
    <w:p w:rsidR="00D51083" w:rsidRDefault="00D51083" w:rsidP="00D61ED9">
      <w:pPr>
        <w:pStyle w:val="Default"/>
        <w:ind w:left="450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D51083" w:rsidRDefault="00D51083" w:rsidP="00D51083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Vlasnička struktura u koncesionom društvu mora odgovarati procentu učešća članova u konzorcijumu utvđenom prilikom podnošenja ponude i ista se ne može mijenjati bez saglasnosti koncedenta.</w:t>
      </w:r>
    </w:p>
    <w:p w:rsidR="003640E6" w:rsidRPr="003859A0" w:rsidRDefault="003640E6" w:rsidP="00A40BDA">
      <w:pPr>
        <w:pStyle w:val="Default"/>
        <w:ind w:left="-180" w:right="-270"/>
        <w:jc w:val="both"/>
        <w:rPr>
          <w:rFonts w:ascii="Arial" w:hAnsi="Arial" w:cs="Arial"/>
          <w:color w:val="FF0000"/>
          <w:sz w:val="22"/>
          <w:szCs w:val="22"/>
          <w:lang w:val="sr-Latn-CS"/>
        </w:rPr>
      </w:pPr>
    </w:p>
    <w:p w:rsidR="003640E6" w:rsidRPr="003640E6" w:rsidRDefault="00793C2C" w:rsidP="00A40BDA">
      <w:pPr>
        <w:pStyle w:val="Heading2"/>
        <w:spacing w:before="0" w:after="0" w:line="240" w:lineRule="auto"/>
        <w:ind w:left="-180" w:right="-270"/>
        <w:jc w:val="both"/>
        <w:rPr>
          <w:i w:val="0"/>
          <w:sz w:val="22"/>
          <w:szCs w:val="22"/>
        </w:rPr>
      </w:pPr>
      <w:bookmarkStart w:id="52" w:name="_Toc390549929"/>
      <w:bookmarkStart w:id="53" w:name="_Toc401959459"/>
      <w:bookmarkStart w:id="54" w:name="_Toc401959552"/>
      <w:bookmarkStart w:id="55" w:name="_Toc435529040"/>
      <w:bookmarkStart w:id="56" w:name="_Toc436124917"/>
      <w:r>
        <w:rPr>
          <w:i w:val="0"/>
          <w:sz w:val="22"/>
          <w:szCs w:val="22"/>
        </w:rPr>
        <w:t xml:space="preserve"> </w:t>
      </w:r>
      <w:r w:rsidR="003640E6" w:rsidRPr="003640E6">
        <w:rPr>
          <w:i w:val="0"/>
          <w:sz w:val="22"/>
          <w:szCs w:val="22"/>
        </w:rPr>
        <w:t>1</w:t>
      </w:r>
      <w:r w:rsidR="00D51083">
        <w:rPr>
          <w:i w:val="0"/>
          <w:sz w:val="22"/>
          <w:szCs w:val="22"/>
        </w:rPr>
        <w:t>2</w:t>
      </w:r>
      <w:r w:rsidR="003640E6" w:rsidRPr="003640E6">
        <w:rPr>
          <w:i w:val="0"/>
          <w:sz w:val="22"/>
          <w:szCs w:val="22"/>
        </w:rPr>
        <w:t>.2      Javni oglas</w:t>
      </w:r>
      <w:bookmarkEnd w:id="52"/>
      <w:bookmarkEnd w:id="53"/>
      <w:bookmarkEnd w:id="54"/>
      <w:bookmarkEnd w:id="55"/>
      <w:bookmarkEnd w:id="56"/>
    </w:p>
    <w:p w:rsidR="003640E6" w:rsidRPr="003859A0" w:rsidRDefault="003640E6" w:rsidP="00A40BDA">
      <w:pPr>
        <w:spacing w:after="0" w:line="240" w:lineRule="auto"/>
        <w:ind w:left="-180" w:right="-270"/>
        <w:jc w:val="both"/>
        <w:rPr>
          <w:rFonts w:ascii="Arial" w:hAnsi="Arial" w:cs="Arial"/>
          <w:lang w:val="sr-Latn-CS"/>
        </w:rPr>
      </w:pPr>
    </w:p>
    <w:p w:rsidR="003640E6" w:rsidRPr="003859A0" w:rsidRDefault="003640E6" w:rsidP="00A40BDA">
      <w:pPr>
        <w:spacing w:after="0" w:line="240" w:lineRule="auto"/>
        <w:ind w:left="-180" w:right="-27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Javni oglas, u skladu sa članom 21 Zakona o koncesijama, objavljuje se u “Službenom listu Crne Gore”, najmanje u jednom dnevnom štampanom mediju koji se distribuira na teritoriji cijele Crne Gore i na Internet stranici nadležnog organa, odnosno, u ovom slučaju Ministarstva ekonomije.</w:t>
      </w:r>
    </w:p>
    <w:p w:rsidR="003640E6" w:rsidRPr="003859A0" w:rsidRDefault="003640E6" w:rsidP="00A40BDA">
      <w:pPr>
        <w:spacing w:after="0" w:line="240" w:lineRule="auto"/>
        <w:ind w:left="-180" w:right="-27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Javni oglas za dodjelu predmetne koncesije sadrži sljedeće:</w:t>
      </w:r>
    </w:p>
    <w:p w:rsidR="003640E6" w:rsidRPr="003859A0" w:rsidRDefault="003640E6" w:rsidP="00A40BDA">
      <w:pPr>
        <w:spacing w:after="0" w:line="240" w:lineRule="auto"/>
        <w:ind w:left="-180" w:right="-270"/>
        <w:jc w:val="both"/>
        <w:rPr>
          <w:rFonts w:ascii="Arial" w:eastAsia="Times New Roman" w:hAnsi="Arial" w:cs="Arial"/>
          <w:lang w:val="sr-Latn-CS"/>
        </w:rPr>
      </w:pP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opis predmeta koncesije, granice istražno-eksploatacionog prostora;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osnovne elemente Koncesionog akta;</w:t>
      </w:r>
    </w:p>
    <w:p w:rsidR="003640E6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CA4FAB">
        <w:rPr>
          <w:rFonts w:ascii="Arial" w:eastAsia="Times New Roman" w:hAnsi="Arial" w:cs="Arial"/>
          <w:lang w:val="sr-Latn-CS"/>
        </w:rPr>
        <w:t>adresu i rok za dostavljanje ponude na Javni oglas</w:t>
      </w:r>
      <w:r>
        <w:rPr>
          <w:rFonts w:ascii="Arial" w:eastAsia="Times New Roman" w:hAnsi="Arial" w:cs="Arial"/>
          <w:lang w:val="sr-Latn-CS"/>
        </w:rPr>
        <w:t>;</w:t>
      </w:r>
      <w:r w:rsidRPr="00CA4FAB">
        <w:rPr>
          <w:rFonts w:ascii="Arial" w:eastAsia="Times New Roman" w:hAnsi="Arial" w:cs="Arial"/>
          <w:lang w:val="sr-Latn-CS"/>
        </w:rPr>
        <w:t xml:space="preserve"> </w:t>
      </w:r>
    </w:p>
    <w:p w:rsidR="003640E6" w:rsidRPr="00CA4FAB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CA4FAB">
        <w:rPr>
          <w:rFonts w:ascii="Arial" w:eastAsia="Times New Roman" w:hAnsi="Arial" w:cs="Arial"/>
          <w:lang w:val="sr-Latn-CS"/>
        </w:rPr>
        <w:t>kriterijume za učešće na Javnom oglasu i mogućnost podnošenja zajedničke ponude;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pravila prema kojima se Javni oglas sprovodi;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način dostavljanja ponude;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moguće vrijeme posjete lokacije na kojoj će se vršiti koncesiona djelatnost;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datum, vrijeme i mjesto otvaranja prispjelih ponuda na Javni oglas;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rok u kome se ponuda na Javni oglas može povući;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određivanje vrste ponude (tehničke i finansijske ili samo finansijske ponude);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podatke o visini i obliku depozita i garancije i perioda za koji se traže;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uslove, rok i način vraćanja depozita i garancije;</w:t>
      </w:r>
    </w:p>
    <w:p w:rsidR="003640E6" w:rsidRPr="003859A0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ime lica zaduženog za davanje relevantnih informacija u postupku Javnog oglasa;</w:t>
      </w:r>
    </w:p>
    <w:p w:rsidR="0025026F" w:rsidRPr="0025026F" w:rsidRDefault="003640E6" w:rsidP="0025026F">
      <w:pPr>
        <w:numPr>
          <w:ilvl w:val="0"/>
          <w:numId w:val="10"/>
        </w:numPr>
        <w:spacing w:after="0" w:line="240" w:lineRule="auto"/>
        <w:ind w:left="0" w:right="-270" w:firstLine="0"/>
        <w:jc w:val="both"/>
        <w:rPr>
          <w:rFonts w:ascii="Arial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 xml:space="preserve">vrijeme i </w:t>
      </w:r>
      <w:r w:rsidRPr="003859A0">
        <w:rPr>
          <w:rFonts w:ascii="Arial" w:eastAsia="Times New Roman" w:hAnsi="Arial" w:cs="Arial"/>
          <w:lang w:val="sr-Latn-CS"/>
        </w:rPr>
        <w:t xml:space="preserve">mjesto na kojem se može preuzeti Koncesioni akt i Tenderska dokumentacija, kao </w:t>
      </w:r>
      <w:r w:rsidR="0025026F">
        <w:rPr>
          <w:rFonts w:ascii="Arial" w:eastAsia="Times New Roman" w:hAnsi="Arial" w:cs="Arial"/>
          <w:lang w:val="sr-Latn-CS"/>
        </w:rPr>
        <w:t xml:space="preserve">  </w:t>
      </w:r>
    </w:p>
    <w:p w:rsidR="003640E6" w:rsidRPr="003859A0" w:rsidRDefault="0025026F" w:rsidP="0025026F">
      <w:pPr>
        <w:spacing w:after="0" w:line="240" w:lineRule="auto"/>
        <w:ind w:right="-270"/>
        <w:jc w:val="both"/>
        <w:rPr>
          <w:rFonts w:ascii="Arial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 xml:space="preserve">            </w:t>
      </w:r>
      <w:r w:rsidR="003640E6" w:rsidRPr="003859A0">
        <w:rPr>
          <w:rFonts w:ascii="Arial" w:eastAsia="Times New Roman" w:hAnsi="Arial" w:cs="Arial"/>
          <w:lang w:val="sr-Latn-CS"/>
        </w:rPr>
        <w:t>i cijena Tenderske dokumentacije u visini troškova njene izrade.</w:t>
      </w:r>
    </w:p>
    <w:p w:rsidR="003640E6" w:rsidRPr="003859A0" w:rsidRDefault="003640E6" w:rsidP="00A40BDA">
      <w:pPr>
        <w:spacing w:after="0" w:line="240" w:lineRule="auto"/>
        <w:ind w:left="-180" w:right="-270"/>
        <w:jc w:val="both"/>
        <w:rPr>
          <w:rFonts w:ascii="Arial" w:eastAsia="Times New Roman" w:hAnsi="Arial" w:cs="Arial"/>
          <w:lang w:val="sr-Latn-CS"/>
        </w:rPr>
      </w:pPr>
    </w:p>
    <w:p w:rsidR="00DC0935" w:rsidRDefault="003640E6" w:rsidP="00A40BD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  <w:r w:rsidRPr="003859A0">
        <w:rPr>
          <w:rFonts w:ascii="Arial" w:eastAsia="Times New Roman" w:hAnsi="Arial" w:cs="Arial"/>
          <w:lang w:val="sr-Latn-CS"/>
        </w:rPr>
        <w:t>Javni oglas, nakon objavljivanja, nadležni organ može izmijeniti, osim elemenata utvrđenih Koncesionim aktom. Izmjena Javnog oglasa se objavljuje na način na koji je objavljen osnovni tekst Javnog oglasa, s tim što se rok za</w:t>
      </w:r>
      <w:r>
        <w:rPr>
          <w:rFonts w:ascii="Arial" w:eastAsia="Times New Roman" w:hAnsi="Arial" w:cs="Arial"/>
          <w:lang w:val="sr-Latn-CS"/>
        </w:rPr>
        <w:t xml:space="preserve"> </w:t>
      </w:r>
      <w:r w:rsidRPr="003859A0">
        <w:rPr>
          <w:rFonts w:ascii="Arial" w:eastAsia="Times New Roman" w:hAnsi="Arial" w:cs="Arial"/>
          <w:lang w:val="sr-Latn-CS"/>
        </w:rPr>
        <w:t>za dostavljanje ponuda produžava za vrijeme koje je proteklo od dana objavljivanja Javnog oglasa.</w:t>
      </w:r>
    </w:p>
    <w:p w:rsidR="003640E6" w:rsidRPr="007B37D3" w:rsidRDefault="003640E6" w:rsidP="00A40BDA">
      <w:pPr>
        <w:spacing w:after="0"/>
        <w:ind w:left="-180" w:right="-270"/>
        <w:jc w:val="both"/>
        <w:rPr>
          <w:rFonts w:ascii="Arial" w:eastAsia="Times New Roman" w:hAnsi="Arial" w:cs="Arial"/>
          <w:lang w:val="sr-Latn-CS"/>
        </w:rPr>
      </w:pPr>
    </w:p>
    <w:p w:rsidR="00D620F2" w:rsidRPr="007B37D3" w:rsidRDefault="00880470" w:rsidP="00A40BD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  <w:lang w:val="sr-Latn-CS"/>
        </w:rPr>
      </w:pPr>
      <w:bookmarkStart w:id="57" w:name="_Toc401959460"/>
      <w:bookmarkStart w:id="58" w:name="_Toc401959553"/>
      <w:bookmarkStart w:id="59" w:name="_Toc435529041"/>
      <w:bookmarkStart w:id="60" w:name="_Toc436124918"/>
      <w:r>
        <w:rPr>
          <w:i w:val="0"/>
          <w:sz w:val="22"/>
          <w:szCs w:val="22"/>
          <w:lang w:val="sr-Latn-CS"/>
        </w:rPr>
        <w:t xml:space="preserve">          </w:t>
      </w:r>
      <w:r w:rsidR="00781B19" w:rsidRPr="007B37D3">
        <w:rPr>
          <w:i w:val="0"/>
          <w:sz w:val="22"/>
          <w:szCs w:val="22"/>
          <w:lang w:val="sr-Latn-CS"/>
        </w:rPr>
        <w:t>1</w:t>
      </w:r>
      <w:r w:rsidR="00F32579">
        <w:rPr>
          <w:i w:val="0"/>
          <w:sz w:val="22"/>
          <w:szCs w:val="22"/>
          <w:lang w:val="sr-Latn-CS"/>
        </w:rPr>
        <w:t>2</w:t>
      </w:r>
      <w:r w:rsidR="00781B19" w:rsidRPr="007B37D3">
        <w:rPr>
          <w:i w:val="0"/>
          <w:sz w:val="22"/>
          <w:szCs w:val="22"/>
          <w:lang w:val="sr-Latn-CS"/>
        </w:rPr>
        <w:t xml:space="preserve">.3. </w:t>
      </w:r>
      <w:r w:rsidR="00D620F2" w:rsidRPr="007B37D3">
        <w:rPr>
          <w:i w:val="0"/>
          <w:sz w:val="22"/>
          <w:szCs w:val="22"/>
          <w:lang w:val="sr-Latn-CS"/>
        </w:rPr>
        <w:t>Ugovor o koncesiji</w:t>
      </w:r>
      <w:bookmarkEnd w:id="51"/>
      <w:bookmarkEnd w:id="57"/>
      <w:bookmarkEnd w:id="58"/>
      <w:bookmarkEnd w:id="59"/>
      <w:bookmarkEnd w:id="60"/>
    </w:p>
    <w:p w:rsidR="00DC0935" w:rsidRPr="007B37D3" w:rsidRDefault="00DC0935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eastAsia="Times New Roman" w:hAnsi="Arial" w:cs="Arial"/>
          <w:lang w:val="sr-Latn-CS"/>
        </w:rPr>
        <w:t>Sastavni dio Tenederske dokumentacije je i Nacrt</w:t>
      </w:r>
      <w:r w:rsidRPr="007B37D3">
        <w:rPr>
          <w:rFonts w:ascii="Arial" w:hAnsi="Arial" w:cs="Arial"/>
          <w:lang w:val="sr-Latn-CS"/>
        </w:rPr>
        <w:t xml:space="preserve"> ugovora o koncesiji, koji je dat kao Prilog Koncesionog akta.</w:t>
      </w:r>
    </w:p>
    <w:p w:rsidR="00DC0935" w:rsidRPr="007B37D3" w:rsidRDefault="00DC0935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880470" w:rsidP="00A40BDA">
      <w:pPr>
        <w:pStyle w:val="Heading2"/>
        <w:numPr>
          <w:ilvl w:val="1"/>
          <w:numId w:val="0"/>
        </w:numPr>
        <w:spacing w:before="0" w:after="0"/>
        <w:ind w:left="-180" w:right="-270" w:hanging="576"/>
        <w:rPr>
          <w:i w:val="0"/>
          <w:sz w:val="22"/>
          <w:szCs w:val="22"/>
          <w:lang w:val="sr-Latn-CS"/>
        </w:rPr>
      </w:pPr>
      <w:bookmarkStart w:id="61" w:name="_Toc390549931"/>
      <w:bookmarkStart w:id="62" w:name="_Toc401959461"/>
      <w:bookmarkStart w:id="63" w:name="_Toc401959554"/>
      <w:bookmarkStart w:id="64" w:name="_Toc435529042"/>
      <w:bookmarkStart w:id="65" w:name="_Toc436124919"/>
      <w:r>
        <w:rPr>
          <w:i w:val="0"/>
          <w:sz w:val="22"/>
          <w:szCs w:val="22"/>
          <w:lang w:val="sr-Latn-CS"/>
        </w:rPr>
        <w:t xml:space="preserve">         </w:t>
      </w:r>
      <w:r w:rsidR="00781B19" w:rsidRPr="007B37D3">
        <w:rPr>
          <w:i w:val="0"/>
          <w:sz w:val="22"/>
          <w:szCs w:val="22"/>
          <w:lang w:val="sr-Latn-CS"/>
        </w:rPr>
        <w:t>1</w:t>
      </w:r>
      <w:r w:rsidR="00F32579">
        <w:rPr>
          <w:i w:val="0"/>
          <w:sz w:val="22"/>
          <w:szCs w:val="22"/>
          <w:lang w:val="sr-Latn-CS"/>
        </w:rPr>
        <w:t>2</w:t>
      </w:r>
      <w:r w:rsidR="00781B19" w:rsidRPr="007B37D3">
        <w:rPr>
          <w:i w:val="0"/>
          <w:sz w:val="22"/>
          <w:szCs w:val="22"/>
          <w:lang w:val="sr-Latn-CS"/>
        </w:rPr>
        <w:t xml:space="preserve">.4. </w:t>
      </w:r>
      <w:r w:rsidR="00D620F2" w:rsidRPr="007B37D3">
        <w:rPr>
          <w:i w:val="0"/>
          <w:sz w:val="22"/>
          <w:szCs w:val="22"/>
          <w:lang w:val="sr-Latn-CS"/>
        </w:rPr>
        <w:t>Uputstvo za podnošenje ponuda</w:t>
      </w:r>
      <w:bookmarkEnd w:id="61"/>
      <w:bookmarkEnd w:id="62"/>
      <w:bookmarkEnd w:id="63"/>
      <w:bookmarkEnd w:id="64"/>
      <w:bookmarkEnd w:id="65"/>
    </w:p>
    <w:p w:rsidR="00DC0935" w:rsidRPr="007B37D3" w:rsidRDefault="00DC0935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eastAsia="Times New Roman" w:hAnsi="Arial" w:cs="Arial"/>
          <w:lang w:val="sr-Latn-CS"/>
        </w:rPr>
        <w:t xml:space="preserve">Sastavni dio Tenederske dokumentacije je i </w:t>
      </w:r>
      <w:r w:rsidRPr="007B37D3">
        <w:rPr>
          <w:rFonts w:ascii="Arial" w:hAnsi="Arial" w:cs="Arial"/>
          <w:lang w:val="sr-Latn-CS"/>
        </w:rPr>
        <w:t>Uputstvo za podnošenje ponuda, koji je dato kao Prilog Koncesionog akta.</w:t>
      </w:r>
    </w:p>
    <w:p w:rsidR="000156A4" w:rsidRPr="007B37D3" w:rsidRDefault="000156A4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880470" w:rsidRDefault="00880470" w:rsidP="00A40BDA">
      <w:pPr>
        <w:pStyle w:val="Heading1"/>
        <w:spacing w:before="0" w:after="0"/>
        <w:ind w:left="-180" w:right="-270" w:hanging="432"/>
        <w:rPr>
          <w:sz w:val="22"/>
          <w:szCs w:val="22"/>
          <w:lang w:val="sr-Latn-CS"/>
        </w:rPr>
      </w:pPr>
      <w:bookmarkStart w:id="66" w:name="_Toc401959462"/>
      <w:bookmarkStart w:id="67" w:name="_Toc401959555"/>
      <w:bookmarkStart w:id="68" w:name="_Toc435529043"/>
      <w:bookmarkStart w:id="69" w:name="_Toc436124920"/>
      <w:r>
        <w:rPr>
          <w:sz w:val="22"/>
          <w:szCs w:val="22"/>
          <w:lang w:val="sr-Latn-CS"/>
        </w:rPr>
        <w:t xml:space="preserve">       </w:t>
      </w:r>
      <w:r w:rsidR="00D620F2" w:rsidRPr="007B37D3">
        <w:rPr>
          <w:sz w:val="22"/>
          <w:szCs w:val="22"/>
          <w:lang w:val="sr-Latn-CS"/>
        </w:rPr>
        <w:t>1</w:t>
      </w:r>
      <w:r w:rsidR="00F32579">
        <w:rPr>
          <w:sz w:val="22"/>
          <w:szCs w:val="22"/>
          <w:lang w:val="sr-Latn-CS"/>
        </w:rPr>
        <w:t>3</w:t>
      </w:r>
      <w:r w:rsidR="00781B19" w:rsidRPr="007B37D3">
        <w:rPr>
          <w:sz w:val="22"/>
          <w:szCs w:val="22"/>
          <w:lang w:val="sr-Latn-CS"/>
        </w:rPr>
        <w:t>.</w:t>
      </w:r>
      <w:r w:rsidR="00D620F2" w:rsidRPr="007B37D3">
        <w:rPr>
          <w:sz w:val="22"/>
          <w:szCs w:val="22"/>
          <w:lang w:val="sr-Latn-CS"/>
        </w:rPr>
        <w:t xml:space="preserve"> SPISAK PROPISA KOJI SE PRIMIJENJUJU U POSTUPKU DAVANJA KONCESIJE I U </w:t>
      </w:r>
      <w:r>
        <w:rPr>
          <w:sz w:val="22"/>
          <w:szCs w:val="22"/>
          <w:lang w:val="sr-Latn-CS"/>
        </w:rPr>
        <w:t xml:space="preserve">  </w:t>
      </w:r>
    </w:p>
    <w:p w:rsidR="00D620F2" w:rsidRPr="007B37D3" w:rsidRDefault="00880470" w:rsidP="00A40BDA">
      <w:pPr>
        <w:pStyle w:val="Heading1"/>
        <w:spacing w:before="0" w:after="0"/>
        <w:ind w:left="-180" w:right="-270" w:hanging="432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             </w:t>
      </w:r>
      <w:r w:rsidR="00D620F2" w:rsidRPr="007B37D3">
        <w:rPr>
          <w:sz w:val="22"/>
          <w:szCs w:val="22"/>
          <w:lang w:val="sr-Latn-CS"/>
        </w:rPr>
        <w:t xml:space="preserve">VRŠENJU KONCESIONE DJELATNOSTI </w:t>
      </w:r>
      <w:bookmarkEnd w:id="66"/>
      <w:bookmarkEnd w:id="67"/>
      <w:bookmarkEnd w:id="68"/>
      <w:bookmarkEnd w:id="69"/>
    </w:p>
    <w:p w:rsidR="00D620F2" w:rsidRPr="007B37D3" w:rsidRDefault="00D620F2" w:rsidP="00A40BDA">
      <w:pPr>
        <w:spacing w:after="0"/>
        <w:ind w:left="-180" w:right="-270"/>
        <w:rPr>
          <w:rFonts w:ascii="Arial" w:hAnsi="Arial" w:cs="Arial"/>
          <w:lang w:val="sr-Latn-CS"/>
        </w:rPr>
      </w:pPr>
    </w:p>
    <w:p w:rsidR="00CB1528" w:rsidRDefault="00CB1528" w:rsidP="00CB1528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r-Latn-CS"/>
        </w:rPr>
        <w:t>P</w:t>
      </w:r>
      <w:r>
        <w:rPr>
          <w:rFonts w:ascii="Arial" w:eastAsia="Times New Roman" w:hAnsi="Arial" w:cs="Arial"/>
          <w:lang w:val="sr-Latn-CS"/>
        </w:rPr>
        <w:t>ropisi koji se primijenjuju u postupku</w:t>
      </w:r>
      <w:r>
        <w:rPr>
          <w:rFonts w:ascii="Arial" w:hAnsi="Arial" w:cs="Arial"/>
          <w:lang w:val="sr-Latn-CS"/>
        </w:rPr>
        <w:t xml:space="preserve"> davanja koncesije i</w:t>
      </w:r>
      <w:r>
        <w:rPr>
          <w:rFonts w:ascii="Arial" w:eastAsia="Times New Roman" w:hAnsi="Arial" w:cs="Arial"/>
          <w:lang w:val="sr-Latn-CS"/>
        </w:rPr>
        <w:t xml:space="preserve"> vršenja koncesione djelatnosti: </w:t>
      </w:r>
    </w:p>
    <w:p w:rsidR="00CB1528" w:rsidRDefault="00CB1528" w:rsidP="00CB1528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Zakon o k</w:t>
      </w:r>
      <w:r w:rsidR="001D779E">
        <w:rPr>
          <w:rFonts w:ascii="Arial" w:hAnsi="Arial" w:cs="Arial"/>
          <w:lang w:val="sr-Latn-CS"/>
        </w:rPr>
        <w:t xml:space="preserve">oncesijama (“Sl. list CG”, br. </w:t>
      </w:r>
      <w:r>
        <w:rPr>
          <w:rFonts w:ascii="Arial" w:hAnsi="Arial" w:cs="Arial"/>
          <w:lang w:val="sr-Latn-CS"/>
        </w:rPr>
        <w:t>8/09);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Uredba o bližem načinu sprovođenja postupka javnog nadmetanja u otvorenom i dvostepenom postupku davanja koncesije </w:t>
      </w:r>
      <w:r w:rsidR="001D779E">
        <w:rPr>
          <w:rFonts w:ascii="Arial" w:eastAsia="Times New Roman" w:hAnsi="Arial" w:cs="Arial"/>
          <w:lang w:val="sr-Latn-CS"/>
        </w:rPr>
        <w:t xml:space="preserve">(“Sl. list CG”, br. </w:t>
      </w:r>
      <w:r>
        <w:rPr>
          <w:rFonts w:ascii="Arial" w:eastAsia="Times New Roman" w:hAnsi="Arial" w:cs="Arial"/>
          <w:lang w:val="sr-Latn-CS"/>
        </w:rPr>
        <w:t>8/09);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rudarstvu („Sl. list CG“, br. 65/08);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geološkim istraživanjima (‘’Sl. list RCG’’, br. 28/93, 27/94, 42/94 i 26/07 i „Sl. list CG“, br. 28/11);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v-SE"/>
        </w:rPr>
        <w:t>Zakon o zaštiti i zdravlju na radu  („Sl. list CG“, br. 34/14);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v-SE"/>
        </w:rPr>
        <w:t>Zakon o planiranju prostora i izgradnji objekata (“Sl. list CG”, br. 64/17);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Zakon o procjeni uticaja na životnu sredinu („Sl. list RCG“, br. 80/05 i „Sl. list CG“, br. 40/10, 73/10, 40/11, 27/13 i 52/16);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zaštiti prirode („Sl. list CG“, br. 54/16);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životnoj sredini („Sl. list CG“, br. 52/16);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zaštiti kulturnih dobara Crne Gore („Sl. list CG“, br. 49/10 i 44/17);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ME"/>
        </w:rPr>
        <w:t>Zakon o zaštiti prirodnog i kulturno- istorijskog područja Kotora (''Sl.list CG'', br.56/13 i 13/18);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Zakon o državnoj imovini (“Sl. list CG”, br. 21/09 i 40/11);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Uredba o kriterijumima i načinu obračuna iznosa minimalne koncesione naknade za ustupanje prava na istraživanje i eksploataciju mineralnih sirovina („Sl. list CG“, br. 37/11 i 40/16);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Uredba o visini sredstava za sanaciju i rekultivaciju prostora na kojem se izvode rudarski radovi, način obračunavanja, plaćanja i korišćenja tih sredstava („Sl. list CG“, br. 51/11);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Pravlnik o klasifikaciji, kategorizaciji i proračunu rezervi čvrstih mineralnih sirovina i vođenju evidencije o njima („Sl. list SFRJ“, br. 53/79);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Pravilnik o rudarskim mjerenjima („Sl. list RCG“, br. 26/94);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Pravilnik o izradi projekata geoloških istraživanja („Sl. list SRCG“, br. 09/85 i 16/85);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Pravilnik o sadržini rudarskih projekata („Sl. list CG“, br. 74/09);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lastRenderedPageBreak/>
        <w:t>Pravilnik o tehničkim normativima za površinsku eksploataciju ležišta mineralnih sirovina („Sl. list SFRJ“, br. 62/87);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Pravilnik o tehničkim normativima za površinsku eksploataciju arhitektonsko-građevinskog (ukrasnog) kamena, tehničko-građevinskog kamena, šljunka i pijeska i preradu arhitektonsko-građevinskog (ukrasnog) kamena („Sl. list SFRJ“, br. 11/86);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Uputstvo o izradi godišnjeg tehničkog izvještaja i godišnjeg finansijskog izvještaja o poslovanju koncesionara koji imaju pravo na eksploataciju mineralnih sirovina („Sl. list RCG“, br. 10/95) i </w:t>
      </w:r>
    </w:p>
    <w:p w:rsidR="00CB1528" w:rsidRDefault="00CB1528" w:rsidP="00A91749">
      <w:pPr>
        <w:pStyle w:val="ListParagraph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ostali propisi.</w:t>
      </w:r>
    </w:p>
    <w:p w:rsidR="00CB1528" w:rsidRDefault="00CB1528" w:rsidP="00CB1528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CB1528" w:rsidRDefault="00CB1528" w:rsidP="00CB1528">
      <w:pPr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  <w:r>
        <w:rPr>
          <w:rFonts w:ascii="Arial" w:eastAsia="Times New Roman" w:hAnsi="Arial" w:cs="Arial"/>
          <w:b/>
          <w:lang w:val="sr-Latn-CS"/>
        </w:rPr>
        <w:t>Napomena</w:t>
      </w:r>
    </w:p>
    <w:p w:rsidR="00CB1528" w:rsidRDefault="00CB1528" w:rsidP="00CB1528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643751" w:rsidRDefault="00CB1528" w:rsidP="00957238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lang w:val="sr-Latn-CS"/>
        </w:rPr>
        <w:t>Prikazani parametri i podaci predstavljaju samo okvirnu ocjenu ekonomske opravdanosti investicije i nijesu garancija investitorima na osnovu koje imaju pravo na bilo kakvu štetu, već ponuđač prihvata kompletan rizik prilikom podnošenja ponude.</w:t>
      </w:r>
    </w:p>
    <w:p w:rsidR="00643751" w:rsidRDefault="00643751" w:rsidP="00A40BDA">
      <w:pPr>
        <w:spacing w:after="0"/>
        <w:ind w:left="-180" w:right="-270"/>
        <w:jc w:val="both"/>
        <w:rPr>
          <w:rFonts w:ascii="Arial" w:hAnsi="Arial" w:cs="Arial"/>
          <w:b/>
          <w:bCs/>
        </w:rPr>
      </w:pPr>
    </w:p>
    <w:p w:rsidR="00643751" w:rsidRDefault="00643751" w:rsidP="00A40BDA">
      <w:pPr>
        <w:spacing w:after="0"/>
        <w:ind w:left="-180" w:right="-270"/>
        <w:jc w:val="both"/>
        <w:rPr>
          <w:rFonts w:ascii="Arial" w:hAnsi="Arial" w:cs="Arial"/>
          <w:b/>
          <w:bCs/>
        </w:rPr>
      </w:pPr>
    </w:p>
    <w:p w:rsidR="00D620F2" w:rsidRPr="007B37D3" w:rsidRDefault="00643751" w:rsidP="00A40BDA">
      <w:pPr>
        <w:spacing w:after="0"/>
        <w:ind w:left="-180" w:right="-27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D620F2" w:rsidRPr="007B37D3">
        <w:rPr>
          <w:rFonts w:ascii="Arial" w:hAnsi="Arial" w:cs="Arial"/>
          <w:b/>
          <w:bCs/>
        </w:rPr>
        <w:t xml:space="preserve"> R I L O Z I</w:t>
      </w: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v-SE"/>
        </w:rPr>
      </w:pPr>
    </w:p>
    <w:p w:rsidR="00957238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1</w:t>
      </w:r>
      <w:r w:rsidRPr="007B37D3">
        <w:rPr>
          <w:rFonts w:ascii="Arial" w:hAnsi="Arial" w:cs="Arial"/>
          <w:b/>
          <w:lang w:val="sr-Latn-CS"/>
        </w:rPr>
        <w:t xml:space="preserve">. </w:t>
      </w:r>
      <w:r w:rsidRPr="007B37D3">
        <w:rPr>
          <w:rFonts w:ascii="Arial" w:hAnsi="Arial" w:cs="Arial"/>
          <w:lang w:val="sr-Latn-CS"/>
        </w:rPr>
        <w:t xml:space="preserve"> </w:t>
      </w:r>
      <w:r w:rsidR="00957238">
        <w:rPr>
          <w:rFonts w:ascii="Arial" w:hAnsi="Arial" w:cs="Arial"/>
          <w:lang w:val="sr-Latn-CS"/>
        </w:rPr>
        <w:t>Predlog</w:t>
      </w:r>
      <w:r w:rsidRPr="007B37D3">
        <w:rPr>
          <w:rFonts w:ascii="Arial" w:hAnsi="Arial" w:cs="Arial"/>
          <w:lang w:val="sr-Latn-CS"/>
        </w:rPr>
        <w:t xml:space="preserve"> Ugovora </w:t>
      </w:r>
    </w:p>
    <w:p w:rsidR="00957238" w:rsidRDefault="00957238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D620F2" w:rsidRPr="007B37D3" w:rsidRDefault="00D620F2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957238">
        <w:rPr>
          <w:rFonts w:ascii="Arial" w:hAnsi="Arial" w:cs="Arial"/>
          <w:lang w:val="sr-Latn-CS"/>
        </w:rPr>
        <w:t>2.  Prilozi</w:t>
      </w:r>
      <w:r w:rsidRPr="007B37D3">
        <w:rPr>
          <w:rFonts w:ascii="Arial" w:hAnsi="Arial" w:cs="Arial"/>
          <w:lang w:val="sr-Latn-CS"/>
        </w:rPr>
        <w:t xml:space="preserve"> i uputstva</w:t>
      </w:r>
    </w:p>
    <w:p w:rsidR="00D620F2" w:rsidRPr="007B37D3" w:rsidRDefault="00D620F2" w:rsidP="00880470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Obrazac A – Podaci o ponuđaču</w:t>
      </w:r>
    </w:p>
    <w:p w:rsidR="00D620F2" w:rsidRPr="007B37D3" w:rsidRDefault="00D620F2" w:rsidP="00880470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Obrazac B – Tehnička ponuda</w:t>
      </w:r>
    </w:p>
    <w:p w:rsidR="00D620F2" w:rsidRPr="007B37D3" w:rsidRDefault="00D620F2" w:rsidP="00880470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Obrazac C – Forma bankarske garancije za ponudu</w:t>
      </w:r>
    </w:p>
    <w:p w:rsidR="00D620F2" w:rsidRPr="007B37D3" w:rsidRDefault="00D01D26" w:rsidP="00880470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Prilog 1 – </w:t>
      </w:r>
      <w:r w:rsidR="00D620F2" w:rsidRPr="007B37D3">
        <w:rPr>
          <w:rFonts w:ascii="Arial" w:hAnsi="Arial" w:cs="Arial"/>
          <w:lang w:val="sr-Latn-CS"/>
        </w:rPr>
        <w:t>obrazac bankarske garancije za Fazu detaljnih geoloških istraživanja</w:t>
      </w:r>
    </w:p>
    <w:p w:rsidR="00D620F2" w:rsidRPr="007B37D3" w:rsidRDefault="00D620F2" w:rsidP="00880470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>Prilog 2 –</w:t>
      </w:r>
      <w:r w:rsidR="00D01D26">
        <w:rPr>
          <w:rFonts w:ascii="Arial" w:hAnsi="Arial" w:cs="Arial"/>
          <w:lang w:val="sr-Latn-CS"/>
        </w:rPr>
        <w:t xml:space="preserve"> </w:t>
      </w:r>
      <w:r w:rsidRPr="007B37D3">
        <w:rPr>
          <w:rFonts w:ascii="Arial" w:hAnsi="Arial" w:cs="Arial"/>
          <w:lang w:val="sr-Latn-CS"/>
        </w:rPr>
        <w:t>obrazac bankarske garancije za ispunjavanje ugovornih obaveza</w:t>
      </w:r>
    </w:p>
    <w:p w:rsidR="00D620F2" w:rsidRPr="007B37D3" w:rsidRDefault="00D01D26" w:rsidP="00880470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Prilog 3 – </w:t>
      </w:r>
      <w:r w:rsidR="00D620F2" w:rsidRPr="007B37D3">
        <w:rPr>
          <w:rFonts w:ascii="Arial" w:hAnsi="Arial" w:cs="Arial"/>
          <w:lang w:val="sr-Latn-CS"/>
        </w:rPr>
        <w:t>obrazac bankarske garancije za rekultivaciju</w:t>
      </w:r>
    </w:p>
    <w:p w:rsidR="0076752A" w:rsidRDefault="00D01D26" w:rsidP="00880470">
      <w:pPr>
        <w:pStyle w:val="ListParagraph"/>
        <w:numPr>
          <w:ilvl w:val="0"/>
          <w:numId w:val="6"/>
        </w:numPr>
        <w:spacing w:after="0"/>
        <w:ind w:left="180" w:right="-27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Prilog 4 – </w:t>
      </w:r>
      <w:r w:rsidRPr="00D01D26">
        <w:rPr>
          <w:rFonts w:ascii="Arial" w:hAnsi="Arial" w:cs="Arial"/>
          <w:lang w:val="sr-Latn-CS"/>
        </w:rPr>
        <w:t>Uputstvo za podnošenje ponuda</w:t>
      </w:r>
    </w:p>
    <w:p w:rsidR="00D01D26" w:rsidRPr="00D01D26" w:rsidRDefault="00D01D26" w:rsidP="00A40BDA">
      <w:pPr>
        <w:pStyle w:val="ListParagraph"/>
        <w:spacing w:after="0"/>
        <w:ind w:left="-180" w:right="-270"/>
        <w:jc w:val="both"/>
        <w:rPr>
          <w:rFonts w:ascii="Arial" w:hAnsi="Arial" w:cs="Arial"/>
          <w:lang w:val="sr-Latn-CS"/>
        </w:rPr>
      </w:pPr>
    </w:p>
    <w:p w:rsidR="0076752A" w:rsidRPr="007B37D3" w:rsidRDefault="0076752A" w:rsidP="00A40BDA">
      <w:pPr>
        <w:spacing w:after="0"/>
        <w:ind w:left="-180" w:right="-270"/>
        <w:jc w:val="both"/>
        <w:rPr>
          <w:rFonts w:ascii="Arial" w:hAnsi="Arial" w:cs="Arial"/>
          <w:lang w:val="sr-Latn-CS"/>
        </w:rPr>
      </w:pPr>
      <w:r w:rsidRPr="007B37D3">
        <w:rPr>
          <w:rFonts w:ascii="Arial" w:hAnsi="Arial" w:cs="Arial"/>
          <w:lang w:val="sr-Latn-CS"/>
        </w:rPr>
        <w:t xml:space="preserve">3. Javni </w:t>
      </w:r>
      <w:r w:rsidR="00957238">
        <w:rPr>
          <w:rFonts w:ascii="Arial" w:hAnsi="Arial" w:cs="Arial"/>
          <w:lang w:val="sr-Latn-CS"/>
        </w:rPr>
        <w:t>poziv</w:t>
      </w:r>
    </w:p>
    <w:p w:rsidR="007F5133" w:rsidRPr="007B37D3" w:rsidRDefault="007F5133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  <w:bCs/>
          <w:lang w:val="sr-Latn-CS"/>
        </w:rPr>
      </w:pPr>
    </w:p>
    <w:p w:rsidR="002E4676" w:rsidRPr="007B37D3" w:rsidRDefault="002E4676" w:rsidP="00A40BDA">
      <w:pPr>
        <w:spacing w:after="0" w:line="240" w:lineRule="auto"/>
        <w:ind w:left="-180" w:right="-270"/>
        <w:jc w:val="both"/>
        <w:rPr>
          <w:rFonts w:ascii="Arial" w:hAnsi="Arial" w:cs="Arial"/>
          <w:b/>
          <w:bCs/>
        </w:rPr>
      </w:pPr>
    </w:p>
    <w:p w:rsidR="00F3163A" w:rsidRPr="007B37D3" w:rsidRDefault="00F3163A" w:rsidP="00A40BDA">
      <w:pPr>
        <w:ind w:left="-180" w:right="-270"/>
        <w:rPr>
          <w:rFonts w:ascii="Arial" w:hAnsi="Arial" w:cs="Arial"/>
        </w:rPr>
      </w:pPr>
    </w:p>
    <w:sectPr w:rsidR="00F3163A" w:rsidRPr="007B37D3" w:rsidSect="00ED2D40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114" w:rsidRDefault="009D3114" w:rsidP="00ED2D40">
      <w:pPr>
        <w:spacing w:after="0" w:line="240" w:lineRule="auto"/>
      </w:pPr>
      <w:r>
        <w:separator/>
      </w:r>
    </w:p>
  </w:endnote>
  <w:endnote w:type="continuationSeparator" w:id="0">
    <w:p w:rsidR="009D3114" w:rsidRDefault="009D3114" w:rsidP="00ED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B3" w:rsidRPr="00895829" w:rsidRDefault="001048B3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sz w:val="20"/>
        <w:szCs w:val="20"/>
      </w:rPr>
    </w:pPr>
    <w:r w:rsidRPr="00895829">
      <w:rPr>
        <w:rFonts w:ascii="Arial" w:hAnsi="Arial" w:cs="Arial"/>
        <w:sz w:val="20"/>
        <w:szCs w:val="20"/>
      </w:rPr>
      <w:t>Kocesioni akt o pojavi mineralne sirovine tehničko-građevinskog kamena “Pogled”, opština Rožaje</w:t>
    </w:r>
    <w:r w:rsidRPr="00895829">
      <w:rPr>
        <w:rFonts w:ascii="Arial" w:hAnsi="Arial" w:cs="Arial"/>
        <w:sz w:val="20"/>
        <w:szCs w:val="20"/>
      </w:rPr>
      <w:ptab w:relativeTo="margin" w:alignment="right" w:leader="none"/>
    </w:r>
    <w:r w:rsidRPr="00895829">
      <w:rPr>
        <w:rFonts w:ascii="Arial" w:hAnsi="Arial" w:cs="Arial"/>
        <w:sz w:val="20"/>
        <w:szCs w:val="20"/>
      </w:rPr>
      <w:fldChar w:fldCharType="begin"/>
    </w:r>
    <w:r w:rsidRPr="00895829">
      <w:rPr>
        <w:rFonts w:ascii="Arial" w:hAnsi="Arial" w:cs="Arial"/>
        <w:sz w:val="20"/>
        <w:szCs w:val="20"/>
      </w:rPr>
      <w:instrText xml:space="preserve"> PAGE   \* MERGEFORMAT </w:instrText>
    </w:r>
    <w:r w:rsidRPr="00895829">
      <w:rPr>
        <w:rFonts w:ascii="Arial" w:hAnsi="Arial" w:cs="Arial"/>
        <w:sz w:val="20"/>
        <w:szCs w:val="20"/>
      </w:rPr>
      <w:fldChar w:fldCharType="separate"/>
    </w:r>
    <w:r w:rsidR="00C82057">
      <w:rPr>
        <w:rFonts w:ascii="Arial" w:hAnsi="Arial" w:cs="Arial"/>
        <w:noProof/>
        <w:sz w:val="20"/>
        <w:szCs w:val="20"/>
      </w:rPr>
      <w:t>21</w:t>
    </w:r>
    <w:r w:rsidRPr="00895829">
      <w:rPr>
        <w:rFonts w:ascii="Arial" w:hAnsi="Arial" w:cs="Arial"/>
        <w:noProof/>
        <w:sz w:val="20"/>
        <w:szCs w:val="20"/>
      </w:rPr>
      <w:fldChar w:fldCharType="end"/>
    </w:r>
  </w:p>
  <w:p w:rsidR="001048B3" w:rsidRPr="00895829" w:rsidRDefault="001048B3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114" w:rsidRDefault="009D3114" w:rsidP="00ED2D40">
      <w:pPr>
        <w:spacing w:after="0" w:line="240" w:lineRule="auto"/>
      </w:pPr>
      <w:r>
        <w:separator/>
      </w:r>
    </w:p>
  </w:footnote>
  <w:footnote w:type="continuationSeparator" w:id="0">
    <w:p w:rsidR="009D3114" w:rsidRDefault="009D3114" w:rsidP="00ED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Num1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6"/>
    <w:multiLevelType w:val="multilevel"/>
    <w:tmpl w:val="00000006"/>
    <w:name w:val="WWNum1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8"/>
    <w:multiLevelType w:val="multilevel"/>
    <w:tmpl w:val="00000008"/>
    <w:name w:val="WW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9"/>
    <w:multiLevelType w:val="multilevel"/>
    <w:tmpl w:val="00000009"/>
    <w:name w:val="WW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Num1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>
    <w:nsid w:val="0000000B"/>
    <w:multiLevelType w:val="multilevel"/>
    <w:tmpl w:val="0000000B"/>
    <w:name w:val="WW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C"/>
    <w:multiLevelType w:val="multilevel"/>
    <w:tmpl w:val="0000000C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000000D"/>
    <w:multiLevelType w:val="multilevel"/>
    <w:tmpl w:val="0000000D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0E"/>
    <w:multiLevelType w:val="multilevel"/>
    <w:tmpl w:val="0000000E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>
    <w:nsid w:val="0000000F"/>
    <w:multiLevelType w:val="multilevel"/>
    <w:tmpl w:val="0000000F"/>
    <w:name w:val="WWNum2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10"/>
    <w:multiLevelType w:val="multilevel"/>
    <w:tmpl w:val="00000010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1"/>
    <w:multiLevelType w:val="multilevel"/>
    <w:tmpl w:val="00000011"/>
    <w:name w:val="WW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2"/>
    <w:multiLevelType w:val="multilevel"/>
    <w:tmpl w:val="00000012"/>
    <w:name w:val="WWNum31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>
    <w:nsid w:val="00000013"/>
    <w:multiLevelType w:val="multilevel"/>
    <w:tmpl w:val="00000013"/>
    <w:name w:val="WWNum35"/>
    <w:lvl w:ilvl="0">
      <w:start w:val="88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>
    <w:nsid w:val="00000018"/>
    <w:multiLevelType w:val="multilevel"/>
    <w:tmpl w:val="00000018"/>
    <w:name w:val="WWNum24"/>
    <w:lvl w:ilvl="0">
      <w:start w:val="1"/>
      <w:numFmt w:val="decimal"/>
      <w:lvlText w:val="Korak %1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FE5653F"/>
    <w:multiLevelType w:val="hybridMultilevel"/>
    <w:tmpl w:val="87068C36"/>
    <w:lvl w:ilvl="0" w:tplc="0E3C5EA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E74341"/>
    <w:multiLevelType w:val="hybridMultilevel"/>
    <w:tmpl w:val="7948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4E544FE"/>
    <w:multiLevelType w:val="hybridMultilevel"/>
    <w:tmpl w:val="D540B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E67B35"/>
    <w:multiLevelType w:val="hybridMultilevel"/>
    <w:tmpl w:val="3FC2612C"/>
    <w:lvl w:ilvl="0" w:tplc="2E18DAEC">
      <w:start w:val="1"/>
      <w:numFmt w:val="decimal"/>
      <w:lvlText w:val="Korak %1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235B1AC8"/>
    <w:multiLevelType w:val="hybridMultilevel"/>
    <w:tmpl w:val="4BAEB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731160"/>
    <w:multiLevelType w:val="hybridMultilevel"/>
    <w:tmpl w:val="7D8871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EA3DE0"/>
    <w:multiLevelType w:val="hybridMultilevel"/>
    <w:tmpl w:val="8A2C4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AD3BC4"/>
    <w:multiLevelType w:val="hybridMultilevel"/>
    <w:tmpl w:val="1BA84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5851A6"/>
    <w:multiLevelType w:val="hybridMultilevel"/>
    <w:tmpl w:val="35183432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8F47E8"/>
    <w:multiLevelType w:val="hybridMultilevel"/>
    <w:tmpl w:val="7F041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9B714E"/>
    <w:multiLevelType w:val="hybridMultilevel"/>
    <w:tmpl w:val="C144F8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C5DEE"/>
    <w:multiLevelType w:val="hybridMultilevel"/>
    <w:tmpl w:val="D0FC05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C6352E"/>
    <w:multiLevelType w:val="hybridMultilevel"/>
    <w:tmpl w:val="D298C602"/>
    <w:lvl w:ilvl="0" w:tplc="057CA0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331029"/>
    <w:multiLevelType w:val="hybridMultilevel"/>
    <w:tmpl w:val="37D677F8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45608A"/>
    <w:multiLevelType w:val="hybridMultilevel"/>
    <w:tmpl w:val="4476F078"/>
    <w:lvl w:ilvl="0" w:tplc="0B46CA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"/>
  </w:num>
  <w:num w:numId="3">
    <w:abstractNumId w:val="5"/>
  </w:num>
  <w:num w:numId="4">
    <w:abstractNumId w:val="15"/>
  </w:num>
  <w:num w:numId="5">
    <w:abstractNumId w:val="35"/>
  </w:num>
  <w:num w:numId="6">
    <w:abstractNumId w:val="27"/>
  </w:num>
  <w:num w:numId="7">
    <w:abstractNumId w:val="37"/>
  </w:num>
  <w:num w:numId="8">
    <w:abstractNumId w:val="30"/>
  </w:num>
  <w:num w:numId="9">
    <w:abstractNumId w:val="36"/>
  </w:num>
  <w:num w:numId="10">
    <w:abstractNumId w:val="32"/>
  </w:num>
  <w:num w:numId="11">
    <w:abstractNumId w:val="20"/>
  </w:num>
  <w:num w:numId="12">
    <w:abstractNumId w:val="2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33"/>
  </w:num>
  <w:num w:numId="16">
    <w:abstractNumId w:val="22"/>
  </w:num>
  <w:num w:numId="17">
    <w:abstractNumId w:val="28"/>
  </w:num>
  <w:num w:numId="18">
    <w:abstractNumId w:val="26"/>
  </w:num>
  <w:num w:numId="19">
    <w:abstractNumId w:val="19"/>
  </w:num>
  <w:num w:numId="20">
    <w:abstractNumId w:val="23"/>
  </w:num>
  <w:num w:numId="21">
    <w:abstractNumId w:val="29"/>
  </w:num>
  <w:num w:numId="22">
    <w:abstractNumId w:val="25"/>
  </w:num>
  <w:num w:numId="23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676"/>
    <w:rsid w:val="00012D20"/>
    <w:rsid w:val="000156A4"/>
    <w:rsid w:val="000227AA"/>
    <w:rsid w:val="00041742"/>
    <w:rsid w:val="00041FAC"/>
    <w:rsid w:val="00053DC6"/>
    <w:rsid w:val="000675F8"/>
    <w:rsid w:val="00071F77"/>
    <w:rsid w:val="00087FED"/>
    <w:rsid w:val="00091C63"/>
    <w:rsid w:val="00094211"/>
    <w:rsid w:val="0009522A"/>
    <w:rsid w:val="000A3E49"/>
    <w:rsid w:val="000A6A18"/>
    <w:rsid w:val="000B7804"/>
    <w:rsid w:val="000C1D3C"/>
    <w:rsid w:val="000C7787"/>
    <w:rsid w:val="000D2EC5"/>
    <w:rsid w:val="000D47C1"/>
    <w:rsid w:val="000D5F11"/>
    <w:rsid w:val="00102205"/>
    <w:rsid w:val="001027A6"/>
    <w:rsid w:val="001048B3"/>
    <w:rsid w:val="001073EE"/>
    <w:rsid w:val="00113B4E"/>
    <w:rsid w:val="001210B7"/>
    <w:rsid w:val="00122518"/>
    <w:rsid w:val="00132926"/>
    <w:rsid w:val="00135011"/>
    <w:rsid w:val="00152A40"/>
    <w:rsid w:val="00163B9D"/>
    <w:rsid w:val="00182C7B"/>
    <w:rsid w:val="001A053E"/>
    <w:rsid w:val="001A7610"/>
    <w:rsid w:val="001B1415"/>
    <w:rsid w:val="001C12F0"/>
    <w:rsid w:val="001D4BF8"/>
    <w:rsid w:val="001D779E"/>
    <w:rsid w:val="001E150B"/>
    <w:rsid w:val="002048E0"/>
    <w:rsid w:val="002200B5"/>
    <w:rsid w:val="002322B3"/>
    <w:rsid w:val="00243F44"/>
    <w:rsid w:val="00247B51"/>
    <w:rsid w:val="0025026F"/>
    <w:rsid w:val="002525A5"/>
    <w:rsid w:val="00253F51"/>
    <w:rsid w:val="00264F3A"/>
    <w:rsid w:val="00274BF6"/>
    <w:rsid w:val="00282BB3"/>
    <w:rsid w:val="002875D2"/>
    <w:rsid w:val="0029127F"/>
    <w:rsid w:val="002A3DBC"/>
    <w:rsid w:val="002A6F00"/>
    <w:rsid w:val="002B61C6"/>
    <w:rsid w:val="002E1DBF"/>
    <w:rsid w:val="002E4676"/>
    <w:rsid w:val="002F3535"/>
    <w:rsid w:val="002F4E89"/>
    <w:rsid w:val="002F75C5"/>
    <w:rsid w:val="003015A6"/>
    <w:rsid w:val="00302B6D"/>
    <w:rsid w:val="00306531"/>
    <w:rsid w:val="00310130"/>
    <w:rsid w:val="00314392"/>
    <w:rsid w:val="00324C16"/>
    <w:rsid w:val="003523D6"/>
    <w:rsid w:val="003557E6"/>
    <w:rsid w:val="003640E6"/>
    <w:rsid w:val="00366FD6"/>
    <w:rsid w:val="0037158C"/>
    <w:rsid w:val="0038243D"/>
    <w:rsid w:val="003871D1"/>
    <w:rsid w:val="00397795"/>
    <w:rsid w:val="003B6279"/>
    <w:rsid w:val="003B7C8D"/>
    <w:rsid w:val="003C0362"/>
    <w:rsid w:val="003C1195"/>
    <w:rsid w:val="003C6707"/>
    <w:rsid w:val="003D14FE"/>
    <w:rsid w:val="003D7E99"/>
    <w:rsid w:val="003E79CE"/>
    <w:rsid w:val="003F4968"/>
    <w:rsid w:val="003F58F1"/>
    <w:rsid w:val="00403C16"/>
    <w:rsid w:val="00421203"/>
    <w:rsid w:val="00440EA3"/>
    <w:rsid w:val="00464908"/>
    <w:rsid w:val="00472C68"/>
    <w:rsid w:val="004742BA"/>
    <w:rsid w:val="004943DE"/>
    <w:rsid w:val="004C0CE3"/>
    <w:rsid w:val="004C38D1"/>
    <w:rsid w:val="004E6CCC"/>
    <w:rsid w:val="004F0E7C"/>
    <w:rsid w:val="004F284A"/>
    <w:rsid w:val="004F7B60"/>
    <w:rsid w:val="00502CB4"/>
    <w:rsid w:val="00507514"/>
    <w:rsid w:val="0052630B"/>
    <w:rsid w:val="00546F82"/>
    <w:rsid w:val="00551D4D"/>
    <w:rsid w:val="005521CE"/>
    <w:rsid w:val="00566D37"/>
    <w:rsid w:val="0056714D"/>
    <w:rsid w:val="00580B3D"/>
    <w:rsid w:val="00586D2C"/>
    <w:rsid w:val="005919FD"/>
    <w:rsid w:val="005966C2"/>
    <w:rsid w:val="005A6EF0"/>
    <w:rsid w:val="005B14B2"/>
    <w:rsid w:val="005B6322"/>
    <w:rsid w:val="005E354D"/>
    <w:rsid w:val="005F2460"/>
    <w:rsid w:val="006110BF"/>
    <w:rsid w:val="006147DF"/>
    <w:rsid w:val="00616D8B"/>
    <w:rsid w:val="006229B8"/>
    <w:rsid w:val="00623A0B"/>
    <w:rsid w:val="00626F64"/>
    <w:rsid w:val="00630623"/>
    <w:rsid w:val="00643751"/>
    <w:rsid w:val="0064562F"/>
    <w:rsid w:val="0064798C"/>
    <w:rsid w:val="00647B99"/>
    <w:rsid w:val="00651146"/>
    <w:rsid w:val="006579E2"/>
    <w:rsid w:val="00670FB8"/>
    <w:rsid w:val="00681D52"/>
    <w:rsid w:val="0069608B"/>
    <w:rsid w:val="006A1E25"/>
    <w:rsid w:val="006C0C02"/>
    <w:rsid w:val="006C6925"/>
    <w:rsid w:val="006E0FAB"/>
    <w:rsid w:val="006E4E99"/>
    <w:rsid w:val="00716922"/>
    <w:rsid w:val="00725B8E"/>
    <w:rsid w:val="00733001"/>
    <w:rsid w:val="00740FBC"/>
    <w:rsid w:val="00741886"/>
    <w:rsid w:val="007603BA"/>
    <w:rsid w:val="0076752A"/>
    <w:rsid w:val="00770C70"/>
    <w:rsid w:val="00776CDC"/>
    <w:rsid w:val="00781B19"/>
    <w:rsid w:val="00783D3C"/>
    <w:rsid w:val="00790441"/>
    <w:rsid w:val="007910FF"/>
    <w:rsid w:val="007922F1"/>
    <w:rsid w:val="00793C2C"/>
    <w:rsid w:val="00796491"/>
    <w:rsid w:val="007A2979"/>
    <w:rsid w:val="007B37D3"/>
    <w:rsid w:val="007C2290"/>
    <w:rsid w:val="007C74B0"/>
    <w:rsid w:val="007D756C"/>
    <w:rsid w:val="007E5B0E"/>
    <w:rsid w:val="007F4E5A"/>
    <w:rsid w:val="007F5133"/>
    <w:rsid w:val="00812A41"/>
    <w:rsid w:val="008218FF"/>
    <w:rsid w:val="00822D4B"/>
    <w:rsid w:val="00834EDF"/>
    <w:rsid w:val="008460C8"/>
    <w:rsid w:val="00855609"/>
    <w:rsid w:val="008563EE"/>
    <w:rsid w:val="00861B56"/>
    <w:rsid w:val="0086533F"/>
    <w:rsid w:val="00871E10"/>
    <w:rsid w:val="0087672C"/>
    <w:rsid w:val="00880470"/>
    <w:rsid w:val="00887A93"/>
    <w:rsid w:val="008910BA"/>
    <w:rsid w:val="00895829"/>
    <w:rsid w:val="008962BB"/>
    <w:rsid w:val="0092288D"/>
    <w:rsid w:val="00925256"/>
    <w:rsid w:val="009403F9"/>
    <w:rsid w:val="00943890"/>
    <w:rsid w:val="00943B68"/>
    <w:rsid w:val="00957238"/>
    <w:rsid w:val="00963F2C"/>
    <w:rsid w:val="0096448F"/>
    <w:rsid w:val="00967203"/>
    <w:rsid w:val="009B1EAD"/>
    <w:rsid w:val="009C0713"/>
    <w:rsid w:val="009C0BB5"/>
    <w:rsid w:val="009C37F6"/>
    <w:rsid w:val="009C4148"/>
    <w:rsid w:val="009D1430"/>
    <w:rsid w:val="009D3114"/>
    <w:rsid w:val="009D3897"/>
    <w:rsid w:val="009F5108"/>
    <w:rsid w:val="00A03CA4"/>
    <w:rsid w:val="00A148CA"/>
    <w:rsid w:val="00A152BB"/>
    <w:rsid w:val="00A16122"/>
    <w:rsid w:val="00A162F1"/>
    <w:rsid w:val="00A21FEC"/>
    <w:rsid w:val="00A33465"/>
    <w:rsid w:val="00A40477"/>
    <w:rsid w:val="00A40BDA"/>
    <w:rsid w:val="00A54562"/>
    <w:rsid w:val="00A658B2"/>
    <w:rsid w:val="00A65F41"/>
    <w:rsid w:val="00A70153"/>
    <w:rsid w:val="00A73BEB"/>
    <w:rsid w:val="00A825AA"/>
    <w:rsid w:val="00A85E72"/>
    <w:rsid w:val="00A91749"/>
    <w:rsid w:val="00A95961"/>
    <w:rsid w:val="00AA1D17"/>
    <w:rsid w:val="00AA1FFF"/>
    <w:rsid w:val="00AA2291"/>
    <w:rsid w:val="00AD660B"/>
    <w:rsid w:val="00AE40E6"/>
    <w:rsid w:val="00AF4A64"/>
    <w:rsid w:val="00B2323E"/>
    <w:rsid w:val="00B31F37"/>
    <w:rsid w:val="00B37BA9"/>
    <w:rsid w:val="00B5150F"/>
    <w:rsid w:val="00B52226"/>
    <w:rsid w:val="00B52DAF"/>
    <w:rsid w:val="00B56400"/>
    <w:rsid w:val="00B56F6A"/>
    <w:rsid w:val="00B6057B"/>
    <w:rsid w:val="00B64763"/>
    <w:rsid w:val="00B7302D"/>
    <w:rsid w:val="00B737DC"/>
    <w:rsid w:val="00B7589E"/>
    <w:rsid w:val="00B77602"/>
    <w:rsid w:val="00B83D41"/>
    <w:rsid w:val="00B906A9"/>
    <w:rsid w:val="00B9141D"/>
    <w:rsid w:val="00B9279E"/>
    <w:rsid w:val="00BA6011"/>
    <w:rsid w:val="00BA64E2"/>
    <w:rsid w:val="00BB0ACB"/>
    <w:rsid w:val="00BC2983"/>
    <w:rsid w:val="00BE26DE"/>
    <w:rsid w:val="00BE7720"/>
    <w:rsid w:val="00BE782E"/>
    <w:rsid w:val="00BE7CF9"/>
    <w:rsid w:val="00BF5CFA"/>
    <w:rsid w:val="00C03EA9"/>
    <w:rsid w:val="00C06CB1"/>
    <w:rsid w:val="00C123FF"/>
    <w:rsid w:val="00C205DE"/>
    <w:rsid w:val="00C24313"/>
    <w:rsid w:val="00C342BE"/>
    <w:rsid w:val="00C50A15"/>
    <w:rsid w:val="00C5679E"/>
    <w:rsid w:val="00C82057"/>
    <w:rsid w:val="00C914D0"/>
    <w:rsid w:val="00C91B9E"/>
    <w:rsid w:val="00CB1528"/>
    <w:rsid w:val="00CC2306"/>
    <w:rsid w:val="00CC4F8C"/>
    <w:rsid w:val="00CC704D"/>
    <w:rsid w:val="00CD7917"/>
    <w:rsid w:val="00CE0D3E"/>
    <w:rsid w:val="00CE475A"/>
    <w:rsid w:val="00CE68E0"/>
    <w:rsid w:val="00CE76BA"/>
    <w:rsid w:val="00CF4B50"/>
    <w:rsid w:val="00D01D26"/>
    <w:rsid w:val="00D05362"/>
    <w:rsid w:val="00D074AE"/>
    <w:rsid w:val="00D171D8"/>
    <w:rsid w:val="00D2617B"/>
    <w:rsid w:val="00D3636A"/>
    <w:rsid w:val="00D442AC"/>
    <w:rsid w:val="00D51083"/>
    <w:rsid w:val="00D61ED9"/>
    <w:rsid w:val="00D620F2"/>
    <w:rsid w:val="00D62D52"/>
    <w:rsid w:val="00D6597A"/>
    <w:rsid w:val="00D6798C"/>
    <w:rsid w:val="00DB3C82"/>
    <w:rsid w:val="00DC0935"/>
    <w:rsid w:val="00DC1047"/>
    <w:rsid w:val="00DD276B"/>
    <w:rsid w:val="00DD52C7"/>
    <w:rsid w:val="00DE2DF0"/>
    <w:rsid w:val="00DF3C50"/>
    <w:rsid w:val="00E13D31"/>
    <w:rsid w:val="00E246FE"/>
    <w:rsid w:val="00E32EBB"/>
    <w:rsid w:val="00E334C7"/>
    <w:rsid w:val="00E34B6A"/>
    <w:rsid w:val="00E35ABF"/>
    <w:rsid w:val="00E472CD"/>
    <w:rsid w:val="00E530C1"/>
    <w:rsid w:val="00E6265C"/>
    <w:rsid w:val="00E74C34"/>
    <w:rsid w:val="00E80C35"/>
    <w:rsid w:val="00E842BF"/>
    <w:rsid w:val="00EA04CC"/>
    <w:rsid w:val="00EB116F"/>
    <w:rsid w:val="00EB2B3D"/>
    <w:rsid w:val="00EB34BD"/>
    <w:rsid w:val="00EB783E"/>
    <w:rsid w:val="00EC730D"/>
    <w:rsid w:val="00ED1607"/>
    <w:rsid w:val="00ED2D40"/>
    <w:rsid w:val="00ED5E78"/>
    <w:rsid w:val="00EF3455"/>
    <w:rsid w:val="00F01F15"/>
    <w:rsid w:val="00F0778D"/>
    <w:rsid w:val="00F10DEF"/>
    <w:rsid w:val="00F27990"/>
    <w:rsid w:val="00F3163A"/>
    <w:rsid w:val="00F3209C"/>
    <w:rsid w:val="00F32579"/>
    <w:rsid w:val="00F422C6"/>
    <w:rsid w:val="00F46658"/>
    <w:rsid w:val="00F569D6"/>
    <w:rsid w:val="00F57721"/>
    <w:rsid w:val="00F600F6"/>
    <w:rsid w:val="00F622F0"/>
    <w:rsid w:val="00F765BD"/>
    <w:rsid w:val="00F80E93"/>
    <w:rsid w:val="00F92896"/>
    <w:rsid w:val="00F9684E"/>
    <w:rsid w:val="00FA2B3B"/>
    <w:rsid w:val="00FC2616"/>
    <w:rsid w:val="00FC7AE8"/>
    <w:rsid w:val="00FD055F"/>
    <w:rsid w:val="00FD0851"/>
    <w:rsid w:val="00FD0CB6"/>
    <w:rsid w:val="00FD2E4D"/>
    <w:rsid w:val="00FD302A"/>
    <w:rsid w:val="00FD360C"/>
    <w:rsid w:val="00FE6740"/>
    <w:rsid w:val="00FF1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DCE80C-6F3F-4C6A-A1EC-B055BD62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67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2E4676"/>
    <w:pPr>
      <w:keepNext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E4676"/>
    <w:pPr>
      <w:keepNext/>
      <w:suppressAutoHyphens/>
      <w:spacing w:before="240" w:after="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E467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</w:rPr>
  </w:style>
  <w:style w:type="paragraph" w:styleId="Heading4">
    <w:name w:val="heading 4"/>
    <w:basedOn w:val="Normal"/>
    <w:next w:val="Normal"/>
    <w:link w:val="Heading4Char"/>
    <w:qFormat/>
    <w:rsid w:val="002E4676"/>
    <w:pPr>
      <w:keepNext/>
      <w:spacing w:after="0" w:line="240" w:lineRule="auto"/>
      <w:ind w:left="2880" w:firstLine="720"/>
      <w:outlineLvl w:val="3"/>
    </w:pPr>
    <w:rPr>
      <w:rFonts w:ascii="Times New Roman" w:eastAsia="Times New Roman" w:hAnsi="Times New Roman"/>
      <w:sz w:val="28"/>
      <w:szCs w:val="24"/>
    </w:rPr>
  </w:style>
  <w:style w:type="paragraph" w:styleId="Heading5">
    <w:name w:val="heading 5"/>
    <w:basedOn w:val="Normal"/>
    <w:next w:val="Normal"/>
    <w:link w:val="Heading5Char"/>
    <w:qFormat/>
    <w:rsid w:val="002E4676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4"/>
      <w:lang w:val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E4676"/>
    <w:pPr>
      <w:suppressAutoHyphens/>
      <w:spacing w:before="240" w:after="60"/>
      <w:ind w:left="1152" w:hanging="1152"/>
      <w:outlineLvl w:val="5"/>
    </w:pPr>
    <w:rPr>
      <w:rFonts w:eastAsia="Times New Roman"/>
      <w:b/>
      <w:bCs/>
      <w:kern w:val="1"/>
    </w:rPr>
  </w:style>
  <w:style w:type="paragraph" w:styleId="Heading7">
    <w:name w:val="heading 7"/>
    <w:basedOn w:val="Normal"/>
    <w:next w:val="Normal"/>
    <w:link w:val="Heading7Char"/>
    <w:qFormat/>
    <w:rsid w:val="002E467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8">
    <w:name w:val="heading 8"/>
    <w:basedOn w:val="Normal"/>
    <w:next w:val="Normal"/>
    <w:link w:val="Heading8Char"/>
    <w:qFormat/>
    <w:rsid w:val="002E4676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9">
    <w:name w:val="heading 9"/>
    <w:basedOn w:val="Normal"/>
    <w:next w:val="Normal"/>
    <w:link w:val="Heading9Char"/>
    <w:qFormat/>
    <w:rsid w:val="002E4676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4676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E4676"/>
    <w:rPr>
      <w:rFonts w:ascii="Arial" w:eastAsia="Arial Unicode MS" w:hAnsi="Arial" w:cs="Arial"/>
      <w:b/>
      <w:bCs/>
      <w:i/>
      <w:iCs/>
      <w:kern w:val="1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E467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2E467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5Char">
    <w:name w:val="Heading 5 Char"/>
    <w:basedOn w:val="DefaultParagraphFont"/>
    <w:link w:val="Heading5"/>
    <w:rsid w:val="002E4676"/>
    <w:rPr>
      <w:rFonts w:ascii="Times New Roman" w:eastAsia="Times New Roman" w:hAnsi="Times New Roman" w:cs="Times New Roman"/>
      <w:sz w:val="28"/>
      <w:szCs w:val="24"/>
      <w:lang w:val="hr-HR"/>
    </w:rPr>
  </w:style>
  <w:style w:type="character" w:customStyle="1" w:styleId="Heading6Char">
    <w:name w:val="Heading 6 Char"/>
    <w:basedOn w:val="DefaultParagraphFont"/>
    <w:link w:val="Heading6"/>
    <w:semiHidden/>
    <w:rsid w:val="002E4676"/>
    <w:rPr>
      <w:rFonts w:ascii="Calibri" w:eastAsia="Times New Roman" w:hAnsi="Calibri" w:cs="Times New Roman"/>
      <w:b/>
      <w:bCs/>
      <w:kern w:val="1"/>
    </w:rPr>
  </w:style>
  <w:style w:type="character" w:customStyle="1" w:styleId="Heading7Char">
    <w:name w:val="Heading 7 Char"/>
    <w:basedOn w:val="DefaultParagraphFont"/>
    <w:link w:val="Heading7"/>
    <w:rsid w:val="002E467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2E467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2E4676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nhideWhenUsed/>
    <w:rsid w:val="002E4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4676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4676"/>
    <w:pPr>
      <w:ind w:left="720"/>
      <w:contextualSpacing/>
    </w:pPr>
  </w:style>
  <w:style w:type="table" w:styleId="TableGrid">
    <w:name w:val="Table Grid"/>
    <w:basedOn w:val="TableNormal"/>
    <w:rsid w:val="002E467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link w:val="BodyText3Char"/>
    <w:rsid w:val="002E4676"/>
    <w:pPr>
      <w:spacing w:after="120" w:line="240" w:lineRule="auto"/>
    </w:pPr>
    <w:rPr>
      <w:rFonts w:ascii="Times New Roman" w:eastAsia="Times New Roman" w:hAnsi="Times New Roman"/>
      <w:sz w:val="16"/>
      <w:szCs w:val="16"/>
      <w:lang w:val="sr-Cyrl-CS" w:eastAsia="sr-Cyrl-CS"/>
    </w:rPr>
  </w:style>
  <w:style w:type="character" w:customStyle="1" w:styleId="BodyText3Char">
    <w:name w:val="Body Text 3 Char"/>
    <w:basedOn w:val="DefaultParagraphFont"/>
    <w:link w:val="BodyText3"/>
    <w:rsid w:val="002E4676"/>
    <w:rPr>
      <w:rFonts w:ascii="Times New Roman" w:eastAsia="Times New Roman" w:hAnsi="Times New Roman" w:cs="Times New Roman"/>
      <w:sz w:val="16"/>
      <w:szCs w:val="16"/>
      <w:lang w:val="sr-Cyrl-CS" w:eastAsia="sr-Cyrl-CS"/>
    </w:rPr>
  </w:style>
  <w:style w:type="paragraph" w:styleId="BodyText">
    <w:name w:val="Body Text"/>
    <w:basedOn w:val="Normal"/>
    <w:link w:val="BodyTextChar"/>
    <w:unhideWhenUsed/>
    <w:rsid w:val="002E467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E467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E4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67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E4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676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2E4676"/>
    <w:pPr>
      <w:suppressAutoHyphens/>
    </w:pPr>
    <w:rPr>
      <w:rFonts w:eastAsia="Arial Unicode MS" w:cs="Calibri"/>
      <w:kern w:val="1"/>
    </w:rPr>
  </w:style>
  <w:style w:type="paragraph" w:styleId="TOC2">
    <w:name w:val="toc 2"/>
    <w:basedOn w:val="Normal"/>
    <w:next w:val="Normal"/>
    <w:autoRedefine/>
    <w:uiPriority w:val="39"/>
    <w:rsid w:val="002E4676"/>
    <w:pPr>
      <w:tabs>
        <w:tab w:val="left" w:pos="880"/>
        <w:tab w:val="right" w:leader="dot" w:pos="9911"/>
      </w:tabs>
      <w:suppressAutoHyphens/>
    </w:pPr>
    <w:rPr>
      <w:rFonts w:eastAsia="Arial Unicode MS" w:cs="Calibri"/>
      <w:kern w:val="1"/>
    </w:rPr>
  </w:style>
  <w:style w:type="paragraph" w:styleId="TOC3">
    <w:name w:val="toc 3"/>
    <w:basedOn w:val="Normal"/>
    <w:next w:val="Normal"/>
    <w:autoRedefine/>
    <w:uiPriority w:val="39"/>
    <w:rsid w:val="002E4676"/>
    <w:pPr>
      <w:suppressAutoHyphens/>
      <w:ind w:left="440"/>
    </w:pPr>
    <w:rPr>
      <w:rFonts w:eastAsia="Arial Unicode MS" w:cs="Calibri"/>
      <w:kern w:val="1"/>
    </w:rPr>
  </w:style>
  <w:style w:type="character" w:styleId="Hyperlink">
    <w:name w:val="Hyperlink"/>
    <w:basedOn w:val="DefaultParagraphFont"/>
    <w:uiPriority w:val="99"/>
    <w:unhideWhenUsed/>
    <w:rsid w:val="002E467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E467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4676"/>
    <w:pPr>
      <w:keepLines/>
      <w:suppressAutoHyphens w:val="0"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customStyle="1" w:styleId="Default">
    <w:name w:val="Default"/>
    <w:rsid w:val="00A85E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A85E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ED2D4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D2D40"/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925256"/>
    <w:pPr>
      <w:spacing w:before="100" w:beforeAutospacing="1" w:after="225" w:line="240" w:lineRule="auto"/>
    </w:pPr>
    <w:rPr>
      <w:rFonts w:ascii="Open Sans" w:eastAsia="Times New Roman" w:hAnsi="Open Sans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27</Pages>
  <Words>8676</Words>
  <Characters>49457</Characters>
  <Application>Microsoft Office Word</Application>
  <DocSecurity>0</DocSecurity>
  <Lines>412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vesna.vujacic</dc:creator>
  <cp:lastModifiedBy>Nebojsa Koprivica</cp:lastModifiedBy>
  <cp:revision>201</cp:revision>
  <cp:lastPrinted>2019-02-20T08:39:00Z</cp:lastPrinted>
  <dcterms:created xsi:type="dcterms:W3CDTF">2019-02-11T12:28:00Z</dcterms:created>
  <dcterms:modified xsi:type="dcterms:W3CDTF">2019-02-20T08:41:00Z</dcterms:modified>
</cp:coreProperties>
</file>