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B4BE" w14:textId="77777777" w:rsidR="00B6676B" w:rsidRDefault="005B70BE">
      <w:pPr>
        <w:pStyle w:val="BodyText"/>
        <w:ind w:left="4630"/>
        <w:rPr>
          <w:sz w:val="20"/>
        </w:rPr>
      </w:pPr>
      <w:r>
        <w:rPr>
          <w:noProof/>
          <w:sz w:val="20"/>
        </w:rPr>
        <w:drawing>
          <wp:inline distT="0" distB="0" distL="0" distR="0" wp14:anchorId="7824A7EA" wp14:editId="314AAE20">
            <wp:extent cx="802775" cy="9224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02775" cy="922496"/>
                    </a:xfrm>
                    <a:prstGeom prst="rect">
                      <a:avLst/>
                    </a:prstGeom>
                  </pic:spPr>
                </pic:pic>
              </a:graphicData>
            </a:graphic>
          </wp:inline>
        </w:drawing>
      </w:r>
    </w:p>
    <w:p w14:paraId="7764D043" w14:textId="77777777" w:rsidR="00B6676B" w:rsidRDefault="005B70BE">
      <w:pPr>
        <w:pStyle w:val="Title"/>
        <w:spacing w:before="65"/>
      </w:pPr>
      <w:r>
        <w:t>Montenegro</w:t>
      </w:r>
    </w:p>
    <w:p w14:paraId="71968243" w14:textId="03E9E9E4" w:rsidR="00B6676B" w:rsidRDefault="005B70BE">
      <w:pPr>
        <w:pStyle w:val="Title"/>
        <w:ind w:left="3514"/>
      </w:pPr>
      <w:r>
        <w:rPr>
          <w:spacing w:val="-1"/>
        </w:rPr>
        <w:t>Ministry</w:t>
      </w:r>
      <w:r>
        <w:rPr>
          <w:spacing w:val="-15"/>
        </w:rPr>
        <w:t xml:space="preserve"> </w:t>
      </w:r>
      <w:r>
        <w:rPr>
          <w:spacing w:val="-1"/>
        </w:rPr>
        <w:t>of</w:t>
      </w:r>
      <w:r>
        <w:rPr>
          <w:spacing w:val="-11"/>
        </w:rPr>
        <w:t xml:space="preserve"> </w:t>
      </w:r>
      <w:r w:rsidR="0071167D">
        <w:rPr>
          <w:spacing w:val="-1"/>
        </w:rPr>
        <w:t xml:space="preserve">Transport </w:t>
      </w:r>
    </w:p>
    <w:p w14:paraId="36104225" w14:textId="77777777" w:rsidR="00B6676B" w:rsidRDefault="00B6676B">
      <w:pPr>
        <w:pStyle w:val="BodyText"/>
        <w:spacing w:before="8"/>
        <w:rPr>
          <w:sz w:val="28"/>
        </w:rPr>
      </w:pPr>
    </w:p>
    <w:p w14:paraId="28C65E62" w14:textId="77777777" w:rsidR="00B6676B" w:rsidRDefault="005B70BE">
      <w:pPr>
        <w:pStyle w:val="Heading1"/>
        <w:spacing w:line="247" w:lineRule="auto"/>
        <w:ind w:left="2045" w:right="2056"/>
        <w:jc w:val="center"/>
      </w:pPr>
      <w:r>
        <w:rPr>
          <w:w w:val="105"/>
        </w:rPr>
        <w:t>REQUEST FOR EXPRESSIONS OF INTEREST</w:t>
      </w:r>
      <w:r>
        <w:rPr>
          <w:spacing w:val="1"/>
          <w:w w:val="105"/>
        </w:rPr>
        <w:t xml:space="preserve"> </w:t>
      </w:r>
      <w:r>
        <w:t>(CONSULTING</w:t>
      </w:r>
      <w:r>
        <w:rPr>
          <w:spacing w:val="9"/>
        </w:rPr>
        <w:t xml:space="preserve"> </w:t>
      </w:r>
      <w:r>
        <w:t>SERVICES</w:t>
      </w:r>
      <w:r>
        <w:rPr>
          <w:spacing w:val="1"/>
        </w:rPr>
        <w:t xml:space="preserve"> </w:t>
      </w:r>
      <w:r>
        <w:t>–</w:t>
      </w:r>
      <w:r>
        <w:rPr>
          <w:spacing w:val="54"/>
        </w:rPr>
        <w:t xml:space="preserve"> </w:t>
      </w:r>
      <w:r>
        <w:t>INDIVIDUAL</w:t>
      </w:r>
      <w:r>
        <w:rPr>
          <w:spacing w:val="3"/>
        </w:rPr>
        <w:t xml:space="preserve"> </w:t>
      </w:r>
      <w:r>
        <w:t>CONSULTANT)</w:t>
      </w:r>
    </w:p>
    <w:p w14:paraId="5D1FA061" w14:textId="77777777" w:rsidR="00B6676B" w:rsidRDefault="00B6676B">
      <w:pPr>
        <w:pStyle w:val="BodyText"/>
        <w:rPr>
          <w:b/>
          <w:sz w:val="20"/>
        </w:rPr>
      </w:pPr>
    </w:p>
    <w:p w14:paraId="21588DB8" w14:textId="77777777" w:rsidR="00B6676B" w:rsidRDefault="00B6676B">
      <w:pPr>
        <w:pStyle w:val="BodyText"/>
        <w:spacing w:before="11"/>
        <w:rPr>
          <w:b/>
          <w:sz w:val="20"/>
        </w:rPr>
      </w:pPr>
    </w:p>
    <w:p w14:paraId="5D419592" w14:textId="77777777" w:rsidR="00B6676B" w:rsidRDefault="005B70BE">
      <w:pPr>
        <w:ind w:left="114"/>
        <w:rPr>
          <w:sz w:val="23"/>
        </w:rPr>
      </w:pPr>
      <w:r>
        <w:rPr>
          <w:b/>
          <w:w w:val="105"/>
          <w:sz w:val="23"/>
        </w:rPr>
        <w:t>Name</w:t>
      </w:r>
      <w:r>
        <w:rPr>
          <w:b/>
          <w:spacing w:val="-9"/>
          <w:w w:val="105"/>
          <w:sz w:val="23"/>
        </w:rPr>
        <w:t xml:space="preserve"> </w:t>
      </w:r>
      <w:r>
        <w:rPr>
          <w:b/>
          <w:w w:val="105"/>
          <w:sz w:val="23"/>
        </w:rPr>
        <w:t>of</w:t>
      </w:r>
      <w:r>
        <w:rPr>
          <w:b/>
          <w:spacing w:val="-10"/>
          <w:w w:val="105"/>
          <w:sz w:val="23"/>
        </w:rPr>
        <w:t xml:space="preserve"> </w:t>
      </w:r>
      <w:r>
        <w:rPr>
          <w:b/>
          <w:w w:val="105"/>
          <w:sz w:val="23"/>
        </w:rPr>
        <w:t>Project:</w:t>
      </w:r>
      <w:r>
        <w:rPr>
          <w:b/>
          <w:spacing w:val="-7"/>
          <w:w w:val="105"/>
          <w:sz w:val="23"/>
        </w:rPr>
        <w:t xml:space="preserve"> </w:t>
      </w:r>
      <w:r>
        <w:rPr>
          <w:w w:val="105"/>
          <w:sz w:val="23"/>
        </w:rPr>
        <w:t>“Western</w:t>
      </w:r>
      <w:r>
        <w:rPr>
          <w:spacing w:val="-8"/>
          <w:w w:val="105"/>
          <w:sz w:val="23"/>
        </w:rPr>
        <w:t xml:space="preserve"> </w:t>
      </w:r>
      <w:r>
        <w:rPr>
          <w:w w:val="105"/>
          <w:sz w:val="23"/>
        </w:rPr>
        <w:t>Balkans</w:t>
      </w:r>
      <w:r>
        <w:rPr>
          <w:spacing w:val="-10"/>
          <w:w w:val="105"/>
          <w:sz w:val="23"/>
        </w:rPr>
        <w:t xml:space="preserve"> </w:t>
      </w:r>
      <w:r>
        <w:rPr>
          <w:w w:val="105"/>
          <w:sz w:val="23"/>
        </w:rPr>
        <w:t>Trade</w:t>
      </w:r>
      <w:r>
        <w:rPr>
          <w:spacing w:val="-8"/>
          <w:w w:val="105"/>
          <w:sz w:val="23"/>
        </w:rPr>
        <w:t xml:space="preserve"> </w:t>
      </w:r>
      <w:r>
        <w:rPr>
          <w:w w:val="105"/>
          <w:sz w:val="23"/>
        </w:rPr>
        <w:t>and</w:t>
      </w:r>
      <w:r>
        <w:rPr>
          <w:spacing w:val="-8"/>
          <w:w w:val="105"/>
          <w:sz w:val="23"/>
        </w:rPr>
        <w:t xml:space="preserve"> </w:t>
      </w:r>
      <w:r>
        <w:rPr>
          <w:w w:val="105"/>
          <w:sz w:val="23"/>
        </w:rPr>
        <w:t>Transport</w:t>
      </w:r>
      <w:r>
        <w:rPr>
          <w:spacing w:val="-12"/>
          <w:w w:val="105"/>
          <w:sz w:val="23"/>
        </w:rPr>
        <w:t xml:space="preserve"> </w:t>
      </w:r>
      <w:r>
        <w:rPr>
          <w:w w:val="105"/>
          <w:sz w:val="23"/>
        </w:rPr>
        <w:t>Facilitation</w:t>
      </w:r>
      <w:r>
        <w:rPr>
          <w:spacing w:val="-7"/>
          <w:w w:val="105"/>
          <w:sz w:val="23"/>
        </w:rPr>
        <w:t xml:space="preserve"> </w:t>
      </w:r>
      <w:r>
        <w:rPr>
          <w:w w:val="105"/>
          <w:sz w:val="23"/>
        </w:rPr>
        <w:t>Phase</w:t>
      </w:r>
      <w:r>
        <w:rPr>
          <w:spacing w:val="-3"/>
          <w:w w:val="105"/>
          <w:sz w:val="23"/>
        </w:rPr>
        <w:t xml:space="preserve"> </w:t>
      </w:r>
      <w:r>
        <w:rPr>
          <w:w w:val="105"/>
          <w:sz w:val="23"/>
        </w:rPr>
        <w:t>2”</w:t>
      </w:r>
      <w:r>
        <w:rPr>
          <w:spacing w:val="-8"/>
          <w:w w:val="105"/>
          <w:sz w:val="23"/>
        </w:rPr>
        <w:t xml:space="preserve"> </w:t>
      </w:r>
      <w:r>
        <w:rPr>
          <w:w w:val="105"/>
          <w:sz w:val="23"/>
        </w:rPr>
        <w:t>(TTFP)</w:t>
      </w:r>
    </w:p>
    <w:p w14:paraId="3813F80D" w14:textId="77777777" w:rsidR="00B6676B" w:rsidRDefault="005B70BE">
      <w:pPr>
        <w:spacing w:before="74"/>
        <w:ind w:left="114"/>
        <w:rPr>
          <w:sz w:val="23"/>
        </w:rPr>
      </w:pPr>
      <w:r>
        <w:rPr>
          <w:b/>
          <w:spacing w:val="-1"/>
          <w:w w:val="105"/>
          <w:sz w:val="23"/>
        </w:rPr>
        <w:t>Loan</w:t>
      </w:r>
      <w:r>
        <w:rPr>
          <w:b/>
          <w:spacing w:val="-13"/>
          <w:w w:val="105"/>
          <w:sz w:val="23"/>
        </w:rPr>
        <w:t xml:space="preserve"> </w:t>
      </w:r>
      <w:r>
        <w:rPr>
          <w:b/>
          <w:spacing w:val="-1"/>
          <w:w w:val="105"/>
          <w:sz w:val="23"/>
        </w:rPr>
        <w:t>No</w:t>
      </w:r>
      <w:r>
        <w:rPr>
          <w:spacing w:val="-1"/>
          <w:w w:val="105"/>
          <w:sz w:val="23"/>
        </w:rPr>
        <w:t>:</w:t>
      </w:r>
      <w:r>
        <w:rPr>
          <w:spacing w:val="-12"/>
          <w:w w:val="105"/>
          <w:sz w:val="23"/>
        </w:rPr>
        <w:t xml:space="preserve"> </w:t>
      </w:r>
      <w:r>
        <w:rPr>
          <w:spacing w:val="-1"/>
          <w:w w:val="105"/>
          <w:sz w:val="23"/>
        </w:rPr>
        <w:t>94710-ME</w:t>
      </w:r>
    </w:p>
    <w:p w14:paraId="694AA55D" w14:textId="4E3B5078" w:rsidR="004E4199" w:rsidRPr="00F54732" w:rsidRDefault="005B70BE" w:rsidP="004E4199">
      <w:pPr>
        <w:spacing w:before="67"/>
        <w:ind w:left="114"/>
        <w:rPr>
          <w:b/>
          <w:bCs/>
          <w:sz w:val="23"/>
        </w:rPr>
      </w:pPr>
      <w:r>
        <w:rPr>
          <w:b/>
          <w:sz w:val="23"/>
        </w:rPr>
        <w:t>Assignment</w:t>
      </w:r>
      <w:r>
        <w:rPr>
          <w:b/>
          <w:spacing w:val="26"/>
          <w:sz w:val="23"/>
        </w:rPr>
        <w:t xml:space="preserve"> </w:t>
      </w:r>
      <w:r>
        <w:rPr>
          <w:b/>
          <w:sz w:val="23"/>
        </w:rPr>
        <w:t>Title:</w:t>
      </w:r>
      <w:r>
        <w:rPr>
          <w:b/>
          <w:spacing w:val="24"/>
          <w:sz w:val="23"/>
        </w:rPr>
        <w:t xml:space="preserve"> </w:t>
      </w:r>
      <w:r w:rsidR="00BD1FDD" w:rsidRPr="00F54732">
        <w:rPr>
          <w:b/>
          <w:bCs/>
          <w:sz w:val="23"/>
        </w:rPr>
        <w:t>Transport Policy Expert</w:t>
      </w:r>
    </w:p>
    <w:p w14:paraId="700BD46C" w14:textId="693DED9F" w:rsidR="00B6676B" w:rsidRDefault="005B70BE">
      <w:pPr>
        <w:pStyle w:val="Heading1"/>
        <w:spacing w:before="9"/>
        <w:ind w:firstLine="0"/>
      </w:pPr>
      <w:r>
        <w:t>Reference</w:t>
      </w:r>
      <w:r>
        <w:rPr>
          <w:spacing w:val="43"/>
        </w:rPr>
        <w:t xml:space="preserve"> </w:t>
      </w:r>
      <w:r>
        <w:t>No</w:t>
      </w:r>
      <w:r>
        <w:rPr>
          <w:b w:val="0"/>
        </w:rPr>
        <w:t>.</w:t>
      </w:r>
      <w:r>
        <w:rPr>
          <w:b w:val="0"/>
          <w:spacing w:val="37"/>
        </w:rPr>
        <w:t xml:space="preserve"> </w:t>
      </w:r>
      <w:bookmarkStart w:id="0" w:name="_Hlk172898674"/>
      <w:r w:rsidR="00571AE3" w:rsidRPr="00571AE3">
        <w:t>MNE-WBTTFP-94710-IC-CS-24-4.</w:t>
      </w:r>
      <w:bookmarkEnd w:id="0"/>
      <w:r w:rsidR="00E15F80">
        <w:t>2</w:t>
      </w:r>
    </w:p>
    <w:p w14:paraId="02293254" w14:textId="77777777" w:rsidR="005153D2" w:rsidRDefault="005153D2" w:rsidP="005153D2">
      <w:pPr>
        <w:spacing w:before="9"/>
        <w:ind w:right="134"/>
        <w:rPr>
          <w:sz w:val="23"/>
        </w:rPr>
      </w:pPr>
      <w:r>
        <w:rPr>
          <w:sz w:val="23"/>
        </w:rPr>
        <w:t xml:space="preserve">   </w:t>
      </w:r>
    </w:p>
    <w:p w14:paraId="10E11B50" w14:textId="327AA9DF" w:rsidR="00B6676B" w:rsidRPr="00091B6C" w:rsidRDefault="00E15F80" w:rsidP="005153D2">
      <w:pPr>
        <w:spacing w:before="9"/>
        <w:ind w:right="134"/>
        <w:jc w:val="right"/>
        <w:rPr>
          <w:sz w:val="23"/>
        </w:rPr>
      </w:pPr>
      <w:r>
        <w:rPr>
          <w:sz w:val="23"/>
        </w:rPr>
        <w:t>December 30</w:t>
      </w:r>
      <w:r w:rsidR="00BD01DC">
        <w:rPr>
          <w:sz w:val="23"/>
        </w:rPr>
        <w:t>, 2024</w:t>
      </w:r>
    </w:p>
    <w:p w14:paraId="26E18B14" w14:textId="77777777" w:rsidR="00B6676B" w:rsidRPr="00091B6C" w:rsidRDefault="00B6676B">
      <w:pPr>
        <w:pStyle w:val="BodyText"/>
        <w:spacing w:before="2"/>
        <w:rPr>
          <w:sz w:val="14"/>
        </w:rPr>
      </w:pPr>
    </w:p>
    <w:p w14:paraId="35A14EE4" w14:textId="5D6525E5" w:rsidR="00B6676B" w:rsidRPr="00091B6C" w:rsidRDefault="005B70BE">
      <w:pPr>
        <w:spacing w:before="93"/>
        <w:ind w:left="114" w:right="101"/>
        <w:jc w:val="both"/>
        <w:rPr>
          <w:b/>
        </w:rPr>
      </w:pPr>
      <w:r w:rsidRPr="00091B6C">
        <w:t>The Government of Montenegro has received financing in the total amount of USD 15,000,000.00 (equivalent) from</w:t>
      </w:r>
      <w:r w:rsidRPr="00091B6C">
        <w:rPr>
          <w:spacing w:val="1"/>
        </w:rPr>
        <w:t xml:space="preserve"> </w:t>
      </w:r>
      <w:r w:rsidRPr="00091B6C">
        <w:t>the</w:t>
      </w:r>
      <w:r w:rsidRPr="00091B6C">
        <w:rPr>
          <w:spacing w:val="-10"/>
        </w:rPr>
        <w:t xml:space="preserve"> </w:t>
      </w:r>
      <w:r w:rsidRPr="00091B6C">
        <w:t>World</w:t>
      </w:r>
      <w:r w:rsidRPr="00091B6C">
        <w:rPr>
          <w:spacing w:val="-15"/>
        </w:rPr>
        <w:t xml:space="preserve"> </w:t>
      </w:r>
      <w:r w:rsidRPr="00091B6C">
        <w:t>Bank,</w:t>
      </w:r>
      <w:r w:rsidRPr="00091B6C">
        <w:rPr>
          <w:spacing w:val="-18"/>
        </w:rPr>
        <w:t xml:space="preserve"> </w:t>
      </w:r>
      <w:r w:rsidRPr="00091B6C">
        <w:t>toward</w:t>
      </w:r>
      <w:r w:rsidRPr="00091B6C">
        <w:rPr>
          <w:spacing w:val="-15"/>
        </w:rPr>
        <w:t xml:space="preserve"> </w:t>
      </w:r>
      <w:r w:rsidRPr="00091B6C">
        <w:t>the</w:t>
      </w:r>
      <w:r w:rsidRPr="00091B6C">
        <w:rPr>
          <w:spacing w:val="-17"/>
        </w:rPr>
        <w:t xml:space="preserve"> </w:t>
      </w:r>
      <w:r w:rsidRPr="00091B6C">
        <w:t>costs</w:t>
      </w:r>
      <w:r w:rsidRPr="00091B6C">
        <w:rPr>
          <w:spacing w:val="-19"/>
        </w:rPr>
        <w:t xml:space="preserve"> </w:t>
      </w:r>
      <w:r w:rsidRPr="00091B6C">
        <w:t>of</w:t>
      </w:r>
      <w:r w:rsidRPr="00091B6C">
        <w:rPr>
          <w:spacing w:val="-21"/>
        </w:rPr>
        <w:t xml:space="preserve"> </w:t>
      </w:r>
      <w:r w:rsidRPr="00091B6C">
        <w:t>the</w:t>
      </w:r>
      <w:r w:rsidRPr="00091B6C">
        <w:rPr>
          <w:spacing w:val="-10"/>
        </w:rPr>
        <w:t xml:space="preserve"> </w:t>
      </w:r>
      <w:r w:rsidRPr="00091B6C">
        <w:t>“</w:t>
      </w:r>
      <w:r w:rsidRPr="00091B6C">
        <w:rPr>
          <w:b/>
          <w:i/>
        </w:rPr>
        <w:t>Western</w:t>
      </w:r>
      <w:r w:rsidRPr="00091B6C">
        <w:rPr>
          <w:b/>
          <w:i/>
          <w:spacing w:val="-21"/>
        </w:rPr>
        <w:t xml:space="preserve"> </w:t>
      </w:r>
      <w:r w:rsidRPr="00091B6C">
        <w:rPr>
          <w:b/>
          <w:i/>
        </w:rPr>
        <w:t>Balkans</w:t>
      </w:r>
      <w:r w:rsidRPr="00091B6C">
        <w:rPr>
          <w:b/>
          <w:i/>
          <w:spacing w:val="-12"/>
        </w:rPr>
        <w:t xml:space="preserve"> </w:t>
      </w:r>
      <w:r w:rsidRPr="00091B6C">
        <w:rPr>
          <w:b/>
          <w:i/>
        </w:rPr>
        <w:t>Trade</w:t>
      </w:r>
      <w:r w:rsidRPr="00091B6C">
        <w:rPr>
          <w:b/>
          <w:i/>
          <w:spacing w:val="-17"/>
        </w:rPr>
        <w:t xml:space="preserve"> </w:t>
      </w:r>
      <w:r w:rsidRPr="00091B6C">
        <w:rPr>
          <w:b/>
          <w:i/>
        </w:rPr>
        <w:t>and</w:t>
      </w:r>
      <w:r w:rsidRPr="00091B6C">
        <w:rPr>
          <w:b/>
          <w:i/>
          <w:spacing w:val="-8"/>
        </w:rPr>
        <w:t xml:space="preserve"> </w:t>
      </w:r>
      <w:r w:rsidRPr="00091B6C">
        <w:rPr>
          <w:b/>
          <w:i/>
        </w:rPr>
        <w:t>Transport</w:t>
      </w:r>
      <w:r w:rsidRPr="00091B6C">
        <w:rPr>
          <w:b/>
          <w:i/>
          <w:spacing w:val="-17"/>
        </w:rPr>
        <w:t xml:space="preserve"> </w:t>
      </w:r>
      <w:r w:rsidRPr="00091B6C">
        <w:rPr>
          <w:b/>
          <w:i/>
        </w:rPr>
        <w:t>Facilitation</w:t>
      </w:r>
      <w:r w:rsidRPr="00091B6C">
        <w:rPr>
          <w:b/>
          <w:i/>
          <w:spacing w:val="-21"/>
        </w:rPr>
        <w:t xml:space="preserve"> </w:t>
      </w:r>
      <w:r w:rsidRPr="00091B6C">
        <w:rPr>
          <w:b/>
          <w:i/>
        </w:rPr>
        <w:t>Phase</w:t>
      </w:r>
      <w:r w:rsidRPr="00091B6C">
        <w:rPr>
          <w:b/>
          <w:i/>
          <w:spacing w:val="-17"/>
        </w:rPr>
        <w:t xml:space="preserve"> </w:t>
      </w:r>
      <w:r w:rsidRPr="00091B6C">
        <w:rPr>
          <w:b/>
          <w:i/>
        </w:rPr>
        <w:t>2”</w:t>
      </w:r>
      <w:r w:rsidRPr="00091B6C">
        <w:rPr>
          <w:b/>
          <w:i/>
          <w:spacing w:val="-15"/>
        </w:rPr>
        <w:t xml:space="preserve"> </w:t>
      </w:r>
      <w:r w:rsidRPr="00091B6C">
        <w:rPr>
          <w:b/>
          <w:i/>
        </w:rPr>
        <w:t>(TTFP)</w:t>
      </w:r>
      <w:r w:rsidRPr="00091B6C">
        <w:rPr>
          <w:b/>
          <w:i/>
          <w:spacing w:val="-11"/>
        </w:rPr>
        <w:t xml:space="preserve"> </w:t>
      </w:r>
      <w:r w:rsidRPr="00091B6C">
        <w:t>project</w:t>
      </w:r>
      <w:r w:rsidRPr="00091B6C">
        <w:rPr>
          <w:spacing w:val="1"/>
        </w:rPr>
        <w:t xml:space="preserve"> </w:t>
      </w:r>
      <w:r w:rsidRPr="00091B6C">
        <w:t>and intends to apply part of the proceeds of this loan towards payment for Consulting services under the Contract for</w:t>
      </w:r>
      <w:r w:rsidRPr="00091B6C">
        <w:rPr>
          <w:spacing w:val="1"/>
        </w:rPr>
        <w:t xml:space="preserve"> </w:t>
      </w:r>
      <w:r w:rsidRPr="00091B6C">
        <w:t>Individual</w:t>
      </w:r>
      <w:r w:rsidRPr="00091B6C">
        <w:rPr>
          <w:spacing w:val="-3"/>
        </w:rPr>
        <w:t xml:space="preserve"> </w:t>
      </w:r>
      <w:r w:rsidRPr="00091B6C">
        <w:t>Consultant:</w:t>
      </w:r>
      <w:r w:rsidRPr="00091B6C">
        <w:rPr>
          <w:spacing w:val="-2"/>
        </w:rPr>
        <w:t xml:space="preserve"> </w:t>
      </w:r>
      <w:r w:rsidR="00BD1FDD" w:rsidRPr="00BD1FDD">
        <w:rPr>
          <w:b/>
          <w:bCs/>
          <w:sz w:val="23"/>
        </w:rPr>
        <w:t>Transport Policy Expert</w:t>
      </w:r>
    </w:p>
    <w:p w14:paraId="085C4564" w14:textId="77777777" w:rsidR="00B6676B" w:rsidRPr="00E15F80" w:rsidRDefault="00B6676B" w:rsidP="00E15F80">
      <w:pPr>
        <w:pStyle w:val="BodyText"/>
        <w:ind w:left="114" w:right="103"/>
        <w:jc w:val="both"/>
      </w:pPr>
    </w:p>
    <w:p w14:paraId="3BBF8330" w14:textId="027AE58B" w:rsidR="00B6676B" w:rsidRDefault="00E15F80" w:rsidP="00E15F80">
      <w:pPr>
        <w:pStyle w:val="BodyText"/>
        <w:ind w:left="114" w:right="103"/>
        <w:jc w:val="both"/>
      </w:pPr>
      <w:r w:rsidRPr="00E15F80">
        <w:t>The Loan Agreement for the implementation of the Western Balkans Trade and Transport Facilitation Project (TTFP) under Multiphase Programmatic Approach (PHASE 2) in Montenegro (Project) was signed on 13 February 2023 and its closing date is 30 April 2028. The Project’s development objective is to reduce trade costs and increase transport efficiency in Montenegro. The key benefit will be more efficient processing of international trade and transport documentation for both traders and the administration. Such efficiencies will enhance the transparency of transactions and reduce duplications and overlaps. The envisaged significant cost savings are expected to result in lower transport costs, reductions in GHG emissions associated with the decrease in truck idling time, reduced administrative costs to trade, and finally in increased competitiveness on regional and global markets.</w:t>
      </w:r>
      <w:r>
        <w:t xml:space="preserve"> </w:t>
      </w:r>
    </w:p>
    <w:p w14:paraId="7B3DA001" w14:textId="77777777" w:rsidR="00E15F80" w:rsidRDefault="00E15F80" w:rsidP="00E15F80">
      <w:pPr>
        <w:pStyle w:val="BodyText"/>
        <w:ind w:left="114" w:right="103"/>
        <w:jc w:val="both"/>
      </w:pPr>
    </w:p>
    <w:p w14:paraId="4EEF8F5B" w14:textId="77777777" w:rsidR="00E15F80" w:rsidRDefault="00E15F80" w:rsidP="00E15F80">
      <w:pPr>
        <w:pStyle w:val="BodyText"/>
        <w:ind w:left="114" w:right="103"/>
        <w:jc w:val="both"/>
      </w:pPr>
      <w:r>
        <w:t xml:space="preserve">The </w:t>
      </w:r>
      <w:r w:rsidRPr="00AB2BEC">
        <w:rPr>
          <w:b/>
          <w:bCs/>
        </w:rPr>
        <w:t>Ministry of Transport (</w:t>
      </w:r>
      <w:proofErr w:type="spellStart"/>
      <w:r w:rsidRPr="00AB2BEC">
        <w:rPr>
          <w:b/>
          <w:bCs/>
        </w:rPr>
        <w:t>MoT</w:t>
      </w:r>
      <w:proofErr w:type="spellEnd"/>
      <w:r w:rsidRPr="00AB2BEC">
        <w:rPr>
          <w:b/>
          <w:bCs/>
        </w:rPr>
        <w:t>)</w:t>
      </w:r>
      <w:r>
        <w:t xml:space="preserve"> is the umbrella ministry under which the transport sector falls and will serve as the lead implementing body for the project and is responsible for forming and the recruitment of the PIU staff. The </w:t>
      </w:r>
      <w:proofErr w:type="spellStart"/>
      <w:r>
        <w:t>MoT</w:t>
      </w:r>
      <w:proofErr w:type="spellEnd"/>
      <w:r>
        <w:t xml:space="preserve"> and </w:t>
      </w:r>
      <w:proofErr w:type="spellStart"/>
      <w:r>
        <w:t>TTFP_Phase</w:t>
      </w:r>
      <w:proofErr w:type="spellEnd"/>
      <w:r>
        <w:t xml:space="preserve"> 2- PIU will be supported by the TSU of the Ministry of Finance in FM and procurement functions of the Project. In addition to </w:t>
      </w:r>
      <w:proofErr w:type="spellStart"/>
      <w:r>
        <w:t>MoT</w:t>
      </w:r>
      <w:proofErr w:type="spellEnd"/>
      <w:r>
        <w:t>, there are several other beneficiaries of the Project:</w:t>
      </w:r>
    </w:p>
    <w:p w14:paraId="575B731E" w14:textId="77777777" w:rsidR="00E15F80" w:rsidRDefault="00E15F80" w:rsidP="00E15F80">
      <w:pPr>
        <w:pStyle w:val="BodyText"/>
        <w:ind w:left="114" w:right="103"/>
        <w:jc w:val="both"/>
      </w:pPr>
    </w:p>
    <w:p w14:paraId="6A5C36AA" w14:textId="77777777" w:rsidR="00E15F80" w:rsidRDefault="00E15F80" w:rsidP="00E15F80">
      <w:pPr>
        <w:pStyle w:val="BodyText"/>
        <w:ind w:left="114" w:right="103"/>
        <w:jc w:val="both"/>
      </w:pPr>
      <w:r>
        <w:t>a.</w:t>
      </w:r>
      <w:r>
        <w:tab/>
        <w:t>Ministry of Maritime Affairs</w:t>
      </w:r>
    </w:p>
    <w:p w14:paraId="6EA9FFC1" w14:textId="77777777" w:rsidR="00E15F80" w:rsidRDefault="00E15F80" w:rsidP="00E15F80">
      <w:pPr>
        <w:pStyle w:val="BodyText"/>
        <w:ind w:left="114" w:right="103"/>
        <w:jc w:val="both"/>
      </w:pPr>
      <w:r>
        <w:t>b.</w:t>
      </w:r>
      <w:r>
        <w:tab/>
        <w:t xml:space="preserve">the Customs Administration (CA); </w:t>
      </w:r>
    </w:p>
    <w:p w14:paraId="0AC593D1" w14:textId="77777777" w:rsidR="00E15F80" w:rsidRDefault="00E15F80" w:rsidP="00E15F80">
      <w:pPr>
        <w:pStyle w:val="BodyText"/>
        <w:ind w:left="114" w:right="103"/>
        <w:jc w:val="both"/>
      </w:pPr>
      <w:r>
        <w:t>c.</w:t>
      </w:r>
      <w:r>
        <w:tab/>
        <w:t xml:space="preserve">the border police under the Ministry of Interior; </w:t>
      </w:r>
    </w:p>
    <w:p w14:paraId="58C46069" w14:textId="77777777" w:rsidR="00E15F80" w:rsidRDefault="00E15F80" w:rsidP="00E15F80">
      <w:pPr>
        <w:pStyle w:val="BodyText"/>
        <w:ind w:left="114" w:right="103"/>
        <w:jc w:val="both"/>
      </w:pPr>
      <w:r>
        <w:t>d.</w:t>
      </w:r>
      <w:r>
        <w:tab/>
        <w:t xml:space="preserve">the Railway Infrastructure of Montenegro; </w:t>
      </w:r>
    </w:p>
    <w:p w14:paraId="046C21DF" w14:textId="00B391C9" w:rsidR="00E15F80" w:rsidRPr="00091B6C" w:rsidRDefault="00E15F80" w:rsidP="00E15F80">
      <w:pPr>
        <w:pStyle w:val="BodyText"/>
        <w:ind w:left="114" w:right="103"/>
        <w:jc w:val="both"/>
      </w:pPr>
      <w:r>
        <w:t>e.</w:t>
      </w:r>
      <w:r>
        <w:tab/>
        <w:t>the Port Authority of Bar, along with the Port of Bar.</w:t>
      </w:r>
    </w:p>
    <w:p w14:paraId="3ADB952A" w14:textId="77777777" w:rsidR="00E15F80" w:rsidRDefault="00E15F80" w:rsidP="00BD1FDD">
      <w:pPr>
        <w:pStyle w:val="BodyText"/>
        <w:ind w:left="114" w:right="103"/>
        <w:jc w:val="both"/>
      </w:pPr>
    </w:p>
    <w:p w14:paraId="30B97F4D" w14:textId="036E55BB" w:rsidR="00BD1FDD" w:rsidRDefault="00BD1FDD" w:rsidP="00BD1FDD">
      <w:pPr>
        <w:pStyle w:val="BodyText"/>
        <w:ind w:left="114" w:right="103"/>
        <w:jc w:val="both"/>
      </w:pPr>
      <w:r>
        <w:t xml:space="preserve">The </w:t>
      </w:r>
      <w:r w:rsidRPr="00AB2BEC">
        <w:rPr>
          <w:b/>
          <w:bCs/>
        </w:rPr>
        <w:t>Ministry of Transport (</w:t>
      </w:r>
      <w:proofErr w:type="spellStart"/>
      <w:r w:rsidRPr="00AB2BEC">
        <w:rPr>
          <w:b/>
          <w:bCs/>
        </w:rPr>
        <w:t>MoT</w:t>
      </w:r>
      <w:proofErr w:type="spellEnd"/>
      <w:r w:rsidRPr="00AB2BEC">
        <w:rPr>
          <w:b/>
          <w:bCs/>
        </w:rPr>
        <w:t>)</w:t>
      </w:r>
      <w:r>
        <w:t xml:space="preserve"> needs the technical services of the </w:t>
      </w:r>
      <w:r w:rsidRPr="00E15F80">
        <w:rPr>
          <w:b/>
          <w:bCs/>
        </w:rPr>
        <w:t>Transport Policy Expert</w:t>
      </w:r>
      <w:r>
        <w:t xml:space="preserve"> who will be responsible to plan, monitor, control and give technical advice on all the Transport Policy related activities to ensure their incorporation in alignment with the international good practices. </w:t>
      </w:r>
    </w:p>
    <w:p w14:paraId="575584CA" w14:textId="77777777" w:rsidR="00BD1FDD" w:rsidRDefault="00BD1FDD" w:rsidP="00BD1FDD">
      <w:pPr>
        <w:pStyle w:val="BodyText"/>
        <w:ind w:left="114" w:right="103"/>
        <w:jc w:val="both"/>
      </w:pPr>
    </w:p>
    <w:p w14:paraId="6A2503EA" w14:textId="7ACCF280" w:rsidR="004E4199" w:rsidRPr="004E4199" w:rsidRDefault="00BD1FDD" w:rsidP="00BD1FDD">
      <w:pPr>
        <w:pStyle w:val="BodyText"/>
        <w:ind w:left="114" w:right="103"/>
        <w:jc w:val="both"/>
      </w:pPr>
      <w:r w:rsidRPr="007902EF">
        <w:rPr>
          <w:b/>
          <w:bCs/>
        </w:rPr>
        <w:t>The Transport Policy Expert</w:t>
      </w:r>
      <w:r>
        <w:t xml:space="preserve"> will work closely with the</w:t>
      </w:r>
      <w:r w:rsidR="00AB2BEC">
        <w:t xml:space="preserve"> Client/</w:t>
      </w:r>
      <w:proofErr w:type="spellStart"/>
      <w:r>
        <w:t>MoT</w:t>
      </w:r>
      <w:proofErr w:type="spellEnd"/>
      <w:r>
        <w:t xml:space="preserve">, and other relevant stakeholders to ensure that the transport policy related activities of the project are managed efficiently both technically and in compliance with the objectives of the Project Appraisal Document (PAD), the Project's Legal Agreement and Financing Agreement, and the Project Operations Manual. The Transport Policy Expert, always aligned with the Project Menager and in collaboration with the other Project </w:t>
      </w:r>
      <w:r w:rsidR="007902EF">
        <w:t>staff</w:t>
      </w:r>
      <w:r>
        <w:t xml:space="preserve">, shall interact and liaise with different ministries through their focal points, units and agencies and also a number of other external bodies, contractors, consultants, World Bank, partners, and other agencies in the Western Balkans at the same time. Creativity, initiative, analytical </w:t>
      </w:r>
      <w:r>
        <w:lastRenderedPageBreak/>
        <w:t>capacity and team work are therefore required to cope with such diverse demands and actors, which makes working experience in the Region desirable and similar working experience on an international transport policy operation is desirable. The main challenge is to ensure that the contractors/consultants produce an acceptable quality of work within the budget allowances and time, so that the objectives of the Project are achieved.</w:t>
      </w:r>
      <w:r w:rsidRPr="00BD1FDD">
        <w:t xml:space="preserve"> This will be done in close cooperation with the Project Manager, the contractors and consultants, and other agencies involved in the preparing the transport policy (as described in the Project Operation Manual).</w:t>
      </w:r>
    </w:p>
    <w:p w14:paraId="608EE830" w14:textId="77777777" w:rsidR="00BD1FDD" w:rsidRDefault="00BD1FDD">
      <w:pPr>
        <w:pStyle w:val="BodyText"/>
        <w:spacing w:before="1" w:line="242" w:lineRule="auto"/>
        <w:ind w:left="114" w:right="109"/>
        <w:jc w:val="both"/>
      </w:pPr>
    </w:p>
    <w:p w14:paraId="27393FE3" w14:textId="20A47552" w:rsidR="00B6676B" w:rsidRPr="00BD1FDD" w:rsidRDefault="005B70BE">
      <w:pPr>
        <w:pStyle w:val="BodyText"/>
        <w:spacing w:before="1" w:line="242" w:lineRule="auto"/>
        <w:ind w:left="114" w:right="109"/>
        <w:jc w:val="both"/>
      </w:pPr>
      <w:r w:rsidRPr="00BD1FDD">
        <w:t xml:space="preserve">The </w:t>
      </w:r>
      <w:r w:rsidR="00BD1FDD" w:rsidRPr="00AB2BEC">
        <w:rPr>
          <w:b/>
          <w:bCs/>
        </w:rPr>
        <w:t>Transport Policy Expert</w:t>
      </w:r>
      <w:r w:rsidR="00F73E94" w:rsidRPr="00BD1FDD">
        <w:t xml:space="preserve"> </w:t>
      </w:r>
      <w:r w:rsidRPr="00BD1FDD">
        <w:t xml:space="preserve">– shall be engaged to implement and follow the Projects activities on a </w:t>
      </w:r>
      <w:r w:rsidR="00F73E94" w:rsidRPr="00BD1FDD">
        <w:t>full-time or part-time daily basis (working days, from Monday to Friday</w:t>
      </w:r>
      <w:r w:rsidR="009A7E01" w:rsidRPr="00BD1FDD">
        <w:t>).</w:t>
      </w:r>
      <w:r w:rsidRPr="00BD1FDD">
        <w:t xml:space="preserve"> </w:t>
      </w:r>
      <w:r w:rsidR="009A7E01" w:rsidRPr="00BD1FDD">
        <w:t>Upon negotiations, t</w:t>
      </w:r>
      <w:r w:rsidR="00F73E94" w:rsidRPr="00BD1FDD">
        <w:t>he contract will be signed for a period of 1 year with the possibility of renewal till the end of the project implementation (April 30, 2028)</w:t>
      </w:r>
      <w:r w:rsidR="004E4199" w:rsidRPr="00BD1FDD">
        <w:t xml:space="preserve">. </w:t>
      </w:r>
      <w:r w:rsidR="00F73E94" w:rsidRPr="00BD1FDD">
        <w:t>The consultancy is expected to start not later than</w:t>
      </w:r>
      <w:r w:rsidR="00641AC0">
        <w:t xml:space="preserve"> in</w:t>
      </w:r>
      <w:r w:rsidR="00F73E94" w:rsidRPr="00BD1FDD">
        <w:t xml:space="preserve"> </w:t>
      </w:r>
      <w:r w:rsidR="00E15F80" w:rsidRPr="00AB2BEC">
        <w:rPr>
          <w:b/>
          <w:bCs/>
        </w:rPr>
        <w:t>January</w:t>
      </w:r>
      <w:r w:rsidR="004E4199" w:rsidRPr="00AB2BEC">
        <w:rPr>
          <w:b/>
          <w:bCs/>
        </w:rPr>
        <w:t xml:space="preserve">, </w:t>
      </w:r>
      <w:r w:rsidR="00F73E94" w:rsidRPr="00AB2BEC">
        <w:rPr>
          <w:b/>
          <w:bCs/>
        </w:rPr>
        <w:t>202</w:t>
      </w:r>
      <w:r w:rsidR="00E15F80" w:rsidRPr="00AB2BEC">
        <w:rPr>
          <w:b/>
          <w:bCs/>
        </w:rPr>
        <w:t>5</w:t>
      </w:r>
      <w:r w:rsidR="00F73E94" w:rsidRPr="00BD1FDD">
        <w:t xml:space="preserve"> and </w:t>
      </w:r>
      <w:r w:rsidR="00F73E94" w:rsidRPr="00AB2BEC">
        <w:rPr>
          <w:u w:val="single"/>
        </w:rPr>
        <w:t>includes an initial probation period of 3 months</w:t>
      </w:r>
      <w:r w:rsidR="00F73E94" w:rsidRPr="00BD1FDD">
        <w:t>.</w:t>
      </w:r>
      <w:r w:rsidR="0043491D" w:rsidRPr="00BD1FDD">
        <w:t xml:space="preserve"> Successful management of the project requires a dynamic person, with excellent communication skills, who is ready to work in a team and contribute to a positive team spirit.</w:t>
      </w:r>
    </w:p>
    <w:p w14:paraId="5A54A73A" w14:textId="77777777" w:rsidR="00B6676B" w:rsidRDefault="00B6676B">
      <w:pPr>
        <w:pStyle w:val="BodyText"/>
        <w:spacing w:before="6"/>
        <w:rPr>
          <w:sz w:val="23"/>
        </w:rPr>
      </w:pPr>
    </w:p>
    <w:p w14:paraId="7CA04C03" w14:textId="77777777" w:rsidR="00B6676B" w:rsidRDefault="005B70BE">
      <w:pPr>
        <w:pStyle w:val="BodyText"/>
        <w:ind w:left="114" w:right="109"/>
        <w:jc w:val="both"/>
        <w:rPr>
          <w:u w:val="single"/>
        </w:rPr>
      </w:pPr>
      <w:r w:rsidRPr="00F73E94">
        <w:rPr>
          <w:u w:val="single"/>
        </w:rPr>
        <w:t>The detailed Terms of Reference (TOR) for the assignment can be obtained upon request at the e-mail address given</w:t>
      </w:r>
      <w:r w:rsidRPr="00F73E94">
        <w:rPr>
          <w:spacing w:val="1"/>
          <w:u w:val="single"/>
        </w:rPr>
        <w:t xml:space="preserve"> </w:t>
      </w:r>
      <w:r w:rsidRPr="00F73E94">
        <w:rPr>
          <w:u w:val="single"/>
        </w:rPr>
        <w:t>below.</w:t>
      </w:r>
    </w:p>
    <w:p w14:paraId="3E7D73BE" w14:textId="77777777" w:rsidR="00AB2BEC" w:rsidRPr="00F73E94" w:rsidRDefault="00AB2BEC">
      <w:pPr>
        <w:pStyle w:val="BodyText"/>
        <w:ind w:left="114" w:right="109"/>
        <w:jc w:val="both"/>
        <w:rPr>
          <w:u w:val="single"/>
        </w:rPr>
      </w:pPr>
    </w:p>
    <w:p w14:paraId="176A9CD7" w14:textId="40268632" w:rsidR="00B6676B" w:rsidRPr="00AB2BEC" w:rsidRDefault="00AB2BEC" w:rsidP="00AB2BEC">
      <w:pPr>
        <w:pStyle w:val="BodyText"/>
        <w:spacing w:before="1" w:line="242" w:lineRule="auto"/>
        <w:ind w:left="114" w:right="109"/>
        <w:jc w:val="both"/>
      </w:pPr>
      <w:r w:rsidRPr="00AB2BEC">
        <w:t xml:space="preserve">The </w:t>
      </w:r>
      <w:r w:rsidRPr="00AB2BEC">
        <w:rPr>
          <w:b/>
          <w:bCs/>
        </w:rPr>
        <w:t>‘’</w:t>
      </w:r>
      <w:proofErr w:type="spellStart"/>
      <w:r w:rsidRPr="00AB2BEC">
        <w:rPr>
          <w:b/>
          <w:bCs/>
        </w:rPr>
        <w:t>MoT</w:t>
      </w:r>
      <w:proofErr w:type="spellEnd"/>
      <w:r w:rsidRPr="00AB2BEC">
        <w:rPr>
          <w:b/>
          <w:bCs/>
        </w:rPr>
        <w:t>’’</w:t>
      </w:r>
      <w:r w:rsidRPr="00AB2BEC">
        <w:t xml:space="preserve"> through the </w:t>
      </w:r>
      <w:r w:rsidRPr="00AB2BEC">
        <w:rPr>
          <w:b/>
          <w:bCs/>
        </w:rPr>
        <w:t>‘’Technical Service Unit’’</w:t>
      </w:r>
      <w:r w:rsidRPr="00AB2BEC">
        <w:t>, now invites eligible individual consultants (“Consultant”) to indicate their interest in providing the Services. Interested Consultants should provide information demonstrating that have required qualifications and relevant experience to perform the Services. (CV, description of similar assignments performed, experience in similar conditions, letters of recommendation, etc.). Individual consultants may be offered through the firms or other organizations, but the only qualifications of the Individual Consultant will be the basis of selection. Contract will be signed with proposed individuals.</w:t>
      </w:r>
    </w:p>
    <w:p w14:paraId="487CC5F0" w14:textId="77777777" w:rsidR="00AB2BEC" w:rsidRDefault="00AB2BEC">
      <w:pPr>
        <w:pStyle w:val="BodyText"/>
        <w:spacing w:before="1"/>
      </w:pPr>
    </w:p>
    <w:p w14:paraId="0CDCE116" w14:textId="4F1A3857" w:rsidR="00B6676B" w:rsidRDefault="00AB2BEC" w:rsidP="004E4199">
      <w:pPr>
        <w:pStyle w:val="BodyText"/>
      </w:pPr>
      <w:r w:rsidRPr="00AB2BEC">
        <w:rPr>
          <w:b/>
          <w:bCs/>
        </w:rPr>
        <w:t>Mandatory qualification criteria</w:t>
      </w:r>
      <w:r w:rsidRPr="00AB2BEC">
        <w:t xml:space="preserve">, and only those candidates who met these criteria may be </w:t>
      </w:r>
      <w:r>
        <w:t>considered</w:t>
      </w:r>
      <w:r w:rsidRPr="00AB2BEC">
        <w:t xml:space="preserve"> </w:t>
      </w:r>
      <w:r>
        <w:t>for</w:t>
      </w:r>
      <w:r w:rsidRPr="00AB2BEC">
        <w:t xml:space="preserve"> the evaluation process:</w:t>
      </w:r>
    </w:p>
    <w:p w14:paraId="154B9720" w14:textId="77777777" w:rsidR="00AB2BEC" w:rsidRDefault="00AB2BEC" w:rsidP="004E4199">
      <w:pPr>
        <w:pStyle w:val="BodyText"/>
      </w:pPr>
    </w:p>
    <w:p w14:paraId="4CD61C34" w14:textId="77777777" w:rsidR="00AB2BEC" w:rsidRPr="004C2A55" w:rsidRDefault="00AB2BEC" w:rsidP="00AB2BEC">
      <w:pPr>
        <w:pStyle w:val="ListParagraph"/>
        <w:widowControl/>
        <w:numPr>
          <w:ilvl w:val="0"/>
          <w:numId w:val="13"/>
        </w:numPr>
        <w:suppressAutoHyphens/>
        <w:autoSpaceDE/>
        <w:autoSpaceDN/>
        <w:spacing w:after="120" w:line="240" w:lineRule="auto"/>
        <w:ind w:right="58"/>
        <w:contextualSpacing/>
        <w:jc w:val="both"/>
      </w:pPr>
      <w:r w:rsidRPr="004C2A55">
        <w:t xml:space="preserve">University Diploma in law, transport engineering or any relevant discipline; </w:t>
      </w:r>
    </w:p>
    <w:p w14:paraId="4D04C617" w14:textId="77777777" w:rsidR="00AB2BEC" w:rsidRPr="004C2A55" w:rsidRDefault="00AB2BEC" w:rsidP="00AB2BEC">
      <w:pPr>
        <w:pStyle w:val="ListParagraph"/>
        <w:widowControl/>
        <w:numPr>
          <w:ilvl w:val="0"/>
          <w:numId w:val="13"/>
        </w:numPr>
        <w:suppressAutoHyphens/>
        <w:autoSpaceDE/>
        <w:autoSpaceDN/>
        <w:spacing w:after="120" w:line="240" w:lineRule="auto"/>
        <w:ind w:right="58"/>
        <w:contextualSpacing/>
        <w:jc w:val="both"/>
      </w:pPr>
      <w:r w:rsidRPr="004C2A55">
        <w:t>Relevant experience in transport sector;</w:t>
      </w:r>
    </w:p>
    <w:p w14:paraId="4B3039F8" w14:textId="77777777" w:rsidR="00AB2BEC" w:rsidRPr="004C2A55" w:rsidRDefault="00AB2BEC" w:rsidP="00AB2BEC">
      <w:pPr>
        <w:pStyle w:val="ListParagraph"/>
        <w:widowControl/>
        <w:numPr>
          <w:ilvl w:val="0"/>
          <w:numId w:val="13"/>
        </w:numPr>
        <w:suppressAutoHyphens/>
        <w:autoSpaceDE/>
        <w:autoSpaceDN/>
        <w:spacing w:after="120" w:line="240" w:lineRule="auto"/>
        <w:ind w:right="58"/>
        <w:contextualSpacing/>
        <w:jc w:val="both"/>
      </w:pPr>
      <w:r w:rsidRPr="004C2A55">
        <w:t>Written and spoken fluency in English and Montenegrin is essential;</w:t>
      </w:r>
    </w:p>
    <w:p w14:paraId="142CC23A" w14:textId="77777777" w:rsidR="00AB2BEC" w:rsidRPr="004C2A55" w:rsidRDefault="00AB2BEC" w:rsidP="00AB2BEC">
      <w:pPr>
        <w:pStyle w:val="ListParagraph"/>
        <w:widowControl/>
        <w:numPr>
          <w:ilvl w:val="0"/>
          <w:numId w:val="13"/>
        </w:numPr>
        <w:suppressAutoHyphens/>
        <w:autoSpaceDE/>
        <w:autoSpaceDN/>
        <w:spacing w:after="120" w:line="240" w:lineRule="auto"/>
        <w:ind w:right="58"/>
        <w:contextualSpacing/>
        <w:jc w:val="both"/>
      </w:pPr>
      <w:r w:rsidRPr="004C2A55">
        <w:t xml:space="preserve">Computer skills MS Office (Excel Word Power Point), Internet, and database; </w:t>
      </w:r>
    </w:p>
    <w:p w14:paraId="1423EA76" w14:textId="77777777" w:rsidR="00AB2BEC" w:rsidRPr="004C2A55" w:rsidRDefault="00AB2BEC" w:rsidP="00AB2BEC">
      <w:pPr>
        <w:pStyle w:val="ListParagraph"/>
        <w:widowControl/>
        <w:numPr>
          <w:ilvl w:val="0"/>
          <w:numId w:val="13"/>
        </w:numPr>
        <w:suppressAutoHyphens/>
        <w:autoSpaceDE/>
        <w:autoSpaceDN/>
        <w:spacing w:after="120" w:line="240" w:lineRule="auto"/>
        <w:ind w:right="58"/>
        <w:contextualSpacing/>
        <w:jc w:val="both"/>
      </w:pPr>
      <w:r w:rsidRPr="004C2A55">
        <w:t>At least 5 years of professional experience related to policy making in transport sector;</w:t>
      </w:r>
    </w:p>
    <w:p w14:paraId="40E67DF8" w14:textId="77777777" w:rsidR="00AB2BEC" w:rsidRPr="004C2A55" w:rsidRDefault="00AB2BEC" w:rsidP="00AB2BEC">
      <w:pPr>
        <w:pStyle w:val="ListParagraph"/>
        <w:widowControl/>
        <w:numPr>
          <w:ilvl w:val="0"/>
          <w:numId w:val="13"/>
        </w:numPr>
        <w:suppressAutoHyphens/>
        <w:autoSpaceDE/>
        <w:autoSpaceDN/>
        <w:spacing w:after="120" w:line="240" w:lineRule="auto"/>
        <w:ind w:right="58"/>
        <w:contextualSpacing/>
        <w:jc w:val="both"/>
      </w:pPr>
      <w:r w:rsidRPr="004C2A55">
        <w:t xml:space="preserve">Experience in drafting policy, strategic documents, laws, bylaws and guidelines; </w:t>
      </w:r>
    </w:p>
    <w:p w14:paraId="657B6969" w14:textId="77777777" w:rsidR="00AB2BEC" w:rsidRPr="004C2A55" w:rsidRDefault="00AB2BEC" w:rsidP="00AB2BEC">
      <w:pPr>
        <w:pStyle w:val="ListParagraph"/>
        <w:widowControl/>
        <w:numPr>
          <w:ilvl w:val="0"/>
          <w:numId w:val="13"/>
        </w:numPr>
        <w:suppressAutoHyphens/>
        <w:autoSpaceDE/>
        <w:autoSpaceDN/>
        <w:spacing w:after="120" w:line="240" w:lineRule="auto"/>
        <w:ind w:right="58"/>
        <w:contextualSpacing/>
        <w:jc w:val="both"/>
      </w:pPr>
      <w:r w:rsidRPr="004C2A55">
        <w:t>Experience related to EU transport development, strategic planning and pre-accession policies and procedures including but not limited to European transport strategies, sustainable transport, transport infrastructure and investment in transport;</w:t>
      </w:r>
    </w:p>
    <w:p w14:paraId="4A87C493" w14:textId="77777777" w:rsidR="00AB2BEC" w:rsidRPr="004C2A55" w:rsidRDefault="00AB2BEC" w:rsidP="00AB2BEC">
      <w:pPr>
        <w:pStyle w:val="ListParagraph"/>
        <w:widowControl/>
        <w:numPr>
          <w:ilvl w:val="0"/>
          <w:numId w:val="13"/>
        </w:numPr>
        <w:suppressAutoHyphens/>
        <w:autoSpaceDE/>
        <w:autoSpaceDN/>
        <w:spacing w:after="120" w:line="240" w:lineRule="auto"/>
        <w:ind w:right="58"/>
        <w:contextualSpacing/>
        <w:jc w:val="both"/>
      </w:pPr>
      <w:r w:rsidRPr="004C2A55">
        <w:t>Previous experience of working with international financial institutions and donors on similar projects.</w:t>
      </w:r>
    </w:p>
    <w:p w14:paraId="7C0D9081" w14:textId="77777777" w:rsidR="00B6676B" w:rsidRPr="004E4199" w:rsidRDefault="00B6676B" w:rsidP="00BD1FDD">
      <w:pPr>
        <w:pStyle w:val="BodyText"/>
        <w:spacing w:before="10"/>
        <w:ind w:left="720"/>
      </w:pPr>
    </w:p>
    <w:p w14:paraId="0BE05BF5" w14:textId="77777777" w:rsidR="008A5C9D" w:rsidRPr="00AB2BEC" w:rsidRDefault="005B70BE" w:rsidP="004E4199">
      <w:pPr>
        <w:pStyle w:val="BodyText"/>
        <w:rPr>
          <w:b/>
          <w:bCs/>
        </w:rPr>
      </w:pPr>
      <w:r w:rsidRPr="00AB2BEC">
        <w:rPr>
          <w:b/>
          <w:bCs/>
        </w:rPr>
        <w:t>Evaluation criteria:</w:t>
      </w:r>
      <w:r w:rsidR="008A5C9D" w:rsidRPr="00AB2BEC">
        <w:rPr>
          <w:b/>
          <w:bCs/>
        </w:rPr>
        <w:t xml:space="preserve"> </w:t>
      </w:r>
    </w:p>
    <w:p w14:paraId="283987A1" w14:textId="77777777" w:rsidR="00B701EA" w:rsidRDefault="00B701EA" w:rsidP="004E4199">
      <w:pPr>
        <w:pStyle w:val="BodyText"/>
      </w:pPr>
      <w:r>
        <w:tab/>
      </w:r>
    </w:p>
    <w:tbl>
      <w:tblPr>
        <w:tblStyle w:val="TableGrid"/>
        <w:tblW w:w="0" w:type="auto"/>
        <w:jc w:val="center"/>
        <w:tblLook w:val="04A0" w:firstRow="1" w:lastRow="0" w:firstColumn="1" w:lastColumn="0" w:noHBand="0" w:noVBand="1"/>
      </w:tblPr>
      <w:tblGrid>
        <w:gridCol w:w="892"/>
        <w:gridCol w:w="7844"/>
        <w:gridCol w:w="901"/>
      </w:tblGrid>
      <w:tr w:rsidR="00B701EA" w:rsidRPr="006C474B" w14:paraId="3D7FF495" w14:textId="77777777" w:rsidTr="00B701EA">
        <w:trPr>
          <w:trHeight w:val="442"/>
          <w:jc w:val="center"/>
        </w:trPr>
        <w:tc>
          <w:tcPr>
            <w:tcW w:w="892" w:type="dxa"/>
          </w:tcPr>
          <w:p w14:paraId="4214F8E4" w14:textId="77777777" w:rsidR="00B701EA" w:rsidRPr="007006EF" w:rsidRDefault="00B701EA" w:rsidP="001C0398">
            <w:pPr>
              <w:jc w:val="both"/>
              <w:rPr>
                <w:rFonts w:cstheme="minorHAnsi"/>
                <w:b/>
                <w:sz w:val="24"/>
                <w:szCs w:val="24"/>
              </w:rPr>
            </w:pPr>
            <w:r w:rsidRPr="007006EF">
              <w:rPr>
                <w:rFonts w:cstheme="minorHAnsi"/>
                <w:b/>
                <w:sz w:val="24"/>
                <w:szCs w:val="24"/>
              </w:rPr>
              <w:t xml:space="preserve">No. </w:t>
            </w:r>
          </w:p>
        </w:tc>
        <w:tc>
          <w:tcPr>
            <w:tcW w:w="7844" w:type="dxa"/>
          </w:tcPr>
          <w:p w14:paraId="399D0EA8" w14:textId="77777777" w:rsidR="00B701EA" w:rsidRPr="007006EF" w:rsidRDefault="00B701EA" w:rsidP="001C0398">
            <w:pPr>
              <w:suppressAutoHyphens/>
              <w:ind w:right="58"/>
              <w:jc w:val="both"/>
              <w:rPr>
                <w:rFonts w:cstheme="minorHAnsi"/>
                <w:b/>
                <w:sz w:val="24"/>
                <w:szCs w:val="24"/>
              </w:rPr>
            </w:pPr>
            <w:r w:rsidRPr="007006EF">
              <w:rPr>
                <w:rFonts w:cstheme="minorHAnsi"/>
                <w:b/>
                <w:sz w:val="24"/>
                <w:szCs w:val="24"/>
              </w:rPr>
              <w:t>Criteria</w:t>
            </w:r>
          </w:p>
        </w:tc>
        <w:tc>
          <w:tcPr>
            <w:tcW w:w="901" w:type="dxa"/>
          </w:tcPr>
          <w:p w14:paraId="594815FA" w14:textId="77777777" w:rsidR="00B701EA" w:rsidRPr="006C474B" w:rsidRDefault="00B701EA" w:rsidP="001C0398">
            <w:pPr>
              <w:spacing w:after="160" w:line="259" w:lineRule="auto"/>
              <w:jc w:val="both"/>
              <w:rPr>
                <w:rFonts w:cstheme="minorHAnsi"/>
                <w:b/>
                <w:sz w:val="24"/>
                <w:szCs w:val="24"/>
              </w:rPr>
            </w:pPr>
            <w:r w:rsidRPr="007006EF">
              <w:rPr>
                <w:rFonts w:cstheme="minorHAnsi"/>
                <w:b/>
                <w:sz w:val="24"/>
                <w:szCs w:val="24"/>
              </w:rPr>
              <w:t>Score</w:t>
            </w:r>
          </w:p>
        </w:tc>
      </w:tr>
      <w:tr w:rsidR="00B701EA" w14:paraId="34246823" w14:textId="77777777" w:rsidTr="00B701EA">
        <w:trPr>
          <w:trHeight w:val="419"/>
          <w:jc w:val="center"/>
        </w:trPr>
        <w:tc>
          <w:tcPr>
            <w:tcW w:w="892" w:type="dxa"/>
          </w:tcPr>
          <w:p w14:paraId="70D6CD05" w14:textId="0B272D17" w:rsidR="00B701EA" w:rsidRPr="00B701EA" w:rsidRDefault="00B701EA" w:rsidP="00B701EA">
            <w:pPr>
              <w:pStyle w:val="ListParagraph"/>
              <w:numPr>
                <w:ilvl w:val="0"/>
                <w:numId w:val="12"/>
              </w:numPr>
              <w:jc w:val="both"/>
              <w:rPr>
                <w:rFonts w:cstheme="minorHAnsi"/>
              </w:rPr>
            </w:pPr>
          </w:p>
        </w:tc>
        <w:tc>
          <w:tcPr>
            <w:tcW w:w="7844" w:type="dxa"/>
          </w:tcPr>
          <w:p w14:paraId="7B84314C" w14:textId="77777777" w:rsidR="00B701EA" w:rsidRPr="00B701EA" w:rsidRDefault="00B701EA" w:rsidP="001C0398">
            <w:pPr>
              <w:tabs>
                <w:tab w:val="left" w:pos="-720"/>
                <w:tab w:val="num" w:pos="1080"/>
              </w:tabs>
              <w:suppressAutoHyphens/>
              <w:ind w:right="58"/>
              <w:jc w:val="both"/>
              <w:rPr>
                <w:rFonts w:cstheme="minorHAnsi"/>
              </w:rPr>
            </w:pPr>
            <w:r w:rsidRPr="00B701EA">
              <w:rPr>
                <w:rFonts w:cstheme="minorHAnsi"/>
              </w:rPr>
              <w:t>At least 5 years of professional experience related to policy making in transport sector</w:t>
            </w:r>
          </w:p>
        </w:tc>
        <w:tc>
          <w:tcPr>
            <w:tcW w:w="901" w:type="dxa"/>
          </w:tcPr>
          <w:p w14:paraId="196433D0" w14:textId="75EABE3E" w:rsidR="00B701EA" w:rsidRPr="00B701EA" w:rsidRDefault="00B701EA" w:rsidP="001C0398">
            <w:pPr>
              <w:jc w:val="both"/>
              <w:rPr>
                <w:rFonts w:cstheme="minorHAnsi"/>
              </w:rPr>
            </w:pPr>
            <w:r w:rsidRPr="00B701EA">
              <w:rPr>
                <w:rFonts w:cstheme="minorHAnsi"/>
              </w:rPr>
              <w:t>30 %</w:t>
            </w:r>
          </w:p>
        </w:tc>
      </w:tr>
      <w:tr w:rsidR="00B701EA" w14:paraId="46F41110" w14:textId="77777777" w:rsidTr="00B701EA">
        <w:trPr>
          <w:trHeight w:val="411"/>
          <w:jc w:val="center"/>
        </w:trPr>
        <w:tc>
          <w:tcPr>
            <w:tcW w:w="892" w:type="dxa"/>
          </w:tcPr>
          <w:p w14:paraId="73BBDBAE" w14:textId="78F975E9" w:rsidR="00B701EA" w:rsidRPr="00B701EA" w:rsidRDefault="00B701EA" w:rsidP="00B701EA">
            <w:pPr>
              <w:pStyle w:val="ListParagraph"/>
              <w:numPr>
                <w:ilvl w:val="0"/>
                <w:numId w:val="12"/>
              </w:numPr>
              <w:jc w:val="both"/>
              <w:rPr>
                <w:rFonts w:cstheme="minorHAnsi"/>
              </w:rPr>
            </w:pPr>
          </w:p>
        </w:tc>
        <w:tc>
          <w:tcPr>
            <w:tcW w:w="7844" w:type="dxa"/>
          </w:tcPr>
          <w:p w14:paraId="08E7A1AB" w14:textId="77777777" w:rsidR="00B701EA" w:rsidRPr="00B701EA" w:rsidRDefault="00B701EA" w:rsidP="001C0398">
            <w:pPr>
              <w:suppressAutoHyphens/>
              <w:ind w:right="58"/>
              <w:jc w:val="both"/>
              <w:rPr>
                <w:rFonts w:cstheme="minorHAnsi"/>
              </w:rPr>
            </w:pPr>
            <w:r w:rsidRPr="00B701EA">
              <w:rPr>
                <w:rFonts w:cstheme="minorHAnsi"/>
              </w:rPr>
              <w:t>Experience in drafting policy, and strategic documents, laws, bylaws and guidelines</w:t>
            </w:r>
          </w:p>
        </w:tc>
        <w:tc>
          <w:tcPr>
            <w:tcW w:w="901" w:type="dxa"/>
          </w:tcPr>
          <w:p w14:paraId="3931CF8C" w14:textId="77777777" w:rsidR="00B701EA" w:rsidRPr="00B701EA" w:rsidRDefault="00B701EA" w:rsidP="001C0398">
            <w:pPr>
              <w:jc w:val="both"/>
              <w:rPr>
                <w:rFonts w:cstheme="minorHAnsi"/>
              </w:rPr>
            </w:pPr>
            <w:r w:rsidRPr="00B701EA">
              <w:rPr>
                <w:rFonts w:cstheme="minorHAnsi"/>
              </w:rPr>
              <w:t>30 %</w:t>
            </w:r>
          </w:p>
        </w:tc>
      </w:tr>
      <w:tr w:rsidR="00B701EA" w14:paraId="1110C5F6" w14:textId="77777777" w:rsidTr="00B701EA">
        <w:trPr>
          <w:trHeight w:val="856"/>
          <w:jc w:val="center"/>
        </w:trPr>
        <w:tc>
          <w:tcPr>
            <w:tcW w:w="892" w:type="dxa"/>
          </w:tcPr>
          <w:p w14:paraId="1C3F7F89" w14:textId="152D7272" w:rsidR="00B701EA" w:rsidRPr="00B701EA" w:rsidRDefault="00B701EA" w:rsidP="00B701EA">
            <w:pPr>
              <w:pStyle w:val="ListParagraph"/>
              <w:numPr>
                <w:ilvl w:val="0"/>
                <w:numId w:val="12"/>
              </w:numPr>
              <w:jc w:val="both"/>
              <w:rPr>
                <w:rFonts w:cstheme="minorHAnsi"/>
              </w:rPr>
            </w:pPr>
          </w:p>
        </w:tc>
        <w:tc>
          <w:tcPr>
            <w:tcW w:w="7844" w:type="dxa"/>
          </w:tcPr>
          <w:p w14:paraId="4B0C73C0" w14:textId="77777777" w:rsidR="00B701EA" w:rsidRPr="00B701EA" w:rsidRDefault="00B701EA" w:rsidP="001C0398">
            <w:pPr>
              <w:suppressAutoHyphens/>
              <w:ind w:right="58"/>
              <w:jc w:val="both"/>
              <w:rPr>
                <w:rFonts w:cstheme="minorHAnsi"/>
              </w:rPr>
            </w:pPr>
            <w:r w:rsidRPr="00B701EA">
              <w:rPr>
                <w:rFonts w:cstheme="minorHAnsi"/>
              </w:rPr>
              <w:t>Experience related to EU transport development, strategic planning and pre-accession policies and procedures including but not limited to European transport strategies, sustainable transport, transport infrastructure and investment in transport;</w:t>
            </w:r>
          </w:p>
        </w:tc>
        <w:tc>
          <w:tcPr>
            <w:tcW w:w="901" w:type="dxa"/>
          </w:tcPr>
          <w:p w14:paraId="37C16371" w14:textId="77777777" w:rsidR="00B701EA" w:rsidRPr="00B701EA" w:rsidRDefault="00B701EA" w:rsidP="001C0398">
            <w:pPr>
              <w:jc w:val="both"/>
              <w:rPr>
                <w:rFonts w:cstheme="minorHAnsi"/>
              </w:rPr>
            </w:pPr>
            <w:r w:rsidRPr="00B701EA">
              <w:rPr>
                <w:rFonts w:cstheme="minorHAnsi"/>
              </w:rPr>
              <w:t>20 %</w:t>
            </w:r>
          </w:p>
        </w:tc>
      </w:tr>
      <w:tr w:rsidR="00B701EA" w14:paraId="2ECC1D90" w14:textId="77777777" w:rsidTr="00B701EA">
        <w:trPr>
          <w:trHeight w:val="544"/>
          <w:jc w:val="center"/>
        </w:trPr>
        <w:tc>
          <w:tcPr>
            <w:tcW w:w="892" w:type="dxa"/>
          </w:tcPr>
          <w:p w14:paraId="50BC68C8" w14:textId="77777777" w:rsidR="00B701EA" w:rsidRPr="00B701EA" w:rsidRDefault="00B701EA" w:rsidP="00B701EA">
            <w:pPr>
              <w:pStyle w:val="ListParagraph"/>
              <w:numPr>
                <w:ilvl w:val="0"/>
                <w:numId w:val="12"/>
              </w:numPr>
              <w:jc w:val="both"/>
              <w:rPr>
                <w:rFonts w:cstheme="minorHAnsi"/>
              </w:rPr>
            </w:pPr>
          </w:p>
        </w:tc>
        <w:tc>
          <w:tcPr>
            <w:tcW w:w="7844" w:type="dxa"/>
          </w:tcPr>
          <w:p w14:paraId="670CA2BC" w14:textId="59E5D084" w:rsidR="00B701EA" w:rsidRPr="00B701EA" w:rsidRDefault="00B701EA" w:rsidP="001C0398">
            <w:pPr>
              <w:suppressAutoHyphens/>
              <w:ind w:right="58"/>
              <w:jc w:val="both"/>
              <w:rPr>
                <w:rFonts w:cstheme="minorHAnsi"/>
              </w:rPr>
            </w:pPr>
            <w:r w:rsidRPr="00B701EA">
              <w:rPr>
                <w:rFonts w:cstheme="minorHAnsi"/>
              </w:rPr>
              <w:t>Previous experience of working with international financial institutions and donors on similar projects.</w:t>
            </w:r>
          </w:p>
        </w:tc>
        <w:tc>
          <w:tcPr>
            <w:tcW w:w="901" w:type="dxa"/>
          </w:tcPr>
          <w:p w14:paraId="6ACBFD95" w14:textId="4388E5F5" w:rsidR="00B701EA" w:rsidRPr="00B701EA" w:rsidRDefault="00B701EA" w:rsidP="001C0398">
            <w:pPr>
              <w:jc w:val="both"/>
              <w:rPr>
                <w:rFonts w:cstheme="minorHAnsi"/>
              </w:rPr>
            </w:pPr>
            <w:r w:rsidRPr="00B701EA">
              <w:rPr>
                <w:rFonts w:cstheme="minorHAnsi"/>
              </w:rPr>
              <w:t>20 %</w:t>
            </w:r>
          </w:p>
        </w:tc>
      </w:tr>
    </w:tbl>
    <w:p w14:paraId="4914E5BD" w14:textId="72D31E2D" w:rsidR="008A5C9D" w:rsidRDefault="008A5C9D" w:rsidP="004E4199">
      <w:pPr>
        <w:pStyle w:val="BodyText"/>
      </w:pPr>
    </w:p>
    <w:p w14:paraId="3F50E924" w14:textId="77777777" w:rsidR="00E15F80" w:rsidRDefault="00E15F80" w:rsidP="00E15F80">
      <w:pPr>
        <w:pStyle w:val="BodyText"/>
        <w:ind w:left="114"/>
      </w:pPr>
      <w:r>
        <w:t>Additionally,</w:t>
      </w:r>
      <w:r>
        <w:rPr>
          <w:spacing w:val="1"/>
        </w:rPr>
        <w:t xml:space="preserve"> </w:t>
      </w:r>
      <w:r>
        <w:t>‘’</w:t>
      </w:r>
      <w:proofErr w:type="spellStart"/>
      <w:r>
        <w:t>MoT</w:t>
      </w:r>
      <w:proofErr w:type="spellEnd"/>
      <w:r>
        <w:t>’’</w:t>
      </w:r>
      <w:r>
        <w:rPr>
          <w:spacing w:val="4"/>
        </w:rPr>
        <w:t xml:space="preserve"> </w:t>
      </w:r>
      <w:r>
        <w:t>may</w:t>
      </w:r>
      <w:r>
        <w:rPr>
          <w:spacing w:val="-4"/>
        </w:rPr>
        <w:t xml:space="preserve"> </w:t>
      </w:r>
      <w:r>
        <w:t>decide</w:t>
      </w:r>
      <w:r>
        <w:rPr>
          <w:spacing w:val="-4"/>
        </w:rPr>
        <w:t xml:space="preserve"> </w:t>
      </w:r>
      <w:r>
        <w:t>to</w:t>
      </w:r>
      <w:r>
        <w:rPr>
          <w:spacing w:val="-4"/>
        </w:rPr>
        <w:t xml:space="preserve"> </w:t>
      </w:r>
      <w:r>
        <w:t>conduct</w:t>
      </w:r>
      <w:r>
        <w:rPr>
          <w:spacing w:val="3"/>
        </w:rPr>
        <w:t xml:space="preserve"> </w:t>
      </w:r>
      <w:r>
        <w:t>an</w:t>
      </w:r>
      <w:r>
        <w:rPr>
          <w:spacing w:val="4"/>
        </w:rPr>
        <w:t xml:space="preserve"> </w:t>
      </w:r>
      <w:r>
        <w:t>interview</w:t>
      </w:r>
      <w:r>
        <w:rPr>
          <w:spacing w:val="-3"/>
        </w:rPr>
        <w:t xml:space="preserve"> </w:t>
      </w:r>
      <w:r>
        <w:t>with</w:t>
      </w:r>
      <w:r>
        <w:rPr>
          <w:spacing w:val="2"/>
        </w:rPr>
        <w:t xml:space="preserve"> </w:t>
      </w:r>
      <w:r>
        <w:t>shortlisted</w:t>
      </w:r>
      <w:r>
        <w:rPr>
          <w:spacing w:val="7"/>
        </w:rPr>
        <w:t xml:space="preserve"> </w:t>
      </w:r>
      <w:r>
        <w:t>candidates</w:t>
      </w:r>
      <w:r>
        <w:rPr>
          <w:spacing w:val="-1"/>
        </w:rPr>
        <w:t xml:space="preserve"> </w:t>
      </w:r>
      <w:r>
        <w:t>in</w:t>
      </w:r>
      <w:r>
        <w:rPr>
          <w:spacing w:val="3"/>
        </w:rPr>
        <w:t xml:space="preserve"> </w:t>
      </w:r>
      <w:r>
        <w:t>order</w:t>
      </w:r>
      <w:r>
        <w:rPr>
          <w:spacing w:val="-4"/>
        </w:rPr>
        <w:t xml:space="preserve"> </w:t>
      </w:r>
      <w:r>
        <w:t>to</w:t>
      </w:r>
      <w:r>
        <w:rPr>
          <w:spacing w:val="3"/>
        </w:rPr>
        <w:t xml:space="preserve"> </w:t>
      </w:r>
      <w:r>
        <w:t>additionally</w:t>
      </w:r>
      <w:r>
        <w:rPr>
          <w:spacing w:val="2"/>
        </w:rPr>
        <w:t xml:space="preserve"> </w:t>
      </w:r>
      <w:r>
        <w:t>verify required qualifications of candidates.</w:t>
      </w:r>
    </w:p>
    <w:p w14:paraId="1E0CF0F5" w14:textId="77777777" w:rsidR="00E15F80" w:rsidRDefault="00E15F80" w:rsidP="00E15F80">
      <w:pPr>
        <w:pStyle w:val="BodyText"/>
        <w:spacing w:before="4"/>
      </w:pPr>
    </w:p>
    <w:p w14:paraId="7184A98A" w14:textId="77777777" w:rsidR="00E15F80" w:rsidRDefault="00E15F80" w:rsidP="00E15F80">
      <w:pPr>
        <w:pStyle w:val="BodyText"/>
        <w:ind w:left="114" w:right="103"/>
        <w:jc w:val="both"/>
      </w:pPr>
      <w:r>
        <w:t xml:space="preserve">The attention of interested Consultants is drawn to Section III, paragraphs, </w:t>
      </w:r>
      <w:r w:rsidRPr="003B0446">
        <w:t>11.1</w:t>
      </w:r>
      <w:r>
        <w:t xml:space="preserve">; </w:t>
      </w:r>
      <w:r w:rsidRPr="003B0446">
        <w:t>3.21 - 3.24</w:t>
      </w:r>
      <w:r>
        <w:t xml:space="preserve">; </w:t>
      </w:r>
      <w:r w:rsidRPr="003B0446">
        <w:t>3.14; 3.16; 3.17</w:t>
      </w:r>
      <w:r>
        <w:t xml:space="preserve"> of the World Bank’s</w:t>
      </w:r>
      <w:r>
        <w:rPr>
          <w:spacing w:val="1"/>
        </w:rPr>
        <w:t xml:space="preserve"> </w:t>
      </w:r>
      <w:r>
        <w:rPr>
          <w:b/>
          <w:i/>
        </w:rPr>
        <w:t>“Procurement Regulations for IPF Borrowers”</w:t>
      </w:r>
      <w:r w:rsidRPr="003B0446">
        <w:rPr>
          <w:bCs/>
          <w:iCs/>
        </w:rPr>
        <w:t xml:space="preserve"> Issued in</w:t>
      </w:r>
      <w:r>
        <w:rPr>
          <w:b/>
          <w:i/>
        </w:rPr>
        <w:t xml:space="preserve"> </w:t>
      </w:r>
      <w:r w:rsidRPr="00E15F80">
        <w:rPr>
          <w:bCs/>
          <w:i/>
        </w:rPr>
        <w:t>July</w:t>
      </w:r>
      <w:r w:rsidRPr="00E15F80">
        <w:rPr>
          <w:bCs/>
        </w:rPr>
        <w:t xml:space="preserve"> </w:t>
      </w:r>
      <w:r>
        <w:t>2016, Revised November 2017, August 2018, and November</w:t>
      </w:r>
      <w:r>
        <w:rPr>
          <w:spacing w:val="1"/>
        </w:rPr>
        <w:t xml:space="preserve"> </w:t>
      </w:r>
      <w:r>
        <w:t>2020.</w:t>
      </w:r>
      <w:r>
        <w:rPr>
          <w:spacing w:val="-2"/>
        </w:rPr>
        <w:t xml:space="preserve"> </w:t>
      </w:r>
      <w:r>
        <w:t>setting</w:t>
      </w:r>
      <w:r>
        <w:rPr>
          <w:spacing w:val="-2"/>
        </w:rPr>
        <w:t xml:space="preserve"> </w:t>
      </w:r>
      <w:r>
        <w:t>forth</w:t>
      </w:r>
      <w:r>
        <w:rPr>
          <w:spacing w:val="-2"/>
        </w:rPr>
        <w:t xml:space="preserve"> </w:t>
      </w:r>
      <w:r>
        <w:t>the</w:t>
      </w:r>
      <w:r>
        <w:rPr>
          <w:spacing w:val="-4"/>
        </w:rPr>
        <w:t xml:space="preserve"> </w:t>
      </w:r>
      <w:r w:rsidRPr="00E15F80">
        <w:rPr>
          <w:b/>
          <w:bCs/>
        </w:rPr>
        <w:t>World</w:t>
      </w:r>
      <w:r w:rsidRPr="00E15F80">
        <w:rPr>
          <w:b/>
          <w:bCs/>
          <w:spacing w:val="-2"/>
        </w:rPr>
        <w:t xml:space="preserve"> </w:t>
      </w:r>
      <w:r w:rsidRPr="00E15F80">
        <w:rPr>
          <w:b/>
          <w:bCs/>
        </w:rPr>
        <w:t>Bank</w:t>
      </w:r>
      <w:r>
        <w:t>’s</w:t>
      </w:r>
      <w:r>
        <w:rPr>
          <w:spacing w:val="-6"/>
        </w:rPr>
        <w:t xml:space="preserve"> </w:t>
      </w:r>
      <w:r>
        <w:t>policy</w:t>
      </w:r>
      <w:r>
        <w:rPr>
          <w:spacing w:val="-2"/>
        </w:rPr>
        <w:t xml:space="preserve"> </w:t>
      </w:r>
      <w:r>
        <w:t>on</w:t>
      </w:r>
      <w:r>
        <w:rPr>
          <w:spacing w:val="-2"/>
        </w:rPr>
        <w:t xml:space="preserve"> </w:t>
      </w:r>
      <w:r>
        <w:t>conflict</w:t>
      </w:r>
      <w:r>
        <w:rPr>
          <w:spacing w:val="-3"/>
        </w:rPr>
        <w:t xml:space="preserve"> </w:t>
      </w:r>
      <w:r>
        <w:t>of</w:t>
      </w:r>
      <w:r>
        <w:rPr>
          <w:spacing w:val="-7"/>
        </w:rPr>
        <w:t xml:space="preserve"> </w:t>
      </w:r>
      <w:r>
        <w:t>interest.</w:t>
      </w:r>
    </w:p>
    <w:p w14:paraId="0968F85D" w14:textId="77777777" w:rsidR="00E15F80" w:rsidRDefault="00E15F80" w:rsidP="00E15F80">
      <w:pPr>
        <w:pStyle w:val="BodyText"/>
        <w:spacing w:before="8"/>
        <w:rPr>
          <w:sz w:val="21"/>
        </w:rPr>
      </w:pPr>
    </w:p>
    <w:p w14:paraId="1B0CCA8D" w14:textId="77777777" w:rsidR="00E15F80" w:rsidRDefault="00E15F80" w:rsidP="00E15F80">
      <w:pPr>
        <w:pStyle w:val="BodyText"/>
        <w:ind w:left="114" w:right="109"/>
        <w:jc w:val="both"/>
      </w:pPr>
      <w:r>
        <w:t>A Consultant will be selected in accordance with the Individual Consultant method (IC) set out in the above-mentioned</w:t>
      </w:r>
      <w:r>
        <w:rPr>
          <w:spacing w:val="1"/>
        </w:rPr>
        <w:t xml:space="preserve"> </w:t>
      </w:r>
      <w:r>
        <w:t>Procurement</w:t>
      </w:r>
      <w:r>
        <w:rPr>
          <w:spacing w:val="-4"/>
        </w:rPr>
        <w:t xml:space="preserve"> </w:t>
      </w:r>
      <w:r>
        <w:t>Regulations.</w:t>
      </w:r>
    </w:p>
    <w:p w14:paraId="54C330A1" w14:textId="77777777" w:rsidR="00E15F80" w:rsidRDefault="00E15F80" w:rsidP="00E15F80">
      <w:pPr>
        <w:pStyle w:val="BodyText"/>
        <w:spacing w:before="5"/>
      </w:pPr>
    </w:p>
    <w:p w14:paraId="5F2D6D2C" w14:textId="77777777" w:rsidR="00E15F80" w:rsidRDefault="00E15F80" w:rsidP="00E15F80">
      <w:pPr>
        <w:pStyle w:val="BodyText"/>
        <w:ind w:left="114"/>
        <w:jc w:val="both"/>
      </w:pPr>
      <w:r>
        <w:t>Further</w:t>
      </w:r>
      <w:r>
        <w:rPr>
          <w:spacing w:val="-7"/>
        </w:rPr>
        <w:t xml:space="preserve"> </w:t>
      </w:r>
      <w:r>
        <w:t>information</w:t>
      </w:r>
      <w:r>
        <w:rPr>
          <w:spacing w:val="3"/>
        </w:rPr>
        <w:t xml:space="preserve"> </w:t>
      </w:r>
      <w:r>
        <w:t>can</w:t>
      </w:r>
      <w:r>
        <w:rPr>
          <w:spacing w:val="-1"/>
        </w:rPr>
        <w:t xml:space="preserve"> </w:t>
      </w:r>
      <w:r>
        <w:t>be</w:t>
      </w:r>
      <w:r>
        <w:rPr>
          <w:spacing w:val="-2"/>
        </w:rPr>
        <w:t xml:space="preserve"> </w:t>
      </w:r>
      <w:r>
        <w:t>obtained</w:t>
      </w:r>
      <w:r>
        <w:rPr>
          <w:spacing w:val="1"/>
        </w:rPr>
        <w:t xml:space="preserve"> </w:t>
      </w:r>
      <w:r>
        <w:t>at</w:t>
      </w:r>
      <w:r>
        <w:rPr>
          <w:spacing w:val="-2"/>
        </w:rPr>
        <w:t xml:space="preserve"> </w:t>
      </w:r>
      <w:r>
        <w:t>the</w:t>
      </w:r>
      <w:r>
        <w:rPr>
          <w:spacing w:val="-3"/>
        </w:rPr>
        <w:t xml:space="preserve"> </w:t>
      </w:r>
      <w:r w:rsidRPr="005153D2">
        <w:rPr>
          <w:spacing w:val="-3"/>
        </w:rPr>
        <w:t xml:space="preserve">e-mail </w:t>
      </w:r>
      <w:r>
        <w:t>address</w:t>
      </w:r>
      <w:r>
        <w:rPr>
          <w:spacing w:val="-5"/>
        </w:rPr>
        <w:t xml:space="preserve"> </w:t>
      </w:r>
      <w:r>
        <w:t>below.</w:t>
      </w:r>
    </w:p>
    <w:p w14:paraId="6CC22545" w14:textId="77777777" w:rsidR="00E15F80" w:rsidRDefault="00E15F80" w:rsidP="00E15F80">
      <w:pPr>
        <w:pStyle w:val="BodyText"/>
        <w:spacing w:before="10"/>
        <w:rPr>
          <w:sz w:val="21"/>
        </w:rPr>
      </w:pPr>
    </w:p>
    <w:p w14:paraId="6F1CC4AB" w14:textId="6BE1F083" w:rsidR="00E15F80" w:rsidRDefault="00E15F80" w:rsidP="001E541C">
      <w:pPr>
        <w:pStyle w:val="BodyText"/>
        <w:ind w:left="114"/>
        <w:jc w:val="both"/>
        <w:rPr>
          <w:b/>
          <w:bCs/>
        </w:rPr>
      </w:pPr>
      <w:r>
        <w:t>Expressions of interest must be delivered in a written form, only by e-mail</w:t>
      </w:r>
      <w:r w:rsidRPr="00A220A4">
        <w:t xml:space="preserve"> </w:t>
      </w:r>
      <w:r w:rsidRPr="00E46F22">
        <w:t xml:space="preserve">to the address below </w:t>
      </w:r>
      <w:r>
        <w:t xml:space="preserve">and in subject </w:t>
      </w:r>
      <w:r w:rsidRPr="00A220A4">
        <w:t>must clearly indicate project name, subject number</w:t>
      </w:r>
      <w:r>
        <w:t xml:space="preserve">: </w:t>
      </w:r>
      <w:r w:rsidRPr="001E541C">
        <w:t>(</w:t>
      </w:r>
      <w:r w:rsidRPr="001E541C">
        <w:rPr>
          <w:b/>
          <w:bCs/>
        </w:rPr>
        <w:t>Transport Policy Expert /MNE-WBTTFP-94710-IC-CS-24-4.2.)</w:t>
      </w:r>
    </w:p>
    <w:p w14:paraId="3DB1D705" w14:textId="54A90844" w:rsidR="00E15F80" w:rsidRDefault="00E15F80" w:rsidP="00E15F80">
      <w:pPr>
        <w:pStyle w:val="BodyText"/>
        <w:ind w:left="114" w:right="105"/>
        <w:jc w:val="both"/>
      </w:pPr>
      <w:r w:rsidRPr="00E46F22">
        <w:t xml:space="preserve">The deadline for submission is </w:t>
      </w:r>
      <w:r w:rsidRPr="00AB2BEC">
        <w:rPr>
          <w:b/>
          <w:bCs/>
        </w:rPr>
        <w:t>January 15, 2025.</w:t>
      </w:r>
      <w:r w:rsidRPr="00AB2BEC">
        <w:rPr>
          <w:b/>
          <w:bCs/>
          <w:spacing w:val="-52"/>
        </w:rPr>
        <w:t xml:space="preserve"> </w:t>
      </w:r>
      <w:r w:rsidRPr="00AB2BEC">
        <w:rPr>
          <w:b/>
          <w:bCs/>
        </w:rPr>
        <w:t>10: 00h</w:t>
      </w:r>
      <w:r>
        <w:t>.</w:t>
      </w:r>
    </w:p>
    <w:p w14:paraId="6A92C13E" w14:textId="77777777" w:rsidR="00E15F80" w:rsidRDefault="00E15F80" w:rsidP="00E15F80">
      <w:pPr>
        <w:pStyle w:val="BodyText"/>
        <w:spacing w:before="9"/>
        <w:rPr>
          <w:sz w:val="21"/>
        </w:rPr>
      </w:pPr>
    </w:p>
    <w:p w14:paraId="1B0C4CFB" w14:textId="77777777" w:rsidR="00E15F80" w:rsidRDefault="00E15F80" w:rsidP="00E15F80">
      <w:pPr>
        <w:pStyle w:val="BodyText"/>
        <w:spacing w:line="253" w:lineRule="exact"/>
        <w:ind w:left="114"/>
        <w:jc w:val="both"/>
      </w:pPr>
      <w:r>
        <w:t>Ministry</w:t>
      </w:r>
      <w:r>
        <w:rPr>
          <w:spacing w:val="-6"/>
        </w:rPr>
        <w:t xml:space="preserve"> </w:t>
      </w:r>
      <w:r>
        <w:t>of</w:t>
      </w:r>
      <w:r>
        <w:rPr>
          <w:spacing w:val="-3"/>
        </w:rPr>
        <w:t xml:space="preserve"> </w:t>
      </w:r>
      <w:r>
        <w:t>Finance</w:t>
      </w:r>
      <w:r>
        <w:rPr>
          <w:spacing w:val="-4"/>
        </w:rPr>
        <w:t xml:space="preserve"> </w:t>
      </w:r>
      <w:r>
        <w:t>/Technical Service Unit</w:t>
      </w:r>
    </w:p>
    <w:p w14:paraId="41F1EA69" w14:textId="003A38FE" w:rsidR="00E15F80" w:rsidRDefault="00E15F80" w:rsidP="00E15F80">
      <w:pPr>
        <w:pStyle w:val="BodyText"/>
        <w:spacing w:line="242" w:lineRule="auto"/>
        <w:ind w:left="114" w:right="5290"/>
        <w:jc w:val="both"/>
      </w:pPr>
      <w:r>
        <w:t xml:space="preserve">Attention: Mr. Zoran </w:t>
      </w:r>
      <w:proofErr w:type="spellStart"/>
      <w:r>
        <w:t>Mijović</w:t>
      </w:r>
      <w:proofErr w:type="spellEnd"/>
      <w:r>
        <w:t>, Senior Procurement officer</w:t>
      </w:r>
      <w:r>
        <w:rPr>
          <w:spacing w:val="1"/>
        </w:rPr>
        <w:t xml:space="preserve"> </w:t>
      </w:r>
      <w:r>
        <w:t xml:space="preserve">Street Address: </w:t>
      </w:r>
      <w:proofErr w:type="spellStart"/>
      <w:r>
        <w:t>Studentska</w:t>
      </w:r>
      <w:proofErr w:type="spellEnd"/>
      <w:r>
        <w:t xml:space="preserve"> 2 A Floor</w:t>
      </w:r>
      <w:r w:rsidR="00AB2BEC">
        <w:t xml:space="preserve"> I</w:t>
      </w:r>
    </w:p>
    <w:p w14:paraId="78BAA4F1" w14:textId="2792EDB0" w:rsidR="00E15F80" w:rsidRDefault="00E15F80" w:rsidP="00AB2BEC">
      <w:pPr>
        <w:pStyle w:val="BodyText"/>
        <w:ind w:left="114" w:right="7371"/>
      </w:pPr>
      <w:r>
        <w:t>City:</w:t>
      </w:r>
      <w:r>
        <w:rPr>
          <w:spacing w:val="-4"/>
        </w:rPr>
        <w:t xml:space="preserve"> </w:t>
      </w:r>
      <w:r>
        <w:t>81000</w:t>
      </w:r>
      <w:r>
        <w:rPr>
          <w:spacing w:val="5"/>
        </w:rPr>
        <w:t xml:space="preserve"> </w:t>
      </w:r>
      <w:r>
        <w:t>Podgorica</w:t>
      </w:r>
      <w:r>
        <w:rPr>
          <w:spacing w:val="1"/>
        </w:rPr>
        <w:t xml:space="preserve"> </w:t>
      </w:r>
      <w:r>
        <w:t>Country: Montenegro</w:t>
      </w:r>
      <w:r>
        <w:rPr>
          <w:spacing w:val="1"/>
        </w:rPr>
        <w:t xml:space="preserve"> </w:t>
      </w:r>
      <w:r>
        <w:t>Telephone:</w:t>
      </w:r>
      <w:r>
        <w:rPr>
          <w:spacing w:val="-3"/>
        </w:rPr>
        <w:t xml:space="preserve"> </w:t>
      </w:r>
      <w:r>
        <w:t>+ 382</w:t>
      </w:r>
      <w:r>
        <w:rPr>
          <w:spacing w:val="-2"/>
        </w:rPr>
        <w:t xml:space="preserve"> </w:t>
      </w:r>
      <w:r>
        <w:t>20</w:t>
      </w:r>
      <w:r>
        <w:rPr>
          <w:spacing w:val="-1"/>
        </w:rPr>
        <w:t xml:space="preserve"> </w:t>
      </w:r>
      <w:r>
        <w:t>201</w:t>
      </w:r>
      <w:r w:rsidR="00AB2BEC">
        <w:rPr>
          <w:spacing w:val="-2"/>
        </w:rPr>
        <w:t xml:space="preserve"> </w:t>
      </w:r>
      <w:r>
        <w:t>695</w:t>
      </w:r>
    </w:p>
    <w:p w14:paraId="2B56B9D9" w14:textId="77777777" w:rsidR="00E15F80" w:rsidRDefault="00E15F80" w:rsidP="00AB2BEC">
      <w:pPr>
        <w:pStyle w:val="BodyText"/>
        <w:ind w:left="114" w:right="109"/>
        <w:jc w:val="both"/>
      </w:pPr>
      <w:r>
        <w:t>E-mail:</w:t>
      </w:r>
      <w:r>
        <w:rPr>
          <w:spacing w:val="5"/>
        </w:rPr>
        <w:t xml:space="preserve"> </w:t>
      </w:r>
      <w:hyperlink r:id="rId6" w:history="1">
        <w:r w:rsidRPr="008B753F">
          <w:rPr>
            <w:rStyle w:val="Hyperlink"/>
          </w:rPr>
          <w:t>zoran.mijovic@mif.gov.me</w:t>
        </w:r>
      </w:hyperlink>
    </w:p>
    <w:p w14:paraId="66522364" w14:textId="3F6275E0" w:rsidR="00B6676B" w:rsidRDefault="00B6676B" w:rsidP="00E15F80">
      <w:pPr>
        <w:pStyle w:val="BodyText"/>
      </w:pPr>
    </w:p>
    <w:sectPr w:rsidR="00B6676B" w:rsidSect="00AB2BEC">
      <w:pgSz w:w="12240" w:h="15840"/>
      <w:pgMar w:top="426" w:right="900"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7B2E"/>
    <w:multiLevelType w:val="hybridMultilevel"/>
    <w:tmpl w:val="E0023EDE"/>
    <w:lvl w:ilvl="0" w:tplc="2E54D9D6">
      <w:start w:val="1"/>
      <w:numFmt w:val="decimal"/>
      <w:lvlText w:val="%1."/>
      <w:lvlJc w:val="left"/>
      <w:pPr>
        <w:ind w:left="834" w:hanging="721"/>
      </w:pPr>
      <w:rPr>
        <w:rFonts w:ascii="Times New Roman" w:eastAsia="Times New Roman" w:hAnsi="Times New Roman" w:cs="Times New Roman" w:hint="default"/>
        <w:spacing w:val="0"/>
        <w:w w:val="101"/>
        <w:sz w:val="22"/>
        <w:szCs w:val="22"/>
        <w:lang w:val="en-US" w:eastAsia="en-US" w:bidi="ar-SA"/>
      </w:rPr>
    </w:lvl>
    <w:lvl w:ilvl="1" w:tplc="78723CEC">
      <w:numFmt w:val="bullet"/>
      <w:lvlText w:val="•"/>
      <w:lvlJc w:val="left"/>
      <w:pPr>
        <w:ind w:left="1814" w:hanging="721"/>
      </w:pPr>
      <w:rPr>
        <w:rFonts w:hint="default"/>
        <w:lang w:val="en-US" w:eastAsia="en-US" w:bidi="ar-SA"/>
      </w:rPr>
    </w:lvl>
    <w:lvl w:ilvl="2" w:tplc="B0E823D2">
      <w:numFmt w:val="bullet"/>
      <w:lvlText w:val="•"/>
      <w:lvlJc w:val="left"/>
      <w:pPr>
        <w:ind w:left="2788" w:hanging="721"/>
      </w:pPr>
      <w:rPr>
        <w:rFonts w:hint="default"/>
        <w:lang w:val="en-US" w:eastAsia="en-US" w:bidi="ar-SA"/>
      </w:rPr>
    </w:lvl>
    <w:lvl w:ilvl="3" w:tplc="8EFE3552">
      <w:numFmt w:val="bullet"/>
      <w:lvlText w:val="•"/>
      <w:lvlJc w:val="left"/>
      <w:pPr>
        <w:ind w:left="3762" w:hanging="721"/>
      </w:pPr>
      <w:rPr>
        <w:rFonts w:hint="default"/>
        <w:lang w:val="en-US" w:eastAsia="en-US" w:bidi="ar-SA"/>
      </w:rPr>
    </w:lvl>
    <w:lvl w:ilvl="4" w:tplc="D8D0429C">
      <w:numFmt w:val="bullet"/>
      <w:lvlText w:val="•"/>
      <w:lvlJc w:val="left"/>
      <w:pPr>
        <w:ind w:left="4736" w:hanging="721"/>
      </w:pPr>
      <w:rPr>
        <w:rFonts w:hint="default"/>
        <w:lang w:val="en-US" w:eastAsia="en-US" w:bidi="ar-SA"/>
      </w:rPr>
    </w:lvl>
    <w:lvl w:ilvl="5" w:tplc="C10CA456">
      <w:numFmt w:val="bullet"/>
      <w:lvlText w:val="•"/>
      <w:lvlJc w:val="left"/>
      <w:pPr>
        <w:ind w:left="5710" w:hanging="721"/>
      </w:pPr>
      <w:rPr>
        <w:rFonts w:hint="default"/>
        <w:lang w:val="en-US" w:eastAsia="en-US" w:bidi="ar-SA"/>
      </w:rPr>
    </w:lvl>
    <w:lvl w:ilvl="6" w:tplc="E2F0AB50">
      <w:numFmt w:val="bullet"/>
      <w:lvlText w:val="•"/>
      <w:lvlJc w:val="left"/>
      <w:pPr>
        <w:ind w:left="6684" w:hanging="721"/>
      </w:pPr>
      <w:rPr>
        <w:rFonts w:hint="default"/>
        <w:lang w:val="en-US" w:eastAsia="en-US" w:bidi="ar-SA"/>
      </w:rPr>
    </w:lvl>
    <w:lvl w:ilvl="7" w:tplc="8E6065DA">
      <w:numFmt w:val="bullet"/>
      <w:lvlText w:val="•"/>
      <w:lvlJc w:val="left"/>
      <w:pPr>
        <w:ind w:left="7658" w:hanging="721"/>
      </w:pPr>
      <w:rPr>
        <w:rFonts w:hint="default"/>
        <w:lang w:val="en-US" w:eastAsia="en-US" w:bidi="ar-SA"/>
      </w:rPr>
    </w:lvl>
    <w:lvl w:ilvl="8" w:tplc="C2D03BF8">
      <w:numFmt w:val="bullet"/>
      <w:lvlText w:val="•"/>
      <w:lvlJc w:val="left"/>
      <w:pPr>
        <w:ind w:left="8632" w:hanging="721"/>
      </w:pPr>
      <w:rPr>
        <w:rFonts w:hint="default"/>
        <w:lang w:val="en-US" w:eastAsia="en-US" w:bidi="ar-SA"/>
      </w:rPr>
    </w:lvl>
  </w:abstractNum>
  <w:abstractNum w:abstractNumId="1" w15:restartNumberingAfterBreak="0">
    <w:nsid w:val="16457BF3"/>
    <w:multiLevelType w:val="hybridMultilevel"/>
    <w:tmpl w:val="E2A22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45121"/>
    <w:multiLevelType w:val="hybridMultilevel"/>
    <w:tmpl w:val="7020F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E3DCE"/>
    <w:multiLevelType w:val="hybridMultilevel"/>
    <w:tmpl w:val="88EC5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E5285"/>
    <w:multiLevelType w:val="hybridMultilevel"/>
    <w:tmpl w:val="21E834A2"/>
    <w:lvl w:ilvl="0" w:tplc="04190003">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52D02FC"/>
    <w:multiLevelType w:val="hybridMultilevel"/>
    <w:tmpl w:val="6D4ED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E6E96"/>
    <w:multiLevelType w:val="hybridMultilevel"/>
    <w:tmpl w:val="7D48B8AA"/>
    <w:lvl w:ilvl="0" w:tplc="04190003">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F550630"/>
    <w:multiLevelType w:val="hybridMultilevel"/>
    <w:tmpl w:val="2C12F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0021E"/>
    <w:multiLevelType w:val="hybridMultilevel"/>
    <w:tmpl w:val="EACE793C"/>
    <w:lvl w:ilvl="0" w:tplc="04190003">
      <w:start w:val="1"/>
      <w:numFmt w:val="decimal"/>
      <w:lvlText w:val="%1."/>
      <w:lvlJc w:val="left"/>
      <w:pPr>
        <w:tabs>
          <w:tab w:val="num" w:pos="834"/>
        </w:tabs>
        <w:ind w:left="834"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9" w15:restartNumberingAfterBreak="0">
    <w:nsid w:val="6EC834C1"/>
    <w:multiLevelType w:val="hybridMultilevel"/>
    <w:tmpl w:val="921A582E"/>
    <w:lvl w:ilvl="0" w:tplc="04090001">
      <w:start w:val="1"/>
      <w:numFmt w:val="bullet"/>
      <w:lvlText w:val=""/>
      <w:lvlJc w:val="left"/>
      <w:pPr>
        <w:tabs>
          <w:tab w:val="num" w:pos="705"/>
        </w:tabs>
        <w:ind w:left="705" w:hanging="360"/>
      </w:pPr>
      <w:rPr>
        <w:rFonts w:ascii="Symbol" w:hAnsi="Symbol" w:hint="default"/>
      </w:rPr>
    </w:lvl>
    <w:lvl w:ilvl="1" w:tplc="4FD85FAE">
      <w:numFmt w:val="bullet"/>
      <w:lvlText w:val="•"/>
      <w:lvlJc w:val="left"/>
      <w:pPr>
        <w:ind w:left="1785" w:hanging="720"/>
      </w:pPr>
      <w:rPr>
        <w:rFonts w:ascii="Times New Roman" w:eastAsia="Calibri" w:hAnsi="Times New Roman" w:cs="Times New Roman"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10" w15:restartNumberingAfterBreak="0">
    <w:nsid w:val="710528D0"/>
    <w:multiLevelType w:val="hybridMultilevel"/>
    <w:tmpl w:val="E22434E4"/>
    <w:lvl w:ilvl="0" w:tplc="04190003">
      <w:start w:val="1"/>
      <w:numFmt w:val="decimal"/>
      <w:lvlText w:val="%1."/>
      <w:lvlJc w:val="left"/>
      <w:pPr>
        <w:tabs>
          <w:tab w:val="num" w:pos="834"/>
        </w:tabs>
        <w:ind w:left="834"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1" w15:restartNumberingAfterBreak="0">
    <w:nsid w:val="71C73AFF"/>
    <w:multiLevelType w:val="hybridMultilevel"/>
    <w:tmpl w:val="01B28ACA"/>
    <w:lvl w:ilvl="0" w:tplc="E03ABA80">
      <w:start w:val="1"/>
      <w:numFmt w:val="decimal"/>
      <w:lvlText w:val="%1."/>
      <w:lvlJc w:val="left"/>
      <w:pPr>
        <w:ind w:left="834" w:hanging="721"/>
      </w:pPr>
      <w:rPr>
        <w:rFonts w:ascii="Times New Roman" w:eastAsia="Times New Roman" w:hAnsi="Times New Roman" w:cs="Times New Roman" w:hint="default"/>
        <w:spacing w:val="0"/>
        <w:w w:val="101"/>
        <w:sz w:val="22"/>
        <w:szCs w:val="22"/>
        <w:lang w:val="en-US" w:eastAsia="en-US" w:bidi="ar-SA"/>
      </w:rPr>
    </w:lvl>
    <w:lvl w:ilvl="1" w:tplc="4DB0EFCA">
      <w:numFmt w:val="bullet"/>
      <w:lvlText w:val="•"/>
      <w:lvlJc w:val="left"/>
      <w:pPr>
        <w:ind w:left="1814" w:hanging="721"/>
      </w:pPr>
      <w:rPr>
        <w:rFonts w:hint="default"/>
        <w:lang w:val="en-US" w:eastAsia="en-US" w:bidi="ar-SA"/>
      </w:rPr>
    </w:lvl>
    <w:lvl w:ilvl="2" w:tplc="9C782AFC">
      <w:numFmt w:val="bullet"/>
      <w:lvlText w:val="•"/>
      <w:lvlJc w:val="left"/>
      <w:pPr>
        <w:ind w:left="2788" w:hanging="721"/>
      </w:pPr>
      <w:rPr>
        <w:rFonts w:hint="default"/>
        <w:lang w:val="en-US" w:eastAsia="en-US" w:bidi="ar-SA"/>
      </w:rPr>
    </w:lvl>
    <w:lvl w:ilvl="3" w:tplc="8788F982">
      <w:numFmt w:val="bullet"/>
      <w:lvlText w:val="•"/>
      <w:lvlJc w:val="left"/>
      <w:pPr>
        <w:ind w:left="3762" w:hanging="721"/>
      </w:pPr>
      <w:rPr>
        <w:rFonts w:hint="default"/>
        <w:lang w:val="en-US" w:eastAsia="en-US" w:bidi="ar-SA"/>
      </w:rPr>
    </w:lvl>
    <w:lvl w:ilvl="4" w:tplc="817AB1FE">
      <w:numFmt w:val="bullet"/>
      <w:lvlText w:val="•"/>
      <w:lvlJc w:val="left"/>
      <w:pPr>
        <w:ind w:left="4736" w:hanging="721"/>
      </w:pPr>
      <w:rPr>
        <w:rFonts w:hint="default"/>
        <w:lang w:val="en-US" w:eastAsia="en-US" w:bidi="ar-SA"/>
      </w:rPr>
    </w:lvl>
    <w:lvl w:ilvl="5" w:tplc="FB2A2544">
      <w:numFmt w:val="bullet"/>
      <w:lvlText w:val="•"/>
      <w:lvlJc w:val="left"/>
      <w:pPr>
        <w:ind w:left="5710" w:hanging="721"/>
      </w:pPr>
      <w:rPr>
        <w:rFonts w:hint="default"/>
        <w:lang w:val="en-US" w:eastAsia="en-US" w:bidi="ar-SA"/>
      </w:rPr>
    </w:lvl>
    <w:lvl w:ilvl="6" w:tplc="12209F76">
      <w:numFmt w:val="bullet"/>
      <w:lvlText w:val="•"/>
      <w:lvlJc w:val="left"/>
      <w:pPr>
        <w:ind w:left="6684" w:hanging="721"/>
      </w:pPr>
      <w:rPr>
        <w:rFonts w:hint="default"/>
        <w:lang w:val="en-US" w:eastAsia="en-US" w:bidi="ar-SA"/>
      </w:rPr>
    </w:lvl>
    <w:lvl w:ilvl="7" w:tplc="EA3C8CD0">
      <w:numFmt w:val="bullet"/>
      <w:lvlText w:val="•"/>
      <w:lvlJc w:val="left"/>
      <w:pPr>
        <w:ind w:left="7658" w:hanging="721"/>
      </w:pPr>
      <w:rPr>
        <w:rFonts w:hint="default"/>
        <w:lang w:val="en-US" w:eastAsia="en-US" w:bidi="ar-SA"/>
      </w:rPr>
    </w:lvl>
    <w:lvl w:ilvl="8" w:tplc="78608E8C">
      <w:numFmt w:val="bullet"/>
      <w:lvlText w:val="•"/>
      <w:lvlJc w:val="left"/>
      <w:pPr>
        <w:ind w:left="8632" w:hanging="721"/>
      </w:pPr>
      <w:rPr>
        <w:rFonts w:hint="default"/>
        <w:lang w:val="en-US" w:eastAsia="en-US" w:bidi="ar-SA"/>
      </w:rPr>
    </w:lvl>
  </w:abstractNum>
  <w:num w:numId="1" w16cid:durableId="372459442">
    <w:abstractNumId w:val="0"/>
  </w:num>
  <w:num w:numId="2" w16cid:durableId="146289165">
    <w:abstractNumId w:val="11"/>
  </w:num>
  <w:num w:numId="3" w16cid:durableId="1316295382">
    <w:abstractNumId w:val="9"/>
  </w:num>
  <w:num w:numId="4" w16cid:durableId="194930281">
    <w:abstractNumId w:val="4"/>
  </w:num>
  <w:num w:numId="5" w16cid:durableId="73670870">
    <w:abstractNumId w:val="8"/>
  </w:num>
  <w:num w:numId="6" w16cid:durableId="270628002">
    <w:abstractNumId w:val="6"/>
  </w:num>
  <w:num w:numId="7" w16cid:durableId="743994778">
    <w:abstractNumId w:val="10"/>
  </w:num>
  <w:num w:numId="8" w16cid:durableId="476068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9036154">
    <w:abstractNumId w:val="5"/>
  </w:num>
  <w:num w:numId="10" w16cid:durableId="39669850">
    <w:abstractNumId w:val="7"/>
  </w:num>
  <w:num w:numId="11" w16cid:durableId="597366672">
    <w:abstractNumId w:val="2"/>
  </w:num>
  <w:num w:numId="12" w16cid:durableId="950670680">
    <w:abstractNumId w:val="1"/>
  </w:num>
  <w:num w:numId="13" w16cid:durableId="625307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6B"/>
    <w:rsid w:val="00011159"/>
    <w:rsid w:val="000346E7"/>
    <w:rsid w:val="00091B6C"/>
    <w:rsid w:val="00092743"/>
    <w:rsid w:val="000D71DA"/>
    <w:rsid w:val="000E6DEF"/>
    <w:rsid w:val="00132148"/>
    <w:rsid w:val="001E541C"/>
    <w:rsid w:val="001F4EE6"/>
    <w:rsid w:val="002D0698"/>
    <w:rsid w:val="003B69E8"/>
    <w:rsid w:val="0043491D"/>
    <w:rsid w:val="00436E1A"/>
    <w:rsid w:val="004832D2"/>
    <w:rsid w:val="004E4199"/>
    <w:rsid w:val="005153D2"/>
    <w:rsid w:val="00571AE3"/>
    <w:rsid w:val="005B70BE"/>
    <w:rsid w:val="005E1101"/>
    <w:rsid w:val="00641AC0"/>
    <w:rsid w:val="00642B30"/>
    <w:rsid w:val="00656373"/>
    <w:rsid w:val="006B2B3D"/>
    <w:rsid w:val="0071167D"/>
    <w:rsid w:val="007902EF"/>
    <w:rsid w:val="007F26A4"/>
    <w:rsid w:val="0083477F"/>
    <w:rsid w:val="008A5C9D"/>
    <w:rsid w:val="008E68FF"/>
    <w:rsid w:val="00991306"/>
    <w:rsid w:val="009A7E01"/>
    <w:rsid w:val="00A21134"/>
    <w:rsid w:val="00A4159D"/>
    <w:rsid w:val="00A94D8B"/>
    <w:rsid w:val="00AB2BEC"/>
    <w:rsid w:val="00B31E35"/>
    <w:rsid w:val="00B36BE4"/>
    <w:rsid w:val="00B6676B"/>
    <w:rsid w:val="00B701EA"/>
    <w:rsid w:val="00BD01DC"/>
    <w:rsid w:val="00BD1FDD"/>
    <w:rsid w:val="00C1479D"/>
    <w:rsid w:val="00D1401B"/>
    <w:rsid w:val="00E15F80"/>
    <w:rsid w:val="00E16275"/>
    <w:rsid w:val="00E44800"/>
    <w:rsid w:val="00F2392A"/>
    <w:rsid w:val="00F54732"/>
    <w:rsid w:val="00F7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9C6D"/>
  <w15:docId w15:val="{1B4AE16C-ED97-4375-B73E-ECAC95A8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 w:hanging="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
      <w:ind w:left="3511" w:right="3520"/>
      <w:jc w:val="center"/>
    </w:pPr>
    <w:rPr>
      <w:sz w:val="28"/>
      <w:szCs w:val="2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pPr>
      <w:spacing w:line="252" w:lineRule="exact"/>
      <w:ind w:left="834" w:hanging="721"/>
    </w:pPr>
  </w:style>
  <w:style w:type="paragraph" w:customStyle="1" w:styleId="TableParagraph">
    <w:name w:val="Table Paragraph"/>
    <w:basedOn w:val="Normal"/>
    <w:uiPriority w:val="1"/>
    <w:qFormat/>
  </w:style>
  <w:style w:type="table" w:styleId="TableGrid">
    <w:name w:val="Table Grid"/>
    <w:basedOn w:val="TableNormal"/>
    <w:uiPriority w:val="39"/>
    <w:rsid w:val="008A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D71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54732"/>
    <w:rPr>
      <w:color w:val="0000FF" w:themeColor="hyperlink"/>
      <w:u w:val="single"/>
    </w:rPr>
  </w:style>
  <w:style w:type="character" w:styleId="UnresolvedMention">
    <w:name w:val="Unresolved Mention"/>
    <w:basedOn w:val="DefaultParagraphFont"/>
    <w:uiPriority w:val="99"/>
    <w:semiHidden/>
    <w:unhideWhenUsed/>
    <w:rsid w:val="00F54732"/>
    <w:rPr>
      <w:color w:val="605E5C"/>
      <w:shd w:val="clear" w:color="auto" w:fill="E1DFDD"/>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AB2B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74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ran.mijovic@mif.gov.m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1221</Words>
  <Characters>6966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SAMPLE FORMAT FOR INDIVIDUAL PROCUREMENT NOTICE</vt:lpstr>
      <vt:lpstr>REQUEST FOR EXPRESSIONS OF INTEREST (CONSULTING SERVICES – INDIVIDUAL CONSULTANT</vt:lpstr>
      <vt:lpstr>Reference No. MNE-WBTTFP-94710-IC-CS-24-4.2</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TSU Procurement Specialist</dc:creator>
  <cp:keywords/>
  <dc:description/>
  <cp:lastModifiedBy>Zoran M.</cp:lastModifiedBy>
  <cp:revision>5</cp:revision>
  <dcterms:created xsi:type="dcterms:W3CDTF">2024-12-29T16:09:00Z</dcterms:created>
  <dcterms:modified xsi:type="dcterms:W3CDTF">2024-12-29T16:16:00Z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2023-08-12T00:00:00Z</vt:filetime>
  </property>
  <property fmtid="{D5CDD505-2E9C-101B-9397-08002B2CF9AE}" pid="3" name="Creator">
    <vt:lpwstr>Microsoft® Word 2019</vt:lpwstr>
  </property>
  <property fmtid="{D5CDD505-2E9C-101B-9397-08002B2CF9AE}" pid="4" name="LastSaved">
    <vt:filetime>2024-01-31T00:00:00Z</vt:filetime>
  </property>
</Properties>
</file>