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8C9A5" w14:textId="104D57FF" w:rsidR="00A14BA3" w:rsidRDefault="00A14BA3" w:rsidP="00A14BA3">
      <w:pPr>
        <w:spacing w:line="276" w:lineRule="auto"/>
        <w:jc w:val="center"/>
        <w:rPr>
          <w:rFonts w:eastAsia="Times New Roman"/>
          <w:color w:val="1F3864" w:themeColor="accent1" w:themeShade="80"/>
          <w:sz w:val="36"/>
          <w:szCs w:val="36"/>
        </w:rPr>
      </w:pPr>
      <w:bookmarkStart w:id="0" w:name="_GoBack"/>
      <w:bookmarkEnd w:id="0"/>
    </w:p>
    <w:p w14:paraId="64DFE203" w14:textId="32CABDEB" w:rsidR="00F04685" w:rsidRPr="00F04685" w:rsidRDefault="00F04685" w:rsidP="00F04685">
      <w:pPr>
        <w:spacing w:line="276" w:lineRule="auto"/>
        <w:jc w:val="center"/>
        <w:rPr>
          <w:rFonts w:eastAsia="Times New Roman"/>
          <w:color w:val="1F3864" w:themeColor="accent1" w:themeShade="80"/>
          <w:sz w:val="36"/>
          <w:szCs w:val="36"/>
        </w:rPr>
      </w:pPr>
      <w:r w:rsidRPr="00F04685">
        <w:rPr>
          <w:rFonts w:eastAsia="Times New Roman"/>
          <w:color w:val="1F3864" w:themeColor="accent1" w:themeShade="80"/>
          <w:sz w:val="36"/>
          <w:szCs w:val="36"/>
        </w:rPr>
        <w:t xml:space="preserve">Instrumenti/standardizovana uputstva za procjenu orodnjenosti strategija i zakona, sa analizom orodnjenosti </w:t>
      </w:r>
      <w:r w:rsidR="00227611">
        <w:rPr>
          <w:rFonts w:eastAsia="Times New Roman"/>
          <w:color w:val="1F3864" w:themeColor="accent1" w:themeShade="80"/>
          <w:sz w:val="36"/>
          <w:szCs w:val="36"/>
        </w:rPr>
        <w:t>26</w:t>
      </w:r>
      <w:r w:rsidR="00A11649">
        <w:rPr>
          <w:rFonts w:eastAsia="Times New Roman"/>
          <w:color w:val="1F3864" w:themeColor="accent1" w:themeShade="80"/>
          <w:sz w:val="36"/>
          <w:szCs w:val="36"/>
        </w:rPr>
        <w:t xml:space="preserve"> </w:t>
      </w:r>
      <w:r w:rsidRPr="00F04685">
        <w:rPr>
          <w:rFonts w:eastAsia="Times New Roman"/>
          <w:color w:val="1F3864" w:themeColor="accent1" w:themeShade="80"/>
          <w:sz w:val="36"/>
          <w:szCs w:val="36"/>
        </w:rPr>
        <w:t>važećih strategija</w:t>
      </w:r>
      <w:r w:rsidR="00A11649">
        <w:rPr>
          <w:rFonts w:eastAsia="Times New Roman"/>
          <w:color w:val="1F3864" w:themeColor="accent1" w:themeShade="80"/>
          <w:sz w:val="36"/>
          <w:szCs w:val="36"/>
        </w:rPr>
        <w:t xml:space="preserve"> </w:t>
      </w:r>
      <w:r w:rsidR="009D5CC5">
        <w:rPr>
          <w:rFonts w:eastAsia="Times New Roman"/>
          <w:color w:val="1F3864" w:themeColor="accent1" w:themeShade="80"/>
          <w:sz w:val="36"/>
          <w:szCs w:val="36"/>
        </w:rPr>
        <w:t>u 2021. godini</w:t>
      </w:r>
    </w:p>
    <w:p w14:paraId="4D697BA5" w14:textId="77777777" w:rsidR="007F7C86" w:rsidRDefault="007F7C86" w:rsidP="007F7C86">
      <w:pPr>
        <w:rPr>
          <w:lang w:val="sr-Latn-ME"/>
        </w:rPr>
      </w:pPr>
    </w:p>
    <w:p w14:paraId="7BEE6F51" w14:textId="77777777" w:rsidR="00F04685" w:rsidRDefault="00F04685" w:rsidP="007F7C86">
      <w:pPr>
        <w:rPr>
          <w:lang w:val="sr-Latn-ME"/>
        </w:rPr>
      </w:pPr>
    </w:p>
    <w:p w14:paraId="05317BA7" w14:textId="77777777" w:rsidR="00F04685" w:rsidRPr="007F7C86" w:rsidRDefault="00F04685" w:rsidP="007F7C86">
      <w:pPr>
        <w:rPr>
          <w:lang w:val="sr-Latn-ME"/>
        </w:rPr>
      </w:pPr>
    </w:p>
    <w:sdt>
      <w:sdtPr>
        <w:rPr>
          <w:rFonts w:asciiTheme="minorHAnsi" w:eastAsiaTheme="minorHAnsi" w:hAnsiTheme="minorHAnsi" w:cstheme="minorBidi"/>
          <w:color w:val="auto"/>
          <w:sz w:val="22"/>
          <w:szCs w:val="22"/>
        </w:rPr>
        <w:id w:val="1279538010"/>
        <w:docPartObj>
          <w:docPartGallery w:val="Table of Contents"/>
          <w:docPartUnique/>
        </w:docPartObj>
      </w:sdtPr>
      <w:sdtEndPr>
        <w:rPr>
          <w:b/>
          <w:bCs/>
          <w:noProof/>
        </w:rPr>
      </w:sdtEndPr>
      <w:sdtContent>
        <w:p w14:paraId="1D44CDE5" w14:textId="6CC19036" w:rsidR="00FD34CB" w:rsidRDefault="00FD34CB">
          <w:pPr>
            <w:pStyle w:val="TOCHeading"/>
          </w:pPr>
          <w:r>
            <w:t>Sadržaj</w:t>
          </w:r>
        </w:p>
        <w:p w14:paraId="22006EBB" w14:textId="77777777" w:rsidR="00771328" w:rsidRDefault="00FD34CB">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00339523" w:history="1">
            <w:r w:rsidR="00771328" w:rsidRPr="006318DB">
              <w:rPr>
                <w:rStyle w:val="Hyperlink"/>
                <w:noProof/>
                <w:lang w:val="sr-Latn-ME"/>
              </w:rPr>
              <w:t>Siže</w:t>
            </w:r>
            <w:r w:rsidR="00771328">
              <w:rPr>
                <w:noProof/>
                <w:webHidden/>
              </w:rPr>
              <w:tab/>
            </w:r>
            <w:r w:rsidR="00771328">
              <w:rPr>
                <w:noProof/>
                <w:webHidden/>
              </w:rPr>
              <w:fldChar w:fldCharType="begin"/>
            </w:r>
            <w:r w:rsidR="00771328">
              <w:rPr>
                <w:noProof/>
                <w:webHidden/>
              </w:rPr>
              <w:instrText xml:space="preserve"> PAGEREF _Toc100339523 \h </w:instrText>
            </w:r>
            <w:r w:rsidR="00771328">
              <w:rPr>
                <w:noProof/>
                <w:webHidden/>
              </w:rPr>
            </w:r>
            <w:r w:rsidR="00771328">
              <w:rPr>
                <w:noProof/>
                <w:webHidden/>
              </w:rPr>
              <w:fldChar w:fldCharType="separate"/>
            </w:r>
            <w:r w:rsidR="00771328">
              <w:rPr>
                <w:noProof/>
                <w:webHidden/>
              </w:rPr>
              <w:t>3</w:t>
            </w:r>
            <w:r w:rsidR="00771328">
              <w:rPr>
                <w:noProof/>
                <w:webHidden/>
              </w:rPr>
              <w:fldChar w:fldCharType="end"/>
            </w:r>
          </w:hyperlink>
        </w:p>
        <w:p w14:paraId="05A4C8E4" w14:textId="77777777" w:rsidR="00771328" w:rsidRDefault="000863DD">
          <w:pPr>
            <w:pStyle w:val="TOC1"/>
            <w:tabs>
              <w:tab w:val="right" w:leader="dot" w:pos="9350"/>
            </w:tabs>
            <w:rPr>
              <w:rFonts w:eastAsiaTheme="minorEastAsia"/>
              <w:noProof/>
              <w:sz w:val="24"/>
              <w:szCs w:val="24"/>
            </w:rPr>
          </w:pPr>
          <w:hyperlink w:anchor="_Toc100339524" w:history="1">
            <w:r w:rsidR="00771328" w:rsidRPr="006318DB">
              <w:rPr>
                <w:rStyle w:val="Hyperlink"/>
                <w:noProof/>
                <w:lang w:val="hr-HR"/>
              </w:rPr>
              <w:t>Uvod</w:t>
            </w:r>
            <w:r w:rsidR="00771328">
              <w:rPr>
                <w:noProof/>
                <w:webHidden/>
              </w:rPr>
              <w:tab/>
            </w:r>
            <w:r w:rsidR="00771328">
              <w:rPr>
                <w:noProof/>
                <w:webHidden/>
              </w:rPr>
              <w:fldChar w:fldCharType="begin"/>
            </w:r>
            <w:r w:rsidR="00771328">
              <w:rPr>
                <w:noProof/>
                <w:webHidden/>
              </w:rPr>
              <w:instrText xml:space="preserve"> PAGEREF _Toc100339524 \h </w:instrText>
            </w:r>
            <w:r w:rsidR="00771328">
              <w:rPr>
                <w:noProof/>
                <w:webHidden/>
              </w:rPr>
            </w:r>
            <w:r w:rsidR="00771328">
              <w:rPr>
                <w:noProof/>
                <w:webHidden/>
              </w:rPr>
              <w:fldChar w:fldCharType="separate"/>
            </w:r>
            <w:r w:rsidR="00771328">
              <w:rPr>
                <w:noProof/>
                <w:webHidden/>
              </w:rPr>
              <w:t>4</w:t>
            </w:r>
            <w:r w:rsidR="00771328">
              <w:rPr>
                <w:noProof/>
                <w:webHidden/>
              </w:rPr>
              <w:fldChar w:fldCharType="end"/>
            </w:r>
          </w:hyperlink>
        </w:p>
        <w:p w14:paraId="1DBB74D9" w14:textId="77777777" w:rsidR="00771328" w:rsidRDefault="000863DD">
          <w:pPr>
            <w:pStyle w:val="TOC1"/>
            <w:tabs>
              <w:tab w:val="right" w:leader="dot" w:pos="9350"/>
            </w:tabs>
            <w:rPr>
              <w:rFonts w:eastAsiaTheme="minorEastAsia"/>
              <w:noProof/>
              <w:sz w:val="24"/>
              <w:szCs w:val="24"/>
            </w:rPr>
          </w:pPr>
          <w:hyperlink w:anchor="_Toc100339525" w:history="1">
            <w:r w:rsidR="00771328" w:rsidRPr="006318DB">
              <w:rPr>
                <w:rStyle w:val="Hyperlink"/>
                <w:noProof/>
                <w:lang w:val="hr-HR"/>
              </w:rPr>
              <w:t>Metod i podaci</w:t>
            </w:r>
            <w:r w:rsidR="00771328">
              <w:rPr>
                <w:noProof/>
                <w:webHidden/>
              </w:rPr>
              <w:tab/>
            </w:r>
            <w:r w:rsidR="00771328">
              <w:rPr>
                <w:noProof/>
                <w:webHidden/>
              </w:rPr>
              <w:fldChar w:fldCharType="begin"/>
            </w:r>
            <w:r w:rsidR="00771328">
              <w:rPr>
                <w:noProof/>
                <w:webHidden/>
              </w:rPr>
              <w:instrText xml:space="preserve"> PAGEREF _Toc100339525 \h </w:instrText>
            </w:r>
            <w:r w:rsidR="00771328">
              <w:rPr>
                <w:noProof/>
                <w:webHidden/>
              </w:rPr>
            </w:r>
            <w:r w:rsidR="00771328">
              <w:rPr>
                <w:noProof/>
                <w:webHidden/>
              </w:rPr>
              <w:fldChar w:fldCharType="separate"/>
            </w:r>
            <w:r w:rsidR="00771328">
              <w:rPr>
                <w:noProof/>
                <w:webHidden/>
              </w:rPr>
              <w:t>6</w:t>
            </w:r>
            <w:r w:rsidR="00771328">
              <w:rPr>
                <w:noProof/>
                <w:webHidden/>
              </w:rPr>
              <w:fldChar w:fldCharType="end"/>
            </w:r>
          </w:hyperlink>
        </w:p>
        <w:p w14:paraId="3B7E6E24" w14:textId="77777777" w:rsidR="00771328" w:rsidRDefault="000863DD">
          <w:pPr>
            <w:pStyle w:val="TOC2"/>
            <w:tabs>
              <w:tab w:val="right" w:leader="dot" w:pos="9350"/>
            </w:tabs>
            <w:rPr>
              <w:rFonts w:eastAsiaTheme="minorEastAsia"/>
              <w:noProof/>
              <w:sz w:val="24"/>
              <w:szCs w:val="24"/>
            </w:rPr>
          </w:pPr>
          <w:hyperlink w:anchor="_Toc100339526" w:history="1">
            <w:r w:rsidR="00771328" w:rsidRPr="006318DB">
              <w:rPr>
                <w:rStyle w:val="Hyperlink"/>
                <w:noProof/>
                <w:lang w:val="hr-HR"/>
              </w:rPr>
              <w:t>I  Instrument za procjenu orodnjenosti strateških dokumenata</w:t>
            </w:r>
            <w:r w:rsidR="00771328">
              <w:rPr>
                <w:noProof/>
                <w:webHidden/>
              </w:rPr>
              <w:tab/>
            </w:r>
            <w:r w:rsidR="00771328">
              <w:rPr>
                <w:noProof/>
                <w:webHidden/>
              </w:rPr>
              <w:fldChar w:fldCharType="begin"/>
            </w:r>
            <w:r w:rsidR="00771328">
              <w:rPr>
                <w:noProof/>
                <w:webHidden/>
              </w:rPr>
              <w:instrText xml:space="preserve"> PAGEREF _Toc100339526 \h </w:instrText>
            </w:r>
            <w:r w:rsidR="00771328">
              <w:rPr>
                <w:noProof/>
                <w:webHidden/>
              </w:rPr>
            </w:r>
            <w:r w:rsidR="00771328">
              <w:rPr>
                <w:noProof/>
                <w:webHidden/>
              </w:rPr>
              <w:fldChar w:fldCharType="separate"/>
            </w:r>
            <w:r w:rsidR="00771328">
              <w:rPr>
                <w:noProof/>
                <w:webHidden/>
              </w:rPr>
              <w:t>8</w:t>
            </w:r>
            <w:r w:rsidR="00771328">
              <w:rPr>
                <w:noProof/>
                <w:webHidden/>
              </w:rPr>
              <w:fldChar w:fldCharType="end"/>
            </w:r>
          </w:hyperlink>
        </w:p>
        <w:p w14:paraId="7C543597" w14:textId="77777777" w:rsidR="00771328" w:rsidRDefault="000863DD">
          <w:pPr>
            <w:pStyle w:val="TOC2"/>
            <w:tabs>
              <w:tab w:val="right" w:leader="dot" w:pos="9350"/>
            </w:tabs>
            <w:rPr>
              <w:rFonts w:eastAsiaTheme="minorEastAsia"/>
              <w:noProof/>
              <w:sz w:val="24"/>
              <w:szCs w:val="24"/>
            </w:rPr>
          </w:pPr>
          <w:hyperlink w:anchor="_Toc100339527" w:history="1">
            <w:r w:rsidR="00771328" w:rsidRPr="006318DB">
              <w:rPr>
                <w:rStyle w:val="Hyperlink"/>
                <w:noProof/>
                <w:lang w:val="sr-Latn-ME"/>
              </w:rPr>
              <w:t>Računanje nivoa orodnjenosti strategija</w:t>
            </w:r>
            <w:r w:rsidR="00771328">
              <w:rPr>
                <w:noProof/>
                <w:webHidden/>
              </w:rPr>
              <w:tab/>
            </w:r>
            <w:r w:rsidR="00771328">
              <w:rPr>
                <w:noProof/>
                <w:webHidden/>
              </w:rPr>
              <w:fldChar w:fldCharType="begin"/>
            </w:r>
            <w:r w:rsidR="00771328">
              <w:rPr>
                <w:noProof/>
                <w:webHidden/>
              </w:rPr>
              <w:instrText xml:space="preserve"> PAGEREF _Toc100339527 \h </w:instrText>
            </w:r>
            <w:r w:rsidR="00771328">
              <w:rPr>
                <w:noProof/>
                <w:webHidden/>
              </w:rPr>
            </w:r>
            <w:r w:rsidR="00771328">
              <w:rPr>
                <w:noProof/>
                <w:webHidden/>
              </w:rPr>
              <w:fldChar w:fldCharType="separate"/>
            </w:r>
            <w:r w:rsidR="00771328">
              <w:rPr>
                <w:noProof/>
                <w:webHidden/>
              </w:rPr>
              <w:t>10</w:t>
            </w:r>
            <w:r w:rsidR="00771328">
              <w:rPr>
                <w:noProof/>
                <w:webHidden/>
              </w:rPr>
              <w:fldChar w:fldCharType="end"/>
            </w:r>
          </w:hyperlink>
        </w:p>
        <w:p w14:paraId="4598CBE1" w14:textId="77777777" w:rsidR="00771328" w:rsidRDefault="000863DD">
          <w:pPr>
            <w:pStyle w:val="TOC2"/>
            <w:tabs>
              <w:tab w:val="right" w:leader="dot" w:pos="9350"/>
            </w:tabs>
            <w:rPr>
              <w:rFonts w:eastAsiaTheme="minorEastAsia"/>
              <w:noProof/>
              <w:sz w:val="24"/>
              <w:szCs w:val="24"/>
            </w:rPr>
          </w:pPr>
          <w:hyperlink w:anchor="_Toc100339528" w:history="1">
            <w:r w:rsidR="00771328" w:rsidRPr="006318DB">
              <w:rPr>
                <w:rStyle w:val="Hyperlink"/>
                <w:noProof/>
                <w:lang w:val="hr-HR"/>
              </w:rPr>
              <w:t xml:space="preserve">II Model informativnog pregleda </w:t>
            </w:r>
            <w:r w:rsidR="00771328" w:rsidRPr="006318DB">
              <w:rPr>
                <w:rStyle w:val="Hyperlink"/>
                <w:rFonts w:eastAsia="Times New Roman"/>
                <w:noProof/>
              </w:rPr>
              <w:t>sa ugrađenom komponentom za procjenu orodnjenosti</w:t>
            </w:r>
            <w:r w:rsidR="00771328" w:rsidRPr="006318DB">
              <w:rPr>
                <w:rStyle w:val="Hyperlink"/>
                <w:noProof/>
              </w:rPr>
              <w:t>, za potrebe ex-ante analize orodnjenosti zakona</w:t>
            </w:r>
            <w:r w:rsidR="00771328">
              <w:rPr>
                <w:noProof/>
                <w:webHidden/>
              </w:rPr>
              <w:tab/>
            </w:r>
            <w:r w:rsidR="00771328">
              <w:rPr>
                <w:noProof/>
                <w:webHidden/>
              </w:rPr>
              <w:fldChar w:fldCharType="begin"/>
            </w:r>
            <w:r w:rsidR="00771328">
              <w:rPr>
                <w:noProof/>
                <w:webHidden/>
              </w:rPr>
              <w:instrText xml:space="preserve"> PAGEREF _Toc100339528 \h </w:instrText>
            </w:r>
            <w:r w:rsidR="00771328">
              <w:rPr>
                <w:noProof/>
                <w:webHidden/>
              </w:rPr>
            </w:r>
            <w:r w:rsidR="00771328">
              <w:rPr>
                <w:noProof/>
                <w:webHidden/>
              </w:rPr>
              <w:fldChar w:fldCharType="separate"/>
            </w:r>
            <w:r w:rsidR="00771328">
              <w:rPr>
                <w:noProof/>
                <w:webHidden/>
              </w:rPr>
              <w:t>11</w:t>
            </w:r>
            <w:r w:rsidR="00771328">
              <w:rPr>
                <w:noProof/>
                <w:webHidden/>
              </w:rPr>
              <w:fldChar w:fldCharType="end"/>
            </w:r>
          </w:hyperlink>
        </w:p>
        <w:p w14:paraId="11D2517B" w14:textId="77777777" w:rsidR="00771328" w:rsidRDefault="000863DD">
          <w:pPr>
            <w:pStyle w:val="TOC2"/>
            <w:tabs>
              <w:tab w:val="right" w:leader="dot" w:pos="9350"/>
            </w:tabs>
            <w:rPr>
              <w:rFonts w:eastAsiaTheme="minorEastAsia"/>
              <w:noProof/>
              <w:sz w:val="24"/>
              <w:szCs w:val="24"/>
            </w:rPr>
          </w:pPr>
          <w:hyperlink w:anchor="_Toc100339529" w:history="1">
            <w:r w:rsidR="00771328" w:rsidRPr="006318DB">
              <w:rPr>
                <w:rStyle w:val="Hyperlink"/>
                <w:noProof/>
                <w:lang w:val="hr-HR"/>
              </w:rPr>
              <w:t>III Procjena orodnjenosti važećih strateških dokumenata</w:t>
            </w:r>
            <w:r w:rsidR="00771328">
              <w:rPr>
                <w:noProof/>
                <w:webHidden/>
              </w:rPr>
              <w:tab/>
            </w:r>
            <w:r w:rsidR="00771328">
              <w:rPr>
                <w:noProof/>
                <w:webHidden/>
              </w:rPr>
              <w:fldChar w:fldCharType="begin"/>
            </w:r>
            <w:r w:rsidR="00771328">
              <w:rPr>
                <w:noProof/>
                <w:webHidden/>
              </w:rPr>
              <w:instrText xml:space="preserve"> PAGEREF _Toc100339529 \h </w:instrText>
            </w:r>
            <w:r w:rsidR="00771328">
              <w:rPr>
                <w:noProof/>
                <w:webHidden/>
              </w:rPr>
            </w:r>
            <w:r w:rsidR="00771328">
              <w:rPr>
                <w:noProof/>
                <w:webHidden/>
              </w:rPr>
              <w:fldChar w:fldCharType="separate"/>
            </w:r>
            <w:r w:rsidR="00771328">
              <w:rPr>
                <w:noProof/>
                <w:webHidden/>
              </w:rPr>
              <w:t>14</w:t>
            </w:r>
            <w:r w:rsidR="00771328">
              <w:rPr>
                <w:noProof/>
                <w:webHidden/>
              </w:rPr>
              <w:fldChar w:fldCharType="end"/>
            </w:r>
          </w:hyperlink>
        </w:p>
        <w:p w14:paraId="4C8C8DE3" w14:textId="77777777" w:rsidR="00771328" w:rsidRDefault="000863DD">
          <w:pPr>
            <w:pStyle w:val="TOC3"/>
            <w:tabs>
              <w:tab w:val="right" w:leader="dot" w:pos="9350"/>
            </w:tabs>
            <w:rPr>
              <w:rFonts w:eastAsiaTheme="minorEastAsia"/>
              <w:noProof/>
              <w:sz w:val="24"/>
              <w:szCs w:val="24"/>
            </w:rPr>
          </w:pPr>
          <w:hyperlink w:anchor="_Toc100339530" w:history="1">
            <w:r w:rsidR="00771328" w:rsidRPr="006318DB">
              <w:rPr>
                <w:rStyle w:val="Hyperlink"/>
                <w:noProof/>
              </w:rPr>
              <w:t>1. Strategija za borbu protiv trgovine ljudima za period 2019-2024</w:t>
            </w:r>
            <w:r w:rsidR="00771328">
              <w:rPr>
                <w:noProof/>
                <w:webHidden/>
              </w:rPr>
              <w:tab/>
            </w:r>
            <w:r w:rsidR="00771328">
              <w:rPr>
                <w:noProof/>
                <w:webHidden/>
              </w:rPr>
              <w:fldChar w:fldCharType="begin"/>
            </w:r>
            <w:r w:rsidR="00771328">
              <w:rPr>
                <w:noProof/>
                <w:webHidden/>
              </w:rPr>
              <w:instrText xml:space="preserve"> PAGEREF _Toc100339530 \h </w:instrText>
            </w:r>
            <w:r w:rsidR="00771328">
              <w:rPr>
                <w:noProof/>
                <w:webHidden/>
              </w:rPr>
            </w:r>
            <w:r w:rsidR="00771328">
              <w:rPr>
                <w:noProof/>
                <w:webHidden/>
              </w:rPr>
              <w:fldChar w:fldCharType="separate"/>
            </w:r>
            <w:r w:rsidR="00771328">
              <w:rPr>
                <w:noProof/>
                <w:webHidden/>
              </w:rPr>
              <w:t>14</w:t>
            </w:r>
            <w:r w:rsidR="00771328">
              <w:rPr>
                <w:noProof/>
                <w:webHidden/>
              </w:rPr>
              <w:fldChar w:fldCharType="end"/>
            </w:r>
          </w:hyperlink>
        </w:p>
        <w:p w14:paraId="472C0BC4" w14:textId="77777777" w:rsidR="00771328" w:rsidRDefault="000863DD">
          <w:pPr>
            <w:pStyle w:val="TOC3"/>
            <w:tabs>
              <w:tab w:val="right" w:leader="dot" w:pos="9350"/>
            </w:tabs>
            <w:rPr>
              <w:rFonts w:eastAsiaTheme="minorEastAsia"/>
              <w:noProof/>
              <w:sz w:val="24"/>
              <w:szCs w:val="24"/>
            </w:rPr>
          </w:pPr>
          <w:hyperlink w:anchor="_Toc100339531" w:history="1">
            <w:r w:rsidR="00771328" w:rsidRPr="006318DB">
              <w:rPr>
                <w:rStyle w:val="Hyperlink"/>
                <w:noProof/>
                <w:lang w:val="hr-HR"/>
              </w:rPr>
              <w:t>2. Strategija upravljanja ljudskim resursima u Upravi policije 2019-2024</w:t>
            </w:r>
            <w:r w:rsidR="00771328">
              <w:rPr>
                <w:noProof/>
                <w:webHidden/>
              </w:rPr>
              <w:tab/>
            </w:r>
            <w:r w:rsidR="00771328">
              <w:rPr>
                <w:noProof/>
                <w:webHidden/>
              </w:rPr>
              <w:fldChar w:fldCharType="begin"/>
            </w:r>
            <w:r w:rsidR="00771328">
              <w:rPr>
                <w:noProof/>
                <w:webHidden/>
              </w:rPr>
              <w:instrText xml:space="preserve"> PAGEREF _Toc100339531 \h </w:instrText>
            </w:r>
            <w:r w:rsidR="00771328">
              <w:rPr>
                <w:noProof/>
                <w:webHidden/>
              </w:rPr>
            </w:r>
            <w:r w:rsidR="00771328">
              <w:rPr>
                <w:noProof/>
                <w:webHidden/>
              </w:rPr>
              <w:fldChar w:fldCharType="separate"/>
            </w:r>
            <w:r w:rsidR="00771328">
              <w:rPr>
                <w:noProof/>
                <w:webHidden/>
              </w:rPr>
              <w:t>17</w:t>
            </w:r>
            <w:r w:rsidR="00771328">
              <w:rPr>
                <w:noProof/>
                <w:webHidden/>
              </w:rPr>
              <w:fldChar w:fldCharType="end"/>
            </w:r>
          </w:hyperlink>
        </w:p>
        <w:p w14:paraId="7FCC30EC" w14:textId="77777777" w:rsidR="00771328" w:rsidRDefault="000863DD">
          <w:pPr>
            <w:pStyle w:val="TOC3"/>
            <w:tabs>
              <w:tab w:val="right" w:leader="dot" w:pos="9350"/>
            </w:tabs>
            <w:rPr>
              <w:rFonts w:eastAsiaTheme="minorEastAsia"/>
              <w:noProof/>
              <w:sz w:val="24"/>
              <w:szCs w:val="24"/>
            </w:rPr>
          </w:pPr>
          <w:hyperlink w:anchor="_Toc100339532" w:history="1">
            <w:r w:rsidR="00771328" w:rsidRPr="006318DB">
              <w:rPr>
                <w:rStyle w:val="Hyperlink"/>
                <w:noProof/>
                <w:lang w:val="hr-HR"/>
              </w:rPr>
              <w:t>3. Strategija za suzbijanje nedozvoljenog posjedovanja, zloupotrebe i trgovine, malokalibarskim i lakim oružjem i municijom 2019-2025</w:t>
            </w:r>
            <w:r w:rsidR="00771328">
              <w:rPr>
                <w:noProof/>
                <w:webHidden/>
              </w:rPr>
              <w:tab/>
            </w:r>
            <w:r w:rsidR="00771328">
              <w:rPr>
                <w:noProof/>
                <w:webHidden/>
              </w:rPr>
              <w:fldChar w:fldCharType="begin"/>
            </w:r>
            <w:r w:rsidR="00771328">
              <w:rPr>
                <w:noProof/>
                <w:webHidden/>
              </w:rPr>
              <w:instrText xml:space="preserve"> PAGEREF _Toc100339532 \h </w:instrText>
            </w:r>
            <w:r w:rsidR="00771328">
              <w:rPr>
                <w:noProof/>
                <w:webHidden/>
              </w:rPr>
            </w:r>
            <w:r w:rsidR="00771328">
              <w:rPr>
                <w:noProof/>
                <w:webHidden/>
              </w:rPr>
              <w:fldChar w:fldCharType="separate"/>
            </w:r>
            <w:r w:rsidR="00771328">
              <w:rPr>
                <w:noProof/>
                <w:webHidden/>
              </w:rPr>
              <w:t>19</w:t>
            </w:r>
            <w:r w:rsidR="00771328">
              <w:rPr>
                <w:noProof/>
                <w:webHidden/>
              </w:rPr>
              <w:fldChar w:fldCharType="end"/>
            </w:r>
          </w:hyperlink>
        </w:p>
        <w:p w14:paraId="577DBBF4" w14:textId="77777777" w:rsidR="00771328" w:rsidRDefault="000863DD">
          <w:pPr>
            <w:pStyle w:val="TOC3"/>
            <w:tabs>
              <w:tab w:val="right" w:leader="dot" w:pos="9350"/>
            </w:tabs>
            <w:rPr>
              <w:rFonts w:eastAsiaTheme="minorEastAsia"/>
              <w:noProof/>
              <w:sz w:val="24"/>
              <w:szCs w:val="24"/>
            </w:rPr>
          </w:pPr>
          <w:hyperlink w:anchor="_Toc100339533" w:history="1">
            <w:r w:rsidR="00771328" w:rsidRPr="006318DB">
              <w:rPr>
                <w:rStyle w:val="Hyperlink"/>
                <w:noProof/>
                <w:lang w:val="hr-HR"/>
              </w:rPr>
              <w:t>4. Šengenski akcioni plan</w:t>
            </w:r>
            <w:r w:rsidR="00771328">
              <w:rPr>
                <w:noProof/>
                <w:webHidden/>
              </w:rPr>
              <w:tab/>
            </w:r>
            <w:r w:rsidR="00771328">
              <w:rPr>
                <w:noProof/>
                <w:webHidden/>
              </w:rPr>
              <w:fldChar w:fldCharType="begin"/>
            </w:r>
            <w:r w:rsidR="00771328">
              <w:rPr>
                <w:noProof/>
                <w:webHidden/>
              </w:rPr>
              <w:instrText xml:space="preserve"> PAGEREF _Toc100339533 \h </w:instrText>
            </w:r>
            <w:r w:rsidR="00771328">
              <w:rPr>
                <w:noProof/>
                <w:webHidden/>
              </w:rPr>
            </w:r>
            <w:r w:rsidR="00771328">
              <w:rPr>
                <w:noProof/>
                <w:webHidden/>
              </w:rPr>
              <w:fldChar w:fldCharType="separate"/>
            </w:r>
            <w:r w:rsidR="00771328">
              <w:rPr>
                <w:noProof/>
                <w:webHidden/>
              </w:rPr>
              <w:t>22</w:t>
            </w:r>
            <w:r w:rsidR="00771328">
              <w:rPr>
                <w:noProof/>
                <w:webHidden/>
              </w:rPr>
              <w:fldChar w:fldCharType="end"/>
            </w:r>
          </w:hyperlink>
        </w:p>
        <w:p w14:paraId="0DA060FA" w14:textId="77777777" w:rsidR="00771328" w:rsidRDefault="000863DD">
          <w:pPr>
            <w:pStyle w:val="TOC3"/>
            <w:tabs>
              <w:tab w:val="right" w:leader="dot" w:pos="9350"/>
            </w:tabs>
            <w:rPr>
              <w:rFonts w:eastAsiaTheme="minorEastAsia"/>
              <w:noProof/>
              <w:sz w:val="24"/>
              <w:szCs w:val="24"/>
            </w:rPr>
          </w:pPr>
          <w:hyperlink w:anchor="_Toc100339534" w:history="1">
            <w:r w:rsidR="00771328" w:rsidRPr="006318DB">
              <w:rPr>
                <w:rStyle w:val="Hyperlink"/>
                <w:noProof/>
                <w:lang w:val="hr-HR"/>
              </w:rPr>
              <w:t>5. Strategija za unapređenje kvaliteta života LGBTI osoba u Crnoj Gori za period 2019-2023.</w:t>
            </w:r>
            <w:r w:rsidR="00771328">
              <w:rPr>
                <w:noProof/>
                <w:webHidden/>
              </w:rPr>
              <w:tab/>
            </w:r>
            <w:r w:rsidR="00771328">
              <w:rPr>
                <w:noProof/>
                <w:webHidden/>
              </w:rPr>
              <w:fldChar w:fldCharType="begin"/>
            </w:r>
            <w:r w:rsidR="00771328">
              <w:rPr>
                <w:noProof/>
                <w:webHidden/>
              </w:rPr>
              <w:instrText xml:space="preserve"> PAGEREF _Toc100339534 \h </w:instrText>
            </w:r>
            <w:r w:rsidR="00771328">
              <w:rPr>
                <w:noProof/>
                <w:webHidden/>
              </w:rPr>
            </w:r>
            <w:r w:rsidR="00771328">
              <w:rPr>
                <w:noProof/>
                <w:webHidden/>
              </w:rPr>
              <w:fldChar w:fldCharType="separate"/>
            </w:r>
            <w:r w:rsidR="00771328">
              <w:rPr>
                <w:noProof/>
                <w:webHidden/>
              </w:rPr>
              <w:t>24</w:t>
            </w:r>
            <w:r w:rsidR="00771328">
              <w:rPr>
                <w:noProof/>
                <w:webHidden/>
              </w:rPr>
              <w:fldChar w:fldCharType="end"/>
            </w:r>
          </w:hyperlink>
        </w:p>
        <w:p w14:paraId="5CB5086C" w14:textId="77777777" w:rsidR="00771328" w:rsidRDefault="000863DD">
          <w:pPr>
            <w:pStyle w:val="TOC3"/>
            <w:tabs>
              <w:tab w:val="right" w:leader="dot" w:pos="9350"/>
            </w:tabs>
            <w:rPr>
              <w:rFonts w:eastAsiaTheme="minorEastAsia"/>
              <w:noProof/>
              <w:sz w:val="24"/>
              <w:szCs w:val="24"/>
            </w:rPr>
          </w:pPr>
          <w:hyperlink w:anchor="_Toc100339535" w:history="1">
            <w:r w:rsidR="00771328" w:rsidRPr="006318DB">
              <w:rPr>
                <w:rStyle w:val="Hyperlink"/>
                <w:noProof/>
                <w:lang w:val="hr-HR"/>
              </w:rPr>
              <w:t>6. Strategija za socijalnu inkluziju Roma i Egipćana u Crnoj Gori 2021-2025. godine</w:t>
            </w:r>
            <w:r w:rsidR="00771328">
              <w:rPr>
                <w:noProof/>
                <w:webHidden/>
              </w:rPr>
              <w:tab/>
            </w:r>
            <w:r w:rsidR="00771328">
              <w:rPr>
                <w:noProof/>
                <w:webHidden/>
              </w:rPr>
              <w:fldChar w:fldCharType="begin"/>
            </w:r>
            <w:r w:rsidR="00771328">
              <w:rPr>
                <w:noProof/>
                <w:webHidden/>
              </w:rPr>
              <w:instrText xml:space="preserve"> PAGEREF _Toc100339535 \h </w:instrText>
            </w:r>
            <w:r w:rsidR="00771328">
              <w:rPr>
                <w:noProof/>
                <w:webHidden/>
              </w:rPr>
            </w:r>
            <w:r w:rsidR="00771328">
              <w:rPr>
                <w:noProof/>
                <w:webHidden/>
              </w:rPr>
              <w:fldChar w:fldCharType="separate"/>
            </w:r>
            <w:r w:rsidR="00771328">
              <w:rPr>
                <w:noProof/>
                <w:webHidden/>
              </w:rPr>
              <w:t>26</w:t>
            </w:r>
            <w:r w:rsidR="00771328">
              <w:rPr>
                <w:noProof/>
                <w:webHidden/>
              </w:rPr>
              <w:fldChar w:fldCharType="end"/>
            </w:r>
          </w:hyperlink>
        </w:p>
        <w:p w14:paraId="2810FA84" w14:textId="77777777" w:rsidR="00771328" w:rsidRDefault="000863DD">
          <w:pPr>
            <w:pStyle w:val="TOC3"/>
            <w:tabs>
              <w:tab w:val="right" w:leader="dot" w:pos="9350"/>
            </w:tabs>
            <w:rPr>
              <w:rFonts w:eastAsiaTheme="minorEastAsia"/>
              <w:noProof/>
              <w:sz w:val="24"/>
              <w:szCs w:val="24"/>
            </w:rPr>
          </w:pPr>
          <w:hyperlink w:anchor="_Toc100339536" w:history="1">
            <w:r w:rsidR="00771328" w:rsidRPr="006318DB">
              <w:rPr>
                <w:rStyle w:val="Hyperlink"/>
                <w:noProof/>
                <w:lang w:val="hr-HR"/>
              </w:rPr>
              <w:t>7. Strategija za zaštitu lica sa invaliditetom od diskriminacije i promociju jednakosti za period 2017-2021.</w:t>
            </w:r>
            <w:r w:rsidR="00771328">
              <w:rPr>
                <w:noProof/>
                <w:webHidden/>
              </w:rPr>
              <w:tab/>
            </w:r>
            <w:r w:rsidR="00771328">
              <w:rPr>
                <w:noProof/>
                <w:webHidden/>
              </w:rPr>
              <w:fldChar w:fldCharType="begin"/>
            </w:r>
            <w:r w:rsidR="00771328">
              <w:rPr>
                <w:noProof/>
                <w:webHidden/>
              </w:rPr>
              <w:instrText xml:space="preserve"> PAGEREF _Toc100339536 \h </w:instrText>
            </w:r>
            <w:r w:rsidR="00771328">
              <w:rPr>
                <w:noProof/>
                <w:webHidden/>
              </w:rPr>
            </w:r>
            <w:r w:rsidR="00771328">
              <w:rPr>
                <w:noProof/>
                <w:webHidden/>
              </w:rPr>
              <w:fldChar w:fldCharType="separate"/>
            </w:r>
            <w:r w:rsidR="00771328">
              <w:rPr>
                <w:noProof/>
                <w:webHidden/>
              </w:rPr>
              <w:t>28</w:t>
            </w:r>
            <w:r w:rsidR="00771328">
              <w:rPr>
                <w:noProof/>
                <w:webHidden/>
              </w:rPr>
              <w:fldChar w:fldCharType="end"/>
            </w:r>
          </w:hyperlink>
        </w:p>
        <w:p w14:paraId="2E676748" w14:textId="77777777" w:rsidR="00771328" w:rsidRDefault="000863DD">
          <w:pPr>
            <w:pStyle w:val="TOC3"/>
            <w:tabs>
              <w:tab w:val="right" w:leader="dot" w:pos="9350"/>
            </w:tabs>
            <w:rPr>
              <w:rFonts w:eastAsiaTheme="minorEastAsia"/>
              <w:noProof/>
              <w:sz w:val="24"/>
              <w:szCs w:val="24"/>
            </w:rPr>
          </w:pPr>
          <w:hyperlink w:anchor="_Toc100339537" w:history="1">
            <w:r w:rsidR="00771328" w:rsidRPr="006318DB">
              <w:rPr>
                <w:rStyle w:val="Hyperlink"/>
                <w:noProof/>
                <w:lang w:val="hr-HR"/>
              </w:rPr>
              <w:t>8. Plan aktivnosti za postizanje rodne ravnopravnosti (PAPR) 2017-2021.</w:t>
            </w:r>
            <w:r w:rsidR="00771328">
              <w:rPr>
                <w:noProof/>
                <w:webHidden/>
              </w:rPr>
              <w:tab/>
            </w:r>
            <w:r w:rsidR="00771328">
              <w:rPr>
                <w:noProof/>
                <w:webHidden/>
              </w:rPr>
              <w:fldChar w:fldCharType="begin"/>
            </w:r>
            <w:r w:rsidR="00771328">
              <w:rPr>
                <w:noProof/>
                <w:webHidden/>
              </w:rPr>
              <w:instrText xml:space="preserve"> PAGEREF _Toc100339537 \h </w:instrText>
            </w:r>
            <w:r w:rsidR="00771328">
              <w:rPr>
                <w:noProof/>
                <w:webHidden/>
              </w:rPr>
            </w:r>
            <w:r w:rsidR="00771328">
              <w:rPr>
                <w:noProof/>
                <w:webHidden/>
              </w:rPr>
              <w:fldChar w:fldCharType="separate"/>
            </w:r>
            <w:r w:rsidR="00771328">
              <w:rPr>
                <w:noProof/>
                <w:webHidden/>
              </w:rPr>
              <w:t>30</w:t>
            </w:r>
            <w:r w:rsidR="00771328">
              <w:rPr>
                <w:noProof/>
                <w:webHidden/>
              </w:rPr>
              <w:fldChar w:fldCharType="end"/>
            </w:r>
          </w:hyperlink>
        </w:p>
        <w:p w14:paraId="4FF1FA04" w14:textId="77777777" w:rsidR="00771328" w:rsidRDefault="000863DD">
          <w:pPr>
            <w:pStyle w:val="TOC3"/>
            <w:tabs>
              <w:tab w:val="right" w:leader="dot" w:pos="9350"/>
            </w:tabs>
            <w:rPr>
              <w:rFonts w:eastAsiaTheme="minorEastAsia"/>
              <w:noProof/>
              <w:sz w:val="24"/>
              <w:szCs w:val="24"/>
            </w:rPr>
          </w:pPr>
          <w:hyperlink w:anchor="_Toc100339538" w:history="1">
            <w:r w:rsidR="00771328" w:rsidRPr="006318DB">
              <w:rPr>
                <w:rStyle w:val="Hyperlink"/>
                <w:noProof/>
                <w:lang w:val="hr-HR"/>
              </w:rPr>
              <w:t>9. Strategija izvršenja krivičnih sankcija za period 2017-2021.</w:t>
            </w:r>
            <w:r w:rsidR="00771328">
              <w:rPr>
                <w:noProof/>
                <w:webHidden/>
              </w:rPr>
              <w:tab/>
            </w:r>
            <w:r w:rsidR="00771328">
              <w:rPr>
                <w:noProof/>
                <w:webHidden/>
              </w:rPr>
              <w:fldChar w:fldCharType="begin"/>
            </w:r>
            <w:r w:rsidR="00771328">
              <w:rPr>
                <w:noProof/>
                <w:webHidden/>
              </w:rPr>
              <w:instrText xml:space="preserve"> PAGEREF _Toc100339538 \h </w:instrText>
            </w:r>
            <w:r w:rsidR="00771328">
              <w:rPr>
                <w:noProof/>
                <w:webHidden/>
              </w:rPr>
            </w:r>
            <w:r w:rsidR="00771328">
              <w:rPr>
                <w:noProof/>
                <w:webHidden/>
              </w:rPr>
              <w:fldChar w:fldCharType="separate"/>
            </w:r>
            <w:r w:rsidR="00771328">
              <w:rPr>
                <w:noProof/>
                <w:webHidden/>
              </w:rPr>
              <w:t>32</w:t>
            </w:r>
            <w:r w:rsidR="00771328">
              <w:rPr>
                <w:noProof/>
                <w:webHidden/>
              </w:rPr>
              <w:fldChar w:fldCharType="end"/>
            </w:r>
          </w:hyperlink>
        </w:p>
        <w:p w14:paraId="11114286" w14:textId="77777777" w:rsidR="00771328" w:rsidRDefault="000863DD">
          <w:pPr>
            <w:pStyle w:val="TOC3"/>
            <w:tabs>
              <w:tab w:val="right" w:leader="dot" w:pos="9350"/>
            </w:tabs>
            <w:rPr>
              <w:rFonts w:eastAsiaTheme="minorEastAsia"/>
              <w:noProof/>
              <w:sz w:val="24"/>
              <w:szCs w:val="24"/>
            </w:rPr>
          </w:pPr>
          <w:hyperlink w:anchor="_Toc100339539" w:history="1">
            <w:r w:rsidR="00771328" w:rsidRPr="006318DB">
              <w:rPr>
                <w:rStyle w:val="Hyperlink"/>
                <w:noProof/>
                <w:lang w:val="hr-HR"/>
              </w:rPr>
              <w:t>10. Strategija razvoja zvanične statistike 2019-2023</w:t>
            </w:r>
            <w:r w:rsidR="00771328">
              <w:rPr>
                <w:noProof/>
                <w:webHidden/>
              </w:rPr>
              <w:tab/>
            </w:r>
            <w:r w:rsidR="00771328">
              <w:rPr>
                <w:noProof/>
                <w:webHidden/>
              </w:rPr>
              <w:fldChar w:fldCharType="begin"/>
            </w:r>
            <w:r w:rsidR="00771328">
              <w:rPr>
                <w:noProof/>
                <w:webHidden/>
              </w:rPr>
              <w:instrText xml:space="preserve"> PAGEREF _Toc100339539 \h </w:instrText>
            </w:r>
            <w:r w:rsidR="00771328">
              <w:rPr>
                <w:noProof/>
                <w:webHidden/>
              </w:rPr>
            </w:r>
            <w:r w:rsidR="00771328">
              <w:rPr>
                <w:noProof/>
                <w:webHidden/>
              </w:rPr>
              <w:fldChar w:fldCharType="separate"/>
            </w:r>
            <w:r w:rsidR="00771328">
              <w:rPr>
                <w:noProof/>
                <w:webHidden/>
              </w:rPr>
              <w:t>34</w:t>
            </w:r>
            <w:r w:rsidR="00771328">
              <w:rPr>
                <w:noProof/>
                <w:webHidden/>
              </w:rPr>
              <w:fldChar w:fldCharType="end"/>
            </w:r>
          </w:hyperlink>
        </w:p>
        <w:p w14:paraId="5E31C4B4" w14:textId="77777777" w:rsidR="00771328" w:rsidRDefault="000863DD">
          <w:pPr>
            <w:pStyle w:val="TOC3"/>
            <w:tabs>
              <w:tab w:val="right" w:leader="dot" w:pos="9350"/>
            </w:tabs>
            <w:rPr>
              <w:rFonts w:eastAsiaTheme="minorEastAsia"/>
              <w:noProof/>
              <w:sz w:val="24"/>
              <w:szCs w:val="24"/>
            </w:rPr>
          </w:pPr>
          <w:hyperlink w:anchor="_Toc100339540" w:history="1">
            <w:r w:rsidR="00771328" w:rsidRPr="006318DB">
              <w:rPr>
                <w:rStyle w:val="Hyperlink"/>
                <w:noProof/>
                <w:lang w:val="hr-HR"/>
              </w:rPr>
              <w:t>11. Strategija za cjeloživotno preduzetničko učenje 2020-2024</w:t>
            </w:r>
            <w:r w:rsidR="00771328">
              <w:rPr>
                <w:noProof/>
                <w:webHidden/>
              </w:rPr>
              <w:tab/>
            </w:r>
            <w:r w:rsidR="00771328">
              <w:rPr>
                <w:noProof/>
                <w:webHidden/>
              </w:rPr>
              <w:fldChar w:fldCharType="begin"/>
            </w:r>
            <w:r w:rsidR="00771328">
              <w:rPr>
                <w:noProof/>
                <w:webHidden/>
              </w:rPr>
              <w:instrText xml:space="preserve"> PAGEREF _Toc100339540 \h </w:instrText>
            </w:r>
            <w:r w:rsidR="00771328">
              <w:rPr>
                <w:noProof/>
                <w:webHidden/>
              </w:rPr>
            </w:r>
            <w:r w:rsidR="00771328">
              <w:rPr>
                <w:noProof/>
                <w:webHidden/>
              </w:rPr>
              <w:fldChar w:fldCharType="separate"/>
            </w:r>
            <w:r w:rsidR="00771328">
              <w:rPr>
                <w:noProof/>
                <w:webHidden/>
              </w:rPr>
              <w:t>36</w:t>
            </w:r>
            <w:r w:rsidR="00771328">
              <w:rPr>
                <w:noProof/>
                <w:webHidden/>
              </w:rPr>
              <w:fldChar w:fldCharType="end"/>
            </w:r>
          </w:hyperlink>
        </w:p>
        <w:p w14:paraId="365405CF" w14:textId="77777777" w:rsidR="00771328" w:rsidRDefault="000863DD">
          <w:pPr>
            <w:pStyle w:val="TOC3"/>
            <w:tabs>
              <w:tab w:val="right" w:leader="dot" w:pos="9350"/>
            </w:tabs>
            <w:rPr>
              <w:rFonts w:eastAsiaTheme="minorEastAsia"/>
              <w:noProof/>
              <w:sz w:val="24"/>
              <w:szCs w:val="24"/>
            </w:rPr>
          </w:pPr>
          <w:hyperlink w:anchor="_Toc100339541" w:history="1">
            <w:r w:rsidR="00771328" w:rsidRPr="006318DB">
              <w:rPr>
                <w:rStyle w:val="Hyperlink"/>
                <w:noProof/>
                <w:lang w:val="hr-HR"/>
              </w:rPr>
              <w:t>12. Strategija razvoja mikro, malih i srednjih preduzeća u Crnoj Gori 2018-2022.</w:t>
            </w:r>
            <w:r w:rsidR="00771328">
              <w:rPr>
                <w:noProof/>
                <w:webHidden/>
              </w:rPr>
              <w:tab/>
            </w:r>
            <w:r w:rsidR="00771328">
              <w:rPr>
                <w:noProof/>
                <w:webHidden/>
              </w:rPr>
              <w:fldChar w:fldCharType="begin"/>
            </w:r>
            <w:r w:rsidR="00771328">
              <w:rPr>
                <w:noProof/>
                <w:webHidden/>
              </w:rPr>
              <w:instrText xml:space="preserve"> PAGEREF _Toc100339541 \h </w:instrText>
            </w:r>
            <w:r w:rsidR="00771328">
              <w:rPr>
                <w:noProof/>
                <w:webHidden/>
              </w:rPr>
            </w:r>
            <w:r w:rsidR="00771328">
              <w:rPr>
                <w:noProof/>
                <w:webHidden/>
              </w:rPr>
              <w:fldChar w:fldCharType="separate"/>
            </w:r>
            <w:r w:rsidR="00771328">
              <w:rPr>
                <w:noProof/>
                <w:webHidden/>
              </w:rPr>
              <w:t>38</w:t>
            </w:r>
            <w:r w:rsidR="00771328">
              <w:rPr>
                <w:noProof/>
                <w:webHidden/>
              </w:rPr>
              <w:fldChar w:fldCharType="end"/>
            </w:r>
          </w:hyperlink>
        </w:p>
        <w:p w14:paraId="506F9690" w14:textId="77777777" w:rsidR="00771328" w:rsidRDefault="000863DD">
          <w:pPr>
            <w:pStyle w:val="TOC3"/>
            <w:tabs>
              <w:tab w:val="right" w:leader="dot" w:pos="9350"/>
            </w:tabs>
            <w:rPr>
              <w:rFonts w:eastAsiaTheme="minorEastAsia"/>
              <w:noProof/>
              <w:sz w:val="24"/>
              <w:szCs w:val="24"/>
            </w:rPr>
          </w:pPr>
          <w:hyperlink w:anchor="_Toc100339542" w:history="1">
            <w:r w:rsidR="00771328" w:rsidRPr="006318DB">
              <w:rPr>
                <w:rStyle w:val="Hyperlink"/>
                <w:noProof/>
                <w:lang w:val="hr-HR"/>
              </w:rPr>
              <w:t>13. Strategija zaštite i unaprjeđenja mentalnog zdravlja u Crnoj Gori 2019-2023.</w:t>
            </w:r>
            <w:r w:rsidR="00771328">
              <w:rPr>
                <w:noProof/>
                <w:webHidden/>
              </w:rPr>
              <w:tab/>
            </w:r>
            <w:r w:rsidR="00771328">
              <w:rPr>
                <w:noProof/>
                <w:webHidden/>
              </w:rPr>
              <w:fldChar w:fldCharType="begin"/>
            </w:r>
            <w:r w:rsidR="00771328">
              <w:rPr>
                <w:noProof/>
                <w:webHidden/>
              </w:rPr>
              <w:instrText xml:space="preserve"> PAGEREF _Toc100339542 \h </w:instrText>
            </w:r>
            <w:r w:rsidR="00771328">
              <w:rPr>
                <w:noProof/>
                <w:webHidden/>
              </w:rPr>
            </w:r>
            <w:r w:rsidR="00771328">
              <w:rPr>
                <w:noProof/>
                <w:webHidden/>
              </w:rPr>
              <w:fldChar w:fldCharType="separate"/>
            </w:r>
            <w:r w:rsidR="00771328">
              <w:rPr>
                <w:noProof/>
                <w:webHidden/>
              </w:rPr>
              <w:t>40</w:t>
            </w:r>
            <w:r w:rsidR="00771328">
              <w:rPr>
                <w:noProof/>
                <w:webHidden/>
              </w:rPr>
              <w:fldChar w:fldCharType="end"/>
            </w:r>
          </w:hyperlink>
        </w:p>
        <w:p w14:paraId="63EFED46" w14:textId="77777777" w:rsidR="00771328" w:rsidRDefault="000863DD">
          <w:pPr>
            <w:pStyle w:val="TOC3"/>
            <w:tabs>
              <w:tab w:val="right" w:leader="dot" w:pos="9350"/>
            </w:tabs>
            <w:rPr>
              <w:rFonts w:eastAsiaTheme="minorEastAsia"/>
              <w:noProof/>
              <w:sz w:val="24"/>
              <w:szCs w:val="24"/>
            </w:rPr>
          </w:pPr>
          <w:hyperlink w:anchor="_Toc100339543" w:history="1">
            <w:r w:rsidR="00771328" w:rsidRPr="006318DB">
              <w:rPr>
                <w:rStyle w:val="Hyperlink"/>
                <w:noProof/>
                <w:lang w:val="hr-HR"/>
              </w:rPr>
              <w:t>14. Strategijski pregled odbrane Crne Gore 2018-2023.</w:t>
            </w:r>
            <w:r w:rsidR="00771328">
              <w:rPr>
                <w:noProof/>
                <w:webHidden/>
              </w:rPr>
              <w:tab/>
            </w:r>
            <w:r w:rsidR="00771328">
              <w:rPr>
                <w:noProof/>
                <w:webHidden/>
              </w:rPr>
              <w:fldChar w:fldCharType="begin"/>
            </w:r>
            <w:r w:rsidR="00771328">
              <w:rPr>
                <w:noProof/>
                <w:webHidden/>
              </w:rPr>
              <w:instrText xml:space="preserve"> PAGEREF _Toc100339543 \h </w:instrText>
            </w:r>
            <w:r w:rsidR="00771328">
              <w:rPr>
                <w:noProof/>
                <w:webHidden/>
              </w:rPr>
            </w:r>
            <w:r w:rsidR="00771328">
              <w:rPr>
                <w:noProof/>
                <w:webHidden/>
              </w:rPr>
              <w:fldChar w:fldCharType="separate"/>
            </w:r>
            <w:r w:rsidR="00771328">
              <w:rPr>
                <w:noProof/>
                <w:webHidden/>
              </w:rPr>
              <w:t>42</w:t>
            </w:r>
            <w:r w:rsidR="00771328">
              <w:rPr>
                <w:noProof/>
                <w:webHidden/>
              </w:rPr>
              <w:fldChar w:fldCharType="end"/>
            </w:r>
          </w:hyperlink>
        </w:p>
        <w:p w14:paraId="066E83E7" w14:textId="77777777" w:rsidR="00771328" w:rsidRDefault="000863DD">
          <w:pPr>
            <w:pStyle w:val="TOC3"/>
            <w:tabs>
              <w:tab w:val="right" w:leader="dot" w:pos="9350"/>
            </w:tabs>
            <w:rPr>
              <w:rFonts w:eastAsiaTheme="minorEastAsia"/>
              <w:noProof/>
              <w:sz w:val="24"/>
              <w:szCs w:val="24"/>
            </w:rPr>
          </w:pPr>
          <w:hyperlink w:anchor="_Toc100339544" w:history="1">
            <w:r w:rsidR="00771328" w:rsidRPr="006318DB">
              <w:rPr>
                <w:rStyle w:val="Hyperlink"/>
                <w:noProof/>
                <w:lang w:val="hr-HR"/>
              </w:rPr>
              <w:t>15. Akcioni plan za primjenu Rezolucije Savjeta bezbjednosti UN 1325 - Žene, mir i bezbjednost u Crnoj Gori 2019-2022.</w:t>
            </w:r>
            <w:r w:rsidR="00771328">
              <w:rPr>
                <w:noProof/>
                <w:webHidden/>
              </w:rPr>
              <w:tab/>
            </w:r>
            <w:r w:rsidR="00771328">
              <w:rPr>
                <w:noProof/>
                <w:webHidden/>
              </w:rPr>
              <w:fldChar w:fldCharType="begin"/>
            </w:r>
            <w:r w:rsidR="00771328">
              <w:rPr>
                <w:noProof/>
                <w:webHidden/>
              </w:rPr>
              <w:instrText xml:space="preserve"> PAGEREF _Toc100339544 \h </w:instrText>
            </w:r>
            <w:r w:rsidR="00771328">
              <w:rPr>
                <w:noProof/>
                <w:webHidden/>
              </w:rPr>
            </w:r>
            <w:r w:rsidR="00771328">
              <w:rPr>
                <w:noProof/>
                <w:webHidden/>
              </w:rPr>
              <w:fldChar w:fldCharType="separate"/>
            </w:r>
            <w:r w:rsidR="00771328">
              <w:rPr>
                <w:noProof/>
                <w:webHidden/>
              </w:rPr>
              <w:t>43</w:t>
            </w:r>
            <w:r w:rsidR="00771328">
              <w:rPr>
                <w:noProof/>
                <w:webHidden/>
              </w:rPr>
              <w:fldChar w:fldCharType="end"/>
            </w:r>
          </w:hyperlink>
        </w:p>
        <w:p w14:paraId="58C6F6DB" w14:textId="77777777" w:rsidR="00771328" w:rsidRDefault="000863DD">
          <w:pPr>
            <w:pStyle w:val="TOC3"/>
            <w:tabs>
              <w:tab w:val="right" w:leader="dot" w:pos="9350"/>
            </w:tabs>
            <w:rPr>
              <w:rFonts w:eastAsiaTheme="minorEastAsia"/>
              <w:noProof/>
              <w:sz w:val="24"/>
              <w:szCs w:val="24"/>
            </w:rPr>
          </w:pPr>
          <w:hyperlink w:anchor="_Toc100339545" w:history="1">
            <w:r w:rsidR="00771328" w:rsidRPr="006318DB">
              <w:rPr>
                <w:rStyle w:val="Hyperlink"/>
                <w:noProof/>
                <w:lang w:val="hr-HR"/>
              </w:rPr>
              <w:t>16. Strategije saradnje sa dijasporom-iseljenicima za period 2020-2023.</w:t>
            </w:r>
            <w:r w:rsidR="00771328">
              <w:rPr>
                <w:noProof/>
                <w:webHidden/>
              </w:rPr>
              <w:tab/>
            </w:r>
            <w:r w:rsidR="00771328">
              <w:rPr>
                <w:noProof/>
                <w:webHidden/>
              </w:rPr>
              <w:fldChar w:fldCharType="begin"/>
            </w:r>
            <w:r w:rsidR="00771328">
              <w:rPr>
                <w:noProof/>
                <w:webHidden/>
              </w:rPr>
              <w:instrText xml:space="preserve"> PAGEREF _Toc100339545 \h </w:instrText>
            </w:r>
            <w:r w:rsidR="00771328">
              <w:rPr>
                <w:noProof/>
                <w:webHidden/>
              </w:rPr>
            </w:r>
            <w:r w:rsidR="00771328">
              <w:rPr>
                <w:noProof/>
                <w:webHidden/>
              </w:rPr>
              <w:fldChar w:fldCharType="separate"/>
            </w:r>
            <w:r w:rsidR="00771328">
              <w:rPr>
                <w:noProof/>
                <w:webHidden/>
              </w:rPr>
              <w:t>45</w:t>
            </w:r>
            <w:r w:rsidR="00771328">
              <w:rPr>
                <w:noProof/>
                <w:webHidden/>
              </w:rPr>
              <w:fldChar w:fldCharType="end"/>
            </w:r>
          </w:hyperlink>
        </w:p>
        <w:p w14:paraId="63F90367" w14:textId="77777777" w:rsidR="00771328" w:rsidRDefault="000863DD">
          <w:pPr>
            <w:pStyle w:val="TOC3"/>
            <w:tabs>
              <w:tab w:val="right" w:leader="dot" w:pos="9350"/>
            </w:tabs>
            <w:rPr>
              <w:rFonts w:eastAsiaTheme="minorEastAsia"/>
              <w:noProof/>
              <w:sz w:val="24"/>
              <w:szCs w:val="24"/>
            </w:rPr>
          </w:pPr>
          <w:hyperlink w:anchor="_Toc100339546" w:history="1">
            <w:r w:rsidR="00771328" w:rsidRPr="006318DB">
              <w:rPr>
                <w:rStyle w:val="Hyperlink"/>
                <w:noProof/>
                <w:lang w:val="sr-Latn-ME"/>
              </w:rPr>
              <w:t>17. Program adaptiranja zdravstvenog sistema na klimatske promjene u Crnoj Gori za period 2020-2022. godine</w:t>
            </w:r>
            <w:r w:rsidR="00771328">
              <w:rPr>
                <w:noProof/>
                <w:webHidden/>
              </w:rPr>
              <w:tab/>
            </w:r>
            <w:r w:rsidR="00771328">
              <w:rPr>
                <w:noProof/>
                <w:webHidden/>
              </w:rPr>
              <w:fldChar w:fldCharType="begin"/>
            </w:r>
            <w:r w:rsidR="00771328">
              <w:rPr>
                <w:noProof/>
                <w:webHidden/>
              </w:rPr>
              <w:instrText xml:space="preserve"> PAGEREF _Toc100339546 \h </w:instrText>
            </w:r>
            <w:r w:rsidR="00771328">
              <w:rPr>
                <w:noProof/>
                <w:webHidden/>
              </w:rPr>
            </w:r>
            <w:r w:rsidR="00771328">
              <w:rPr>
                <w:noProof/>
                <w:webHidden/>
              </w:rPr>
              <w:fldChar w:fldCharType="separate"/>
            </w:r>
            <w:r w:rsidR="00771328">
              <w:rPr>
                <w:noProof/>
                <w:webHidden/>
              </w:rPr>
              <w:t>48</w:t>
            </w:r>
            <w:r w:rsidR="00771328">
              <w:rPr>
                <w:noProof/>
                <w:webHidden/>
              </w:rPr>
              <w:fldChar w:fldCharType="end"/>
            </w:r>
          </w:hyperlink>
        </w:p>
        <w:p w14:paraId="63046A12" w14:textId="77777777" w:rsidR="00771328" w:rsidRDefault="000863DD">
          <w:pPr>
            <w:pStyle w:val="TOC3"/>
            <w:tabs>
              <w:tab w:val="right" w:leader="dot" w:pos="9350"/>
            </w:tabs>
            <w:rPr>
              <w:rFonts w:eastAsiaTheme="minorEastAsia"/>
              <w:noProof/>
              <w:sz w:val="24"/>
              <w:szCs w:val="24"/>
            </w:rPr>
          </w:pPr>
          <w:hyperlink w:anchor="_Toc100339547" w:history="1">
            <w:r w:rsidR="00771328" w:rsidRPr="006318DB">
              <w:rPr>
                <w:rStyle w:val="Hyperlink"/>
                <w:noProof/>
                <w:lang w:val="sr-Latn-ME"/>
              </w:rPr>
              <w:t>18. Nacionalna strategija za uvođenje, distribuciju i primjenu COVID-19 vakcina</w:t>
            </w:r>
            <w:r w:rsidR="00771328">
              <w:rPr>
                <w:noProof/>
                <w:webHidden/>
              </w:rPr>
              <w:tab/>
            </w:r>
            <w:r w:rsidR="00771328">
              <w:rPr>
                <w:noProof/>
                <w:webHidden/>
              </w:rPr>
              <w:fldChar w:fldCharType="begin"/>
            </w:r>
            <w:r w:rsidR="00771328">
              <w:rPr>
                <w:noProof/>
                <w:webHidden/>
              </w:rPr>
              <w:instrText xml:space="preserve"> PAGEREF _Toc100339547 \h </w:instrText>
            </w:r>
            <w:r w:rsidR="00771328">
              <w:rPr>
                <w:noProof/>
                <w:webHidden/>
              </w:rPr>
            </w:r>
            <w:r w:rsidR="00771328">
              <w:rPr>
                <w:noProof/>
                <w:webHidden/>
              </w:rPr>
              <w:fldChar w:fldCharType="separate"/>
            </w:r>
            <w:r w:rsidR="00771328">
              <w:rPr>
                <w:noProof/>
                <w:webHidden/>
              </w:rPr>
              <w:t>50</w:t>
            </w:r>
            <w:r w:rsidR="00771328">
              <w:rPr>
                <w:noProof/>
                <w:webHidden/>
              </w:rPr>
              <w:fldChar w:fldCharType="end"/>
            </w:r>
          </w:hyperlink>
        </w:p>
        <w:p w14:paraId="3B6624B5" w14:textId="77777777" w:rsidR="00771328" w:rsidRDefault="000863DD">
          <w:pPr>
            <w:pStyle w:val="TOC3"/>
            <w:tabs>
              <w:tab w:val="right" w:leader="dot" w:pos="9350"/>
            </w:tabs>
            <w:rPr>
              <w:rFonts w:eastAsiaTheme="minorEastAsia"/>
              <w:noProof/>
              <w:sz w:val="24"/>
              <w:szCs w:val="24"/>
            </w:rPr>
          </w:pPr>
          <w:hyperlink w:anchor="_Toc100339548" w:history="1">
            <w:r w:rsidR="00771328" w:rsidRPr="006318DB">
              <w:rPr>
                <w:rStyle w:val="Hyperlink"/>
                <w:noProof/>
                <w:lang w:val="sr-Latn-ME"/>
              </w:rPr>
              <w:t>19. Program ekonomskih reformi za Crnu Goru 2021-2023. godinu</w:t>
            </w:r>
            <w:r w:rsidR="00771328">
              <w:rPr>
                <w:noProof/>
                <w:webHidden/>
              </w:rPr>
              <w:tab/>
            </w:r>
            <w:r w:rsidR="00771328">
              <w:rPr>
                <w:noProof/>
                <w:webHidden/>
              </w:rPr>
              <w:fldChar w:fldCharType="begin"/>
            </w:r>
            <w:r w:rsidR="00771328">
              <w:rPr>
                <w:noProof/>
                <w:webHidden/>
              </w:rPr>
              <w:instrText xml:space="preserve"> PAGEREF _Toc100339548 \h </w:instrText>
            </w:r>
            <w:r w:rsidR="00771328">
              <w:rPr>
                <w:noProof/>
                <w:webHidden/>
              </w:rPr>
            </w:r>
            <w:r w:rsidR="00771328">
              <w:rPr>
                <w:noProof/>
                <w:webHidden/>
              </w:rPr>
              <w:fldChar w:fldCharType="separate"/>
            </w:r>
            <w:r w:rsidR="00771328">
              <w:rPr>
                <w:noProof/>
                <w:webHidden/>
              </w:rPr>
              <w:t>52</w:t>
            </w:r>
            <w:r w:rsidR="00771328">
              <w:rPr>
                <w:noProof/>
                <w:webHidden/>
              </w:rPr>
              <w:fldChar w:fldCharType="end"/>
            </w:r>
          </w:hyperlink>
        </w:p>
        <w:p w14:paraId="589B0A5F" w14:textId="77777777" w:rsidR="00771328" w:rsidRDefault="000863DD">
          <w:pPr>
            <w:pStyle w:val="TOC3"/>
            <w:tabs>
              <w:tab w:val="right" w:leader="dot" w:pos="9350"/>
            </w:tabs>
            <w:rPr>
              <w:rFonts w:eastAsiaTheme="minorEastAsia"/>
              <w:noProof/>
              <w:sz w:val="24"/>
              <w:szCs w:val="24"/>
            </w:rPr>
          </w:pPr>
          <w:hyperlink w:anchor="_Toc100339549" w:history="1">
            <w:r w:rsidR="00771328" w:rsidRPr="006318DB">
              <w:rPr>
                <w:rStyle w:val="Hyperlink"/>
                <w:noProof/>
                <w:lang w:val="sr-Latn-ME"/>
              </w:rPr>
              <w:t>20. Program pristupanja Crne Gore Evropskoj uniji 2021 – 2023. godine</w:t>
            </w:r>
            <w:r w:rsidR="00771328">
              <w:rPr>
                <w:noProof/>
                <w:webHidden/>
              </w:rPr>
              <w:tab/>
            </w:r>
            <w:r w:rsidR="00771328">
              <w:rPr>
                <w:noProof/>
                <w:webHidden/>
              </w:rPr>
              <w:fldChar w:fldCharType="begin"/>
            </w:r>
            <w:r w:rsidR="00771328">
              <w:rPr>
                <w:noProof/>
                <w:webHidden/>
              </w:rPr>
              <w:instrText xml:space="preserve"> PAGEREF _Toc100339549 \h </w:instrText>
            </w:r>
            <w:r w:rsidR="00771328">
              <w:rPr>
                <w:noProof/>
                <w:webHidden/>
              </w:rPr>
            </w:r>
            <w:r w:rsidR="00771328">
              <w:rPr>
                <w:noProof/>
                <w:webHidden/>
              </w:rPr>
              <w:fldChar w:fldCharType="separate"/>
            </w:r>
            <w:r w:rsidR="00771328">
              <w:rPr>
                <w:noProof/>
                <w:webHidden/>
              </w:rPr>
              <w:t>55</w:t>
            </w:r>
            <w:r w:rsidR="00771328">
              <w:rPr>
                <w:noProof/>
                <w:webHidden/>
              </w:rPr>
              <w:fldChar w:fldCharType="end"/>
            </w:r>
          </w:hyperlink>
        </w:p>
        <w:p w14:paraId="4EE9B773" w14:textId="77777777" w:rsidR="00771328" w:rsidRDefault="000863DD">
          <w:pPr>
            <w:pStyle w:val="TOC3"/>
            <w:tabs>
              <w:tab w:val="right" w:leader="dot" w:pos="9350"/>
            </w:tabs>
            <w:rPr>
              <w:rFonts w:eastAsiaTheme="minorEastAsia"/>
              <w:noProof/>
              <w:sz w:val="24"/>
              <w:szCs w:val="24"/>
            </w:rPr>
          </w:pPr>
          <w:hyperlink w:anchor="_Toc100339550" w:history="1">
            <w:r w:rsidR="00771328" w:rsidRPr="006318DB">
              <w:rPr>
                <w:rStyle w:val="Hyperlink"/>
                <w:noProof/>
                <w:lang w:val="sr-Latn-ME"/>
              </w:rPr>
              <w:t>21. Program razvoja zdravstvenog turizma Crne Gore 2021-2023. godine</w:t>
            </w:r>
            <w:r w:rsidR="00771328">
              <w:rPr>
                <w:noProof/>
                <w:webHidden/>
              </w:rPr>
              <w:tab/>
            </w:r>
            <w:r w:rsidR="00771328">
              <w:rPr>
                <w:noProof/>
                <w:webHidden/>
              </w:rPr>
              <w:fldChar w:fldCharType="begin"/>
            </w:r>
            <w:r w:rsidR="00771328">
              <w:rPr>
                <w:noProof/>
                <w:webHidden/>
              </w:rPr>
              <w:instrText xml:space="preserve"> PAGEREF _Toc100339550 \h </w:instrText>
            </w:r>
            <w:r w:rsidR="00771328">
              <w:rPr>
                <w:noProof/>
                <w:webHidden/>
              </w:rPr>
            </w:r>
            <w:r w:rsidR="00771328">
              <w:rPr>
                <w:noProof/>
                <w:webHidden/>
              </w:rPr>
              <w:fldChar w:fldCharType="separate"/>
            </w:r>
            <w:r w:rsidR="00771328">
              <w:rPr>
                <w:noProof/>
                <w:webHidden/>
              </w:rPr>
              <w:t>57</w:t>
            </w:r>
            <w:r w:rsidR="00771328">
              <w:rPr>
                <w:noProof/>
                <w:webHidden/>
              </w:rPr>
              <w:fldChar w:fldCharType="end"/>
            </w:r>
          </w:hyperlink>
        </w:p>
        <w:p w14:paraId="772FA7EB" w14:textId="77777777" w:rsidR="00771328" w:rsidRDefault="000863DD">
          <w:pPr>
            <w:pStyle w:val="TOC3"/>
            <w:tabs>
              <w:tab w:val="right" w:leader="dot" w:pos="9350"/>
            </w:tabs>
            <w:rPr>
              <w:rFonts w:eastAsiaTheme="minorEastAsia"/>
              <w:noProof/>
              <w:sz w:val="24"/>
              <w:szCs w:val="24"/>
            </w:rPr>
          </w:pPr>
          <w:hyperlink w:anchor="_Toc100339551" w:history="1">
            <w:r w:rsidR="00771328" w:rsidRPr="006318DB">
              <w:rPr>
                <w:rStyle w:val="Hyperlink"/>
                <w:noProof/>
                <w:lang w:val="sr-Latn-ME"/>
              </w:rPr>
              <w:t>22. Program za unapređenje konkurentnosti privrede za 2021. godinu</w:t>
            </w:r>
            <w:r w:rsidR="00771328">
              <w:rPr>
                <w:noProof/>
                <w:webHidden/>
              </w:rPr>
              <w:tab/>
            </w:r>
            <w:r w:rsidR="00771328">
              <w:rPr>
                <w:noProof/>
                <w:webHidden/>
              </w:rPr>
              <w:fldChar w:fldCharType="begin"/>
            </w:r>
            <w:r w:rsidR="00771328">
              <w:rPr>
                <w:noProof/>
                <w:webHidden/>
              </w:rPr>
              <w:instrText xml:space="preserve"> PAGEREF _Toc100339551 \h </w:instrText>
            </w:r>
            <w:r w:rsidR="00771328">
              <w:rPr>
                <w:noProof/>
                <w:webHidden/>
              </w:rPr>
            </w:r>
            <w:r w:rsidR="00771328">
              <w:rPr>
                <w:noProof/>
                <w:webHidden/>
              </w:rPr>
              <w:fldChar w:fldCharType="separate"/>
            </w:r>
            <w:r w:rsidR="00771328">
              <w:rPr>
                <w:noProof/>
                <w:webHidden/>
              </w:rPr>
              <w:t>59</w:t>
            </w:r>
            <w:r w:rsidR="00771328">
              <w:rPr>
                <w:noProof/>
                <w:webHidden/>
              </w:rPr>
              <w:fldChar w:fldCharType="end"/>
            </w:r>
          </w:hyperlink>
        </w:p>
        <w:p w14:paraId="7A49C6D9" w14:textId="77777777" w:rsidR="00771328" w:rsidRDefault="000863DD">
          <w:pPr>
            <w:pStyle w:val="TOC3"/>
            <w:tabs>
              <w:tab w:val="right" w:leader="dot" w:pos="9350"/>
            </w:tabs>
            <w:rPr>
              <w:rFonts w:eastAsiaTheme="minorEastAsia"/>
              <w:noProof/>
              <w:sz w:val="24"/>
              <w:szCs w:val="24"/>
            </w:rPr>
          </w:pPr>
          <w:hyperlink w:anchor="_Toc100339552" w:history="1">
            <w:r w:rsidR="00771328" w:rsidRPr="006318DB">
              <w:rPr>
                <w:rStyle w:val="Hyperlink"/>
                <w:noProof/>
                <w:lang w:val="sr-Latn-ME"/>
              </w:rPr>
              <w:t>23. Plan upravljanja komunalnim otpadnim vodama Crne Gore (2020-2035)</w:t>
            </w:r>
            <w:r w:rsidR="00771328">
              <w:rPr>
                <w:noProof/>
                <w:webHidden/>
              </w:rPr>
              <w:tab/>
            </w:r>
            <w:r w:rsidR="00771328">
              <w:rPr>
                <w:noProof/>
                <w:webHidden/>
              </w:rPr>
              <w:fldChar w:fldCharType="begin"/>
            </w:r>
            <w:r w:rsidR="00771328">
              <w:rPr>
                <w:noProof/>
                <w:webHidden/>
              </w:rPr>
              <w:instrText xml:space="preserve"> PAGEREF _Toc100339552 \h </w:instrText>
            </w:r>
            <w:r w:rsidR="00771328">
              <w:rPr>
                <w:noProof/>
                <w:webHidden/>
              </w:rPr>
            </w:r>
            <w:r w:rsidR="00771328">
              <w:rPr>
                <w:noProof/>
                <w:webHidden/>
              </w:rPr>
              <w:fldChar w:fldCharType="separate"/>
            </w:r>
            <w:r w:rsidR="00771328">
              <w:rPr>
                <w:noProof/>
                <w:webHidden/>
              </w:rPr>
              <w:t>61</w:t>
            </w:r>
            <w:r w:rsidR="00771328">
              <w:rPr>
                <w:noProof/>
                <w:webHidden/>
              </w:rPr>
              <w:fldChar w:fldCharType="end"/>
            </w:r>
          </w:hyperlink>
        </w:p>
        <w:p w14:paraId="7B5E62FF" w14:textId="77777777" w:rsidR="00771328" w:rsidRDefault="000863DD">
          <w:pPr>
            <w:pStyle w:val="TOC3"/>
            <w:tabs>
              <w:tab w:val="right" w:leader="dot" w:pos="9350"/>
            </w:tabs>
            <w:rPr>
              <w:rFonts w:eastAsiaTheme="minorEastAsia"/>
              <w:noProof/>
              <w:sz w:val="24"/>
              <w:szCs w:val="24"/>
            </w:rPr>
          </w:pPr>
          <w:hyperlink w:anchor="_Toc100339553" w:history="1">
            <w:r w:rsidR="00771328" w:rsidRPr="006318DB">
              <w:rPr>
                <w:rStyle w:val="Hyperlink"/>
                <w:noProof/>
                <w:lang w:val="sr-Latn-ME"/>
              </w:rPr>
              <w:t>24. Strategija razvoja ženskog preduzetništva Crne Gore 2021-2024. godine</w:t>
            </w:r>
            <w:r w:rsidR="00771328">
              <w:rPr>
                <w:noProof/>
                <w:webHidden/>
              </w:rPr>
              <w:tab/>
            </w:r>
            <w:r w:rsidR="00771328">
              <w:rPr>
                <w:noProof/>
                <w:webHidden/>
              </w:rPr>
              <w:fldChar w:fldCharType="begin"/>
            </w:r>
            <w:r w:rsidR="00771328">
              <w:rPr>
                <w:noProof/>
                <w:webHidden/>
              </w:rPr>
              <w:instrText xml:space="preserve"> PAGEREF _Toc100339553 \h </w:instrText>
            </w:r>
            <w:r w:rsidR="00771328">
              <w:rPr>
                <w:noProof/>
                <w:webHidden/>
              </w:rPr>
            </w:r>
            <w:r w:rsidR="00771328">
              <w:rPr>
                <w:noProof/>
                <w:webHidden/>
              </w:rPr>
              <w:fldChar w:fldCharType="separate"/>
            </w:r>
            <w:r w:rsidR="00771328">
              <w:rPr>
                <w:noProof/>
                <w:webHidden/>
              </w:rPr>
              <w:t>63</w:t>
            </w:r>
            <w:r w:rsidR="00771328">
              <w:rPr>
                <w:noProof/>
                <w:webHidden/>
              </w:rPr>
              <w:fldChar w:fldCharType="end"/>
            </w:r>
          </w:hyperlink>
        </w:p>
        <w:p w14:paraId="6F08CDB1" w14:textId="77777777" w:rsidR="00771328" w:rsidRDefault="000863DD">
          <w:pPr>
            <w:pStyle w:val="TOC3"/>
            <w:tabs>
              <w:tab w:val="right" w:leader="dot" w:pos="9350"/>
            </w:tabs>
            <w:rPr>
              <w:rFonts w:eastAsiaTheme="minorEastAsia"/>
              <w:noProof/>
              <w:sz w:val="24"/>
              <w:szCs w:val="24"/>
            </w:rPr>
          </w:pPr>
          <w:hyperlink w:anchor="_Toc100339554" w:history="1">
            <w:r w:rsidR="00771328" w:rsidRPr="006318DB">
              <w:rPr>
                <w:rStyle w:val="Hyperlink"/>
                <w:noProof/>
                <w:lang w:val="sr-Latn-ME"/>
              </w:rPr>
              <w:t>25. Program poboljšanja bezbjednosti u drumskom saobraćaju 2020-2022. godina</w:t>
            </w:r>
            <w:r w:rsidR="00771328">
              <w:rPr>
                <w:noProof/>
                <w:webHidden/>
              </w:rPr>
              <w:tab/>
            </w:r>
            <w:r w:rsidR="00771328">
              <w:rPr>
                <w:noProof/>
                <w:webHidden/>
              </w:rPr>
              <w:fldChar w:fldCharType="begin"/>
            </w:r>
            <w:r w:rsidR="00771328">
              <w:rPr>
                <w:noProof/>
                <w:webHidden/>
              </w:rPr>
              <w:instrText xml:space="preserve"> PAGEREF _Toc100339554 \h </w:instrText>
            </w:r>
            <w:r w:rsidR="00771328">
              <w:rPr>
                <w:noProof/>
                <w:webHidden/>
              </w:rPr>
            </w:r>
            <w:r w:rsidR="00771328">
              <w:rPr>
                <w:noProof/>
                <w:webHidden/>
              </w:rPr>
              <w:fldChar w:fldCharType="separate"/>
            </w:r>
            <w:r w:rsidR="00771328">
              <w:rPr>
                <w:noProof/>
                <w:webHidden/>
              </w:rPr>
              <w:t>65</w:t>
            </w:r>
            <w:r w:rsidR="00771328">
              <w:rPr>
                <w:noProof/>
                <w:webHidden/>
              </w:rPr>
              <w:fldChar w:fldCharType="end"/>
            </w:r>
          </w:hyperlink>
        </w:p>
        <w:p w14:paraId="3FC7DF49" w14:textId="77777777" w:rsidR="00771328" w:rsidRDefault="000863DD">
          <w:pPr>
            <w:pStyle w:val="TOC3"/>
            <w:tabs>
              <w:tab w:val="right" w:leader="dot" w:pos="9350"/>
            </w:tabs>
            <w:rPr>
              <w:rFonts w:eastAsiaTheme="minorEastAsia"/>
              <w:noProof/>
              <w:sz w:val="24"/>
              <w:szCs w:val="24"/>
            </w:rPr>
          </w:pPr>
          <w:hyperlink w:anchor="_Toc100339555" w:history="1">
            <w:r w:rsidR="00771328" w:rsidRPr="006318DB">
              <w:rPr>
                <w:rStyle w:val="Hyperlink"/>
                <w:noProof/>
                <w:lang w:val="sr-Latn-ME"/>
              </w:rPr>
              <w:t>26. Program razvoja informacionokomunikacionih tehnologija pravosuđa 2021-2023. godine</w:t>
            </w:r>
            <w:r w:rsidR="00771328">
              <w:rPr>
                <w:noProof/>
                <w:webHidden/>
              </w:rPr>
              <w:tab/>
            </w:r>
            <w:r w:rsidR="00771328">
              <w:rPr>
                <w:noProof/>
                <w:webHidden/>
              </w:rPr>
              <w:fldChar w:fldCharType="begin"/>
            </w:r>
            <w:r w:rsidR="00771328">
              <w:rPr>
                <w:noProof/>
                <w:webHidden/>
              </w:rPr>
              <w:instrText xml:space="preserve"> PAGEREF _Toc100339555 \h </w:instrText>
            </w:r>
            <w:r w:rsidR="00771328">
              <w:rPr>
                <w:noProof/>
                <w:webHidden/>
              </w:rPr>
            </w:r>
            <w:r w:rsidR="00771328">
              <w:rPr>
                <w:noProof/>
                <w:webHidden/>
              </w:rPr>
              <w:fldChar w:fldCharType="separate"/>
            </w:r>
            <w:r w:rsidR="00771328">
              <w:rPr>
                <w:noProof/>
                <w:webHidden/>
              </w:rPr>
              <w:t>67</w:t>
            </w:r>
            <w:r w:rsidR="00771328">
              <w:rPr>
                <w:noProof/>
                <w:webHidden/>
              </w:rPr>
              <w:fldChar w:fldCharType="end"/>
            </w:r>
          </w:hyperlink>
        </w:p>
        <w:p w14:paraId="71CDC138" w14:textId="77777777" w:rsidR="00771328" w:rsidRDefault="000863DD">
          <w:pPr>
            <w:pStyle w:val="TOC1"/>
            <w:tabs>
              <w:tab w:val="right" w:leader="dot" w:pos="9350"/>
            </w:tabs>
            <w:rPr>
              <w:rFonts w:eastAsiaTheme="minorEastAsia"/>
              <w:noProof/>
              <w:sz w:val="24"/>
              <w:szCs w:val="24"/>
            </w:rPr>
          </w:pPr>
          <w:hyperlink w:anchor="_Toc100339556" w:history="1">
            <w:r w:rsidR="00771328" w:rsidRPr="006318DB">
              <w:rPr>
                <w:rStyle w:val="Hyperlink"/>
                <w:noProof/>
                <w:lang w:val="sr-Latn-ME"/>
              </w:rPr>
              <w:t>Zaključak</w:t>
            </w:r>
            <w:r w:rsidR="00771328">
              <w:rPr>
                <w:noProof/>
                <w:webHidden/>
              </w:rPr>
              <w:tab/>
            </w:r>
            <w:r w:rsidR="00771328">
              <w:rPr>
                <w:noProof/>
                <w:webHidden/>
              </w:rPr>
              <w:fldChar w:fldCharType="begin"/>
            </w:r>
            <w:r w:rsidR="00771328">
              <w:rPr>
                <w:noProof/>
                <w:webHidden/>
              </w:rPr>
              <w:instrText xml:space="preserve"> PAGEREF _Toc100339556 \h </w:instrText>
            </w:r>
            <w:r w:rsidR="00771328">
              <w:rPr>
                <w:noProof/>
                <w:webHidden/>
              </w:rPr>
            </w:r>
            <w:r w:rsidR="00771328">
              <w:rPr>
                <w:noProof/>
                <w:webHidden/>
              </w:rPr>
              <w:fldChar w:fldCharType="separate"/>
            </w:r>
            <w:r w:rsidR="00771328">
              <w:rPr>
                <w:noProof/>
                <w:webHidden/>
              </w:rPr>
              <w:t>69</w:t>
            </w:r>
            <w:r w:rsidR="00771328">
              <w:rPr>
                <w:noProof/>
                <w:webHidden/>
              </w:rPr>
              <w:fldChar w:fldCharType="end"/>
            </w:r>
          </w:hyperlink>
        </w:p>
        <w:p w14:paraId="7D7A690B" w14:textId="77777777" w:rsidR="00771328" w:rsidRDefault="000863DD">
          <w:pPr>
            <w:pStyle w:val="TOC2"/>
            <w:tabs>
              <w:tab w:val="right" w:leader="dot" w:pos="9350"/>
            </w:tabs>
            <w:rPr>
              <w:rFonts w:eastAsiaTheme="minorEastAsia"/>
              <w:noProof/>
              <w:sz w:val="24"/>
              <w:szCs w:val="24"/>
            </w:rPr>
          </w:pPr>
          <w:hyperlink w:anchor="_Toc100339557" w:history="1">
            <w:r w:rsidR="00771328" w:rsidRPr="006318DB">
              <w:rPr>
                <w:rStyle w:val="Hyperlink"/>
                <w:noProof/>
                <w:lang w:val="sr-Latn-ME"/>
              </w:rPr>
              <w:t>Reference</w:t>
            </w:r>
            <w:r w:rsidR="00771328">
              <w:rPr>
                <w:noProof/>
                <w:webHidden/>
              </w:rPr>
              <w:tab/>
            </w:r>
            <w:r w:rsidR="00771328">
              <w:rPr>
                <w:noProof/>
                <w:webHidden/>
              </w:rPr>
              <w:fldChar w:fldCharType="begin"/>
            </w:r>
            <w:r w:rsidR="00771328">
              <w:rPr>
                <w:noProof/>
                <w:webHidden/>
              </w:rPr>
              <w:instrText xml:space="preserve"> PAGEREF _Toc100339557 \h </w:instrText>
            </w:r>
            <w:r w:rsidR="00771328">
              <w:rPr>
                <w:noProof/>
                <w:webHidden/>
              </w:rPr>
            </w:r>
            <w:r w:rsidR="00771328">
              <w:rPr>
                <w:noProof/>
                <w:webHidden/>
              </w:rPr>
              <w:fldChar w:fldCharType="separate"/>
            </w:r>
            <w:r w:rsidR="00771328">
              <w:rPr>
                <w:noProof/>
                <w:webHidden/>
              </w:rPr>
              <w:t>71</w:t>
            </w:r>
            <w:r w:rsidR="00771328">
              <w:rPr>
                <w:noProof/>
                <w:webHidden/>
              </w:rPr>
              <w:fldChar w:fldCharType="end"/>
            </w:r>
          </w:hyperlink>
        </w:p>
        <w:p w14:paraId="739B82E9" w14:textId="30DC4DC0" w:rsidR="00FD34CB" w:rsidRDefault="00FD34CB">
          <w:r>
            <w:rPr>
              <w:b/>
              <w:bCs/>
              <w:noProof/>
            </w:rPr>
            <w:fldChar w:fldCharType="end"/>
          </w:r>
        </w:p>
      </w:sdtContent>
    </w:sdt>
    <w:p w14:paraId="781BB6B0" w14:textId="77777777" w:rsidR="004A3F84" w:rsidRDefault="004A3F84">
      <w:pPr>
        <w:rPr>
          <w:rFonts w:asciiTheme="majorHAnsi" w:eastAsiaTheme="majorEastAsia" w:hAnsiTheme="majorHAnsi" w:cstheme="majorBidi"/>
          <w:color w:val="2F5496" w:themeColor="accent1" w:themeShade="BF"/>
          <w:sz w:val="32"/>
          <w:szCs w:val="32"/>
          <w:lang w:val="sr-Latn-ME"/>
        </w:rPr>
      </w:pPr>
      <w:r>
        <w:rPr>
          <w:lang w:val="sr-Latn-ME"/>
        </w:rPr>
        <w:br w:type="page"/>
      </w:r>
    </w:p>
    <w:p w14:paraId="371ECE37" w14:textId="77777777" w:rsidR="00F04685" w:rsidRDefault="00F04685" w:rsidP="004A3F84">
      <w:pPr>
        <w:pStyle w:val="Heading1"/>
        <w:ind w:left="720"/>
        <w:rPr>
          <w:lang w:val="sr-Latn-ME"/>
        </w:rPr>
      </w:pPr>
    </w:p>
    <w:p w14:paraId="5ABDA4C2" w14:textId="2D92E9AF" w:rsidR="00206296" w:rsidRDefault="00206296" w:rsidP="004A3F84">
      <w:pPr>
        <w:pStyle w:val="Heading1"/>
        <w:ind w:left="720"/>
        <w:rPr>
          <w:lang w:val="sr-Latn-ME"/>
        </w:rPr>
      </w:pPr>
      <w:bookmarkStart w:id="1" w:name="_Toc100339523"/>
      <w:r>
        <w:rPr>
          <w:lang w:val="sr-Latn-ME"/>
        </w:rPr>
        <w:t>Siže</w:t>
      </w:r>
      <w:bookmarkEnd w:id="1"/>
    </w:p>
    <w:p w14:paraId="40CF1264" w14:textId="77777777" w:rsidR="004B685A" w:rsidRDefault="004B685A" w:rsidP="004A3F84">
      <w:pPr>
        <w:ind w:left="720"/>
        <w:jc w:val="both"/>
        <w:rPr>
          <w:i/>
          <w:color w:val="2F5496" w:themeColor="accent1" w:themeShade="BF"/>
        </w:rPr>
      </w:pPr>
    </w:p>
    <w:p w14:paraId="1D356CD7" w14:textId="4FBA7392" w:rsidR="005D5C4A" w:rsidRDefault="004B685A" w:rsidP="004A3F84">
      <w:pPr>
        <w:ind w:left="720"/>
        <w:jc w:val="both"/>
        <w:rPr>
          <w:i/>
          <w:color w:val="2F5496" w:themeColor="accent1" w:themeShade="BF"/>
        </w:rPr>
      </w:pPr>
      <w:r>
        <w:rPr>
          <w:i/>
          <w:color w:val="2F5496" w:themeColor="accent1" w:themeShade="BF"/>
        </w:rPr>
        <w:t>U cilju efikasnijeg sprovođenja zakono</w:t>
      </w:r>
      <w:r w:rsidR="005D5C4A">
        <w:rPr>
          <w:i/>
          <w:color w:val="2F5496" w:themeColor="accent1" w:themeShade="BF"/>
        </w:rPr>
        <w:t>d</w:t>
      </w:r>
      <w:r>
        <w:rPr>
          <w:i/>
          <w:color w:val="2F5496" w:themeColor="accent1" w:themeShade="BF"/>
        </w:rPr>
        <w:t>avnog i strateškog okvira kojim se podstiče rodna ravnopravnost u Crnoj Gori, Misija OEBS-a u Crnoj Gori, u saradnji sa Ministarstvom pravde, ljudskih i manjinskih prava</w:t>
      </w:r>
      <w:r w:rsidR="005D5C4A">
        <w:rPr>
          <w:i/>
          <w:color w:val="2F5496" w:themeColor="accent1" w:themeShade="BF"/>
        </w:rPr>
        <w:t xml:space="preserve"> (MPLMP)</w:t>
      </w:r>
      <w:r>
        <w:rPr>
          <w:i/>
          <w:color w:val="2F5496" w:themeColor="accent1" w:themeShade="BF"/>
        </w:rPr>
        <w:t xml:space="preserve">, podržala je izradu </w:t>
      </w:r>
      <w:r w:rsidR="005D5C4A">
        <w:rPr>
          <w:i/>
          <w:color w:val="2F5496" w:themeColor="accent1" w:themeShade="BF"/>
        </w:rPr>
        <w:t>I</w:t>
      </w:r>
      <w:r w:rsidRPr="004B685A">
        <w:rPr>
          <w:i/>
          <w:color w:val="2F5496" w:themeColor="accent1" w:themeShade="BF"/>
        </w:rPr>
        <w:t>nstrumenta za procjenu orodnjenosti strategija</w:t>
      </w:r>
      <w:r w:rsidR="005D5C4A">
        <w:rPr>
          <w:i/>
          <w:color w:val="2F5496" w:themeColor="accent1" w:themeShade="BF"/>
        </w:rPr>
        <w:t xml:space="preserve">. Ovaj </w:t>
      </w:r>
      <w:r w:rsidR="003743E2">
        <w:rPr>
          <w:i/>
          <w:color w:val="2F5496" w:themeColor="accent1" w:themeShade="BF"/>
        </w:rPr>
        <w:t>Instrument bi</w:t>
      </w:r>
      <w:r w:rsidRPr="004B685A">
        <w:rPr>
          <w:i/>
          <w:color w:val="2F5496" w:themeColor="accent1" w:themeShade="BF"/>
        </w:rPr>
        <w:t xml:space="preserve"> prvenstveno trebalo da služi Generalnom sekretarijatu Vlade u fazi davanja mišljenja na predložena dokumenta javnih politika</w:t>
      </w:r>
      <w:r w:rsidR="003743E2">
        <w:rPr>
          <w:i/>
          <w:color w:val="2F5496" w:themeColor="accent1" w:themeShade="BF"/>
        </w:rPr>
        <w:t>, ali</w:t>
      </w:r>
      <w:r w:rsidR="005D5C4A">
        <w:rPr>
          <w:i/>
          <w:color w:val="2F5496" w:themeColor="accent1" w:themeShade="BF"/>
        </w:rPr>
        <w:t xml:space="preserve"> takođe može </w:t>
      </w:r>
      <w:r w:rsidR="003743E2">
        <w:rPr>
          <w:i/>
          <w:color w:val="2F5496" w:themeColor="accent1" w:themeShade="BF"/>
        </w:rPr>
        <w:t xml:space="preserve">može biti koristan vodič </w:t>
      </w:r>
      <w:r w:rsidR="005D5C4A">
        <w:rPr>
          <w:i/>
          <w:color w:val="2F5496" w:themeColor="accent1" w:themeShade="BF"/>
        </w:rPr>
        <w:t>ministarstvima zaduženim za izradu predloga strategija</w:t>
      </w:r>
      <w:r w:rsidR="00EA2F2D">
        <w:rPr>
          <w:i/>
          <w:color w:val="2F5496" w:themeColor="accent1" w:themeShade="BF"/>
        </w:rPr>
        <w:t xml:space="preserve">, jer im može pomoći prilikom integrisanja </w:t>
      </w:r>
      <w:r w:rsidR="005D5C4A">
        <w:rPr>
          <w:i/>
          <w:color w:val="2F5496" w:themeColor="accent1" w:themeShade="BF"/>
        </w:rPr>
        <w:t>rodno odgovorn</w:t>
      </w:r>
      <w:r w:rsidR="00EA2F2D">
        <w:rPr>
          <w:i/>
          <w:color w:val="2F5496" w:themeColor="accent1" w:themeShade="BF"/>
        </w:rPr>
        <w:t>ih</w:t>
      </w:r>
      <w:r w:rsidR="005D5C4A">
        <w:rPr>
          <w:i/>
          <w:color w:val="2F5496" w:themeColor="accent1" w:themeShade="BF"/>
        </w:rPr>
        <w:t xml:space="preserve"> ciljev</w:t>
      </w:r>
      <w:r w:rsidR="00EA2F2D">
        <w:rPr>
          <w:i/>
          <w:color w:val="2F5496" w:themeColor="accent1" w:themeShade="BF"/>
        </w:rPr>
        <w:t>a</w:t>
      </w:r>
      <w:r w:rsidR="005D5C4A">
        <w:rPr>
          <w:i/>
          <w:color w:val="2F5496" w:themeColor="accent1" w:themeShade="BF"/>
        </w:rPr>
        <w:t>, aktivnosti, indikator</w:t>
      </w:r>
      <w:r w:rsidR="00EA2F2D">
        <w:rPr>
          <w:i/>
          <w:color w:val="2F5496" w:themeColor="accent1" w:themeShade="BF"/>
        </w:rPr>
        <w:t>a</w:t>
      </w:r>
      <w:r w:rsidR="005D5C4A">
        <w:rPr>
          <w:i/>
          <w:color w:val="2F5496" w:themeColor="accent1" w:themeShade="BF"/>
        </w:rPr>
        <w:t xml:space="preserve"> i budžet</w:t>
      </w:r>
      <w:r w:rsidR="00EA2F2D">
        <w:rPr>
          <w:i/>
          <w:color w:val="2F5496" w:themeColor="accent1" w:themeShade="BF"/>
        </w:rPr>
        <w:t xml:space="preserve">a. </w:t>
      </w:r>
    </w:p>
    <w:p w14:paraId="2EF63DC7" w14:textId="51F20E0F" w:rsidR="00636142" w:rsidRDefault="005D5C4A" w:rsidP="004A3F84">
      <w:pPr>
        <w:ind w:left="720"/>
        <w:jc w:val="both"/>
        <w:rPr>
          <w:i/>
          <w:color w:val="2F5496" w:themeColor="accent1" w:themeShade="BF"/>
        </w:rPr>
      </w:pPr>
      <w:r>
        <w:rPr>
          <w:i/>
          <w:color w:val="2F5496" w:themeColor="accent1" w:themeShade="BF"/>
        </w:rPr>
        <w:t xml:space="preserve">U sklopu istog </w:t>
      </w:r>
      <w:r w:rsidR="003743E2">
        <w:rPr>
          <w:i/>
          <w:color w:val="2F5496" w:themeColor="accent1" w:themeShade="BF"/>
        </w:rPr>
        <w:t>projekta, Misija OEBS-a</w:t>
      </w:r>
      <w:r>
        <w:rPr>
          <w:i/>
          <w:color w:val="2F5496" w:themeColor="accent1" w:themeShade="BF"/>
        </w:rPr>
        <w:t xml:space="preserve"> i MPLJMP </w:t>
      </w:r>
      <w:r w:rsidR="003743E2">
        <w:rPr>
          <w:i/>
          <w:color w:val="2F5496" w:themeColor="accent1" w:themeShade="BF"/>
        </w:rPr>
        <w:t xml:space="preserve">su, na zahtjev Odbora za rodnu ravnopravnost Skupštine Crne Gore, </w:t>
      </w:r>
      <w:r w:rsidR="00055531">
        <w:rPr>
          <w:i/>
          <w:color w:val="2F5496" w:themeColor="accent1" w:themeShade="BF"/>
        </w:rPr>
        <w:t xml:space="preserve">takođe </w:t>
      </w:r>
      <w:r w:rsidR="003743E2">
        <w:rPr>
          <w:i/>
          <w:color w:val="2F5496" w:themeColor="accent1" w:themeShade="BF"/>
        </w:rPr>
        <w:t>podržali</w:t>
      </w:r>
      <w:r w:rsidR="00055531">
        <w:rPr>
          <w:i/>
          <w:color w:val="2F5496" w:themeColor="accent1" w:themeShade="BF"/>
        </w:rPr>
        <w:t xml:space="preserve"> i</w:t>
      </w:r>
      <w:r w:rsidR="003743E2">
        <w:rPr>
          <w:i/>
          <w:color w:val="2F5496" w:themeColor="accent1" w:themeShade="BF"/>
        </w:rPr>
        <w:t xml:space="preserve"> izradu P</w:t>
      </w:r>
      <w:r w:rsidR="004B685A" w:rsidRPr="004B685A">
        <w:rPr>
          <w:i/>
          <w:color w:val="2F5496" w:themeColor="accent1" w:themeShade="BF"/>
        </w:rPr>
        <w:t xml:space="preserve">redloga modela Informativnog </w:t>
      </w:r>
      <w:r w:rsidR="004B685A" w:rsidRPr="004B685A">
        <w:rPr>
          <w:rFonts w:eastAsia="Times New Roman"/>
          <w:i/>
          <w:color w:val="2F5496" w:themeColor="accent1" w:themeShade="BF"/>
        </w:rPr>
        <w:t>pregleda sa ugrađenom komponentom za orodnjavanje</w:t>
      </w:r>
      <w:r w:rsidR="004B685A" w:rsidRPr="004B685A">
        <w:rPr>
          <w:i/>
          <w:color w:val="2F5496" w:themeColor="accent1" w:themeShade="BF"/>
        </w:rPr>
        <w:t xml:space="preserve">, </w:t>
      </w:r>
      <w:r w:rsidR="003743E2">
        <w:rPr>
          <w:i/>
          <w:color w:val="2F5496" w:themeColor="accent1" w:themeShade="BF"/>
        </w:rPr>
        <w:t xml:space="preserve">kako bi olakšali izradu ex-ante analize predloga zakona iz ugla rodne ravnopravnosti. </w:t>
      </w:r>
    </w:p>
    <w:p w14:paraId="486467A9" w14:textId="627CD604" w:rsidR="005D5C4A" w:rsidRDefault="003743E2" w:rsidP="004A3F84">
      <w:pPr>
        <w:ind w:left="720"/>
        <w:jc w:val="both"/>
        <w:rPr>
          <w:i/>
          <w:iCs/>
          <w:color w:val="2F5496" w:themeColor="accent1" w:themeShade="BF"/>
          <w:lang w:val="sr-Latn-ME"/>
        </w:rPr>
      </w:pPr>
      <w:r>
        <w:rPr>
          <w:i/>
          <w:color w:val="2F5496" w:themeColor="accent1" w:themeShade="BF"/>
        </w:rPr>
        <w:t xml:space="preserve">Oba instrumenta su predstavljena u ovom dokumentu. Osim njih, </w:t>
      </w:r>
      <w:r w:rsidR="00197191">
        <w:rPr>
          <w:i/>
          <w:color w:val="2F5496" w:themeColor="accent1" w:themeShade="BF"/>
        </w:rPr>
        <w:t>dokument sadrži i analizu 26 strategija</w:t>
      </w:r>
      <w:r w:rsidR="00055531">
        <w:rPr>
          <w:i/>
          <w:color w:val="2F5496" w:themeColor="accent1" w:themeShade="BF"/>
        </w:rPr>
        <w:t xml:space="preserve"> - n</w:t>
      </w:r>
      <w:r w:rsidR="000500EC">
        <w:rPr>
          <w:i/>
          <w:color w:val="2F5496" w:themeColor="accent1" w:themeShade="BF"/>
        </w:rPr>
        <w:t xml:space="preserve">aime, u novembru </w:t>
      </w:r>
      <w:r w:rsidR="00636142">
        <w:rPr>
          <w:i/>
          <w:color w:val="2F5496" w:themeColor="accent1" w:themeShade="BF"/>
        </w:rPr>
        <w:t>2021. godin</w:t>
      </w:r>
      <w:r w:rsidR="000500EC">
        <w:rPr>
          <w:i/>
          <w:color w:val="2F5496" w:themeColor="accent1" w:themeShade="BF"/>
        </w:rPr>
        <w:t>e</w:t>
      </w:r>
      <w:r w:rsidR="00636142">
        <w:rPr>
          <w:i/>
          <w:color w:val="2F5496" w:themeColor="accent1" w:themeShade="BF"/>
        </w:rPr>
        <w:t>, kada je rađen</w:t>
      </w:r>
      <w:r w:rsidR="000500EC">
        <w:rPr>
          <w:i/>
          <w:color w:val="2F5496" w:themeColor="accent1" w:themeShade="BF"/>
        </w:rPr>
        <w:t xml:space="preserve"> ovaj projekat, </w:t>
      </w:r>
      <w:r w:rsidR="00636142">
        <w:rPr>
          <w:i/>
          <w:color w:val="2F5496" w:themeColor="accent1" w:themeShade="BF"/>
        </w:rPr>
        <w:t>u Crnoj Gori je bilo ukupno</w:t>
      </w:r>
      <w:r w:rsidR="00084DC5">
        <w:rPr>
          <w:i/>
          <w:color w:val="2F5496" w:themeColor="accent1" w:themeShade="BF"/>
        </w:rPr>
        <w:t xml:space="preserve"> 97 važećih strategija</w:t>
      </w:r>
      <w:r w:rsidR="001B0E60">
        <w:rPr>
          <w:i/>
          <w:color w:val="2F5496" w:themeColor="accent1" w:themeShade="BF"/>
        </w:rPr>
        <w:t>, od kojih se 26 na neki način doticalo pitanja rodne ravnopravnosti</w:t>
      </w:r>
      <w:r w:rsidR="00EA2F2D">
        <w:rPr>
          <w:rStyle w:val="FootnoteReference"/>
          <w:i/>
          <w:color w:val="2F5496" w:themeColor="accent1" w:themeShade="BF"/>
        </w:rPr>
        <w:footnoteReference w:id="1"/>
      </w:r>
      <w:r w:rsidR="001B0E60">
        <w:rPr>
          <w:i/>
          <w:color w:val="2F5496" w:themeColor="accent1" w:themeShade="BF"/>
        </w:rPr>
        <w:t>.</w:t>
      </w:r>
      <w:r w:rsidR="000500EC">
        <w:rPr>
          <w:i/>
          <w:color w:val="2F5496" w:themeColor="accent1" w:themeShade="BF"/>
        </w:rPr>
        <w:t xml:space="preserve"> </w:t>
      </w:r>
      <w:r w:rsidR="00084DC5">
        <w:rPr>
          <w:i/>
          <w:color w:val="2F5496" w:themeColor="accent1" w:themeShade="BF"/>
        </w:rPr>
        <w:t>Kako bi se utvrdilo na koji način i u kojoj mjeri tih 26 strategija tretira</w:t>
      </w:r>
      <w:r w:rsidR="00055531">
        <w:rPr>
          <w:i/>
          <w:color w:val="2F5496" w:themeColor="accent1" w:themeShade="BF"/>
        </w:rPr>
        <w:t>ju</w:t>
      </w:r>
      <w:r w:rsidR="00084DC5">
        <w:rPr>
          <w:i/>
          <w:color w:val="2F5496" w:themeColor="accent1" w:themeShade="BF"/>
        </w:rPr>
        <w:t xml:space="preserve"> rodnu ravnopravnost, </w:t>
      </w:r>
      <w:r w:rsidR="005D5C4A">
        <w:rPr>
          <w:i/>
          <w:color w:val="2F5496" w:themeColor="accent1" w:themeShade="BF"/>
        </w:rPr>
        <w:t xml:space="preserve">urađena je analiza uz korišćenje </w:t>
      </w:r>
      <w:r w:rsidR="004B685A" w:rsidRPr="00685411">
        <w:rPr>
          <w:i/>
          <w:color w:val="2F5496" w:themeColor="accent1" w:themeShade="BF"/>
        </w:rPr>
        <w:t>Istrument</w:t>
      </w:r>
      <w:r w:rsidR="00084DC5">
        <w:rPr>
          <w:i/>
          <w:color w:val="2F5496" w:themeColor="accent1" w:themeShade="BF"/>
        </w:rPr>
        <w:t>a</w:t>
      </w:r>
      <w:r w:rsidR="004B685A" w:rsidRPr="00685411">
        <w:rPr>
          <w:i/>
          <w:color w:val="2F5496" w:themeColor="accent1" w:themeShade="BF"/>
        </w:rPr>
        <w:t xml:space="preserve"> za procjenu orodnjeno</w:t>
      </w:r>
      <w:r w:rsidR="009D5CC5" w:rsidRPr="00685411">
        <w:rPr>
          <w:i/>
          <w:color w:val="2F5496" w:themeColor="accent1" w:themeShade="BF"/>
        </w:rPr>
        <w:t>sti</w:t>
      </w:r>
      <w:r w:rsidR="00084DC5">
        <w:rPr>
          <w:i/>
          <w:color w:val="2F5496" w:themeColor="accent1" w:themeShade="BF"/>
        </w:rPr>
        <w:t xml:space="preserve">. </w:t>
      </w:r>
    </w:p>
    <w:p w14:paraId="12A8D6BA" w14:textId="72EB9C2B" w:rsidR="0053536E" w:rsidRPr="0053536E" w:rsidRDefault="0053536E" w:rsidP="0053536E">
      <w:pPr>
        <w:jc w:val="both"/>
        <w:rPr>
          <w:i/>
          <w:color w:val="2F5496" w:themeColor="accent1" w:themeShade="BF"/>
          <w:lang w:val="sr-Latn-ME"/>
        </w:rPr>
      </w:pPr>
      <w:r>
        <w:rPr>
          <w:i/>
          <w:lang w:val="sr-Latn-ME"/>
        </w:rPr>
        <w:tab/>
      </w:r>
      <w:r w:rsidRPr="00DF7790">
        <w:rPr>
          <w:i/>
          <w:color w:val="2F5496" w:themeColor="accent1" w:themeShade="BF"/>
          <w:lang w:val="sr-Latn-ME"/>
        </w:rPr>
        <w:t>Rezultat analize ukazuje na to da je od 26 strategija 13</w:t>
      </w:r>
      <w:r w:rsidRPr="00DF7790" w:rsidDel="007210BD">
        <w:rPr>
          <w:i/>
          <w:color w:val="2F5496" w:themeColor="accent1" w:themeShade="BF"/>
          <w:lang w:val="sr-Latn-ME"/>
        </w:rPr>
        <w:t xml:space="preserve"> </w:t>
      </w:r>
      <w:r w:rsidRPr="00DF7790">
        <w:rPr>
          <w:i/>
          <w:color w:val="2F5496" w:themeColor="accent1" w:themeShade="BF"/>
          <w:lang w:val="sr-Latn-ME"/>
        </w:rPr>
        <w:t xml:space="preserve">potpuno neorodnjeno, </w:t>
      </w:r>
      <w:r w:rsidR="00867A18">
        <w:rPr>
          <w:i/>
          <w:color w:val="2F5496" w:themeColor="accent1" w:themeShade="BF"/>
          <w:lang w:val="sr-Latn-ME"/>
        </w:rPr>
        <w:t>5</w:t>
      </w:r>
      <w:r w:rsidR="00867A18" w:rsidRPr="00DF7790">
        <w:rPr>
          <w:i/>
          <w:color w:val="2F5496" w:themeColor="accent1" w:themeShade="BF"/>
          <w:lang w:val="sr-Latn-ME"/>
        </w:rPr>
        <w:t xml:space="preserve"> </w:t>
      </w:r>
      <w:r w:rsidRPr="00DF7790">
        <w:rPr>
          <w:i/>
          <w:color w:val="2F5496" w:themeColor="accent1" w:themeShade="BF"/>
          <w:lang w:val="sr-Latn-ME"/>
        </w:rPr>
        <w:t xml:space="preserve">uglavnom </w:t>
      </w:r>
      <w:r w:rsidRPr="00DF7790">
        <w:rPr>
          <w:i/>
          <w:color w:val="2F5496" w:themeColor="accent1" w:themeShade="BF"/>
          <w:lang w:val="sr-Latn-ME"/>
        </w:rPr>
        <w:tab/>
        <w:t xml:space="preserve">neorodnjeno, </w:t>
      </w:r>
      <w:r w:rsidR="00867A18">
        <w:rPr>
          <w:i/>
          <w:color w:val="2F5496" w:themeColor="accent1" w:themeShade="BF"/>
          <w:lang w:val="sr-Latn-ME"/>
        </w:rPr>
        <w:t>4</w:t>
      </w:r>
      <w:r w:rsidR="00867A18" w:rsidRPr="00DF7790">
        <w:rPr>
          <w:i/>
          <w:color w:val="2F5496" w:themeColor="accent1" w:themeShade="BF"/>
          <w:lang w:val="sr-Latn-ME"/>
        </w:rPr>
        <w:t xml:space="preserve"> </w:t>
      </w:r>
      <w:r w:rsidRPr="00DF7790">
        <w:rPr>
          <w:i/>
          <w:color w:val="2F5496" w:themeColor="accent1" w:themeShade="BF"/>
          <w:lang w:val="sr-Latn-ME"/>
        </w:rPr>
        <w:t>uglavnom orodnjeno i 4 u potpunosti orodnjeno</w:t>
      </w:r>
      <w:r w:rsidR="00895080" w:rsidRPr="00DF7790">
        <w:rPr>
          <w:i/>
          <w:color w:val="2F5496" w:themeColor="accent1" w:themeShade="BF"/>
          <w:lang w:val="sr-Latn-ME"/>
        </w:rPr>
        <w:t>.</w:t>
      </w:r>
      <w:r w:rsidRPr="00DF7790">
        <w:rPr>
          <w:i/>
          <w:color w:val="2F5496" w:themeColor="accent1" w:themeShade="BF"/>
          <w:lang w:val="sr-Latn-ME"/>
        </w:rPr>
        <w:t xml:space="preserve"> Ukoliko saberemo broj onih </w:t>
      </w:r>
      <w:r w:rsidR="00895080" w:rsidRPr="00DF7790">
        <w:rPr>
          <w:i/>
          <w:color w:val="2F5496" w:themeColor="accent1" w:themeShade="BF"/>
          <w:lang w:val="sr-Latn-ME"/>
        </w:rPr>
        <w:tab/>
      </w:r>
      <w:r w:rsidR="00572599" w:rsidRPr="00DF7790">
        <w:rPr>
          <w:i/>
          <w:color w:val="2F5496" w:themeColor="accent1" w:themeShade="BF"/>
          <w:lang w:val="sr-Latn-ME"/>
        </w:rPr>
        <w:t>koji su uglavnom orodnjene</w:t>
      </w:r>
      <w:r w:rsidR="006174F7" w:rsidRPr="00DF7790">
        <w:rPr>
          <w:i/>
          <w:color w:val="2F5496" w:themeColor="accent1" w:themeShade="BF"/>
          <w:lang w:val="sr-Latn-ME"/>
        </w:rPr>
        <w:t xml:space="preserve"> ili </w:t>
      </w:r>
      <w:r w:rsidRPr="00DF7790">
        <w:rPr>
          <w:i/>
          <w:color w:val="2F5496" w:themeColor="accent1" w:themeShade="BF"/>
          <w:lang w:val="sr-Latn-ME"/>
        </w:rPr>
        <w:t>u potpunosti orodnjen</w:t>
      </w:r>
      <w:r w:rsidR="00572599" w:rsidRPr="00DF7790">
        <w:rPr>
          <w:i/>
          <w:color w:val="2F5496" w:themeColor="accent1" w:themeShade="BF"/>
          <w:lang w:val="sr-Latn-ME"/>
        </w:rPr>
        <w:t>e,</w:t>
      </w:r>
      <w:r w:rsidR="00F344B2" w:rsidRPr="00DF7790">
        <w:rPr>
          <w:i/>
          <w:color w:val="2F5496" w:themeColor="accent1" w:themeShade="BF"/>
          <w:lang w:val="sr-Latn-ME"/>
        </w:rPr>
        <w:t xml:space="preserve"> dobijamo </w:t>
      </w:r>
      <w:r w:rsidR="00867A18">
        <w:rPr>
          <w:i/>
          <w:color w:val="2F5496" w:themeColor="accent1" w:themeShade="BF"/>
          <w:lang w:val="sr-Latn-ME"/>
        </w:rPr>
        <w:t>8</w:t>
      </w:r>
      <w:r w:rsidR="00F344B2" w:rsidRPr="00DF7790">
        <w:rPr>
          <w:i/>
          <w:color w:val="2F5496" w:themeColor="accent1" w:themeShade="BF"/>
          <w:lang w:val="sr-Latn-ME"/>
        </w:rPr>
        <w:t>, što je ukupno</w:t>
      </w:r>
      <w:r w:rsidR="00E6272A">
        <w:rPr>
          <w:i/>
          <w:color w:val="2F5496" w:themeColor="accent1" w:themeShade="BF"/>
          <w:lang w:val="sr-Latn-ME"/>
        </w:rPr>
        <w:t xml:space="preserve"> </w:t>
      </w:r>
      <w:r w:rsidR="00867A18">
        <w:rPr>
          <w:i/>
          <w:color w:val="2F5496" w:themeColor="accent1" w:themeShade="BF"/>
          <w:lang w:val="sr-Latn-ME"/>
        </w:rPr>
        <w:t>8,25</w:t>
      </w:r>
      <w:r w:rsidR="00DF7790" w:rsidRPr="00E6272A">
        <w:rPr>
          <w:i/>
          <w:color w:val="2F5496" w:themeColor="accent1" w:themeShade="BF"/>
          <w:lang w:val="sr-Latn-ME"/>
        </w:rPr>
        <w:t xml:space="preserve"> </w:t>
      </w:r>
      <w:r w:rsidRPr="00E6272A">
        <w:rPr>
          <w:i/>
          <w:color w:val="2F5496" w:themeColor="accent1" w:themeShade="BF"/>
          <w:lang w:val="sr-Latn-ME"/>
        </w:rPr>
        <w:t xml:space="preserve">% </w:t>
      </w:r>
      <w:r w:rsidRPr="00DF7790">
        <w:rPr>
          <w:i/>
          <w:color w:val="2F5496" w:themeColor="accent1" w:themeShade="BF"/>
          <w:lang w:val="sr-Latn-ME"/>
        </w:rPr>
        <w:t xml:space="preserve">od </w:t>
      </w:r>
      <w:r w:rsidR="00895080" w:rsidRPr="00DF7790">
        <w:rPr>
          <w:i/>
          <w:color w:val="2F5496" w:themeColor="accent1" w:themeShade="BF"/>
          <w:lang w:val="sr-Latn-ME"/>
        </w:rPr>
        <w:tab/>
      </w:r>
      <w:r w:rsidRPr="00DF7790">
        <w:rPr>
          <w:i/>
          <w:color w:val="2F5496" w:themeColor="accent1" w:themeShade="BF"/>
          <w:lang w:val="sr-Latn-ME"/>
        </w:rPr>
        <w:t xml:space="preserve">ukupnog broja </w:t>
      </w:r>
      <w:r w:rsidR="00895080" w:rsidRPr="00DF7790">
        <w:rPr>
          <w:i/>
          <w:color w:val="2F5496" w:themeColor="accent1" w:themeShade="BF"/>
          <w:lang w:val="sr-Latn-ME"/>
        </w:rPr>
        <w:t xml:space="preserve">od 97 </w:t>
      </w:r>
      <w:r w:rsidRPr="00DF7790">
        <w:rPr>
          <w:i/>
          <w:color w:val="2F5496" w:themeColor="accent1" w:themeShade="BF"/>
          <w:lang w:val="sr-Latn-ME"/>
        </w:rPr>
        <w:t xml:space="preserve">važećih strategija u vrijeme kada je rađena ova analiza (novembar 2021).  </w:t>
      </w:r>
      <w:r w:rsidR="00895080" w:rsidRPr="00DF7790">
        <w:rPr>
          <w:i/>
          <w:color w:val="2F5496" w:themeColor="accent1" w:themeShade="BF"/>
          <w:lang w:val="sr-Latn-ME"/>
        </w:rPr>
        <w:tab/>
      </w:r>
      <w:r w:rsidRPr="00DF7790">
        <w:rPr>
          <w:i/>
          <w:color w:val="2F5496" w:themeColor="accent1" w:themeShade="BF"/>
          <w:lang w:val="sr-Latn-ME"/>
        </w:rPr>
        <w:t xml:space="preserve">Ovaj procenat se može uzeti kao početno stanje za praćenje indikatora orodnjenosti javnih politika </w:t>
      </w:r>
      <w:r w:rsidR="00895080" w:rsidRPr="00DF7790">
        <w:rPr>
          <w:i/>
          <w:color w:val="2F5496" w:themeColor="accent1" w:themeShade="BF"/>
          <w:lang w:val="sr-Latn-ME"/>
        </w:rPr>
        <w:tab/>
      </w:r>
      <w:r w:rsidRPr="00DF7790">
        <w:rPr>
          <w:i/>
          <w:color w:val="2F5496" w:themeColor="accent1" w:themeShade="BF"/>
          <w:lang w:val="sr-Latn-ME"/>
        </w:rPr>
        <w:t xml:space="preserve">u skladu sa </w:t>
      </w:r>
      <w:r w:rsidRPr="00DF7790">
        <w:rPr>
          <w:i/>
          <w:iCs/>
          <w:color w:val="2F5496" w:themeColor="accent1" w:themeShade="BF"/>
          <w:lang w:val="sr-Latn-ME"/>
        </w:rPr>
        <w:t xml:space="preserve">Strategijom </w:t>
      </w:r>
      <w:r w:rsidRPr="00DF7790">
        <w:rPr>
          <w:i/>
          <w:iCs/>
          <w:color w:val="2F5496" w:themeColor="accent1" w:themeShade="BF"/>
          <w:lang w:val="sr-Latn-ME"/>
        </w:rPr>
        <w:tab/>
        <w:t>rodne ravnopravnosti 2021-2025</w:t>
      </w:r>
      <w:r w:rsidRPr="00DF7790">
        <w:rPr>
          <w:i/>
          <w:color w:val="2F5496" w:themeColor="accent1" w:themeShade="BF"/>
          <w:lang w:val="sr-Latn-ME"/>
        </w:rPr>
        <w:t xml:space="preserve">. </w:t>
      </w:r>
      <w:r w:rsidR="00895080" w:rsidRPr="00DF7790">
        <w:rPr>
          <w:i/>
          <w:color w:val="2F5496" w:themeColor="accent1" w:themeShade="BF"/>
          <w:lang w:val="sr-Latn-ME"/>
        </w:rPr>
        <w:t xml:space="preserve">Strategijom je planirano da se procenat </w:t>
      </w:r>
      <w:r w:rsidR="00895080" w:rsidRPr="00DF7790">
        <w:rPr>
          <w:i/>
          <w:color w:val="2F5496" w:themeColor="accent1" w:themeShade="BF"/>
          <w:lang w:val="sr-Latn-ME"/>
        </w:rPr>
        <w:tab/>
        <w:t>orodnjenosti</w:t>
      </w:r>
      <w:r w:rsidRPr="00DF7790">
        <w:rPr>
          <w:i/>
          <w:color w:val="2F5496" w:themeColor="accent1" w:themeShade="BF"/>
          <w:lang w:val="sr-Latn-ME"/>
        </w:rPr>
        <w:t xml:space="preserve"> podigne za 5</w:t>
      </w:r>
      <w:r w:rsidR="00895080" w:rsidRPr="00DF7790">
        <w:rPr>
          <w:i/>
          <w:color w:val="2F5496" w:themeColor="accent1" w:themeShade="BF"/>
          <w:lang w:val="sr-Latn-ME"/>
        </w:rPr>
        <w:t xml:space="preserve"> </w:t>
      </w:r>
      <w:r w:rsidRPr="00DF7790">
        <w:rPr>
          <w:i/>
          <w:color w:val="2F5496" w:themeColor="accent1" w:themeShade="BF"/>
          <w:lang w:val="sr-Latn-ME"/>
        </w:rPr>
        <w:t>p</w:t>
      </w:r>
      <w:r w:rsidR="00895080" w:rsidRPr="00DF7790">
        <w:rPr>
          <w:i/>
          <w:color w:val="2F5496" w:themeColor="accent1" w:themeShade="BF"/>
          <w:lang w:val="sr-Latn-ME"/>
        </w:rPr>
        <w:t xml:space="preserve">rocentnih poena </w:t>
      </w:r>
      <w:r w:rsidRPr="00DF7790">
        <w:rPr>
          <w:i/>
          <w:color w:val="2F5496" w:themeColor="accent1" w:themeShade="BF"/>
          <w:lang w:val="sr-Latn-ME"/>
        </w:rPr>
        <w:t>do 2023. i 10</w:t>
      </w:r>
      <w:r w:rsidR="00895080" w:rsidRPr="00DF7790">
        <w:rPr>
          <w:i/>
          <w:color w:val="2F5496" w:themeColor="accent1" w:themeShade="BF"/>
          <w:lang w:val="sr-Latn-ME"/>
        </w:rPr>
        <w:t xml:space="preserve"> procentnih poena </w:t>
      </w:r>
      <w:r w:rsidRPr="00DF7790">
        <w:rPr>
          <w:i/>
          <w:color w:val="2F5496" w:themeColor="accent1" w:themeShade="BF"/>
          <w:lang w:val="sr-Latn-ME"/>
        </w:rPr>
        <w:t>do 2025. godine.</w:t>
      </w:r>
    </w:p>
    <w:p w14:paraId="77264819" w14:textId="77777777" w:rsidR="0053536E" w:rsidRDefault="0053536E" w:rsidP="004A3F84">
      <w:pPr>
        <w:ind w:left="720"/>
        <w:jc w:val="both"/>
        <w:rPr>
          <w:i/>
          <w:iCs/>
          <w:color w:val="2F5496" w:themeColor="accent1" w:themeShade="BF"/>
          <w:lang w:val="sr-Latn-ME"/>
        </w:rPr>
      </w:pPr>
    </w:p>
    <w:p w14:paraId="4270F891" w14:textId="77777777" w:rsidR="00F04685" w:rsidRDefault="00F04685" w:rsidP="00CD37E4">
      <w:pPr>
        <w:pStyle w:val="Heading1"/>
        <w:rPr>
          <w:noProof/>
          <w:lang w:val="hr-HR"/>
        </w:rPr>
      </w:pPr>
    </w:p>
    <w:p w14:paraId="6752DEA3" w14:textId="77777777" w:rsidR="007F7C42" w:rsidRDefault="007F7C42" w:rsidP="00F04685">
      <w:pPr>
        <w:pStyle w:val="Heading1"/>
        <w:rPr>
          <w:noProof/>
          <w:lang w:val="hr-HR"/>
        </w:rPr>
      </w:pPr>
    </w:p>
    <w:p w14:paraId="5471FD55" w14:textId="71D204B2" w:rsidR="002559F4" w:rsidRDefault="00CD37E4" w:rsidP="00F04685">
      <w:pPr>
        <w:pStyle w:val="Heading1"/>
        <w:rPr>
          <w:noProof/>
          <w:lang w:val="hr-HR"/>
        </w:rPr>
      </w:pPr>
      <w:bookmarkStart w:id="2" w:name="_Toc100339524"/>
      <w:r>
        <w:rPr>
          <w:noProof/>
          <w:lang w:val="hr-HR"/>
        </w:rPr>
        <w:t>Uvod</w:t>
      </w:r>
      <w:bookmarkEnd w:id="2"/>
    </w:p>
    <w:p w14:paraId="210B261D" w14:textId="77777777" w:rsidR="00F04685" w:rsidRPr="00F04685" w:rsidRDefault="00F04685" w:rsidP="00F04685">
      <w:pPr>
        <w:rPr>
          <w:lang w:val="hr-HR"/>
        </w:rPr>
      </w:pPr>
    </w:p>
    <w:p w14:paraId="3410991F" w14:textId="77777777" w:rsidR="002559F4" w:rsidRDefault="002559F4" w:rsidP="002559F4">
      <w:pPr>
        <w:widowControl w:val="0"/>
        <w:autoSpaceDE w:val="0"/>
        <w:autoSpaceDN w:val="0"/>
        <w:adjustRightInd w:val="0"/>
        <w:spacing w:after="240" w:line="276" w:lineRule="auto"/>
        <w:jc w:val="both"/>
      </w:pPr>
      <w:r>
        <w:rPr>
          <w:rFonts w:eastAsia="Times New Roman"/>
        </w:rPr>
        <w:t>Ratifikovanjem brojnih međunarodnih ugovora i konvencija</w:t>
      </w:r>
      <w:r>
        <w:rPr>
          <w:rStyle w:val="FootnoteReference"/>
          <w:rFonts w:eastAsia="Times New Roman"/>
        </w:rPr>
        <w:footnoteReference w:id="2"/>
      </w:r>
      <w:r>
        <w:rPr>
          <w:rFonts w:eastAsia="Times New Roman"/>
        </w:rPr>
        <w:t>, kao i usvajanjem nacionalnog zakonodavstva</w:t>
      </w:r>
      <w:r>
        <w:rPr>
          <w:rStyle w:val="FootnoteReference"/>
          <w:rFonts w:eastAsia="Times New Roman"/>
        </w:rPr>
        <w:footnoteReference w:id="3"/>
      </w:r>
      <w:r>
        <w:t>, Crna Gora se obavezala da će poštovati načela rodne ravnopravnosti i sprovoditi međunarodne standarde u ovoj oblasti, dok je Zakonom o rodnoj ravnopravnosti</w:t>
      </w:r>
      <w:r>
        <w:rPr>
          <w:rStyle w:val="FootnoteReference"/>
        </w:rPr>
        <w:footnoteReference w:id="4"/>
      </w:r>
      <w:r>
        <w:t xml:space="preserve"> propisana obaveza</w:t>
      </w:r>
      <w:r w:rsidRPr="00EC5354">
        <w:t xml:space="preserve"> organa da u svim fazama planiranja, donošenja i sprovođenja odluka, kao i preduzimanja aktivnosti, ocjenjuju i vrednuju uticaj tih odluka i aktivnosti na položaj žena i muškaraca</w:t>
      </w:r>
      <w:r>
        <w:t>.</w:t>
      </w:r>
    </w:p>
    <w:p w14:paraId="7BCEFBAC" w14:textId="48171E1D" w:rsidR="002559F4" w:rsidRPr="00E47172" w:rsidRDefault="002559F4" w:rsidP="002559F4">
      <w:pPr>
        <w:widowControl w:val="0"/>
        <w:autoSpaceDE w:val="0"/>
        <w:autoSpaceDN w:val="0"/>
        <w:adjustRightInd w:val="0"/>
        <w:spacing w:after="240" w:line="276" w:lineRule="auto"/>
        <w:jc w:val="both"/>
      </w:pPr>
      <w:r w:rsidRPr="00EC5354">
        <w:rPr>
          <w:rFonts w:eastAsia="Times New Roman"/>
        </w:rPr>
        <w:t>Vlada Crne Gore je u junu 2021. godine usvojila Nacionalnu strategiju</w:t>
      </w:r>
      <w:r w:rsidRPr="003817B8">
        <w:rPr>
          <w:rFonts w:eastAsia="Times New Roman"/>
        </w:rPr>
        <w:t xml:space="preserve"> rodne ravnopravnosti </w:t>
      </w:r>
      <w:r w:rsidRPr="00EC5354">
        <w:rPr>
          <w:rFonts w:eastAsia="Times New Roman"/>
        </w:rPr>
        <w:t>(NSRR) 2021-2025,</w:t>
      </w:r>
      <w:r w:rsidRPr="003817B8">
        <w:rPr>
          <w:rFonts w:eastAsia="Times New Roman"/>
        </w:rPr>
        <w:t xml:space="preserve"> sa Akcionim planom 2021- 2022</w:t>
      </w:r>
      <w:r w:rsidRPr="00EC5354">
        <w:rPr>
          <w:rStyle w:val="FootnoteReference"/>
          <w:rFonts w:eastAsia="Times New Roman"/>
        </w:rPr>
        <w:footnoteReference w:id="5"/>
      </w:r>
      <w:r w:rsidRPr="00EC5354">
        <w:rPr>
          <w:rFonts w:eastAsia="Times New Roman"/>
        </w:rPr>
        <w:t xml:space="preserve">, kao četvrti u nizu strateški dokument kojim se bliže definiše sprovođenje politika rodne ravnopravnosti. </w:t>
      </w:r>
      <w:r>
        <w:rPr>
          <w:rFonts w:eastAsia="Times New Roman"/>
        </w:rPr>
        <w:t>Tokom izrade</w:t>
      </w:r>
      <w:r w:rsidRPr="003817B8">
        <w:rPr>
          <w:rFonts w:eastAsia="Times New Roman"/>
        </w:rPr>
        <w:t xml:space="preserve"> </w:t>
      </w:r>
      <w:r w:rsidRPr="00D2412D">
        <w:rPr>
          <w:rFonts w:eastAsia="Times New Roman"/>
        </w:rPr>
        <w:t>NSRR,</w:t>
      </w:r>
      <w:r w:rsidRPr="003817B8">
        <w:rPr>
          <w:rFonts w:eastAsia="Times New Roman"/>
        </w:rPr>
        <w:t xml:space="preserve"> </w:t>
      </w:r>
      <w:r>
        <w:rPr>
          <w:rFonts w:eastAsia="Times New Roman"/>
        </w:rPr>
        <w:t xml:space="preserve">u januaru 2021, </w:t>
      </w:r>
      <w:r w:rsidRPr="003817B8">
        <w:rPr>
          <w:rFonts w:eastAsia="Times New Roman"/>
        </w:rPr>
        <w:t>urađena je Analiza usklađenosti sa</w:t>
      </w:r>
      <w:r w:rsidRPr="00D2412D">
        <w:rPr>
          <w:rFonts w:eastAsia="Times New Roman"/>
        </w:rPr>
        <w:t xml:space="preserve"> drugim strateškim dokumentima</w:t>
      </w:r>
      <w:r>
        <w:rPr>
          <w:rFonts w:eastAsia="Times New Roman"/>
        </w:rPr>
        <w:t xml:space="preserve">, kako bi se </w:t>
      </w:r>
      <w:r w:rsidRPr="00D2412D">
        <w:rPr>
          <w:rFonts w:eastAsia="Times New Roman"/>
        </w:rPr>
        <w:t>utvrdi</w:t>
      </w:r>
      <w:r>
        <w:rPr>
          <w:rFonts w:eastAsia="Times New Roman"/>
        </w:rPr>
        <w:t>lo</w:t>
      </w:r>
      <w:r w:rsidRPr="00D2412D">
        <w:rPr>
          <w:rFonts w:eastAsia="Times New Roman"/>
        </w:rPr>
        <w:t xml:space="preserve"> </w:t>
      </w:r>
      <w:r>
        <w:rPr>
          <w:rFonts w:eastAsia="Times New Roman"/>
        </w:rPr>
        <w:t xml:space="preserve">koje od važećih </w:t>
      </w:r>
      <w:r w:rsidR="006701B8" w:rsidRPr="003817B8">
        <w:rPr>
          <w:rFonts w:eastAsia="Times New Roman"/>
        </w:rPr>
        <w:t>sektorsk</w:t>
      </w:r>
      <w:r w:rsidR="006701B8">
        <w:rPr>
          <w:rFonts w:eastAsia="Times New Roman"/>
        </w:rPr>
        <w:t>ih</w:t>
      </w:r>
      <w:r w:rsidR="006701B8" w:rsidRPr="003817B8">
        <w:rPr>
          <w:rFonts w:eastAsia="Times New Roman"/>
        </w:rPr>
        <w:t xml:space="preserve"> </w:t>
      </w:r>
      <w:r w:rsidRPr="003817B8">
        <w:rPr>
          <w:rFonts w:eastAsia="Times New Roman"/>
        </w:rPr>
        <w:t xml:space="preserve">strategija </w:t>
      </w:r>
      <w:r>
        <w:rPr>
          <w:rFonts w:eastAsia="Times New Roman"/>
        </w:rPr>
        <w:t>mogu biti relevantne</w:t>
      </w:r>
      <w:r w:rsidRPr="003817B8">
        <w:rPr>
          <w:rFonts w:eastAsia="Times New Roman"/>
        </w:rPr>
        <w:t xml:space="preserve"> za pitanja koja tretira N</w:t>
      </w:r>
      <w:r w:rsidRPr="00D2412D">
        <w:rPr>
          <w:rFonts w:eastAsia="Times New Roman"/>
        </w:rPr>
        <w:t>SRR kako bi se izbjegla preklapanja</w:t>
      </w:r>
      <w:r>
        <w:rPr>
          <w:rFonts w:eastAsia="Times New Roman"/>
        </w:rPr>
        <w:t xml:space="preserve">. </w:t>
      </w:r>
      <w:r w:rsidRPr="00D2412D">
        <w:rPr>
          <w:rFonts w:eastAsia="Times New Roman"/>
        </w:rPr>
        <w:t xml:space="preserve"> Ovaj dokument nije imao za cilj da se detaljno bavi načinima na koje su javne politike orodnjene, već samo</w:t>
      </w:r>
      <w:r>
        <w:rPr>
          <w:rFonts w:eastAsia="Times New Roman"/>
        </w:rPr>
        <w:t xml:space="preserve"> da utvrdi </w:t>
      </w:r>
      <w:r w:rsidRPr="003817B8">
        <w:rPr>
          <w:rFonts w:eastAsia="Times New Roman"/>
        </w:rPr>
        <w:t xml:space="preserve">da li se </w:t>
      </w:r>
      <w:r>
        <w:rPr>
          <w:rFonts w:eastAsia="Times New Roman"/>
        </w:rPr>
        <w:t xml:space="preserve">i </w:t>
      </w:r>
      <w:r w:rsidRPr="003817B8">
        <w:rPr>
          <w:rFonts w:eastAsia="Times New Roman"/>
        </w:rPr>
        <w:t xml:space="preserve">na </w:t>
      </w:r>
      <w:r>
        <w:rPr>
          <w:rFonts w:eastAsia="Times New Roman"/>
        </w:rPr>
        <w:t xml:space="preserve">koji način </w:t>
      </w:r>
      <w:r w:rsidRPr="003817B8">
        <w:rPr>
          <w:rFonts w:eastAsia="Times New Roman"/>
        </w:rPr>
        <w:t xml:space="preserve">na </w:t>
      </w:r>
      <w:r>
        <w:rPr>
          <w:rFonts w:eastAsia="Times New Roman"/>
        </w:rPr>
        <w:t xml:space="preserve">nivou </w:t>
      </w:r>
      <w:r w:rsidRPr="003817B8">
        <w:rPr>
          <w:rFonts w:eastAsia="Times New Roman"/>
        </w:rPr>
        <w:t>strateški</w:t>
      </w:r>
      <w:r>
        <w:rPr>
          <w:rFonts w:eastAsia="Times New Roman"/>
        </w:rPr>
        <w:t>h</w:t>
      </w:r>
      <w:r w:rsidRPr="003817B8">
        <w:rPr>
          <w:rFonts w:eastAsia="Times New Roman"/>
        </w:rPr>
        <w:t>, operativni</w:t>
      </w:r>
      <w:r>
        <w:rPr>
          <w:rFonts w:eastAsia="Times New Roman"/>
        </w:rPr>
        <w:t>h</w:t>
      </w:r>
      <w:r w:rsidRPr="003817B8">
        <w:rPr>
          <w:rFonts w:eastAsia="Times New Roman"/>
        </w:rPr>
        <w:t xml:space="preserve"> cilj</w:t>
      </w:r>
      <w:r>
        <w:rPr>
          <w:rFonts w:eastAsia="Times New Roman"/>
        </w:rPr>
        <w:t>eva, mjera i indikatora važeće strategije bave</w:t>
      </w:r>
      <w:r w:rsidRPr="003817B8">
        <w:rPr>
          <w:rFonts w:eastAsia="Times New Roman"/>
        </w:rPr>
        <w:t xml:space="preserve"> temom rodne ravnopravnosti</w:t>
      </w:r>
      <w:r w:rsidR="00C65E97">
        <w:rPr>
          <w:rFonts w:eastAsia="Times New Roman"/>
        </w:rPr>
        <w:t>.</w:t>
      </w:r>
      <w:r w:rsidRPr="00D2412D">
        <w:rPr>
          <w:rFonts w:eastAsia="Times New Roman"/>
        </w:rPr>
        <w:t xml:space="preserve"> </w:t>
      </w:r>
      <w:r w:rsidRPr="003817B8">
        <w:rPr>
          <w:rFonts w:eastAsia="Times New Roman"/>
        </w:rPr>
        <w:t xml:space="preserve">Kao rezultat ove analize, utvrđeno je da se od 97 sektorskih strategija koje kao važeće nabraja </w:t>
      </w:r>
      <w:r w:rsidRPr="00D2412D">
        <w:rPr>
          <w:rFonts w:eastAsia="Times New Roman"/>
        </w:rPr>
        <w:t>Metodologija razvijanja politika, izrade i praćenja sprovođenja strateških dokumenata</w:t>
      </w:r>
      <w:r w:rsidRPr="00D2412D">
        <w:rPr>
          <w:rStyle w:val="FootnoteReference"/>
          <w:rFonts w:eastAsia="Times New Roman"/>
        </w:rPr>
        <w:footnoteReference w:id="6"/>
      </w:r>
      <w:r w:rsidRPr="003817B8">
        <w:rPr>
          <w:rFonts w:eastAsia="Times New Roman"/>
        </w:rPr>
        <w:t>,</w:t>
      </w:r>
      <w:r>
        <w:rPr>
          <w:rFonts w:eastAsia="Times New Roman"/>
        </w:rPr>
        <w:t xml:space="preserve"> </w:t>
      </w:r>
      <w:r w:rsidRPr="003817B8">
        <w:rPr>
          <w:rFonts w:eastAsia="Times New Roman"/>
        </w:rPr>
        <w:t xml:space="preserve">njih 26 na </w:t>
      </w:r>
      <w:r w:rsidRPr="003817B8">
        <w:rPr>
          <w:rFonts w:eastAsia="Times New Roman"/>
        </w:rPr>
        <w:lastRenderedPageBreak/>
        <w:t>nekom nivou do</w:t>
      </w:r>
      <w:r w:rsidRPr="00D2412D">
        <w:rPr>
          <w:rFonts w:eastAsia="Times New Roman"/>
        </w:rPr>
        <w:t xml:space="preserve">tiče teme rodne ravnopravnosti. </w:t>
      </w:r>
    </w:p>
    <w:p w14:paraId="4E99E547" w14:textId="77777777" w:rsidR="002559F4" w:rsidRDefault="002559F4" w:rsidP="002559F4">
      <w:pPr>
        <w:widowControl w:val="0"/>
        <w:autoSpaceDE w:val="0"/>
        <w:autoSpaceDN w:val="0"/>
        <w:adjustRightInd w:val="0"/>
        <w:spacing w:after="240" w:line="340" w:lineRule="atLeast"/>
        <w:jc w:val="both"/>
      </w:pPr>
      <w:r>
        <w:t>U okviru NSRR, kroz Operativni cilj 1 kroz koji se želi unaprijediti primjena</w:t>
      </w:r>
      <w:r w:rsidRPr="00CD58C4">
        <w:t xml:space="preserve"> postojećeg normativnog okvira na sprovođenju politike rodne ravnopravnosti i zaštitu od diskriminacije po osnovu pola i roda)</w:t>
      </w:r>
      <w:r>
        <w:t xml:space="preserve">, </w:t>
      </w:r>
      <w:r w:rsidRPr="00CD58C4">
        <w:t xml:space="preserve">definisane </w:t>
      </w:r>
      <w:r>
        <w:t xml:space="preserve">su </w:t>
      </w:r>
      <w:r w:rsidRPr="00CD58C4">
        <w:t xml:space="preserve">mjere koje imaju za cilj jačanje kapaciteta institucionalnih mehanizama za </w:t>
      </w:r>
      <w:r>
        <w:t xml:space="preserve">orodnjavanje i </w:t>
      </w:r>
      <w:r w:rsidRPr="00CD58C4">
        <w:t>sprovođenje zakonskih odredb</w:t>
      </w:r>
      <w:r>
        <w:t xml:space="preserve">i za zaštitu od diskriminacije po osnovu pola i roda, </w:t>
      </w:r>
      <w:r w:rsidRPr="00CD58C4">
        <w:t xml:space="preserve">kao i mjere i aktivnosti koje imaju za cilj da uspostave efikasniju i efektivniju koordinaciju, nadzor nad </w:t>
      </w:r>
      <w:r>
        <w:t xml:space="preserve">njihovim </w:t>
      </w:r>
      <w:r w:rsidRPr="00CD58C4">
        <w:t>sprovođenjem i izvještavanje</w:t>
      </w:r>
      <w:r>
        <w:t>m</w:t>
      </w:r>
      <w:r w:rsidRPr="00CD58C4">
        <w:t xml:space="preserve">. </w:t>
      </w:r>
    </w:p>
    <w:p w14:paraId="00FDAEF0" w14:textId="77777777" w:rsidR="002559F4" w:rsidRPr="004D277A" w:rsidRDefault="002559F4" w:rsidP="002559F4">
      <w:pPr>
        <w:widowControl w:val="0"/>
        <w:autoSpaceDE w:val="0"/>
        <w:autoSpaceDN w:val="0"/>
        <w:adjustRightInd w:val="0"/>
        <w:spacing w:after="240" w:line="340" w:lineRule="atLeast"/>
        <w:jc w:val="both"/>
      </w:pPr>
      <w:r w:rsidRPr="004D277A">
        <w:t xml:space="preserve">Prva mjera u okviru ovog cilja odnosi se na standardizovanje procedure za orodnjavanje javnih politika. U opisu mjere se navodi da će se, između ostalog, sačiniti standardizovano uputstvo za državne organe, </w:t>
      </w:r>
      <w:r>
        <w:t xml:space="preserve">te da je potrebno još jednom, ovog puta uz korišćenje standardizovane procedure, analizirati važeća strateška dokumenta, kako bi se detaljnije utvrdilo do koje mjere i na koji način su orodnjena. </w:t>
      </w:r>
      <w:r w:rsidRPr="004D277A">
        <w:t>U opisu je takođe rečeno da bi</w:t>
      </w:r>
      <w:r>
        <w:t xml:space="preserve"> ovo standardizovano</w:t>
      </w:r>
      <w:r w:rsidRPr="004D277A">
        <w:t xml:space="preserve"> uputstvo trebalo da postane integralni dio Metodologije za izradu javnih politika</w:t>
      </w:r>
      <w:r>
        <w:t xml:space="preserve">, dok je kao indikator za sprovođenje ove mjere definisano donošenje Uredbe o standardima i obaveznosti orodnjavanje javnih politika. </w:t>
      </w:r>
    </w:p>
    <w:p w14:paraId="1F2CCE02" w14:textId="20A28D83" w:rsidR="002559F4" w:rsidRDefault="002559F4" w:rsidP="002559F4">
      <w:pPr>
        <w:widowControl w:val="0"/>
        <w:autoSpaceDE w:val="0"/>
        <w:autoSpaceDN w:val="0"/>
        <w:adjustRightInd w:val="0"/>
        <w:spacing w:after="240" w:line="340" w:lineRule="atLeast"/>
        <w:jc w:val="both"/>
        <w:rPr>
          <w:rFonts w:eastAsia="Times New Roman"/>
        </w:rPr>
      </w:pPr>
      <w:r>
        <w:rPr>
          <w:rFonts w:eastAsia="Times New Roman"/>
        </w:rPr>
        <w:t xml:space="preserve">U cilju efikasnijeg sprovođanja ove mjere </w:t>
      </w:r>
      <w:r w:rsidRPr="00D2412D">
        <w:rPr>
          <w:rFonts w:eastAsia="Times New Roman"/>
        </w:rPr>
        <w:t>NSRR</w:t>
      </w:r>
      <w:r>
        <w:rPr>
          <w:rFonts w:eastAsia="Times New Roman"/>
        </w:rPr>
        <w:t xml:space="preserve">, </w:t>
      </w:r>
      <w:r w:rsidRPr="00D2412D">
        <w:rPr>
          <w:rFonts w:eastAsia="Times New Roman"/>
        </w:rPr>
        <w:t>Misija OEBS-a u Crnoj Gori</w:t>
      </w:r>
      <w:r>
        <w:rPr>
          <w:rFonts w:eastAsia="Times New Roman"/>
        </w:rPr>
        <w:t xml:space="preserve"> je, u oktobru 2021</w:t>
      </w:r>
      <w:r w:rsidRPr="00D2412D">
        <w:rPr>
          <w:rFonts w:eastAsia="Times New Roman"/>
        </w:rPr>
        <w:t xml:space="preserve">, u saradnji sa Ministarstvom pravde, ljudskih i manjinskih prava, </w:t>
      </w:r>
      <w:r>
        <w:rPr>
          <w:rFonts w:eastAsia="Times New Roman"/>
        </w:rPr>
        <w:t>angažovala dvije ekspertkinje</w:t>
      </w:r>
      <w:r>
        <w:rPr>
          <w:rStyle w:val="FootnoteReference"/>
          <w:rFonts w:eastAsia="Times New Roman"/>
        </w:rPr>
        <w:footnoteReference w:id="7"/>
      </w:r>
      <w:r>
        <w:rPr>
          <w:rFonts w:eastAsia="Times New Roman"/>
        </w:rPr>
        <w:t xml:space="preserve"> da izrade</w:t>
      </w:r>
      <w:r w:rsidRPr="00D2412D">
        <w:rPr>
          <w:rFonts w:eastAsia="Times New Roman"/>
        </w:rPr>
        <w:t xml:space="preserve"> </w:t>
      </w:r>
      <w:r>
        <w:rPr>
          <w:rFonts w:eastAsia="Times New Roman"/>
        </w:rPr>
        <w:t xml:space="preserve">istraživački </w:t>
      </w:r>
      <w:r w:rsidRPr="00D2412D">
        <w:rPr>
          <w:rFonts w:eastAsia="Times New Roman"/>
        </w:rPr>
        <w:t>instrumen</w:t>
      </w:r>
      <w:r>
        <w:rPr>
          <w:rFonts w:eastAsia="Times New Roman"/>
        </w:rPr>
        <w:t xml:space="preserve">t/standardizovano uputstvo za </w:t>
      </w:r>
      <w:r w:rsidRPr="00D2412D">
        <w:rPr>
          <w:rFonts w:eastAsia="Times New Roman"/>
        </w:rPr>
        <w:t>procjenu orodnjenosti dokumenata javnih politika</w:t>
      </w:r>
      <w:r>
        <w:rPr>
          <w:rFonts w:eastAsia="Times New Roman"/>
        </w:rPr>
        <w:t xml:space="preserve">, kao i da, uz </w:t>
      </w:r>
      <w:r w:rsidRPr="00D2412D">
        <w:rPr>
          <w:rFonts w:eastAsia="Times New Roman"/>
        </w:rPr>
        <w:t>kor</w:t>
      </w:r>
      <w:r>
        <w:rPr>
          <w:rFonts w:eastAsia="Times New Roman"/>
        </w:rPr>
        <w:t>išćenje nov</w:t>
      </w:r>
      <w:r w:rsidR="00C65E97">
        <w:rPr>
          <w:rFonts w:eastAsia="Times New Roman"/>
        </w:rPr>
        <w:t>og instrumenta, urade detaljniju</w:t>
      </w:r>
      <w:r>
        <w:rPr>
          <w:rFonts w:eastAsia="Times New Roman"/>
        </w:rPr>
        <w:t xml:space="preserve"> analiz</w:t>
      </w:r>
      <w:r w:rsidR="00C65E97">
        <w:rPr>
          <w:rFonts w:eastAsia="Times New Roman"/>
        </w:rPr>
        <w:t>u</w:t>
      </w:r>
      <w:r>
        <w:rPr>
          <w:rFonts w:eastAsia="Times New Roman"/>
        </w:rPr>
        <w:t xml:space="preserve"> pomenutih 26</w:t>
      </w:r>
      <w:r w:rsidRPr="00D2412D">
        <w:rPr>
          <w:rFonts w:eastAsia="Times New Roman"/>
        </w:rPr>
        <w:t xml:space="preserve"> strateških</w:t>
      </w:r>
      <w:r>
        <w:rPr>
          <w:rFonts w:eastAsia="Times New Roman"/>
        </w:rPr>
        <w:t xml:space="preserve"> dokumenta za koje ranije ustanovljeno da dotiču teme rodne ravnopravnosti. </w:t>
      </w:r>
    </w:p>
    <w:p w14:paraId="5B3BCDD8" w14:textId="049D28D8" w:rsidR="002559F4" w:rsidRPr="00D2412D" w:rsidRDefault="002559F4" w:rsidP="00F04685">
      <w:pPr>
        <w:widowControl w:val="0"/>
        <w:autoSpaceDE w:val="0"/>
        <w:autoSpaceDN w:val="0"/>
        <w:adjustRightInd w:val="0"/>
        <w:spacing w:after="240" w:line="340" w:lineRule="atLeast"/>
        <w:jc w:val="both"/>
        <w:rPr>
          <w:rFonts w:eastAsia="Times New Roman"/>
        </w:rPr>
      </w:pPr>
      <w:r>
        <w:rPr>
          <w:rFonts w:eastAsia="Times New Roman"/>
        </w:rPr>
        <w:t>U međuvremenu, tokom perioda jul-oktobar 2021, Misija OEBS-a je pružila ekspertsku pomoć Odboru za rodnu ravnopravnost Skupštine Crne Gore u izradi Akcionog plana za rodno odgovornu Skupštinu 2022-2024. godine. U Akcionom planu je kao jedna od aktivnosti takođe definisana izrada instrume</w:t>
      </w:r>
      <w:r w:rsidR="00C65E97">
        <w:rPr>
          <w:rFonts w:eastAsia="Times New Roman"/>
        </w:rPr>
        <w:t>nta za procjenu orodnjenosti prije</w:t>
      </w:r>
      <w:r>
        <w:rPr>
          <w:rFonts w:eastAsia="Times New Roman"/>
        </w:rPr>
        <w:t>dloga zakona. Nakon konsultacija sa Odborom, dogovoreno je da se tokom izrade instrumenta za procjenu orodnjenosti strategija, uradi još jedan instrument, koji će biti prilagođen potrebama Odbora i služiti za ex-ante analizu orodnjenosti zakona. U skladu sa dogovorom, ovaj instrument je napravljen tako, da se može uklopiti i postati integralni dio obrasca pod nazivom "Informativni pregled", koji Odbor izrađuj</w:t>
      </w:r>
      <w:r w:rsidR="00F04685">
        <w:rPr>
          <w:rFonts w:eastAsia="Times New Roman"/>
        </w:rPr>
        <w:t>e u proceduri usvajanja zakona.</w:t>
      </w:r>
    </w:p>
    <w:p w14:paraId="6F283294" w14:textId="3330AA04" w:rsidR="002559F4" w:rsidRDefault="002559F4" w:rsidP="002559F4">
      <w:pPr>
        <w:spacing w:line="276" w:lineRule="auto"/>
        <w:jc w:val="both"/>
        <w:rPr>
          <w:rFonts w:eastAsia="Times New Roman"/>
        </w:rPr>
      </w:pPr>
      <w:r w:rsidRPr="00D2412D">
        <w:rPr>
          <w:rFonts w:eastAsia="Times New Roman"/>
        </w:rPr>
        <w:t xml:space="preserve">Ciljevi </w:t>
      </w:r>
      <w:r>
        <w:rPr>
          <w:rFonts w:eastAsia="Times New Roman"/>
        </w:rPr>
        <w:t xml:space="preserve">koje Misija OEBS-a i Ministarstvo pravde, ljudskih i manjinskih prava žele </w:t>
      </w:r>
      <w:r w:rsidRPr="00D2412D">
        <w:rPr>
          <w:rFonts w:eastAsia="Times New Roman"/>
        </w:rPr>
        <w:t xml:space="preserve">postići izradom </w:t>
      </w:r>
      <w:r>
        <w:rPr>
          <w:rFonts w:eastAsia="Times New Roman"/>
        </w:rPr>
        <w:t xml:space="preserve">ovih </w:t>
      </w:r>
      <w:r w:rsidRPr="00D2412D">
        <w:rPr>
          <w:rFonts w:eastAsia="Times New Roman"/>
        </w:rPr>
        <w:t xml:space="preserve">instrumenata </w:t>
      </w:r>
      <w:r>
        <w:rPr>
          <w:rFonts w:eastAsia="Times New Roman"/>
        </w:rPr>
        <w:t xml:space="preserve">i analizom strateških dokumenata su: </w:t>
      </w:r>
    </w:p>
    <w:p w14:paraId="71A7B0D6" w14:textId="0DB5264B" w:rsidR="002559F4" w:rsidRPr="00F04685" w:rsidRDefault="002559F4" w:rsidP="00F04685">
      <w:pPr>
        <w:pStyle w:val="ListParagraph"/>
        <w:numPr>
          <w:ilvl w:val="0"/>
          <w:numId w:val="14"/>
        </w:numPr>
        <w:spacing w:line="276" w:lineRule="auto"/>
        <w:jc w:val="both"/>
        <w:rPr>
          <w:rFonts w:eastAsia="Times New Roman"/>
        </w:rPr>
      </w:pPr>
      <w:r w:rsidRPr="00F04685">
        <w:rPr>
          <w:rFonts w:eastAsia="Times New Roman"/>
          <w:b/>
          <w:i/>
        </w:rPr>
        <w:t>Doprinos standardizovanju procedura za orodnjavanje strategija</w:t>
      </w:r>
      <w:r w:rsidRPr="00F04685">
        <w:rPr>
          <w:rFonts w:eastAsia="Times New Roman"/>
        </w:rPr>
        <w:t xml:space="preserve">, u skladu sa istoimenom Mjerom 1.1. Nacionalne strategije rodne ravnopravnosti (NSRR). U opisu ove mjere, kaže se da bi standardizovana procedura mogla biti integrisana u postojeću Metodologiju planiranja politika, izrade i praćenja sprovođenja strateških dokumenta. Takođe, za ovu mjeru je definisan indikator "Donijeta uredba o standardima i obaveznosti orodnjavanja javnih politika", pa bi </w:t>
      </w:r>
      <w:r w:rsidRPr="00F04685">
        <w:rPr>
          <w:rFonts w:eastAsia="Times New Roman"/>
        </w:rPr>
        <w:lastRenderedPageBreak/>
        <w:t>instrument/standardizovana procedura koja se predlaže mogla poslužiti kao osnov za izradu Uredbe. Sa druge strane, u predlogu Strategije javne uprave 2022-2026</w:t>
      </w:r>
      <w:r>
        <w:rPr>
          <w:rStyle w:val="FootnoteReference"/>
          <w:rFonts w:eastAsia="Times New Roman"/>
        </w:rPr>
        <w:footnoteReference w:id="8"/>
      </w:r>
      <w:r w:rsidRPr="00F04685">
        <w:rPr>
          <w:rFonts w:eastAsia="Times New Roman"/>
        </w:rPr>
        <w:t xml:space="preserve">. definisan je </w:t>
      </w:r>
      <w:r w:rsidRPr="00F07699">
        <w:t>Operativni cilj 5.1: Jačanje sistema planiranja zasnovanog na podacima koje vodi ka kreiranju održivih politika i postizanju prioriteta Vlade</w:t>
      </w:r>
      <w:r>
        <w:t xml:space="preserve">, gdje je kao aktivnost 5.1.2 predviđeno unapređenje Metodologije u dijelu orodnjavanja, pa bi ovaj instrument takođe mogao poslužiti u sprovođenju navedene aktivnosti. </w:t>
      </w:r>
    </w:p>
    <w:p w14:paraId="00B020B4" w14:textId="3F9B9D00" w:rsidR="002559F4" w:rsidRPr="00F04685" w:rsidRDefault="002559F4" w:rsidP="00F04685">
      <w:pPr>
        <w:pStyle w:val="ListParagraph"/>
        <w:numPr>
          <w:ilvl w:val="0"/>
          <w:numId w:val="14"/>
        </w:numPr>
        <w:spacing w:line="276" w:lineRule="auto"/>
        <w:jc w:val="both"/>
        <w:rPr>
          <w:rFonts w:eastAsia="Times New Roman"/>
        </w:rPr>
      </w:pPr>
      <w:r w:rsidRPr="00F04685">
        <w:rPr>
          <w:rFonts w:eastAsia="Times New Roman"/>
          <w:b/>
          <w:i/>
        </w:rPr>
        <w:t>Utvrđivanje početne vrijednost orodnjenosti sektorskih strategija u 2021, kako bi se mogao pratiti napredak.</w:t>
      </w:r>
      <w:r w:rsidRPr="00F04685">
        <w:rPr>
          <w:rFonts w:eastAsia="Times New Roman"/>
        </w:rPr>
        <w:t xml:space="preserve"> Naime, u NSRR je za Operativni cilj 1 - Unaprijediti primjenu postojećeg normativnog okvira na sprovođenju politike rodne ravnopravnosti i zaštitu od diskriminacije po osnovu pola i roda, definisan sljedeći indikator: "Procenat sektorskih javnih politika u kojima je sprovedeno orodnjavan</w:t>
      </w:r>
      <w:r w:rsidR="00C65E97">
        <w:rPr>
          <w:rFonts w:eastAsia="Times New Roman"/>
        </w:rPr>
        <w:t xml:space="preserve">je". Takođe je definisano da </w:t>
      </w:r>
      <w:r w:rsidRPr="00F04685">
        <w:rPr>
          <w:rFonts w:eastAsia="Times New Roman"/>
        </w:rPr>
        <w:t xml:space="preserve">ciljana vrijednost do 2023. godine bude +5% u odnostu na početnu vrijednost u 2021. godini (koja će biti utvrđena ovom analizom), a da do kraja 2025. godine bude +10% u odnosu na početnu vrijednost. </w:t>
      </w:r>
    </w:p>
    <w:p w14:paraId="7FE35CAC" w14:textId="1DA168C5" w:rsidR="002559F4" w:rsidRPr="00F04685" w:rsidRDefault="002559F4" w:rsidP="00F04685">
      <w:pPr>
        <w:pStyle w:val="ListParagraph"/>
        <w:numPr>
          <w:ilvl w:val="0"/>
          <w:numId w:val="14"/>
        </w:numPr>
        <w:spacing w:line="276" w:lineRule="auto"/>
        <w:jc w:val="both"/>
        <w:rPr>
          <w:rFonts w:eastAsia="Times New Roman"/>
        </w:rPr>
      </w:pPr>
      <w:r w:rsidRPr="00F04685">
        <w:rPr>
          <w:rFonts w:eastAsia="Times New Roman"/>
          <w:b/>
          <w:i/>
        </w:rPr>
        <w:t xml:space="preserve">Doprinos ex-ante analizi zakona iz ugla rodne ravnopravnosti. </w:t>
      </w:r>
      <w:r w:rsidRPr="00F04685">
        <w:rPr>
          <w:rFonts w:eastAsia="Times New Roman"/>
        </w:rPr>
        <w:t>Kao što je ranije objašnjeno,</w:t>
      </w:r>
      <w:r w:rsidRPr="00F04685">
        <w:rPr>
          <w:rFonts w:eastAsia="Times New Roman"/>
          <w:b/>
          <w:i/>
        </w:rPr>
        <w:t xml:space="preserve"> </w:t>
      </w:r>
      <w:r w:rsidRPr="00F04685">
        <w:rPr>
          <w:rFonts w:eastAsia="Times New Roman"/>
        </w:rPr>
        <w:t>na zahtjev Odbora za rodnu ravnopravnost, urađen je instrument za procjenu orodnjenosti zakona, koji će biti integrisan u već postojeći model Informativnog pregleda, koji Odbor priprema u fazi donošenja zakona. Shodno tome, ekspertkinje OEBS-a su napravile pr</w:t>
      </w:r>
      <w:r w:rsidR="00C65E97">
        <w:rPr>
          <w:rFonts w:eastAsia="Times New Roman"/>
        </w:rPr>
        <w:t>ij</w:t>
      </w:r>
      <w:r w:rsidRPr="00F04685">
        <w:rPr>
          <w:rFonts w:eastAsia="Times New Roman"/>
        </w:rPr>
        <w:t xml:space="preserve">edlog modela Informativnog pregleda sa ugrađenom komponentom za orodnjavanje. </w:t>
      </w:r>
    </w:p>
    <w:p w14:paraId="12C701DB" w14:textId="77777777" w:rsidR="002559F4" w:rsidRDefault="002559F4" w:rsidP="002559F4">
      <w:pPr>
        <w:spacing w:line="276" w:lineRule="auto"/>
        <w:jc w:val="both"/>
        <w:rPr>
          <w:rFonts w:eastAsia="Times New Roman"/>
          <w:b/>
        </w:rPr>
      </w:pPr>
    </w:p>
    <w:p w14:paraId="62C9C5D4" w14:textId="5CA8D5CD" w:rsidR="00221749" w:rsidRDefault="00696722" w:rsidP="0034427F">
      <w:pPr>
        <w:pStyle w:val="Heading1"/>
        <w:rPr>
          <w:lang w:val="hr-HR"/>
        </w:rPr>
      </w:pPr>
      <w:bookmarkStart w:id="3" w:name="_Toc100339525"/>
      <w:r>
        <w:rPr>
          <w:lang w:val="hr-HR"/>
        </w:rPr>
        <w:t>Metod i podaci</w:t>
      </w:r>
      <w:bookmarkEnd w:id="3"/>
    </w:p>
    <w:p w14:paraId="62D212D5" w14:textId="77777777" w:rsidR="004B685A" w:rsidRDefault="004B685A" w:rsidP="002559F4">
      <w:pPr>
        <w:spacing w:line="276" w:lineRule="auto"/>
        <w:jc w:val="both"/>
        <w:rPr>
          <w:rFonts w:eastAsia="Times New Roman"/>
        </w:rPr>
      </w:pPr>
    </w:p>
    <w:p w14:paraId="16D341C4" w14:textId="68BF8C8F" w:rsidR="00A819C2" w:rsidRDefault="002559F4" w:rsidP="002559F4">
      <w:pPr>
        <w:spacing w:line="276" w:lineRule="auto"/>
        <w:jc w:val="both"/>
        <w:rPr>
          <w:rFonts w:eastAsia="Times New Roman"/>
        </w:rPr>
      </w:pPr>
      <w:r>
        <w:rPr>
          <w:rFonts w:eastAsia="Times New Roman"/>
        </w:rPr>
        <w:t>Rad na kreiranju instrumen</w:t>
      </w:r>
      <w:r w:rsidR="00013A0B">
        <w:rPr>
          <w:rFonts w:eastAsia="Times New Roman"/>
        </w:rPr>
        <w:t>ata/standardizovanih</w:t>
      </w:r>
      <w:r>
        <w:rPr>
          <w:rFonts w:eastAsia="Times New Roman"/>
        </w:rPr>
        <w:t xml:space="preserve"> uputst</w:t>
      </w:r>
      <w:r w:rsidR="00A11649">
        <w:rPr>
          <w:rFonts w:eastAsia="Times New Roman"/>
        </w:rPr>
        <w:t>a</w:t>
      </w:r>
      <w:r>
        <w:rPr>
          <w:rFonts w:eastAsia="Times New Roman"/>
        </w:rPr>
        <w:t xml:space="preserve">va za orodnjavanje odvijao se u periodu oktobar - novembar 2021. godine. Prvi dio rada je obuhvatio </w:t>
      </w:r>
      <w:r w:rsidRPr="00B64C86">
        <w:rPr>
          <w:rFonts w:eastAsia="Times New Roman"/>
          <w:b/>
          <w:i/>
        </w:rPr>
        <w:t>desk</w:t>
      </w:r>
      <w:r>
        <w:rPr>
          <w:rFonts w:eastAsia="Times New Roman"/>
        </w:rPr>
        <w:t xml:space="preserve"> </w:t>
      </w:r>
      <w:r w:rsidRPr="00B64C86">
        <w:rPr>
          <w:rFonts w:eastAsia="Times New Roman"/>
          <w:b/>
          <w:i/>
        </w:rPr>
        <w:t>analizu</w:t>
      </w:r>
      <w:r>
        <w:rPr>
          <w:rFonts w:eastAsia="Times New Roman"/>
        </w:rPr>
        <w:t xml:space="preserve"> </w:t>
      </w:r>
      <w:r w:rsidRPr="00AB2CB0">
        <w:rPr>
          <w:rFonts w:eastAsia="Times New Roman"/>
          <w:b/>
          <w:i/>
        </w:rPr>
        <w:t>postojećih priručnika, uputstava i instrumenata za orodnjavanje</w:t>
      </w:r>
      <w:r>
        <w:rPr>
          <w:rFonts w:eastAsia="Times New Roman"/>
        </w:rPr>
        <w:t>, kao i dobrih praksi zemalja iz okruženja i EU</w:t>
      </w:r>
      <w:r>
        <w:rPr>
          <w:rStyle w:val="FootnoteReference"/>
          <w:rFonts w:eastAsia="Times New Roman"/>
        </w:rPr>
        <w:footnoteReference w:id="9"/>
      </w:r>
      <w:r>
        <w:rPr>
          <w:rFonts w:eastAsia="Times New Roman"/>
        </w:rPr>
        <w:t xml:space="preserve">, pri čemu </w:t>
      </w:r>
      <w:r w:rsidR="00A11649">
        <w:rPr>
          <w:rFonts w:eastAsia="Times New Roman"/>
        </w:rPr>
        <w:t>su glavnu okosnicu predstavljali sledeći priručnici</w:t>
      </w:r>
      <w:r>
        <w:rPr>
          <w:rFonts w:eastAsia="Times New Roman"/>
        </w:rPr>
        <w:t xml:space="preserve">: </w:t>
      </w:r>
    </w:p>
    <w:p w14:paraId="28563223" w14:textId="7C268CF9" w:rsidR="002559F4" w:rsidRPr="00F04685" w:rsidRDefault="002559F4" w:rsidP="00F04685">
      <w:pPr>
        <w:pStyle w:val="ListParagraph"/>
        <w:numPr>
          <w:ilvl w:val="0"/>
          <w:numId w:val="16"/>
        </w:numPr>
        <w:spacing w:line="276" w:lineRule="auto"/>
        <w:jc w:val="both"/>
        <w:rPr>
          <w:rFonts w:eastAsia="Times New Roman"/>
        </w:rPr>
      </w:pPr>
      <w:r w:rsidRPr="00F04685">
        <w:rPr>
          <w:rFonts w:eastAsia="Times New Roman"/>
        </w:rPr>
        <w:t>Publikacija Kancelarije OEBS-a za demokratiju i ljudska prava "Zakoni za žene i za muškarce: Praktični vodič za rodno-senzitivno zakonodavstvo"</w:t>
      </w:r>
      <w:r w:rsidRPr="00F04685">
        <w:rPr>
          <w:rStyle w:val="FootnoteReference"/>
          <w:rFonts w:eastAsia="Times New Roman"/>
        </w:rPr>
        <w:footnoteReference w:id="10"/>
      </w:r>
      <w:r w:rsidRPr="00F04685">
        <w:rPr>
          <w:rFonts w:eastAsia="Times New Roman"/>
        </w:rPr>
        <w:t xml:space="preserve"> </w:t>
      </w:r>
    </w:p>
    <w:p w14:paraId="0DCE1F91" w14:textId="53D5589B" w:rsidR="002559F4" w:rsidRPr="00F04685" w:rsidRDefault="002559F4" w:rsidP="00F04685">
      <w:pPr>
        <w:pStyle w:val="ListParagraph"/>
        <w:numPr>
          <w:ilvl w:val="0"/>
          <w:numId w:val="16"/>
        </w:numPr>
        <w:spacing w:line="276" w:lineRule="auto"/>
        <w:jc w:val="both"/>
      </w:pPr>
      <w:r w:rsidRPr="00F04685">
        <w:rPr>
          <w:bCs/>
        </w:rPr>
        <w:t>Priručnik</w:t>
      </w:r>
      <w:r w:rsidRPr="00F04685">
        <w:rPr>
          <w:b/>
          <w:bCs/>
        </w:rPr>
        <w:t xml:space="preserve"> </w:t>
      </w:r>
      <w:r w:rsidRPr="00F04685">
        <w:t>za procjenu uticaja propisa na rodnu ravnopravnost koji je izradio Sekretarijat Savjeta za konkurentnost Crne Gore</w:t>
      </w:r>
      <w:r w:rsidR="00F04685">
        <w:rPr>
          <w:rStyle w:val="FootnoteReference"/>
        </w:rPr>
        <w:footnoteReference w:id="11"/>
      </w:r>
    </w:p>
    <w:p w14:paraId="42D11E70" w14:textId="77777777" w:rsidR="00A819C2" w:rsidRDefault="002559F4" w:rsidP="00A819C2">
      <w:pPr>
        <w:pStyle w:val="ListParagraph"/>
        <w:numPr>
          <w:ilvl w:val="0"/>
          <w:numId w:val="16"/>
        </w:numPr>
        <w:spacing w:line="276" w:lineRule="auto"/>
        <w:jc w:val="both"/>
      </w:pPr>
      <w:r w:rsidRPr="00F04685">
        <w:lastRenderedPageBreak/>
        <w:t>Priručnik Evropskog instituta za rodnu ravnopravnost za procjenu uticaja na rodnu ravnopravnost</w:t>
      </w:r>
      <w:r w:rsidRPr="00F04685">
        <w:rPr>
          <w:rStyle w:val="FootnoteReference"/>
        </w:rPr>
        <w:footnoteReference w:id="12"/>
      </w:r>
      <w:r w:rsidRPr="00F04685">
        <w:t xml:space="preserve"> </w:t>
      </w:r>
    </w:p>
    <w:p w14:paraId="2779045C" w14:textId="614F56A9" w:rsidR="00A819C2" w:rsidRPr="00A819C2" w:rsidRDefault="00A819C2" w:rsidP="00A819C2">
      <w:pPr>
        <w:pStyle w:val="ListParagraph"/>
        <w:numPr>
          <w:ilvl w:val="0"/>
          <w:numId w:val="16"/>
        </w:numPr>
        <w:spacing w:line="276" w:lineRule="auto"/>
        <w:jc w:val="both"/>
      </w:pPr>
      <w:r w:rsidRPr="00A819C2">
        <w:rPr>
          <w:iCs/>
          <w:lang w:val="hr-HR"/>
        </w:rPr>
        <w:t>Priručnik za orodnjavanje rodne ravnopravnosti</w:t>
      </w:r>
      <w:r w:rsidRPr="00A819C2">
        <w:rPr>
          <w:lang w:val="hr-HR"/>
        </w:rPr>
        <w:t xml:space="preserve"> OECD-a,</w:t>
      </w:r>
      <w:r w:rsidRPr="00A819C2">
        <w:rPr>
          <w:rStyle w:val="FootnoteReference"/>
          <w:lang w:val="hr-HR"/>
        </w:rPr>
        <w:footnoteReference w:id="13"/>
      </w:r>
      <w:r w:rsidRPr="00A819C2">
        <w:rPr>
          <w:lang w:val="hr-HR"/>
        </w:rPr>
        <w:t xml:space="preserve"> </w:t>
      </w:r>
      <w:r w:rsidRPr="00A819C2">
        <w:rPr>
          <w:iCs/>
          <w:lang w:val="hr-HR"/>
        </w:rPr>
        <w:t>Rodnu procje</w:t>
      </w:r>
      <w:r w:rsidR="00C65E97">
        <w:rPr>
          <w:iCs/>
          <w:lang w:val="hr-HR"/>
        </w:rPr>
        <w:t>nu uticaja: Alatke i metode za o</w:t>
      </w:r>
      <w:r w:rsidRPr="00A819C2">
        <w:rPr>
          <w:iCs/>
          <w:lang w:val="hr-HR"/>
        </w:rPr>
        <w:t>rodnjavanje politika, programa i projekata</w:t>
      </w:r>
      <w:r w:rsidRPr="00A819C2">
        <w:rPr>
          <w:lang w:val="hr-HR"/>
        </w:rPr>
        <w:t xml:space="preserve"> Fridrih Ebert Stiftung Fondacije</w:t>
      </w:r>
      <w:r w:rsidRPr="00A819C2">
        <w:rPr>
          <w:rStyle w:val="FootnoteReference"/>
          <w:lang w:val="hr-HR"/>
        </w:rPr>
        <w:footnoteReference w:id="14"/>
      </w:r>
      <w:r w:rsidRPr="00A819C2">
        <w:rPr>
          <w:lang w:val="hr-HR"/>
        </w:rPr>
        <w:t xml:space="preserve"> </w:t>
      </w:r>
    </w:p>
    <w:p w14:paraId="41CC5D9B" w14:textId="128BC907" w:rsidR="00A819C2" w:rsidRPr="00F04685" w:rsidRDefault="00A819C2" w:rsidP="00A819C2">
      <w:pPr>
        <w:pStyle w:val="ListParagraph"/>
        <w:numPr>
          <w:ilvl w:val="0"/>
          <w:numId w:val="16"/>
        </w:numPr>
        <w:spacing w:line="276" w:lineRule="auto"/>
        <w:jc w:val="both"/>
      </w:pPr>
      <w:r w:rsidRPr="00A819C2">
        <w:rPr>
          <w:iCs/>
          <w:lang w:val="hr-HR"/>
        </w:rPr>
        <w:t>Priručnik za proc</w:t>
      </w:r>
      <w:r w:rsidR="00C65E97">
        <w:rPr>
          <w:iCs/>
          <w:lang w:val="hr-HR"/>
        </w:rPr>
        <w:t>j</w:t>
      </w:r>
      <w:r w:rsidRPr="00A819C2">
        <w:rPr>
          <w:iCs/>
          <w:lang w:val="hr-HR"/>
        </w:rPr>
        <w:t xml:space="preserve">enu uticaja rodne ravnopravnosti </w:t>
      </w:r>
      <w:r w:rsidRPr="00A819C2">
        <w:rPr>
          <w:lang w:val="hr-HR"/>
        </w:rPr>
        <w:t>Agencije za ravnopravnost polova Vlade Kosova.</w:t>
      </w:r>
      <w:r w:rsidRPr="00A819C2">
        <w:rPr>
          <w:rStyle w:val="FootnoteReference"/>
          <w:lang w:val="hr-HR"/>
        </w:rPr>
        <w:footnoteReference w:id="15"/>
      </w:r>
    </w:p>
    <w:p w14:paraId="3E0729AF" w14:textId="4DF41C6E" w:rsidR="002559F4" w:rsidRDefault="002559F4" w:rsidP="002559F4">
      <w:pPr>
        <w:spacing w:line="276" w:lineRule="auto"/>
        <w:jc w:val="both"/>
      </w:pPr>
      <w:r>
        <w:t xml:space="preserve">U drugom dijelu rada, izvršena je </w:t>
      </w:r>
      <w:r w:rsidRPr="00AB2CB0">
        <w:rPr>
          <w:b/>
          <w:i/>
        </w:rPr>
        <w:t>procjena potreba kroz intervjue i fokus-grupe</w:t>
      </w:r>
      <w:r>
        <w:t>, kako bi se definisalo na koji način i u kom obimu je potrebno izraditi ovaj instrumnt, tako da bude praktičan za upotrebu, a da istovremeno pokrije sve aspekte ravnopravnosti koje je potrebno ugraditi tokom procjene orodnje</w:t>
      </w:r>
      <w:r w:rsidR="00C65E97">
        <w:t>nosti strategija</w:t>
      </w:r>
      <w:r>
        <w:t>, kao i tokom procjene orodnjenosti zakona u fazi njihovog usvajanja. Intervjui su obavljeni sa predstavnicama Odbora za rodnu ravnopr</w:t>
      </w:r>
      <w:r w:rsidR="00C65E97">
        <w:t>avnost, dok su kroz razgovore u</w:t>
      </w:r>
      <w:r>
        <w:t xml:space="preserve"> fokus grupama obuhvaćeni članovi/ce Komisije za praćenje sprovođenja NSRR, koju čine kontakt-osobe za pitanja rodne ravnopravnosti iz svih ministarstava i drugih institucija koje su prepoznate kao partneri u realizaciji NSRR. </w:t>
      </w:r>
    </w:p>
    <w:p w14:paraId="33D6E54F" w14:textId="78B01A01" w:rsidR="002559F4" w:rsidRPr="009A243E" w:rsidRDefault="00C65E97" w:rsidP="002559F4">
      <w:pPr>
        <w:spacing w:line="276" w:lineRule="auto"/>
        <w:jc w:val="both"/>
      </w:pPr>
      <w:r>
        <w:t>Treći dio rada podrazumije</w:t>
      </w:r>
      <w:r w:rsidR="002559F4">
        <w:t xml:space="preserve">vao je </w:t>
      </w:r>
      <w:r w:rsidR="002559F4" w:rsidRPr="00020C43">
        <w:rPr>
          <w:b/>
          <w:i/>
        </w:rPr>
        <w:t>i</w:t>
      </w:r>
      <w:r w:rsidR="002559F4">
        <w:rPr>
          <w:b/>
          <w:i/>
        </w:rPr>
        <w:t>zradu</w:t>
      </w:r>
      <w:r w:rsidR="002559F4" w:rsidRPr="00020C43">
        <w:rPr>
          <w:b/>
          <w:i/>
        </w:rPr>
        <w:t xml:space="preserve"> instrumenta za </w:t>
      </w:r>
      <w:r w:rsidR="002559F4">
        <w:rPr>
          <w:b/>
          <w:i/>
        </w:rPr>
        <w:t>procjenu</w:t>
      </w:r>
      <w:r w:rsidR="002559F4" w:rsidRPr="00020C43">
        <w:rPr>
          <w:b/>
          <w:i/>
        </w:rPr>
        <w:t xml:space="preserve"> orodnjenosti</w:t>
      </w:r>
      <w:r w:rsidR="002559F4">
        <w:rPr>
          <w:b/>
          <w:i/>
        </w:rPr>
        <w:t xml:space="preserve"> strategija, </w:t>
      </w:r>
      <w:r w:rsidR="002559F4">
        <w:t xml:space="preserve">koji bi prvenstveno trebalo da služi Generalnom sekretarijatu Vlade u fazi davanja mišljenja na predložena dokumenta javnih politika, kao i </w:t>
      </w:r>
      <w:r w:rsidR="002559F4" w:rsidRPr="00547856">
        <w:rPr>
          <w:b/>
          <w:i/>
        </w:rPr>
        <w:t>predloga modela Informativnog</w:t>
      </w:r>
      <w:r w:rsidR="002559F4" w:rsidRPr="00547856">
        <w:rPr>
          <w:i/>
        </w:rPr>
        <w:t xml:space="preserve"> </w:t>
      </w:r>
      <w:r w:rsidR="002559F4" w:rsidRPr="00547856">
        <w:rPr>
          <w:rFonts w:eastAsia="Times New Roman"/>
          <w:b/>
          <w:i/>
        </w:rPr>
        <w:t>pregleda sa ugrađenom komponentom za orodnjavanje</w:t>
      </w:r>
      <w:r w:rsidR="002559F4" w:rsidRPr="00547856">
        <w:rPr>
          <w:b/>
          <w:i/>
        </w:rPr>
        <w:t xml:space="preserve">, </w:t>
      </w:r>
      <w:r w:rsidR="002559F4" w:rsidRPr="006F0288">
        <w:t>za potrebe Odbora za rodnu ravnopravnost</w:t>
      </w:r>
      <w:r w:rsidR="002559F4">
        <w:rPr>
          <w:b/>
          <w:i/>
        </w:rPr>
        <w:t>.</w:t>
      </w:r>
      <w:r w:rsidR="002559F4">
        <w:t xml:space="preserve"> Prilikom njihove izrade, ekspertkinje su vodile računa da oba instrumenta budu kompatibilna sa </w:t>
      </w:r>
      <w:r w:rsidR="002559F4" w:rsidRPr="00B64C86">
        <w:rPr>
          <w:bCs/>
        </w:rPr>
        <w:t>Priručnik</w:t>
      </w:r>
      <w:r w:rsidR="002559F4">
        <w:rPr>
          <w:bCs/>
        </w:rPr>
        <w:t>om</w:t>
      </w:r>
      <w:r w:rsidR="002559F4" w:rsidRPr="00B64C86">
        <w:rPr>
          <w:b/>
          <w:bCs/>
        </w:rPr>
        <w:t xml:space="preserve"> </w:t>
      </w:r>
      <w:r w:rsidR="002559F4" w:rsidRPr="00B64C86">
        <w:t>za procjenu uticaja propisa na rodnu ravnopravnost</w:t>
      </w:r>
      <w:r w:rsidR="002559F4">
        <w:t xml:space="preserve"> koji je izradio </w:t>
      </w:r>
      <w:r w:rsidR="002559F4" w:rsidRPr="00B64C86">
        <w:t>Sekretarijat Savjeta za konkurentnost</w:t>
      </w:r>
      <w:r w:rsidR="002559F4">
        <w:t xml:space="preserve"> Crne Gore, koji daje veoma detaljna uputstva na koji način se dokumenta javne politike orodnjavaju, i čiji su prvenstveni korisnici institucije sistema koji su predlagači javnih politika i zakona. Za razliku od Priručnika, instrumenti za procjenu orodnjenosti koji su prikazani u ovom dokumentu prvenstveno su namijenjeni onima koji kontrolišu da li su javne politike orodnjene ili ne, što su, u ovom slučaju, Generalni sekretarijat Vlade sa jedne, i Odbor za rodnu ravnopravnost Skupštine sa druge strane. Kako je prethodno opisano u ciljevima koji se žele postići izradom ovog instrumenta, Misija OEBS-a je željela da doprinese unapređenju Metodologije </w:t>
      </w:r>
      <w:r w:rsidR="002559F4">
        <w:rPr>
          <w:rFonts w:eastAsia="Times New Roman"/>
        </w:rPr>
        <w:t>planiranja politika, izrade i praćenja sprovođenja strateških dokumenta, ali i donošenju Uredbe, u skladu sa mjerama NSRR. Sa druge strane, kroz pr</w:t>
      </w:r>
      <w:r w:rsidR="006D0DC6">
        <w:rPr>
          <w:rFonts w:eastAsia="Times New Roman"/>
        </w:rPr>
        <w:t>ij</w:t>
      </w:r>
      <w:r w:rsidR="002559F4">
        <w:rPr>
          <w:rFonts w:eastAsia="Times New Roman"/>
        </w:rPr>
        <w:t xml:space="preserve">edlog modela Informativnog pregleda, dat je doprinos ostvarivanju Akcionog plana za rodno odgovornu Skupštinu 2022-2024. </w:t>
      </w:r>
    </w:p>
    <w:p w14:paraId="5627CD28" w14:textId="42A9C904" w:rsidR="002559F4" w:rsidRDefault="002559F4" w:rsidP="002559F4">
      <w:pPr>
        <w:spacing w:line="276" w:lineRule="auto"/>
        <w:jc w:val="both"/>
      </w:pPr>
      <w:r>
        <w:t xml:space="preserve">Četvrti dio se odnosio na </w:t>
      </w:r>
      <w:r w:rsidR="009D5CC5">
        <w:rPr>
          <w:b/>
          <w:i/>
        </w:rPr>
        <w:t>detaljnu analizu 2</w:t>
      </w:r>
      <w:r w:rsidR="00CD27AA">
        <w:rPr>
          <w:b/>
          <w:i/>
        </w:rPr>
        <w:t>6</w:t>
      </w:r>
      <w:r w:rsidRPr="00020C43">
        <w:rPr>
          <w:b/>
          <w:i/>
        </w:rPr>
        <w:t xml:space="preserve"> aktuelnih strategija (uz korišćenje novog instrumenta), za koje je ranije utvrđeno da na nekom nivou dotiču pitanja rodne ravnopravnosti.</w:t>
      </w:r>
      <w:r>
        <w:t xml:space="preserve"> </w:t>
      </w:r>
    </w:p>
    <w:p w14:paraId="4FF65FFB" w14:textId="0D973A4C" w:rsidR="002559F4" w:rsidRDefault="002559F4" w:rsidP="002559F4">
      <w:pPr>
        <w:spacing w:line="276" w:lineRule="auto"/>
        <w:jc w:val="both"/>
      </w:pPr>
      <w:r>
        <w:t>Na kraju, urađen je jedinstven dokument koji sadrži standardizovano uputstvo za izradu javnih politika, pr</w:t>
      </w:r>
      <w:r w:rsidR="006D0DC6">
        <w:t>ij</w:t>
      </w:r>
      <w:r>
        <w:t>ed</w:t>
      </w:r>
      <w:r w:rsidR="00013A0B">
        <w:t>l</w:t>
      </w:r>
      <w:r>
        <w:t xml:space="preserve">og za dopunu Informativnog pregleda koje priprema Odbor za rodnu ravnopravnost, kao i analizu 26 strategija. </w:t>
      </w:r>
    </w:p>
    <w:p w14:paraId="39CD01F7" w14:textId="77777777" w:rsidR="002559F4" w:rsidRDefault="002559F4" w:rsidP="002559F4">
      <w:pPr>
        <w:jc w:val="both"/>
        <w:rPr>
          <w:lang w:val="hr-HR"/>
        </w:rPr>
      </w:pPr>
      <w:r>
        <w:rPr>
          <w:lang w:val="hr-HR"/>
        </w:rPr>
        <w:lastRenderedPageBreak/>
        <w:t>Pod orodnjavanjem politika po definiciji Evropskog instituta za rodnu ravnopravnost EIGE smatra se integracija rodne perspektive u pripremu, dizajn, implementaciju, monitoring i evaluaciju politika, mjera regulacije i budžetiranja s ciljem promocije ravnopravnosti između muškaraca i žena i borbe protiv diskriminacije.</w:t>
      </w:r>
      <w:r>
        <w:rPr>
          <w:rStyle w:val="FootnoteReference"/>
          <w:lang w:val="hr-HR"/>
        </w:rPr>
        <w:footnoteReference w:id="16"/>
      </w:r>
      <w:r>
        <w:rPr>
          <w:lang w:val="hr-HR"/>
        </w:rPr>
        <w:t xml:space="preserve"> Jedan od glavnih problema prilikom orodnjavanja javnih politika je izostanak razumijevanja da većina tema zapravo ima rodnu dimenziju. </w:t>
      </w:r>
    </w:p>
    <w:p w14:paraId="4DC6DD7B" w14:textId="77777777" w:rsidR="002559F4" w:rsidRDefault="002559F4" w:rsidP="00234104">
      <w:pPr>
        <w:pStyle w:val="Heading2"/>
        <w:rPr>
          <w:lang w:val="hr-HR"/>
        </w:rPr>
      </w:pPr>
    </w:p>
    <w:p w14:paraId="0F56A942" w14:textId="428E2945" w:rsidR="00A53C8F" w:rsidRDefault="004B685A" w:rsidP="00234104">
      <w:pPr>
        <w:pStyle w:val="Heading2"/>
        <w:rPr>
          <w:lang w:val="hr-HR"/>
        </w:rPr>
      </w:pPr>
      <w:bookmarkStart w:id="4" w:name="_Toc100339526"/>
      <w:r>
        <w:rPr>
          <w:lang w:val="hr-HR"/>
        </w:rPr>
        <w:t xml:space="preserve">I  </w:t>
      </w:r>
      <w:r w:rsidR="002559F4">
        <w:rPr>
          <w:lang w:val="hr-HR"/>
        </w:rPr>
        <w:t>Instrument</w:t>
      </w:r>
      <w:r w:rsidR="00A53C8F">
        <w:rPr>
          <w:lang w:val="hr-HR"/>
        </w:rPr>
        <w:t xml:space="preserve"> za procjenu orodnjenosti strateških dokumenata</w:t>
      </w:r>
      <w:bookmarkEnd w:id="4"/>
    </w:p>
    <w:p w14:paraId="5E21B26D" w14:textId="77777777" w:rsidR="002559F4" w:rsidRPr="002559F4" w:rsidRDefault="002559F4" w:rsidP="002559F4"/>
    <w:p w14:paraId="0700C5D6" w14:textId="1CD5E858" w:rsidR="0002651E" w:rsidRDefault="00AC2C9A" w:rsidP="00AC2C9A">
      <w:pPr>
        <w:jc w:val="both"/>
        <w:rPr>
          <w:lang w:val="sr-Latn-ME"/>
        </w:rPr>
      </w:pPr>
      <w:r>
        <w:rPr>
          <w:lang w:val="hr-HR"/>
        </w:rPr>
        <w:t xml:space="preserve">Instrument sadrži </w:t>
      </w:r>
      <w:r>
        <w:rPr>
          <w:lang w:val="sr-Latn-ME"/>
        </w:rPr>
        <w:t>1</w:t>
      </w:r>
      <w:r w:rsidR="00486FFD">
        <w:rPr>
          <w:lang w:val="sr-Latn-ME"/>
        </w:rPr>
        <w:t>1</w:t>
      </w:r>
      <w:r>
        <w:rPr>
          <w:lang w:val="sr-Latn-ME"/>
        </w:rPr>
        <w:t xml:space="preserve"> kriterijuma podijeljenih u tri cjeline</w:t>
      </w:r>
      <w:r w:rsidR="00E750A6">
        <w:rPr>
          <w:lang w:val="sr-Latn-ME"/>
        </w:rPr>
        <w:t xml:space="preserve">. </w:t>
      </w:r>
      <w:r w:rsidR="00E750A6" w:rsidRPr="003E625F">
        <w:rPr>
          <w:b/>
          <w:bCs/>
          <w:lang w:val="sr-Latn-ME"/>
        </w:rPr>
        <w:t>Prva cjelina</w:t>
      </w:r>
      <w:r w:rsidR="00E750A6">
        <w:rPr>
          <w:lang w:val="sr-Latn-ME"/>
        </w:rPr>
        <w:t xml:space="preserve"> odnosi se na fazu pripreme javne politike. </w:t>
      </w:r>
      <w:r w:rsidR="00D0791D">
        <w:rPr>
          <w:lang w:val="sr-Latn-ME"/>
        </w:rPr>
        <w:t xml:space="preserve">Jedan od </w:t>
      </w:r>
      <w:r w:rsidR="00C56DF8">
        <w:rPr>
          <w:lang w:val="sr-Latn-ME"/>
        </w:rPr>
        <w:t>osnovnih principa orodnjavanja javnih politika odnosi se na obezbjeđivanje rodno različite perspektive na problem i rješenja koja javna politika sadrži. Imajući to u vidu, postavljena su dva kriterijuma. Prvi se odnosi na izbalansiranost sastava radne grupe koja je bila formirana s ciljem izrade strateškog dokumenta</w:t>
      </w:r>
      <w:r w:rsidR="00A825D2">
        <w:rPr>
          <w:lang w:val="sr-Latn-ME"/>
        </w:rPr>
        <w:t>, dok drugi postavlja pitanje da li je u fazi pripeme na bilo koji način uzeta u obzir rodna perspektiva, na primjer kroz konsultovanje spoljnih saradnika i saradnica, konsultanata i konsulta</w:t>
      </w:r>
      <w:r w:rsidR="009E6CEE">
        <w:rPr>
          <w:lang w:val="sr-Latn-ME"/>
        </w:rPr>
        <w:t>ntkinja ili organizacija koje su specijalizovane</w:t>
      </w:r>
      <w:r w:rsidR="00A825D2">
        <w:rPr>
          <w:lang w:val="sr-Latn-ME"/>
        </w:rPr>
        <w:t xml:space="preserve"> za pitanja rodne problematike. </w:t>
      </w:r>
    </w:p>
    <w:p w14:paraId="29909E21" w14:textId="57E54574" w:rsidR="00A825D2" w:rsidRDefault="00A825D2" w:rsidP="00AC2C9A">
      <w:pPr>
        <w:jc w:val="both"/>
        <w:rPr>
          <w:lang w:val="sr-Latn-ME"/>
        </w:rPr>
      </w:pPr>
      <w:r>
        <w:rPr>
          <w:lang w:val="sr-Latn-ME"/>
        </w:rPr>
        <w:t>Pod ro</w:t>
      </w:r>
      <w:r w:rsidR="000660DD">
        <w:rPr>
          <w:lang w:val="sr-Latn-ME"/>
        </w:rPr>
        <w:t>d</w:t>
      </w:r>
      <w:r>
        <w:rPr>
          <w:lang w:val="sr-Latn-ME"/>
        </w:rPr>
        <w:t>no balansiranim sastavom radne grupe se ne podrazumijeva situacija kada su na primjer sv</w:t>
      </w:r>
      <w:r w:rsidR="007E432B">
        <w:rPr>
          <w:lang w:val="sr-Latn-ME"/>
        </w:rPr>
        <w:t>e članice radne grupe ženskog pola</w:t>
      </w:r>
      <w:r w:rsidR="00537747">
        <w:rPr>
          <w:lang w:val="sr-Latn-ME"/>
        </w:rPr>
        <w:t>. Izbalansiranost bi podrazumijevala da</w:t>
      </w:r>
      <w:r w:rsidR="003E625F">
        <w:rPr>
          <w:lang w:val="sr-Latn-ME"/>
        </w:rPr>
        <w:t xml:space="preserve"> je manje zastupljen pol prisutan najmanje 40%, koji god to pol bio. </w:t>
      </w:r>
    </w:p>
    <w:p w14:paraId="772A5A4F" w14:textId="5883F05B" w:rsidR="003E625F" w:rsidRPr="00495A7D" w:rsidRDefault="003E625F" w:rsidP="00AC2C9A">
      <w:pPr>
        <w:jc w:val="both"/>
        <w:rPr>
          <w:lang w:val="sr-Latn-ME"/>
        </w:rPr>
      </w:pPr>
      <w:r>
        <w:rPr>
          <w:lang w:val="sr-Latn-ME"/>
        </w:rPr>
        <w:t>Većina strateških dokumenata ne sadrži informacije o sastavu</w:t>
      </w:r>
      <w:r w:rsidR="007A16A2">
        <w:rPr>
          <w:lang w:val="sr-Latn-ME"/>
        </w:rPr>
        <w:t xml:space="preserve"> radne grupe koja je pripremala strateški dokument</w:t>
      </w:r>
      <w:r w:rsidR="003161A1">
        <w:rPr>
          <w:lang w:val="sr-Latn-ME"/>
        </w:rPr>
        <w:t xml:space="preserve">. Da bi se procijenili ovi kriterijumi Generalni sekretarijat Vlade </w:t>
      </w:r>
      <w:r w:rsidR="00755304">
        <w:rPr>
          <w:lang w:val="sr-Latn-ME"/>
        </w:rPr>
        <w:t xml:space="preserve">bi trebalo da preporuči da informacije o procesu pripreme strateškog dokumenta, uključujući i sastav radne grupe, te </w:t>
      </w:r>
      <w:r w:rsidR="00495A7D">
        <w:rPr>
          <w:lang w:val="sr-Latn-ME"/>
        </w:rPr>
        <w:t>imena konsultantkinja</w:t>
      </w:r>
      <w:r w:rsidR="00495A7D">
        <w:t xml:space="preserve">/konsultanata budu </w:t>
      </w:r>
      <w:r w:rsidR="00495A7D">
        <w:rPr>
          <w:lang w:val="sr-Latn-ME"/>
        </w:rPr>
        <w:t xml:space="preserve">sastavni dio dokumenta. Ova preporuka bi pored </w:t>
      </w:r>
      <w:r w:rsidR="00EB58EC">
        <w:rPr>
          <w:lang w:val="sr-Latn-ME"/>
        </w:rPr>
        <w:t>važnosti za procjenu orodnjenosti imala korisnost i u smislu povećanja</w:t>
      </w:r>
      <w:r w:rsidR="00FD1C2A">
        <w:rPr>
          <w:lang w:val="sr-Latn-ME"/>
        </w:rPr>
        <w:t xml:space="preserve"> lične</w:t>
      </w:r>
      <w:r w:rsidR="00EB58EC">
        <w:rPr>
          <w:lang w:val="sr-Latn-ME"/>
        </w:rPr>
        <w:t xml:space="preserve"> odgovornosti </w:t>
      </w:r>
      <w:r w:rsidR="00FD1C2A">
        <w:rPr>
          <w:lang w:val="sr-Latn-ME"/>
        </w:rPr>
        <w:t xml:space="preserve">u procesu strateškog planiranja. </w:t>
      </w:r>
    </w:p>
    <w:tbl>
      <w:tblPr>
        <w:tblStyle w:val="GridTable1Light-Accent1"/>
        <w:tblW w:w="5000" w:type="pct"/>
        <w:tblLook w:val="04A0" w:firstRow="1" w:lastRow="0" w:firstColumn="1" w:lastColumn="0" w:noHBand="0" w:noVBand="1"/>
      </w:tblPr>
      <w:tblGrid>
        <w:gridCol w:w="530"/>
        <w:gridCol w:w="4569"/>
        <w:gridCol w:w="1206"/>
        <w:gridCol w:w="1263"/>
        <w:gridCol w:w="1782"/>
      </w:tblGrid>
      <w:tr w:rsidR="00FA552F" w:rsidRPr="00AC67F2" w14:paraId="4BD59B06" w14:textId="77777777" w:rsidTr="00E109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 w:type="pct"/>
            <w:shd w:val="clear" w:color="auto" w:fill="B4C6E7" w:themeFill="accent1" w:themeFillTint="66"/>
          </w:tcPr>
          <w:p w14:paraId="22AA924E" w14:textId="77777777" w:rsidR="00FA552F" w:rsidRPr="00AC67F2" w:rsidRDefault="00FA552F" w:rsidP="002559F4">
            <w:pPr>
              <w:rPr>
                <w:rFonts w:cstheme="minorHAnsi"/>
                <w:lang w:val="sr-Latn-ME"/>
              </w:rPr>
            </w:pPr>
            <w:r w:rsidRPr="00AC67F2">
              <w:rPr>
                <w:rFonts w:cstheme="minorHAnsi"/>
                <w:lang w:val="sr-Latn-ME"/>
              </w:rPr>
              <w:t>Br.</w:t>
            </w:r>
          </w:p>
        </w:tc>
        <w:tc>
          <w:tcPr>
            <w:tcW w:w="2473" w:type="pct"/>
            <w:shd w:val="clear" w:color="auto" w:fill="B4C6E7" w:themeFill="accent1" w:themeFillTint="66"/>
          </w:tcPr>
          <w:p w14:paraId="04BB8E69" w14:textId="77777777" w:rsidR="00FA552F" w:rsidRPr="00AC67F2" w:rsidRDefault="00FA552F"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75" w:type="pct"/>
            <w:shd w:val="clear" w:color="auto" w:fill="B4C6E7" w:themeFill="accent1" w:themeFillTint="66"/>
          </w:tcPr>
          <w:p w14:paraId="2A52FDFB" w14:textId="77777777" w:rsidR="00FA552F" w:rsidRPr="00AC67F2" w:rsidRDefault="00FA552F"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555" w:type="pct"/>
            <w:shd w:val="clear" w:color="auto" w:fill="B4C6E7" w:themeFill="accent1" w:themeFillTint="66"/>
          </w:tcPr>
          <w:p w14:paraId="4CE643A0" w14:textId="77777777" w:rsidR="00FA552F" w:rsidRPr="009148DB" w:rsidRDefault="00FA552F"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83" w:type="pct"/>
            <w:shd w:val="clear" w:color="auto" w:fill="B4C6E7" w:themeFill="accent1" w:themeFillTint="66"/>
          </w:tcPr>
          <w:p w14:paraId="38BD28DE" w14:textId="77777777" w:rsidR="00FA552F" w:rsidRPr="00AC67F2" w:rsidRDefault="00FA552F"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FA552F" w:rsidRPr="00AC67F2" w14:paraId="67F90F6C"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5CA90EDE" w14:textId="77777777" w:rsidR="00FA552F" w:rsidRPr="00AC67F2" w:rsidRDefault="00FA552F" w:rsidP="002559F4">
            <w:pPr>
              <w:rPr>
                <w:rFonts w:cstheme="minorHAnsi"/>
                <w:lang w:val="sr-Latn-ME"/>
              </w:rPr>
            </w:pPr>
            <w:r w:rsidRPr="00AC67F2">
              <w:rPr>
                <w:rFonts w:cstheme="minorHAnsi"/>
                <w:lang w:val="sr-Latn-ME"/>
              </w:rPr>
              <w:t>1</w:t>
            </w:r>
            <w:r>
              <w:rPr>
                <w:rFonts w:cstheme="minorHAnsi"/>
                <w:lang w:val="sr-Latn-ME"/>
              </w:rPr>
              <w:t>.1</w:t>
            </w:r>
          </w:p>
        </w:tc>
        <w:tc>
          <w:tcPr>
            <w:tcW w:w="2473" w:type="pct"/>
          </w:tcPr>
          <w:p w14:paraId="5CAC44BF" w14:textId="77777777" w:rsidR="00FA552F" w:rsidRPr="00DA659B" w:rsidRDefault="00FA552F"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57D63504" w14:textId="77777777" w:rsidR="00FA552F" w:rsidRPr="00AC67F2" w:rsidRDefault="00FA552F"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75" w:type="pct"/>
          </w:tcPr>
          <w:p w14:paraId="4FBCCE4B" w14:textId="77777777" w:rsidR="00FA552F" w:rsidRPr="00AC67F2" w:rsidRDefault="00FA552F"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1942E60B" w14:textId="467DAE31" w:rsidR="00FA552F" w:rsidRPr="00AC67F2" w:rsidRDefault="00FA552F"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983" w:type="pct"/>
          </w:tcPr>
          <w:p w14:paraId="368002D2" w14:textId="008D4431" w:rsidR="00FA552F" w:rsidRPr="00A545D6" w:rsidRDefault="00FA552F"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FA552F" w:rsidRPr="00AC67F2" w14:paraId="7C4E13BA"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58D199F8" w14:textId="77777777" w:rsidR="00FA552F" w:rsidRPr="00AC67F2" w:rsidRDefault="00FA552F" w:rsidP="002559F4">
            <w:pPr>
              <w:rPr>
                <w:rFonts w:cstheme="minorHAnsi"/>
                <w:lang w:val="sr-Latn-ME"/>
              </w:rPr>
            </w:pPr>
            <w:r>
              <w:rPr>
                <w:rFonts w:cstheme="minorHAnsi"/>
                <w:lang w:val="sr-Latn-ME"/>
              </w:rPr>
              <w:t>1.2</w:t>
            </w:r>
          </w:p>
        </w:tc>
        <w:tc>
          <w:tcPr>
            <w:tcW w:w="2473" w:type="pct"/>
          </w:tcPr>
          <w:p w14:paraId="7C0CA2F8" w14:textId="3A667387" w:rsidR="00FA552F" w:rsidRDefault="00FA552F"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w:t>
            </w:r>
            <w:r w:rsidR="00A825D2">
              <w:rPr>
                <w:rFonts w:cstheme="minorHAnsi"/>
                <w:lang w:val="sr-Latn-ME"/>
              </w:rPr>
              <w:t>?</w:t>
            </w:r>
          </w:p>
          <w:p w14:paraId="0BD5092B" w14:textId="77777777" w:rsidR="00FA552F" w:rsidRPr="00AC67F2" w:rsidRDefault="00FA552F"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75" w:type="pct"/>
          </w:tcPr>
          <w:p w14:paraId="06CD80E1" w14:textId="77777777" w:rsidR="00FA552F" w:rsidRPr="00AC67F2" w:rsidRDefault="00FA552F"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14D5EB71" w14:textId="6709E303" w:rsidR="00FA552F" w:rsidRPr="00AC67F2" w:rsidRDefault="00FA552F"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983" w:type="pct"/>
          </w:tcPr>
          <w:p w14:paraId="6DB60E43" w14:textId="5E9075F3" w:rsidR="00FA552F" w:rsidRPr="00A545D6" w:rsidRDefault="00FA552F"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FA552F" w:rsidRPr="00AC67F2" w14:paraId="621388B4" w14:textId="77777777" w:rsidTr="002559F4">
        <w:tc>
          <w:tcPr>
            <w:cnfStyle w:val="001000000000" w:firstRow="0" w:lastRow="0" w:firstColumn="1" w:lastColumn="0" w:oddVBand="0" w:evenVBand="0" w:oddHBand="0" w:evenHBand="0" w:firstRowFirstColumn="0" w:firstRowLastColumn="0" w:lastRowFirstColumn="0" w:lastRowLastColumn="0"/>
            <w:tcW w:w="2787" w:type="pct"/>
            <w:gridSpan w:val="2"/>
          </w:tcPr>
          <w:p w14:paraId="5A57BC48" w14:textId="77777777" w:rsidR="00FA552F" w:rsidRPr="00AC67F2" w:rsidRDefault="00FA552F" w:rsidP="002559F4">
            <w:pPr>
              <w:rPr>
                <w:rFonts w:cstheme="minorHAnsi"/>
                <w:lang w:val="sr-Latn-ME"/>
              </w:rPr>
            </w:pPr>
            <w:r>
              <w:rPr>
                <w:rFonts w:cstheme="minorHAnsi"/>
                <w:lang w:val="sr-Latn-ME"/>
              </w:rPr>
              <w:t>Ukupno</w:t>
            </w:r>
          </w:p>
        </w:tc>
        <w:tc>
          <w:tcPr>
            <w:tcW w:w="675" w:type="pct"/>
          </w:tcPr>
          <w:p w14:paraId="72DEFDC8" w14:textId="77777777" w:rsidR="00FA552F" w:rsidRPr="00AC67F2" w:rsidRDefault="00FA552F"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6FBAC383" w14:textId="77777777" w:rsidR="00FA552F" w:rsidRPr="00527B8F" w:rsidRDefault="00FA552F"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83" w:type="pct"/>
          </w:tcPr>
          <w:p w14:paraId="6AEB5B1E" w14:textId="128E4E4B" w:rsidR="00FA552F" w:rsidRPr="008C09CD" w:rsidRDefault="00FA552F"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p>
        </w:tc>
      </w:tr>
    </w:tbl>
    <w:p w14:paraId="0D0562C3" w14:textId="77777777" w:rsidR="00FA552F" w:rsidRDefault="00FA552F" w:rsidP="00AC2C9A">
      <w:pPr>
        <w:jc w:val="both"/>
        <w:rPr>
          <w:lang w:val="sr-Latn-ME"/>
        </w:rPr>
      </w:pPr>
    </w:p>
    <w:p w14:paraId="0993817C" w14:textId="553F4837" w:rsidR="00E80CB0" w:rsidRDefault="00531F46" w:rsidP="00C90161">
      <w:pPr>
        <w:jc w:val="both"/>
        <w:rPr>
          <w:lang w:val="sr-Latn-ME"/>
        </w:rPr>
      </w:pPr>
      <w:r w:rsidRPr="00E109D2">
        <w:rPr>
          <w:b/>
          <w:bCs/>
          <w:lang w:val="sr-Latn-ME"/>
        </w:rPr>
        <w:lastRenderedPageBreak/>
        <w:t>Drugi dio instrumenta</w:t>
      </w:r>
      <w:r>
        <w:rPr>
          <w:lang w:val="sr-Latn-ME"/>
        </w:rPr>
        <w:t xml:space="preserve"> odnosi se na sadržaj konkretne javne politike koja se ocjenjuje. On sadrži </w:t>
      </w:r>
      <w:r w:rsidR="00486FFD">
        <w:rPr>
          <w:lang w:val="sr-Latn-ME"/>
        </w:rPr>
        <w:t xml:space="preserve">osam </w:t>
      </w:r>
      <w:r>
        <w:rPr>
          <w:lang w:val="sr-Latn-ME"/>
        </w:rPr>
        <w:t>kriterijuma</w:t>
      </w:r>
      <w:r w:rsidR="004A31FD">
        <w:rPr>
          <w:lang w:val="sr-Latn-ME"/>
        </w:rPr>
        <w:t xml:space="preserve"> koji </w:t>
      </w:r>
      <w:r w:rsidR="00211119">
        <w:rPr>
          <w:lang w:val="sr-Latn-ME"/>
        </w:rPr>
        <w:t xml:space="preserve">se odnose na implementaciju rodne perspektive u sve elemente strateškog plana – od analize stanja do </w:t>
      </w:r>
      <w:r w:rsidR="00955C42">
        <w:rPr>
          <w:lang w:val="sr-Latn-ME"/>
        </w:rPr>
        <w:t>postavljanja ciljeva i adekvatnih mjera</w:t>
      </w:r>
      <w:r w:rsidR="00E80CB0">
        <w:rPr>
          <w:lang w:val="sr-Latn-ME"/>
        </w:rPr>
        <w:t xml:space="preserve">. Velika pažnja je posvećena pravilnoj upotrebi rodno disagregiranih podataka. Naime, analizom postojećih strateških dokumenata primijećeno je da se rodno disagregirani podaci koriste na neodgovarajući, praktično mehanički način. Najčešće, autori i autorke strateških dokumenata u dijelu analize stanja </w:t>
      </w:r>
      <w:r w:rsidR="00450CA4">
        <w:rPr>
          <w:lang w:val="sr-Latn-ME"/>
        </w:rPr>
        <w:t xml:space="preserve">navedu sve rodno disagregirane podatke koji su dostupni u oblasti planiranja međutim, </w:t>
      </w:r>
      <w:r w:rsidR="005E51E1">
        <w:rPr>
          <w:lang w:val="sr-Latn-ME"/>
        </w:rPr>
        <w:t xml:space="preserve">razlike koje se mogu uočiti kroz te podatke se kasnije ne analiziraju </w:t>
      </w:r>
      <w:r w:rsidR="002718D3">
        <w:rPr>
          <w:lang w:val="sr-Latn-ME"/>
        </w:rPr>
        <w:t>na način da se uoče uzroci nejednakosti</w:t>
      </w:r>
      <w:r w:rsidR="00163B02">
        <w:rPr>
          <w:lang w:val="sr-Latn-ME"/>
        </w:rPr>
        <w:t xml:space="preserve"> koj</w:t>
      </w:r>
      <w:r w:rsidR="00C90161">
        <w:rPr>
          <w:lang w:val="sr-Latn-ME"/>
        </w:rPr>
        <w:t>e</w:t>
      </w:r>
      <w:r w:rsidR="00163B02">
        <w:rPr>
          <w:lang w:val="sr-Latn-ME"/>
        </w:rPr>
        <w:t xml:space="preserve"> bi </w:t>
      </w:r>
      <w:r w:rsidR="00C90161">
        <w:rPr>
          <w:lang w:val="sr-Latn-ME"/>
        </w:rPr>
        <w:t xml:space="preserve">se kasnije rješavale kroz postavljanje adekvatnih rodno senzitivnih ciljeva i mjera. </w:t>
      </w:r>
    </w:p>
    <w:p w14:paraId="009CD482" w14:textId="01105845" w:rsidR="0056537D" w:rsidRDefault="0056537D" w:rsidP="00C90161">
      <w:pPr>
        <w:jc w:val="both"/>
        <w:rPr>
          <w:lang w:val="sr-Latn-ME"/>
        </w:rPr>
      </w:pPr>
      <w:r>
        <w:rPr>
          <w:lang w:val="sr-Latn-ME"/>
        </w:rPr>
        <w:t xml:space="preserve">Pored toga, važan element orodnjenosti koji često izostaje je adekvatno budžetsko planiranje </w:t>
      </w:r>
      <w:r w:rsidR="00894110">
        <w:rPr>
          <w:lang w:val="sr-Latn-ME"/>
        </w:rPr>
        <w:t xml:space="preserve">za realizaciju mjera koje bi trebalo da riješe ili umanje strateškim planom uočene nejednakosti. Posljednji kriterijum iz ovog dijela odnosi se na </w:t>
      </w:r>
      <w:r w:rsidR="004E1103">
        <w:rPr>
          <w:lang w:val="sr-Latn-ME"/>
        </w:rPr>
        <w:t xml:space="preserve">korišćenje rodno odgovornog jezika. Pod tim se ne podrazumijeva veoma česta praksa da se u uvodu dokumenta nađe rečenica da se svi izrazi u muškom rodu istovremeno odnose i na ženski rod. Rodno senzitivan jezik podrazumijeva ispravno i dosljedno korišćenje izraza u muškom i ženskom rodu. </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9C2B79" w:rsidRPr="00AC67F2" w14:paraId="08F0EE24" w14:textId="77777777" w:rsidTr="009C2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7CB63932" w14:textId="77777777" w:rsidR="009C2B79" w:rsidRPr="00AC67F2" w:rsidRDefault="009C2B79"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75BD322A" w14:textId="77777777" w:rsidR="009C2B79" w:rsidRPr="00AC67F2" w:rsidRDefault="009C2B7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763A70F6" w14:textId="77777777" w:rsidR="009C2B79" w:rsidRPr="00AC67F2" w:rsidRDefault="009C2B7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3B0C8960" w14:textId="77777777" w:rsidR="009C2B79" w:rsidRPr="00AC67F2" w:rsidRDefault="009C2B7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6AFEF307" w14:textId="77777777" w:rsidR="009C2B79" w:rsidRPr="00AC67F2" w:rsidRDefault="009C2B7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51BE3480" w14:textId="77777777" w:rsidR="009C2B79" w:rsidRPr="00AC67F2" w:rsidRDefault="009C2B7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9C2B79" w:rsidRPr="00AC67F2" w14:paraId="129A9FB3"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DEC942D" w14:textId="77777777" w:rsidR="009C2B79" w:rsidRPr="00AC67F2" w:rsidRDefault="009C2B79"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17FD4590" w14:textId="77777777" w:rsidR="009C2B79" w:rsidRPr="00AC67F2" w:rsidRDefault="009C2B7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6A62562A" w14:textId="244A7185"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59907394"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15AEEB4E"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285D072" w14:textId="77777777" w:rsidR="009C2B79" w:rsidRPr="00AC67F2" w:rsidRDefault="009C2B7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r>
      <w:tr w:rsidR="009C2B79" w:rsidRPr="00AC67F2" w14:paraId="0CE52898"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0ED5A49" w14:textId="77777777" w:rsidR="009C2B79" w:rsidRPr="00AC67F2" w:rsidRDefault="009C2B79" w:rsidP="002559F4">
            <w:pPr>
              <w:rPr>
                <w:rFonts w:cstheme="minorHAnsi"/>
                <w:lang w:val="sr-Latn-ME"/>
              </w:rPr>
            </w:pPr>
            <w:r>
              <w:rPr>
                <w:rFonts w:cstheme="minorHAnsi"/>
                <w:lang w:val="sr-Latn-ME"/>
              </w:rPr>
              <w:t>2.2</w:t>
            </w:r>
          </w:p>
        </w:tc>
        <w:tc>
          <w:tcPr>
            <w:tcW w:w="3856" w:type="dxa"/>
          </w:tcPr>
          <w:p w14:paraId="3CAD8E91" w14:textId="77777777" w:rsidR="009C2B79" w:rsidRPr="00AC67F2" w:rsidRDefault="009C2B7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tcPr>
          <w:p w14:paraId="694327AA"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5055A08A" w14:textId="56F1B443"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7FFCAAAA"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B2C487A" w14:textId="77777777" w:rsidR="009C2B79" w:rsidRPr="00AC67F2" w:rsidRDefault="009C2B7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r>
      <w:tr w:rsidR="009C2B79" w:rsidRPr="00AC67F2" w14:paraId="62F9C192"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4E531281" w14:textId="77777777" w:rsidR="009C2B79" w:rsidRDefault="009C2B79" w:rsidP="002559F4">
            <w:pPr>
              <w:rPr>
                <w:rFonts w:cstheme="minorHAnsi"/>
                <w:lang w:val="sr-Latn-ME"/>
              </w:rPr>
            </w:pPr>
            <w:r>
              <w:rPr>
                <w:rFonts w:cstheme="minorHAnsi"/>
                <w:lang w:val="sr-Latn-ME"/>
              </w:rPr>
              <w:t>2.3</w:t>
            </w:r>
          </w:p>
        </w:tc>
        <w:tc>
          <w:tcPr>
            <w:tcW w:w="3856" w:type="dxa"/>
          </w:tcPr>
          <w:p w14:paraId="63F9BD0C" w14:textId="77777777" w:rsidR="009C2B79" w:rsidRDefault="009C2B7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tcPr>
          <w:p w14:paraId="7ED65B8F"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008373DD" w14:textId="119D49FB"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4E00A2F3"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097830EE" w14:textId="77777777" w:rsidR="009C2B79" w:rsidRPr="00AC67F2" w:rsidRDefault="009C2B7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r>
      <w:tr w:rsidR="009C2B79" w:rsidRPr="00AC67F2" w14:paraId="15E0ADC9"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283F733" w14:textId="77777777" w:rsidR="009C2B79" w:rsidRPr="00AC67F2" w:rsidRDefault="009C2B79" w:rsidP="002559F4">
            <w:pPr>
              <w:rPr>
                <w:rFonts w:cstheme="minorHAnsi"/>
                <w:lang w:val="sr-Latn-ME"/>
              </w:rPr>
            </w:pPr>
            <w:r>
              <w:rPr>
                <w:rFonts w:cstheme="minorHAnsi"/>
                <w:lang w:val="sr-Latn-ME"/>
              </w:rPr>
              <w:t>2.4</w:t>
            </w:r>
          </w:p>
        </w:tc>
        <w:tc>
          <w:tcPr>
            <w:tcW w:w="3856" w:type="dxa"/>
          </w:tcPr>
          <w:p w14:paraId="3BAF2E5A" w14:textId="77777777" w:rsidR="009C2B79" w:rsidRPr="00AC67F2" w:rsidRDefault="009C2B7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tcPr>
          <w:p w14:paraId="4A920FD5"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60762FC0" w14:textId="5A2BDB4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3112BCA1"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6DB4B33" w14:textId="77777777" w:rsidR="009C2B79" w:rsidRPr="00AC67F2" w:rsidRDefault="009C2B7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r>
      <w:tr w:rsidR="009C2B79" w:rsidRPr="00AC67F2" w14:paraId="4013381D"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777ABB8" w14:textId="77777777" w:rsidR="009C2B79" w:rsidRDefault="009C2B79" w:rsidP="002559F4">
            <w:pPr>
              <w:rPr>
                <w:rFonts w:cstheme="minorHAnsi"/>
                <w:lang w:val="sr-Latn-ME"/>
              </w:rPr>
            </w:pPr>
            <w:r>
              <w:rPr>
                <w:rFonts w:cstheme="minorHAnsi"/>
                <w:lang w:val="sr-Latn-ME"/>
              </w:rPr>
              <w:t>2.5</w:t>
            </w:r>
          </w:p>
        </w:tc>
        <w:tc>
          <w:tcPr>
            <w:tcW w:w="3856" w:type="dxa"/>
          </w:tcPr>
          <w:p w14:paraId="7503986B" w14:textId="77777777" w:rsidR="009C2B79" w:rsidRPr="00AC67F2" w:rsidRDefault="009C2B7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25FB3443"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3110BDB1" w14:textId="5F881C5E"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6A49F07C"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19BC64D" w14:textId="77777777" w:rsidR="009C2B79" w:rsidRPr="00AC67F2" w:rsidRDefault="009C2B7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r>
      <w:tr w:rsidR="009C2B79" w:rsidRPr="00AC67F2" w14:paraId="37C742B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C5C7698" w14:textId="77777777" w:rsidR="009C2B79" w:rsidRPr="00AC67F2" w:rsidRDefault="009C2B79" w:rsidP="002559F4">
            <w:pPr>
              <w:rPr>
                <w:rFonts w:cstheme="minorHAnsi"/>
                <w:lang w:val="sr-Latn-ME"/>
              </w:rPr>
            </w:pPr>
            <w:r>
              <w:rPr>
                <w:rFonts w:cstheme="minorHAnsi"/>
                <w:lang w:val="sr-Latn-ME"/>
              </w:rPr>
              <w:t>2.6</w:t>
            </w:r>
          </w:p>
        </w:tc>
        <w:tc>
          <w:tcPr>
            <w:tcW w:w="3856" w:type="dxa"/>
          </w:tcPr>
          <w:p w14:paraId="423E78B0" w14:textId="77777777" w:rsidR="009C2B79" w:rsidRPr="00AC67F2" w:rsidRDefault="009C2B7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tcPr>
          <w:p w14:paraId="71A8DF1C"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768439F1" w14:textId="03B5195E"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49AFCDA8"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87190A7" w14:textId="77777777" w:rsidR="009C2B79" w:rsidRPr="00AC67F2" w:rsidRDefault="009C2B7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r>
      <w:tr w:rsidR="009C2B79" w:rsidRPr="00AC67F2" w14:paraId="3B8B996E"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2573D9F" w14:textId="77777777" w:rsidR="009C2B79" w:rsidRDefault="009C2B79" w:rsidP="002559F4">
            <w:pPr>
              <w:rPr>
                <w:rFonts w:cstheme="minorHAnsi"/>
                <w:lang w:val="sr-Latn-ME"/>
              </w:rPr>
            </w:pPr>
            <w:r>
              <w:rPr>
                <w:rFonts w:cstheme="minorHAnsi"/>
                <w:lang w:val="sr-Latn-ME"/>
              </w:rPr>
              <w:t>2.7</w:t>
            </w:r>
          </w:p>
        </w:tc>
        <w:tc>
          <w:tcPr>
            <w:tcW w:w="3856" w:type="dxa"/>
          </w:tcPr>
          <w:p w14:paraId="17E3E01F" w14:textId="1116EE5C" w:rsidR="009C2B79" w:rsidRDefault="00E6200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1C19B358" w14:textId="33D3D559"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210205A5"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659F5A23"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D51F0B2" w14:textId="559AEF1B" w:rsidR="009C2B79" w:rsidRPr="00D92CDD" w:rsidRDefault="009C2B7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9C2B79" w:rsidRPr="00AC67F2" w14:paraId="30585CE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589F6B6" w14:textId="77C2546C" w:rsidR="009C2B79" w:rsidRPr="00AC67F2" w:rsidRDefault="009C2B79" w:rsidP="002559F4">
            <w:pPr>
              <w:rPr>
                <w:rFonts w:cstheme="minorHAnsi"/>
                <w:lang w:val="sr-Latn-ME"/>
              </w:rPr>
            </w:pPr>
            <w:r>
              <w:rPr>
                <w:rFonts w:cstheme="minorHAnsi"/>
                <w:lang w:val="sr-Latn-ME"/>
              </w:rPr>
              <w:lastRenderedPageBreak/>
              <w:t>2.</w:t>
            </w:r>
            <w:r w:rsidR="001D36EA">
              <w:rPr>
                <w:rFonts w:cstheme="minorHAnsi"/>
                <w:lang w:val="sr-Latn-ME"/>
              </w:rPr>
              <w:t>8</w:t>
            </w:r>
          </w:p>
        </w:tc>
        <w:tc>
          <w:tcPr>
            <w:tcW w:w="3856" w:type="dxa"/>
          </w:tcPr>
          <w:p w14:paraId="48CA9795" w14:textId="77777777" w:rsidR="009C2B79" w:rsidRDefault="009C2B79"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1F260586" w14:textId="77777777" w:rsidR="009C2B79" w:rsidRPr="005C2773" w:rsidRDefault="009C2B79"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10AEA9B8"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17B1A8A0" w14:textId="60AC7871"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159EBF1F"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0616B632" w14:textId="77777777" w:rsidR="009C2B79" w:rsidRPr="00AC67F2" w:rsidRDefault="009C2B7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r>
      <w:tr w:rsidR="009C2B79" w:rsidRPr="00AC67F2" w14:paraId="4EB4EA99"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48F0E15C" w14:textId="77777777" w:rsidR="009C2B79" w:rsidRPr="00AC67F2" w:rsidRDefault="009C2B79" w:rsidP="002559F4">
            <w:pPr>
              <w:rPr>
                <w:rFonts w:cstheme="minorHAnsi"/>
                <w:lang w:val="sr-Latn-ME" w:eastAsia="en-GB"/>
              </w:rPr>
            </w:pPr>
            <w:r>
              <w:rPr>
                <w:rFonts w:cstheme="minorHAnsi"/>
                <w:lang w:val="sr-Latn-ME"/>
              </w:rPr>
              <w:t>Ukupno</w:t>
            </w:r>
          </w:p>
        </w:tc>
        <w:tc>
          <w:tcPr>
            <w:tcW w:w="747" w:type="dxa"/>
          </w:tcPr>
          <w:p w14:paraId="5C025F49"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620E5DB1" w14:textId="77777777" w:rsidR="009C2B79" w:rsidRPr="00527B8F"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5C2D37E6" w14:textId="77777777" w:rsidR="009C2B79" w:rsidRPr="00AC67F2" w:rsidRDefault="009C2B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4DC66246" w14:textId="53958155" w:rsidR="009C2B79" w:rsidRPr="00E72E03" w:rsidRDefault="009C2B79"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p>
        </w:tc>
      </w:tr>
    </w:tbl>
    <w:p w14:paraId="3BC52EBF" w14:textId="77777777" w:rsidR="009C2B79" w:rsidRDefault="009C2B79" w:rsidP="00C90161">
      <w:pPr>
        <w:jc w:val="both"/>
        <w:rPr>
          <w:lang w:val="sr-Latn-ME"/>
        </w:rPr>
      </w:pPr>
    </w:p>
    <w:p w14:paraId="6EE4782A" w14:textId="704D3CC8" w:rsidR="0002651E" w:rsidRDefault="00F0483C" w:rsidP="00E109D2">
      <w:pPr>
        <w:jc w:val="both"/>
        <w:rPr>
          <w:rFonts w:cstheme="minorHAnsi"/>
          <w:lang w:val="sr-Latn-ME"/>
        </w:rPr>
      </w:pPr>
      <w:r w:rsidRPr="00E109D2">
        <w:rPr>
          <w:rFonts w:cstheme="minorHAnsi"/>
          <w:lang w:val="sr-Latn-ME"/>
        </w:rPr>
        <w:t>Posljednji</w:t>
      </w:r>
      <w:r w:rsidR="002559F4">
        <w:rPr>
          <w:rFonts w:cstheme="minorHAnsi"/>
          <w:lang w:val="sr-Latn-ME"/>
        </w:rPr>
        <w:t>,</w:t>
      </w:r>
      <w:r w:rsidR="00E109D2" w:rsidRPr="00E109D2">
        <w:rPr>
          <w:rFonts w:cstheme="minorHAnsi"/>
          <w:b/>
          <w:bCs/>
          <w:lang w:val="sr-Latn-ME"/>
        </w:rPr>
        <w:t xml:space="preserve"> treći</w:t>
      </w:r>
      <w:r w:rsidRPr="00E109D2">
        <w:rPr>
          <w:rFonts w:cstheme="minorHAnsi"/>
          <w:b/>
          <w:bCs/>
          <w:lang w:val="sr-Latn-ME"/>
        </w:rPr>
        <w:t xml:space="preserve"> dio instrumenta</w:t>
      </w:r>
      <w:r>
        <w:rPr>
          <w:rFonts w:cstheme="minorHAnsi"/>
          <w:lang w:val="sr-Latn-ME"/>
        </w:rPr>
        <w:t xml:space="preserve"> odnosi se na </w:t>
      </w:r>
      <w:r w:rsidR="00632815">
        <w:rPr>
          <w:rFonts w:cstheme="minorHAnsi"/>
          <w:lang w:val="sr-Latn-ME"/>
        </w:rPr>
        <w:t>okvir za praćenje i evaluaciju strateškog dokumenta. Dosljedno orodnjen dokument sadrži indikatore koji</w:t>
      </w:r>
      <w:r w:rsidR="00E109D2">
        <w:rPr>
          <w:rFonts w:cstheme="minorHAnsi"/>
          <w:lang w:val="sr-Latn-ME"/>
        </w:rPr>
        <w:t xml:space="preserve"> će ispratiti promjene u dijelu rješavanja uočenih nejednakosti. </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C5336A" w:rsidRPr="00AC67F2" w14:paraId="6C9471FB" w14:textId="77777777" w:rsidTr="00C533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5D5F6A68" w14:textId="77777777" w:rsidR="00C5336A" w:rsidRPr="00AC67F2" w:rsidRDefault="00C5336A"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3081F033" w14:textId="77777777" w:rsidR="00C5336A" w:rsidRPr="00AC67F2" w:rsidRDefault="00C5336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03E894E5" w14:textId="77777777" w:rsidR="00C5336A" w:rsidRPr="00AC67F2" w:rsidRDefault="00C5336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0CA4C9CB" w14:textId="77777777" w:rsidR="00C5336A" w:rsidRPr="00AC67F2" w:rsidRDefault="00C5336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28DE37DB" w14:textId="24FFA4E9" w:rsidR="00C5336A" w:rsidRPr="00AC67F2" w:rsidRDefault="003B32EB"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70118E7E" w14:textId="77777777" w:rsidR="00C5336A" w:rsidRPr="00AC67F2" w:rsidRDefault="00C5336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C5336A" w:rsidRPr="00AC67F2" w14:paraId="56FF8E04"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5E58DEB" w14:textId="77777777" w:rsidR="00C5336A" w:rsidRPr="00AC67F2" w:rsidRDefault="00C5336A" w:rsidP="002559F4">
            <w:pPr>
              <w:rPr>
                <w:rFonts w:cstheme="minorHAnsi"/>
                <w:lang w:val="sr-Latn-ME"/>
              </w:rPr>
            </w:pPr>
            <w:r>
              <w:rPr>
                <w:rFonts w:cstheme="minorHAnsi"/>
                <w:lang w:val="sr-Latn-ME"/>
              </w:rPr>
              <w:t>3.1</w:t>
            </w:r>
          </w:p>
        </w:tc>
        <w:tc>
          <w:tcPr>
            <w:tcW w:w="3908" w:type="dxa"/>
          </w:tcPr>
          <w:p w14:paraId="22821ADC" w14:textId="77777777" w:rsidR="00C5336A" w:rsidRPr="00AC67F2" w:rsidRDefault="00C5336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744D1D05" w14:textId="77777777" w:rsidR="00C5336A" w:rsidRPr="00AC67F2" w:rsidRDefault="00C5336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D5F445F" w14:textId="6611857F" w:rsidR="00C5336A" w:rsidRPr="00AC67F2" w:rsidRDefault="00C5336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tcPr>
          <w:p w14:paraId="5ACEDE94" w14:textId="77777777" w:rsidR="00C5336A" w:rsidRPr="00AC67F2" w:rsidRDefault="00C5336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4D3DCD73" w14:textId="77777777" w:rsidR="00C5336A" w:rsidRPr="00AC67F2" w:rsidRDefault="00C5336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r>
    </w:tbl>
    <w:p w14:paraId="3B86E86C" w14:textId="77777777" w:rsidR="00C5336A" w:rsidRDefault="00C5336A" w:rsidP="00E109D2">
      <w:pPr>
        <w:jc w:val="both"/>
        <w:rPr>
          <w:rFonts w:cstheme="minorHAnsi"/>
          <w:lang w:val="sr-Latn-ME"/>
        </w:rPr>
      </w:pPr>
    </w:p>
    <w:p w14:paraId="66EEA0EE" w14:textId="77777777" w:rsidR="00A11649" w:rsidRDefault="00A11649" w:rsidP="00234104">
      <w:pPr>
        <w:pStyle w:val="Heading2"/>
        <w:rPr>
          <w:lang w:val="sr-Latn-ME"/>
        </w:rPr>
      </w:pPr>
    </w:p>
    <w:p w14:paraId="45A9604D" w14:textId="4749ABB6" w:rsidR="00A82FCF" w:rsidRDefault="00A82FCF" w:rsidP="00234104">
      <w:pPr>
        <w:pStyle w:val="Heading2"/>
        <w:rPr>
          <w:lang w:val="sr-Latn-ME"/>
        </w:rPr>
      </w:pPr>
      <w:bookmarkStart w:id="5" w:name="_Toc100339527"/>
      <w:r>
        <w:rPr>
          <w:lang w:val="sr-Latn-ME"/>
        </w:rPr>
        <w:t>Računanje nivoa orodnjenosti</w:t>
      </w:r>
      <w:r w:rsidR="002559F4">
        <w:rPr>
          <w:lang w:val="sr-Latn-ME"/>
        </w:rPr>
        <w:t xml:space="preserve"> strategija</w:t>
      </w:r>
      <w:bookmarkEnd w:id="5"/>
    </w:p>
    <w:p w14:paraId="3F637E3C" w14:textId="77777777" w:rsidR="00A11649" w:rsidRPr="00A11649" w:rsidRDefault="00A11649" w:rsidP="00A11649"/>
    <w:p w14:paraId="6BB03E3A" w14:textId="39EB24F6" w:rsidR="00D630AD" w:rsidRDefault="002A3766" w:rsidP="00AC2C9A">
      <w:pPr>
        <w:jc w:val="both"/>
        <w:rPr>
          <w:lang w:val="sr-Latn-ME"/>
        </w:rPr>
      </w:pPr>
      <w:r>
        <w:rPr>
          <w:lang w:val="sr-Latn-ME"/>
        </w:rPr>
        <w:t>Instrument sadrži pravila za kvantifikaciju nivoa orodnjenosti. Naime s</w:t>
      </w:r>
      <w:r w:rsidR="00AC2C9A">
        <w:rPr>
          <w:lang w:val="sr-Latn-ME"/>
        </w:rPr>
        <w:t xml:space="preserve">vaki </w:t>
      </w:r>
      <w:r>
        <w:rPr>
          <w:lang w:val="sr-Latn-ME"/>
        </w:rPr>
        <w:t xml:space="preserve">od ukupno </w:t>
      </w:r>
      <w:r w:rsidR="00D630AD">
        <w:rPr>
          <w:lang w:val="sr-Latn-ME"/>
        </w:rPr>
        <w:t>1</w:t>
      </w:r>
      <w:r w:rsidR="00486FFD">
        <w:rPr>
          <w:lang w:val="sr-Latn-ME"/>
        </w:rPr>
        <w:t>1</w:t>
      </w:r>
      <w:r w:rsidR="00D630AD">
        <w:rPr>
          <w:lang w:val="sr-Latn-ME"/>
        </w:rPr>
        <w:t xml:space="preserve"> </w:t>
      </w:r>
      <w:r w:rsidR="00AC2C9A">
        <w:rPr>
          <w:lang w:val="sr-Latn-ME"/>
        </w:rPr>
        <w:t>kriterijum</w:t>
      </w:r>
      <w:r w:rsidR="00D630AD">
        <w:rPr>
          <w:lang w:val="sr-Latn-ME"/>
        </w:rPr>
        <w:t>a</w:t>
      </w:r>
      <w:r w:rsidR="00AC2C9A">
        <w:rPr>
          <w:lang w:val="sr-Latn-ME"/>
        </w:rPr>
        <w:t xml:space="preserve"> vredn</w:t>
      </w:r>
      <w:r w:rsidR="00D630AD">
        <w:rPr>
          <w:lang w:val="sr-Latn-ME"/>
        </w:rPr>
        <w:t>uje</w:t>
      </w:r>
      <w:r w:rsidR="00AC2C9A">
        <w:rPr>
          <w:lang w:val="sr-Latn-ME"/>
        </w:rPr>
        <w:t xml:space="preserve"> </w:t>
      </w:r>
      <w:r w:rsidR="00D630AD">
        <w:rPr>
          <w:lang w:val="sr-Latn-ME"/>
        </w:rPr>
        <w:t>se</w:t>
      </w:r>
      <w:r w:rsidR="00AC2C9A">
        <w:rPr>
          <w:lang w:val="sr-Latn-ME"/>
        </w:rPr>
        <w:t xml:space="preserve"> </w:t>
      </w:r>
      <w:r w:rsidR="00D630AD">
        <w:rPr>
          <w:lang w:val="sr-Latn-ME"/>
        </w:rPr>
        <w:t xml:space="preserve">maksimalno </w:t>
      </w:r>
      <w:r w:rsidR="00AC2C9A">
        <w:rPr>
          <w:lang w:val="sr-Latn-ME"/>
        </w:rPr>
        <w:t>jednim bodom</w:t>
      </w:r>
      <w:r w:rsidR="00D630AD">
        <w:rPr>
          <w:lang w:val="sr-Latn-ME"/>
        </w:rPr>
        <w:t>. Evaluator</w:t>
      </w:r>
      <w:r w:rsidR="0090320C">
        <w:rPr>
          <w:lang w:val="sr-Latn-ME"/>
        </w:rPr>
        <w:t>/ka</w:t>
      </w:r>
      <w:r w:rsidR="00D630AD">
        <w:rPr>
          <w:lang w:val="sr-Latn-ME"/>
        </w:rPr>
        <w:t xml:space="preserve"> može konkretnom </w:t>
      </w:r>
      <w:r w:rsidR="0090320C">
        <w:rPr>
          <w:lang w:val="sr-Latn-ME"/>
        </w:rPr>
        <w:t xml:space="preserve">kriterijumu dodijeliti i manje, npr. pola boda u situaciji u kojoj procijeni da je kriterijum samo djelimično ispunjen ili nula bodova ukoliko uopšte nije ispunjen. </w:t>
      </w:r>
    </w:p>
    <w:p w14:paraId="45CB4B9B" w14:textId="77777777" w:rsidR="00486FFD" w:rsidRDefault="009C2B79" w:rsidP="00AC2C9A">
      <w:pPr>
        <w:jc w:val="both"/>
        <w:rPr>
          <w:lang w:val="sr-Latn-ME"/>
        </w:rPr>
      </w:pPr>
      <w:r>
        <w:rPr>
          <w:lang w:val="sr-Latn-ME"/>
        </w:rPr>
        <w:t xml:space="preserve">Ukoliko </w:t>
      </w:r>
      <w:r w:rsidR="003B32EB">
        <w:rPr>
          <w:lang w:val="sr-Latn-ME"/>
        </w:rPr>
        <w:t xml:space="preserve">za određeni strateški dokument orodnjavanje </w:t>
      </w:r>
      <w:r w:rsidR="007632C8">
        <w:rPr>
          <w:lang w:val="sr-Latn-ME"/>
        </w:rPr>
        <w:t>po nekom kriterijumu nije relevantno, onda se on ne uzima u obzir u ukupnom obračunu</w:t>
      </w:r>
      <w:r w:rsidR="00953385">
        <w:rPr>
          <w:lang w:val="sr-Latn-ME"/>
        </w:rPr>
        <w:t>, tako da se i total mijenja</w:t>
      </w:r>
      <w:r w:rsidR="007632C8">
        <w:rPr>
          <w:lang w:val="sr-Latn-ME"/>
        </w:rPr>
        <w:t>. U toj situaciji, evaluator</w:t>
      </w:r>
      <w:r w:rsidR="007632C8">
        <w:t xml:space="preserve">/ka </w:t>
      </w:r>
      <w:r w:rsidR="007632C8">
        <w:rPr>
          <w:lang w:val="sr-Latn-ME"/>
        </w:rPr>
        <w:t>je obavezan</w:t>
      </w:r>
      <w:r w:rsidR="007632C8">
        <w:t>/a</w:t>
      </w:r>
      <w:r w:rsidR="007632C8">
        <w:rPr>
          <w:lang w:val="sr-Latn-ME"/>
        </w:rPr>
        <w:t xml:space="preserve"> da </w:t>
      </w:r>
      <w:r w:rsidR="00C92F7A">
        <w:rPr>
          <w:lang w:val="sr-Latn-ME"/>
        </w:rPr>
        <w:t xml:space="preserve">na kraju evaluacije pruži obrazloženje zašto konkretan kriterijum nije rodno relevantan. </w:t>
      </w:r>
    </w:p>
    <w:p w14:paraId="780A3F5B" w14:textId="023BA8E7" w:rsidR="00C92F7A" w:rsidRPr="007632C8" w:rsidRDefault="00486FFD" w:rsidP="00AC2C9A">
      <w:pPr>
        <w:jc w:val="both"/>
        <w:rPr>
          <w:lang w:val="sr-Latn-ME"/>
        </w:rPr>
      </w:pPr>
      <w:r>
        <w:rPr>
          <w:lang w:val="sr-Latn-ME"/>
        </w:rPr>
        <w:t>Prvi korak podrazumijeva da se utvrdi koji broj indikatora je relavantan za konkretnu politiku, drugi da se po tim indikatorima izvrši bodovanje i na kraju izračuna procjena.</w:t>
      </w:r>
    </w:p>
    <w:p w14:paraId="0D70868C" w14:textId="4E3F0DE1" w:rsidR="00486FFD" w:rsidRDefault="0090320C" w:rsidP="00C92F7A">
      <w:pPr>
        <w:jc w:val="both"/>
        <w:rPr>
          <w:lang w:val="sr-Latn-ME"/>
        </w:rPr>
      </w:pPr>
      <w:r>
        <w:rPr>
          <w:lang w:val="sr-Latn-ME"/>
        </w:rPr>
        <w:t xml:space="preserve">Nakon </w:t>
      </w:r>
      <w:r w:rsidR="009C2B79">
        <w:rPr>
          <w:lang w:val="sr-Latn-ME"/>
        </w:rPr>
        <w:t xml:space="preserve">bodovanja svakog kriterijuma, </w:t>
      </w:r>
      <w:r w:rsidR="00C92F7A">
        <w:rPr>
          <w:lang w:val="sr-Latn-ME"/>
        </w:rPr>
        <w:t xml:space="preserve">bodovi se sabiraju i dijele sa ukupnim brojem relevantnih kriterijuma </w:t>
      </w:r>
      <w:r w:rsidR="00AC2C9A">
        <w:rPr>
          <w:lang w:val="sr-Latn-ME"/>
        </w:rPr>
        <w:t xml:space="preserve">bi se dobila </w:t>
      </w:r>
      <w:r w:rsidR="00AC2C9A" w:rsidRPr="00C92F7A">
        <w:rPr>
          <w:b/>
          <w:bCs/>
          <w:lang w:val="sr-Latn-ME"/>
        </w:rPr>
        <w:t>procjena orodnjenosti</w:t>
      </w:r>
      <w:r w:rsidR="00AC2C9A">
        <w:rPr>
          <w:lang w:val="sr-Latn-ME"/>
        </w:rPr>
        <w:t xml:space="preserve">. Procjena orodnjenosti </w:t>
      </w:r>
      <w:r w:rsidR="00C92F7A">
        <w:rPr>
          <w:lang w:val="sr-Latn-ME"/>
        </w:rPr>
        <w:t xml:space="preserve">može imati </w:t>
      </w:r>
      <w:r w:rsidR="00AC2C9A">
        <w:rPr>
          <w:lang w:val="sr-Latn-ME"/>
        </w:rPr>
        <w:t xml:space="preserve">vrijednosti na skali od 0 do 1. </w:t>
      </w:r>
      <w:r w:rsidR="00486FFD">
        <w:rPr>
          <w:lang w:val="sr-Latn-ME"/>
        </w:rPr>
        <w:t xml:space="preserve">Na primjer, strateški </w:t>
      </w:r>
      <w:r w:rsidR="00AC2C9A">
        <w:rPr>
          <w:lang w:val="sr-Latn-ME"/>
        </w:rPr>
        <w:t>dokument će se smatrati u potpunosti orodnjen</w:t>
      </w:r>
      <w:r w:rsidR="00223A5D">
        <w:rPr>
          <w:lang w:val="sr-Latn-ME"/>
        </w:rPr>
        <w:t>i</w:t>
      </w:r>
      <w:r w:rsidR="00AC2C9A">
        <w:rPr>
          <w:lang w:val="sr-Latn-ME"/>
        </w:rPr>
        <w:t xml:space="preserve">m ukoliko dobije pozitivnu ocjenu na najmanje 9 </w:t>
      </w:r>
      <w:r w:rsidR="00486FFD">
        <w:rPr>
          <w:lang w:val="sr-Latn-ME"/>
        </w:rPr>
        <w:t xml:space="preserve">od 11 </w:t>
      </w:r>
      <w:r w:rsidR="00AC2C9A">
        <w:rPr>
          <w:lang w:val="sr-Latn-ME"/>
        </w:rPr>
        <w:t xml:space="preserve">kriterijuma i na taj način ostvari </w:t>
      </w:r>
      <w:r w:rsidR="00223A5D">
        <w:rPr>
          <w:lang w:val="sr-Latn-ME"/>
        </w:rPr>
        <w:t xml:space="preserve">ukupan broj poena </w:t>
      </w:r>
      <w:r w:rsidR="00AC2C9A">
        <w:rPr>
          <w:lang w:val="sr-Latn-ME"/>
        </w:rPr>
        <w:t>i</w:t>
      </w:r>
      <w:r w:rsidR="00227611">
        <w:rPr>
          <w:lang w:val="sr-Latn-ME"/>
        </w:rPr>
        <w:t>zmeđu 0.76</w:t>
      </w:r>
      <w:r w:rsidR="00AC2C9A">
        <w:rPr>
          <w:lang w:val="sr-Latn-ME"/>
        </w:rPr>
        <w:t xml:space="preserve"> i 1. </w:t>
      </w:r>
      <w:r w:rsidR="00486FFD">
        <w:rPr>
          <w:lang w:val="sr-Latn-ME"/>
        </w:rPr>
        <w:t xml:space="preserve">Takođe, smatraće se potpuno orodnjenim ako, na primjer, dobije pozitivnu ocjenu na 7 od 8 relevantnih indikatora. </w:t>
      </w:r>
      <w:r w:rsidR="00AC2C9A">
        <w:rPr>
          <w:lang w:val="sr-Latn-ME"/>
        </w:rPr>
        <w:t>Politika je uglavnom orodnjena ukoliko dobije ocjenu i</w:t>
      </w:r>
      <w:r w:rsidR="00227611">
        <w:rPr>
          <w:lang w:val="sr-Latn-ME"/>
        </w:rPr>
        <w:t>zmeđu 0.51 i 0.75</w:t>
      </w:r>
      <w:r w:rsidR="00AC2C9A">
        <w:rPr>
          <w:lang w:val="sr-Latn-ME"/>
        </w:rPr>
        <w:t xml:space="preserve">, uglavnom nije orodnjena </w:t>
      </w:r>
      <w:r w:rsidR="00C92F7A">
        <w:rPr>
          <w:lang w:val="sr-Latn-ME"/>
        </w:rPr>
        <w:t xml:space="preserve">ako je ocijenjena </w:t>
      </w:r>
      <w:r w:rsidR="00227611">
        <w:rPr>
          <w:lang w:val="sr-Latn-ME"/>
        </w:rPr>
        <w:t>između 0.26 i 0.5</w:t>
      </w:r>
      <w:r w:rsidR="00AC2C9A">
        <w:rPr>
          <w:lang w:val="sr-Latn-ME"/>
        </w:rPr>
        <w:t>, a uopšte ni</w:t>
      </w:r>
      <w:r w:rsidR="00227611">
        <w:rPr>
          <w:lang w:val="sr-Latn-ME"/>
        </w:rPr>
        <w:t>je orodnjena ako ima ocjenu 0.25</w:t>
      </w:r>
      <w:r w:rsidR="00AC2C9A">
        <w:rPr>
          <w:lang w:val="sr-Latn-ME"/>
        </w:rPr>
        <w:t xml:space="preserve"> ili nižu. </w:t>
      </w:r>
    </w:p>
    <w:tbl>
      <w:tblPr>
        <w:tblStyle w:val="GridTable1Light-Accent5"/>
        <w:tblW w:w="0" w:type="auto"/>
        <w:tblLook w:val="04A0" w:firstRow="1" w:lastRow="0" w:firstColumn="1" w:lastColumn="0" w:noHBand="0" w:noVBand="1"/>
      </w:tblPr>
      <w:tblGrid>
        <w:gridCol w:w="2695"/>
        <w:gridCol w:w="5130"/>
        <w:gridCol w:w="1525"/>
      </w:tblGrid>
      <w:tr w:rsidR="00AC2C9A" w:rsidRPr="00587059" w14:paraId="11A1B8B6" w14:textId="77777777" w:rsidTr="00587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B4C6E7" w:themeFill="accent1" w:themeFillTint="66"/>
          </w:tcPr>
          <w:p w14:paraId="487D4A20" w14:textId="77777777" w:rsidR="00AC2C9A" w:rsidRPr="00587059" w:rsidRDefault="00AC2C9A" w:rsidP="002559F4">
            <w:pPr>
              <w:rPr>
                <w:b w:val="0"/>
                <w:bCs w:val="0"/>
                <w:lang w:val="sr-Latn-ME"/>
              </w:rPr>
            </w:pPr>
            <w:r w:rsidRPr="00587059">
              <w:rPr>
                <w:b w:val="0"/>
                <w:bCs w:val="0"/>
                <w:lang w:val="sr-Latn-ME"/>
              </w:rPr>
              <w:lastRenderedPageBreak/>
              <w:t>Skor</w:t>
            </w:r>
          </w:p>
        </w:tc>
        <w:tc>
          <w:tcPr>
            <w:tcW w:w="5130" w:type="dxa"/>
            <w:shd w:val="clear" w:color="auto" w:fill="B4C6E7" w:themeFill="accent1" w:themeFillTint="66"/>
          </w:tcPr>
          <w:p w14:paraId="09917C3A" w14:textId="77777777" w:rsidR="00AC2C9A" w:rsidRPr="00587059" w:rsidRDefault="00AC2C9A" w:rsidP="002559F4">
            <w:pPr>
              <w:cnfStyle w:val="100000000000" w:firstRow="1" w:lastRow="0" w:firstColumn="0" w:lastColumn="0" w:oddVBand="0" w:evenVBand="0" w:oddHBand="0" w:evenHBand="0" w:firstRowFirstColumn="0" w:firstRowLastColumn="0" w:lastRowFirstColumn="0" w:lastRowLastColumn="0"/>
              <w:rPr>
                <w:b w:val="0"/>
                <w:bCs w:val="0"/>
                <w:lang w:val="sr-Latn-ME"/>
              </w:rPr>
            </w:pPr>
            <w:r w:rsidRPr="00587059">
              <w:rPr>
                <w:b w:val="0"/>
                <w:bCs w:val="0"/>
                <w:lang w:val="sr-Latn-ME"/>
              </w:rPr>
              <w:t>Opis</w:t>
            </w:r>
          </w:p>
        </w:tc>
        <w:tc>
          <w:tcPr>
            <w:tcW w:w="1525" w:type="dxa"/>
            <w:shd w:val="clear" w:color="auto" w:fill="B4C6E7" w:themeFill="accent1" w:themeFillTint="66"/>
          </w:tcPr>
          <w:p w14:paraId="2D57854D" w14:textId="77777777" w:rsidR="00AC2C9A" w:rsidRPr="00587059" w:rsidRDefault="00AC2C9A" w:rsidP="002559F4">
            <w:pPr>
              <w:cnfStyle w:val="100000000000" w:firstRow="1" w:lastRow="0" w:firstColumn="0" w:lastColumn="0" w:oddVBand="0" w:evenVBand="0" w:oddHBand="0" w:evenHBand="0" w:firstRowFirstColumn="0" w:firstRowLastColumn="0" w:lastRowFirstColumn="0" w:lastRowLastColumn="0"/>
              <w:rPr>
                <w:b w:val="0"/>
                <w:bCs w:val="0"/>
                <w:lang w:val="sr-Latn-ME"/>
              </w:rPr>
            </w:pPr>
          </w:p>
        </w:tc>
      </w:tr>
      <w:tr w:rsidR="00AC2C9A" w14:paraId="6FC45BB2" w14:textId="77777777" w:rsidTr="00587059">
        <w:tc>
          <w:tcPr>
            <w:cnfStyle w:val="001000000000" w:firstRow="0" w:lastRow="0" w:firstColumn="1" w:lastColumn="0" w:oddVBand="0" w:evenVBand="0" w:oddHBand="0" w:evenHBand="0" w:firstRowFirstColumn="0" w:firstRowLastColumn="0" w:lastRowFirstColumn="0" w:lastRowLastColumn="0"/>
            <w:tcW w:w="2695" w:type="dxa"/>
          </w:tcPr>
          <w:p w14:paraId="0437DA83" w14:textId="4F6F3D36" w:rsidR="00AC2C9A" w:rsidRDefault="00AC2C9A" w:rsidP="002559F4">
            <w:pPr>
              <w:jc w:val="right"/>
              <w:rPr>
                <w:lang w:val="sr-Latn-ME"/>
              </w:rPr>
            </w:pPr>
            <w:r>
              <w:rPr>
                <w:lang w:val="sr-Latn-ME"/>
              </w:rPr>
              <w:t>0-0.</w:t>
            </w:r>
            <w:r w:rsidR="00970F02">
              <w:rPr>
                <w:lang w:val="sr-Latn-ME"/>
              </w:rPr>
              <w:t>25</w:t>
            </w:r>
          </w:p>
        </w:tc>
        <w:tc>
          <w:tcPr>
            <w:tcW w:w="5130" w:type="dxa"/>
          </w:tcPr>
          <w:p w14:paraId="6DC69680" w14:textId="77777777" w:rsidR="00AC2C9A" w:rsidRDefault="00AC2C9A" w:rsidP="002559F4">
            <w:pPr>
              <w:jc w:val="right"/>
              <w:cnfStyle w:val="000000000000" w:firstRow="0" w:lastRow="0" w:firstColumn="0" w:lastColumn="0" w:oddVBand="0" w:evenVBand="0" w:oddHBand="0" w:evenHBand="0" w:firstRowFirstColumn="0" w:firstRowLastColumn="0" w:lastRowFirstColumn="0" w:lastRowLastColumn="0"/>
              <w:rPr>
                <w:lang w:val="sr-Latn-ME"/>
              </w:rPr>
            </w:pPr>
            <w:r>
              <w:rPr>
                <w:lang w:val="sr-Latn-ME"/>
              </w:rPr>
              <w:t>Uopšte nije orodnjena politika</w:t>
            </w:r>
          </w:p>
        </w:tc>
        <w:tc>
          <w:tcPr>
            <w:tcW w:w="1525" w:type="dxa"/>
            <w:shd w:val="clear" w:color="auto" w:fill="FF0000"/>
          </w:tcPr>
          <w:p w14:paraId="76888E34" w14:textId="77777777" w:rsidR="00AC2C9A" w:rsidRDefault="00AC2C9A" w:rsidP="002559F4">
            <w:pPr>
              <w:cnfStyle w:val="000000000000" w:firstRow="0" w:lastRow="0" w:firstColumn="0" w:lastColumn="0" w:oddVBand="0" w:evenVBand="0" w:oddHBand="0" w:evenHBand="0" w:firstRowFirstColumn="0" w:firstRowLastColumn="0" w:lastRowFirstColumn="0" w:lastRowLastColumn="0"/>
              <w:rPr>
                <w:lang w:val="sr-Latn-ME"/>
              </w:rPr>
            </w:pPr>
          </w:p>
        </w:tc>
      </w:tr>
      <w:tr w:rsidR="00AC2C9A" w14:paraId="660E62F7" w14:textId="77777777" w:rsidTr="00587059">
        <w:tc>
          <w:tcPr>
            <w:cnfStyle w:val="001000000000" w:firstRow="0" w:lastRow="0" w:firstColumn="1" w:lastColumn="0" w:oddVBand="0" w:evenVBand="0" w:oddHBand="0" w:evenHBand="0" w:firstRowFirstColumn="0" w:firstRowLastColumn="0" w:lastRowFirstColumn="0" w:lastRowLastColumn="0"/>
            <w:tcW w:w="2695" w:type="dxa"/>
          </w:tcPr>
          <w:p w14:paraId="5AFEB0C7" w14:textId="52BFE785" w:rsidR="00AC2C9A" w:rsidRDefault="00AC2C9A" w:rsidP="002559F4">
            <w:pPr>
              <w:jc w:val="right"/>
              <w:rPr>
                <w:lang w:val="sr-Latn-ME"/>
              </w:rPr>
            </w:pPr>
            <w:r>
              <w:rPr>
                <w:lang w:val="sr-Latn-ME"/>
              </w:rPr>
              <w:t>0.</w:t>
            </w:r>
            <w:r w:rsidR="00970F02">
              <w:rPr>
                <w:lang w:val="sr-Latn-ME"/>
              </w:rPr>
              <w:t>26</w:t>
            </w:r>
            <w:r>
              <w:rPr>
                <w:lang w:val="sr-Latn-ME"/>
              </w:rPr>
              <w:t>-0.</w:t>
            </w:r>
            <w:r w:rsidR="00970F02">
              <w:rPr>
                <w:lang w:val="sr-Latn-ME"/>
              </w:rPr>
              <w:t>5</w:t>
            </w:r>
          </w:p>
        </w:tc>
        <w:tc>
          <w:tcPr>
            <w:tcW w:w="5130" w:type="dxa"/>
          </w:tcPr>
          <w:p w14:paraId="77D09888" w14:textId="77777777" w:rsidR="00AC2C9A" w:rsidRDefault="00AC2C9A" w:rsidP="002559F4">
            <w:pPr>
              <w:jc w:val="right"/>
              <w:cnfStyle w:val="000000000000" w:firstRow="0" w:lastRow="0" w:firstColumn="0" w:lastColumn="0" w:oddVBand="0" w:evenVBand="0" w:oddHBand="0" w:evenHBand="0" w:firstRowFirstColumn="0" w:firstRowLastColumn="0" w:lastRowFirstColumn="0" w:lastRowLastColumn="0"/>
              <w:rPr>
                <w:lang w:val="sr-Latn-ME"/>
              </w:rPr>
            </w:pPr>
            <w:r>
              <w:rPr>
                <w:lang w:val="sr-Latn-ME"/>
              </w:rPr>
              <w:t>Politika uglavnom nije orodnjena</w:t>
            </w:r>
          </w:p>
        </w:tc>
        <w:tc>
          <w:tcPr>
            <w:tcW w:w="1525" w:type="dxa"/>
            <w:shd w:val="clear" w:color="auto" w:fill="FFC000"/>
          </w:tcPr>
          <w:p w14:paraId="18789C3C" w14:textId="77777777" w:rsidR="00AC2C9A" w:rsidRDefault="00AC2C9A" w:rsidP="002559F4">
            <w:pPr>
              <w:cnfStyle w:val="000000000000" w:firstRow="0" w:lastRow="0" w:firstColumn="0" w:lastColumn="0" w:oddVBand="0" w:evenVBand="0" w:oddHBand="0" w:evenHBand="0" w:firstRowFirstColumn="0" w:firstRowLastColumn="0" w:lastRowFirstColumn="0" w:lastRowLastColumn="0"/>
              <w:rPr>
                <w:lang w:val="sr-Latn-ME"/>
              </w:rPr>
            </w:pPr>
          </w:p>
        </w:tc>
      </w:tr>
      <w:tr w:rsidR="00AC2C9A" w14:paraId="0D158EE5" w14:textId="77777777" w:rsidTr="00587059">
        <w:tc>
          <w:tcPr>
            <w:cnfStyle w:val="001000000000" w:firstRow="0" w:lastRow="0" w:firstColumn="1" w:lastColumn="0" w:oddVBand="0" w:evenVBand="0" w:oddHBand="0" w:evenHBand="0" w:firstRowFirstColumn="0" w:firstRowLastColumn="0" w:lastRowFirstColumn="0" w:lastRowLastColumn="0"/>
            <w:tcW w:w="2695" w:type="dxa"/>
          </w:tcPr>
          <w:p w14:paraId="50F78E46" w14:textId="302661DF" w:rsidR="00AC2C9A" w:rsidRDefault="00AC2C9A" w:rsidP="002559F4">
            <w:pPr>
              <w:jc w:val="right"/>
              <w:rPr>
                <w:lang w:val="sr-Latn-ME"/>
              </w:rPr>
            </w:pPr>
            <w:r>
              <w:rPr>
                <w:lang w:val="sr-Latn-ME"/>
              </w:rPr>
              <w:t>0.</w:t>
            </w:r>
            <w:r w:rsidR="00970F02">
              <w:rPr>
                <w:lang w:val="sr-Latn-ME"/>
              </w:rPr>
              <w:t>51</w:t>
            </w:r>
            <w:r>
              <w:rPr>
                <w:lang w:val="sr-Latn-ME"/>
              </w:rPr>
              <w:t>-0.</w:t>
            </w:r>
            <w:r w:rsidR="005327EF">
              <w:rPr>
                <w:lang w:val="sr-Latn-ME"/>
              </w:rPr>
              <w:t>75</w:t>
            </w:r>
          </w:p>
        </w:tc>
        <w:tc>
          <w:tcPr>
            <w:tcW w:w="5130" w:type="dxa"/>
          </w:tcPr>
          <w:p w14:paraId="4419E686" w14:textId="77777777" w:rsidR="00AC2C9A" w:rsidRDefault="00AC2C9A" w:rsidP="002559F4">
            <w:pPr>
              <w:jc w:val="right"/>
              <w:cnfStyle w:val="000000000000" w:firstRow="0" w:lastRow="0" w:firstColumn="0" w:lastColumn="0" w:oddVBand="0" w:evenVBand="0" w:oddHBand="0" w:evenHBand="0" w:firstRowFirstColumn="0" w:firstRowLastColumn="0" w:lastRowFirstColumn="0" w:lastRowLastColumn="0"/>
              <w:rPr>
                <w:lang w:val="sr-Latn-ME"/>
              </w:rPr>
            </w:pPr>
            <w:r>
              <w:rPr>
                <w:lang w:val="sr-Latn-ME"/>
              </w:rPr>
              <w:t>Politika je uglavnom orodnjena</w:t>
            </w:r>
          </w:p>
        </w:tc>
        <w:tc>
          <w:tcPr>
            <w:tcW w:w="1525" w:type="dxa"/>
            <w:shd w:val="clear" w:color="auto" w:fill="92D050"/>
          </w:tcPr>
          <w:p w14:paraId="30AD8D61" w14:textId="77777777" w:rsidR="00AC2C9A" w:rsidRDefault="00AC2C9A" w:rsidP="002559F4">
            <w:pPr>
              <w:cnfStyle w:val="000000000000" w:firstRow="0" w:lastRow="0" w:firstColumn="0" w:lastColumn="0" w:oddVBand="0" w:evenVBand="0" w:oddHBand="0" w:evenHBand="0" w:firstRowFirstColumn="0" w:firstRowLastColumn="0" w:lastRowFirstColumn="0" w:lastRowLastColumn="0"/>
              <w:rPr>
                <w:lang w:val="sr-Latn-ME"/>
              </w:rPr>
            </w:pPr>
          </w:p>
        </w:tc>
      </w:tr>
      <w:tr w:rsidR="00AC2C9A" w14:paraId="5EB0B615" w14:textId="77777777" w:rsidTr="00587059">
        <w:tc>
          <w:tcPr>
            <w:cnfStyle w:val="001000000000" w:firstRow="0" w:lastRow="0" w:firstColumn="1" w:lastColumn="0" w:oddVBand="0" w:evenVBand="0" w:oddHBand="0" w:evenHBand="0" w:firstRowFirstColumn="0" w:firstRowLastColumn="0" w:lastRowFirstColumn="0" w:lastRowLastColumn="0"/>
            <w:tcW w:w="2695" w:type="dxa"/>
          </w:tcPr>
          <w:p w14:paraId="0F1793B4" w14:textId="77F5F567" w:rsidR="00AC2C9A" w:rsidRDefault="00AC2C9A" w:rsidP="002559F4">
            <w:pPr>
              <w:jc w:val="right"/>
              <w:rPr>
                <w:lang w:val="sr-Latn-ME"/>
              </w:rPr>
            </w:pPr>
            <w:r>
              <w:rPr>
                <w:lang w:val="sr-Latn-ME"/>
              </w:rPr>
              <w:t>0.</w:t>
            </w:r>
            <w:r w:rsidR="005327EF">
              <w:rPr>
                <w:lang w:val="sr-Latn-ME"/>
              </w:rPr>
              <w:t>76</w:t>
            </w:r>
            <w:r>
              <w:rPr>
                <w:lang w:val="sr-Latn-ME"/>
              </w:rPr>
              <w:t>-1</w:t>
            </w:r>
          </w:p>
        </w:tc>
        <w:tc>
          <w:tcPr>
            <w:tcW w:w="5130" w:type="dxa"/>
          </w:tcPr>
          <w:p w14:paraId="168A0FD3" w14:textId="77777777" w:rsidR="00AC2C9A" w:rsidRDefault="00AC2C9A" w:rsidP="002559F4">
            <w:pPr>
              <w:jc w:val="right"/>
              <w:cnfStyle w:val="000000000000" w:firstRow="0" w:lastRow="0" w:firstColumn="0" w:lastColumn="0" w:oddVBand="0" w:evenVBand="0" w:oddHBand="0" w:evenHBand="0" w:firstRowFirstColumn="0" w:firstRowLastColumn="0" w:lastRowFirstColumn="0" w:lastRowLastColumn="0"/>
              <w:rPr>
                <w:lang w:val="sr-Latn-ME"/>
              </w:rPr>
            </w:pPr>
            <w:r>
              <w:rPr>
                <w:lang w:val="sr-Latn-ME"/>
              </w:rPr>
              <w:t>Politika je u potpunosti orodnjena</w:t>
            </w:r>
          </w:p>
        </w:tc>
        <w:tc>
          <w:tcPr>
            <w:tcW w:w="1525" w:type="dxa"/>
            <w:shd w:val="clear" w:color="auto" w:fill="00B050"/>
          </w:tcPr>
          <w:p w14:paraId="498DC44E" w14:textId="77777777" w:rsidR="00AC2C9A" w:rsidRDefault="00AC2C9A" w:rsidP="002559F4">
            <w:pPr>
              <w:cnfStyle w:val="000000000000" w:firstRow="0" w:lastRow="0" w:firstColumn="0" w:lastColumn="0" w:oddVBand="0" w:evenVBand="0" w:oddHBand="0" w:evenHBand="0" w:firstRowFirstColumn="0" w:firstRowLastColumn="0" w:lastRowFirstColumn="0" w:lastRowLastColumn="0"/>
              <w:rPr>
                <w:lang w:val="sr-Latn-ME"/>
              </w:rPr>
            </w:pPr>
          </w:p>
        </w:tc>
      </w:tr>
    </w:tbl>
    <w:p w14:paraId="3C4623FD" w14:textId="77777777" w:rsidR="00AC2C9A" w:rsidRDefault="00AC2C9A" w:rsidP="00AC2C9A">
      <w:pPr>
        <w:rPr>
          <w:lang w:val="sr-Latn-ME"/>
        </w:rPr>
      </w:pPr>
    </w:p>
    <w:p w14:paraId="15847B58" w14:textId="77777777" w:rsidR="002559F4" w:rsidRDefault="002559F4" w:rsidP="00234104">
      <w:pPr>
        <w:pStyle w:val="Heading2"/>
        <w:rPr>
          <w:noProof/>
          <w:lang w:val="hr-HR"/>
        </w:rPr>
      </w:pPr>
    </w:p>
    <w:p w14:paraId="6BA0C232" w14:textId="77777777" w:rsidR="00A11649" w:rsidRPr="00A11649" w:rsidRDefault="00A11649" w:rsidP="00A11649"/>
    <w:p w14:paraId="167CA81A" w14:textId="77777777" w:rsidR="002559F4" w:rsidRDefault="002559F4" w:rsidP="00234104">
      <w:pPr>
        <w:pStyle w:val="Heading2"/>
        <w:rPr>
          <w:noProof/>
          <w:lang w:val="hr-HR"/>
        </w:rPr>
      </w:pPr>
    </w:p>
    <w:p w14:paraId="7DE23EF4" w14:textId="4124F9C1" w:rsidR="00587059" w:rsidRDefault="004B685A" w:rsidP="00234104">
      <w:pPr>
        <w:pStyle w:val="Heading2"/>
        <w:rPr>
          <w:noProof/>
          <w:lang w:val="hr-HR"/>
        </w:rPr>
      </w:pPr>
      <w:bookmarkStart w:id="6" w:name="_Toc100339528"/>
      <w:r>
        <w:rPr>
          <w:noProof/>
          <w:lang w:val="hr-HR"/>
        </w:rPr>
        <w:t xml:space="preserve">II </w:t>
      </w:r>
      <w:r w:rsidR="002559F4">
        <w:rPr>
          <w:noProof/>
          <w:lang w:val="hr-HR"/>
        </w:rPr>
        <w:t xml:space="preserve">Model informativnog pregleda </w:t>
      </w:r>
      <w:r w:rsidR="002559F4" w:rsidRPr="002559F4">
        <w:rPr>
          <w:rFonts w:eastAsia="Times New Roman"/>
        </w:rPr>
        <w:t>sa ugrađenom komponentom za procjenu orodnjenosti</w:t>
      </w:r>
      <w:r w:rsidR="002559F4" w:rsidRPr="002559F4">
        <w:t>, za potrebe ex-ante analize orodnjenosti zakona</w:t>
      </w:r>
      <w:bookmarkEnd w:id="6"/>
    </w:p>
    <w:p w14:paraId="54B74DDE" w14:textId="77777777" w:rsidR="002559F4" w:rsidRDefault="002559F4" w:rsidP="002559F4">
      <w:pPr>
        <w:spacing w:line="276" w:lineRule="auto"/>
        <w:jc w:val="both"/>
        <w:rPr>
          <w:b/>
        </w:rPr>
      </w:pPr>
    </w:p>
    <w:p w14:paraId="1BBD1FF0" w14:textId="6BE79268" w:rsidR="004B685A" w:rsidRDefault="00E42C13" w:rsidP="002559F4">
      <w:pPr>
        <w:spacing w:line="276" w:lineRule="auto"/>
        <w:jc w:val="both"/>
        <w:rPr>
          <w:rFonts w:eastAsia="Times New Roman"/>
        </w:rPr>
      </w:pPr>
      <w:r>
        <w:t>Na zahtjev Odbora za rodnu ravnopravnost Skupštine Crne Gore, urađen je model Informativnog pregleda</w:t>
      </w:r>
      <w:r w:rsidR="004B685A">
        <w:t xml:space="preserve"> sa ugrađenom komponentom za procjenu orodnjenosti. </w:t>
      </w:r>
      <w:r w:rsidR="002559F4">
        <w:t xml:space="preserve">Prilikom izrade ovog modela, ekspertkinje su se u najvećem dijelu rukovodile postojećom </w:t>
      </w:r>
      <w:r w:rsidR="002559F4">
        <w:rPr>
          <w:rFonts w:eastAsia="Times New Roman"/>
        </w:rPr>
        <w:t>publikacijom Kancelarije OEBS-a za demokratiju i ljudska prava</w:t>
      </w:r>
      <w:r w:rsidR="002559F4">
        <w:t xml:space="preserve"> "</w:t>
      </w:r>
      <w:r w:rsidR="002559F4" w:rsidRPr="007C6514">
        <w:rPr>
          <w:rFonts w:eastAsia="Times New Roman"/>
        </w:rPr>
        <w:t>Zakoni za žene i za muškarce: Praktični vodič za rodno-senzitivno zakonodavstvo</w:t>
      </w:r>
      <w:r w:rsidR="002559F4">
        <w:rPr>
          <w:rFonts w:eastAsia="Times New Roman"/>
        </w:rPr>
        <w:t xml:space="preserve">", tako što su djelovi ove publikacije koji se odnose </w:t>
      </w:r>
      <w:r w:rsidR="009E6CEE">
        <w:rPr>
          <w:rFonts w:eastAsia="Times New Roman"/>
        </w:rPr>
        <w:t>na ex-ante analizu integrisani</w:t>
      </w:r>
      <w:r w:rsidR="002559F4">
        <w:rPr>
          <w:rFonts w:eastAsia="Times New Roman"/>
        </w:rPr>
        <w:t xml:space="preserve"> </w:t>
      </w:r>
      <w:r w:rsidR="002559F4">
        <w:t>u model Informativnog pregleda u</w:t>
      </w:r>
      <w:r w:rsidR="002559F4">
        <w:rPr>
          <w:rFonts w:eastAsia="Times New Roman"/>
        </w:rPr>
        <w:t xml:space="preserve"> svom originalnom i/ili izmijenjenom obliku, kako bi se dobio instrument koji je praktičan za upotrebu u fazi usvajanja zakona.  </w:t>
      </w:r>
    </w:p>
    <w:p w14:paraId="173311DF" w14:textId="0539F6C9" w:rsidR="002559F4" w:rsidRDefault="002559F4" w:rsidP="002559F4">
      <w:pPr>
        <w:spacing w:line="276" w:lineRule="auto"/>
        <w:jc w:val="both"/>
        <w:rPr>
          <w:rFonts w:eastAsia="Times New Roman"/>
        </w:rPr>
      </w:pPr>
      <w:r>
        <w:rPr>
          <w:rFonts w:eastAsia="Times New Roman"/>
        </w:rPr>
        <w:t xml:space="preserve">Predlog modela Informativnog pregleda sa ugrađenom komponentom za procjenu orodnjenosti zakona izgleda ovako: </w:t>
      </w:r>
    </w:p>
    <w:p w14:paraId="1D4151C9" w14:textId="77777777" w:rsidR="002559F4" w:rsidRDefault="002559F4" w:rsidP="002559F4">
      <w:pPr>
        <w:spacing w:line="276" w:lineRule="auto"/>
        <w:jc w:val="both"/>
      </w:pPr>
    </w:p>
    <w:tbl>
      <w:tblPr>
        <w:tblStyle w:val="TableGrid"/>
        <w:tblW w:w="0" w:type="auto"/>
        <w:tblLook w:val="04A0" w:firstRow="1" w:lastRow="0" w:firstColumn="1" w:lastColumn="0" w:noHBand="0" w:noVBand="1"/>
      </w:tblPr>
      <w:tblGrid>
        <w:gridCol w:w="9010"/>
      </w:tblGrid>
      <w:tr w:rsidR="002559F4" w14:paraId="7BE3A1A9" w14:textId="77777777" w:rsidTr="002559F4">
        <w:tc>
          <w:tcPr>
            <w:tcW w:w="9010" w:type="dxa"/>
          </w:tcPr>
          <w:p w14:paraId="6DEB4137" w14:textId="77777777" w:rsidR="002559F4" w:rsidRPr="009D5CC5" w:rsidRDefault="002559F4" w:rsidP="002559F4">
            <w:pPr>
              <w:jc w:val="center"/>
              <w:rPr>
                <w:b/>
                <w:i/>
                <w:sz w:val="28"/>
                <w:szCs w:val="28"/>
              </w:rPr>
            </w:pPr>
            <w:r w:rsidRPr="009D5CC5">
              <w:rPr>
                <w:b/>
                <w:i/>
                <w:sz w:val="28"/>
                <w:szCs w:val="28"/>
              </w:rPr>
              <w:t>Informativni pregled</w:t>
            </w:r>
          </w:p>
          <w:p w14:paraId="7531D9D5" w14:textId="77777777" w:rsidR="002559F4" w:rsidRPr="009D5CC5" w:rsidRDefault="002559F4" w:rsidP="002559F4">
            <w:pPr>
              <w:widowControl w:val="0"/>
              <w:autoSpaceDE w:val="0"/>
              <w:autoSpaceDN w:val="0"/>
              <w:adjustRightInd w:val="0"/>
              <w:spacing w:after="240"/>
              <w:rPr>
                <w:rFonts w:eastAsia="MS Mincho"/>
                <w:b/>
                <w:i/>
              </w:rPr>
            </w:pPr>
          </w:p>
          <w:p w14:paraId="147EAE27" w14:textId="77777777" w:rsidR="002559F4" w:rsidRPr="009D5CC5" w:rsidRDefault="002559F4" w:rsidP="002559F4">
            <w:pPr>
              <w:widowControl w:val="0"/>
              <w:autoSpaceDE w:val="0"/>
              <w:autoSpaceDN w:val="0"/>
              <w:adjustRightInd w:val="0"/>
              <w:spacing w:after="240"/>
              <w:rPr>
                <w:rFonts w:eastAsia="MS Mincho"/>
                <w:b/>
                <w:i/>
              </w:rPr>
            </w:pPr>
            <w:r w:rsidRPr="009D5CC5">
              <w:rPr>
                <w:rFonts w:eastAsia="MS Mincho"/>
                <w:b/>
                <w:i/>
              </w:rPr>
              <w:t>Broj sjednice Odbora za rodnu ravopravnost:</w:t>
            </w:r>
          </w:p>
          <w:p w14:paraId="5AEBC5B0" w14:textId="77777777" w:rsidR="002559F4" w:rsidRPr="009D5CC5" w:rsidRDefault="002559F4" w:rsidP="002559F4">
            <w:pPr>
              <w:widowControl w:val="0"/>
              <w:autoSpaceDE w:val="0"/>
              <w:autoSpaceDN w:val="0"/>
              <w:adjustRightInd w:val="0"/>
              <w:spacing w:after="240"/>
              <w:rPr>
                <w:rFonts w:eastAsia="MS Mincho"/>
                <w:b/>
                <w:i/>
              </w:rPr>
            </w:pPr>
            <w:r w:rsidRPr="009D5CC5">
              <w:rPr>
                <w:rFonts w:eastAsia="MS Mincho"/>
                <w:b/>
                <w:i/>
              </w:rPr>
              <w:t xml:space="preserve">Naziv akta: </w:t>
            </w:r>
          </w:p>
          <w:p w14:paraId="220BE1A2" w14:textId="77777777" w:rsidR="002559F4" w:rsidRPr="009D5CC5" w:rsidRDefault="002559F4" w:rsidP="002559F4">
            <w:pPr>
              <w:widowControl w:val="0"/>
              <w:autoSpaceDE w:val="0"/>
              <w:autoSpaceDN w:val="0"/>
              <w:adjustRightInd w:val="0"/>
              <w:spacing w:after="240"/>
              <w:rPr>
                <w:rFonts w:eastAsia="MS Mincho"/>
                <w:b/>
                <w:i/>
              </w:rPr>
            </w:pPr>
            <w:r w:rsidRPr="009D5CC5">
              <w:rPr>
                <w:b/>
                <w:i/>
              </w:rPr>
              <w:t xml:space="preserve">Pripremio/la: </w:t>
            </w:r>
            <w:r w:rsidRPr="009D5CC5">
              <w:rPr>
                <w:rFonts w:eastAsia="MS Mincho"/>
                <w:b/>
                <w:i/>
              </w:rPr>
              <w:t xml:space="preserve"> </w:t>
            </w:r>
          </w:p>
          <w:p w14:paraId="3CDBBE85" w14:textId="77777777" w:rsidR="002559F4" w:rsidRPr="009D5CC5" w:rsidRDefault="002559F4" w:rsidP="002559F4">
            <w:pPr>
              <w:widowControl w:val="0"/>
              <w:autoSpaceDE w:val="0"/>
              <w:autoSpaceDN w:val="0"/>
              <w:adjustRightInd w:val="0"/>
              <w:spacing w:after="240"/>
              <w:rPr>
                <w:rFonts w:eastAsia="MS Mincho"/>
                <w:b/>
                <w:i/>
              </w:rPr>
            </w:pPr>
            <w:r w:rsidRPr="009D5CC5">
              <w:rPr>
                <w:b/>
                <w:i/>
              </w:rPr>
              <w:t xml:space="preserve">Datum: </w:t>
            </w:r>
          </w:p>
          <w:p w14:paraId="5528D6C5" w14:textId="77777777" w:rsidR="002559F4" w:rsidRPr="006242BA" w:rsidRDefault="002559F4" w:rsidP="002559F4">
            <w:pPr>
              <w:rPr>
                <w:rFonts w:cstheme="minorHAnsi"/>
                <w:lang w:val="sr-Latn-ME"/>
              </w:rPr>
            </w:pPr>
            <w:r>
              <w:rPr>
                <w:rFonts w:cstheme="minorHAnsi"/>
                <w:lang w:val="sr-Latn-ME"/>
              </w:rPr>
              <w:t xml:space="preserve">1. </w:t>
            </w:r>
            <w:r w:rsidRPr="006242BA">
              <w:rPr>
                <w:rFonts w:cstheme="minorHAnsi"/>
                <w:lang w:val="sr-Latn-ME"/>
              </w:rPr>
              <w:t>Opisati ukratko koji problem ovaj zakon adresira?</w:t>
            </w:r>
          </w:p>
          <w:tbl>
            <w:tblPr>
              <w:tblStyle w:val="TableGrid"/>
              <w:tblW w:w="0" w:type="auto"/>
              <w:tblLook w:val="04A0" w:firstRow="1" w:lastRow="0" w:firstColumn="1" w:lastColumn="0" w:noHBand="0" w:noVBand="1"/>
            </w:tblPr>
            <w:tblGrid>
              <w:gridCol w:w="8784"/>
            </w:tblGrid>
            <w:tr w:rsidR="002559F4" w14:paraId="78AB1E25" w14:textId="77777777" w:rsidTr="002559F4">
              <w:tc>
                <w:tcPr>
                  <w:tcW w:w="9010" w:type="dxa"/>
                </w:tcPr>
                <w:p w14:paraId="1AC43755" w14:textId="77777777" w:rsidR="002559F4" w:rsidRDefault="002559F4" w:rsidP="002559F4">
                  <w:pPr>
                    <w:rPr>
                      <w:rFonts w:cstheme="minorHAnsi"/>
                      <w:lang w:val="sr-Latn-ME"/>
                    </w:rPr>
                  </w:pPr>
                </w:p>
                <w:p w14:paraId="748B83B4" w14:textId="77777777" w:rsidR="002559F4" w:rsidRDefault="002559F4" w:rsidP="002559F4">
                  <w:pPr>
                    <w:rPr>
                      <w:rFonts w:cstheme="minorHAnsi"/>
                      <w:lang w:val="sr-Latn-ME"/>
                    </w:rPr>
                  </w:pPr>
                </w:p>
                <w:p w14:paraId="274889B4" w14:textId="77777777" w:rsidR="002559F4" w:rsidRDefault="002559F4" w:rsidP="002559F4">
                  <w:pPr>
                    <w:rPr>
                      <w:rFonts w:cstheme="minorHAnsi"/>
                      <w:lang w:val="sr-Latn-ME"/>
                    </w:rPr>
                  </w:pPr>
                </w:p>
                <w:p w14:paraId="24D774DE" w14:textId="77777777" w:rsidR="002559F4" w:rsidRDefault="002559F4" w:rsidP="002559F4">
                  <w:pPr>
                    <w:rPr>
                      <w:rFonts w:cstheme="minorHAnsi"/>
                      <w:lang w:val="sr-Latn-ME"/>
                    </w:rPr>
                  </w:pPr>
                </w:p>
              </w:tc>
            </w:tr>
          </w:tbl>
          <w:p w14:paraId="57B065CE" w14:textId="77777777" w:rsidR="002559F4" w:rsidRDefault="002559F4" w:rsidP="002559F4">
            <w:pPr>
              <w:rPr>
                <w:rFonts w:cstheme="minorHAnsi"/>
                <w:lang w:val="sr-Latn-ME"/>
              </w:rPr>
            </w:pPr>
          </w:p>
          <w:p w14:paraId="6404578A" w14:textId="77777777" w:rsidR="007F7C42" w:rsidRDefault="007F7C42" w:rsidP="002559F4">
            <w:pPr>
              <w:rPr>
                <w:rFonts w:cstheme="minorHAnsi"/>
                <w:lang w:val="sr-Latn-ME"/>
              </w:rPr>
            </w:pPr>
          </w:p>
          <w:p w14:paraId="47148392" w14:textId="77777777" w:rsidR="007F7C42" w:rsidRPr="006242BA" w:rsidRDefault="007F7C42" w:rsidP="002559F4">
            <w:pPr>
              <w:rPr>
                <w:rFonts w:cstheme="minorHAnsi"/>
                <w:lang w:val="sr-Latn-ME"/>
              </w:rPr>
            </w:pPr>
          </w:p>
          <w:p w14:paraId="253E6D20" w14:textId="77777777" w:rsidR="002559F4" w:rsidRPr="006242BA" w:rsidRDefault="002559F4" w:rsidP="002559F4">
            <w:pPr>
              <w:rPr>
                <w:rFonts w:cstheme="minorHAnsi"/>
                <w:lang w:val="sr-Latn-ME"/>
              </w:rPr>
            </w:pPr>
            <w:r>
              <w:rPr>
                <w:rFonts w:cstheme="minorHAnsi"/>
                <w:lang w:val="sr-Latn-ME"/>
              </w:rPr>
              <w:lastRenderedPageBreak/>
              <w:t xml:space="preserve">2. </w:t>
            </w:r>
            <w:r w:rsidRPr="006242BA">
              <w:rPr>
                <w:rFonts w:cstheme="minorHAnsi"/>
                <w:lang w:val="sr-Latn-ME"/>
              </w:rPr>
              <w:t>Koji su glavni ciljevi koje zakon želi da postigne?</w:t>
            </w:r>
          </w:p>
          <w:tbl>
            <w:tblPr>
              <w:tblStyle w:val="TableGrid"/>
              <w:tblW w:w="0" w:type="auto"/>
              <w:tblLook w:val="04A0" w:firstRow="1" w:lastRow="0" w:firstColumn="1" w:lastColumn="0" w:noHBand="0" w:noVBand="1"/>
            </w:tblPr>
            <w:tblGrid>
              <w:gridCol w:w="8784"/>
            </w:tblGrid>
            <w:tr w:rsidR="002559F4" w14:paraId="70B4DBDC" w14:textId="77777777" w:rsidTr="002559F4">
              <w:tc>
                <w:tcPr>
                  <w:tcW w:w="9010" w:type="dxa"/>
                </w:tcPr>
                <w:p w14:paraId="66ED1D92" w14:textId="77777777" w:rsidR="002559F4" w:rsidRDefault="002559F4" w:rsidP="002559F4">
                  <w:pPr>
                    <w:rPr>
                      <w:rFonts w:cstheme="minorHAnsi"/>
                      <w:lang w:val="sr-Latn-ME"/>
                    </w:rPr>
                  </w:pPr>
                </w:p>
                <w:p w14:paraId="319445AD" w14:textId="77777777" w:rsidR="002559F4" w:rsidRDefault="002559F4" w:rsidP="002559F4">
                  <w:pPr>
                    <w:rPr>
                      <w:rFonts w:cstheme="minorHAnsi"/>
                      <w:lang w:val="sr-Latn-ME"/>
                    </w:rPr>
                  </w:pPr>
                </w:p>
                <w:p w14:paraId="2041DD4F" w14:textId="77777777" w:rsidR="002559F4" w:rsidRDefault="002559F4" w:rsidP="002559F4">
                  <w:pPr>
                    <w:rPr>
                      <w:rFonts w:cstheme="minorHAnsi"/>
                      <w:lang w:val="sr-Latn-ME"/>
                    </w:rPr>
                  </w:pPr>
                </w:p>
                <w:p w14:paraId="19D3E2EA" w14:textId="77777777" w:rsidR="002559F4" w:rsidRDefault="002559F4" w:rsidP="002559F4">
                  <w:pPr>
                    <w:rPr>
                      <w:rFonts w:cstheme="minorHAnsi"/>
                      <w:lang w:val="sr-Latn-ME"/>
                    </w:rPr>
                  </w:pPr>
                </w:p>
              </w:tc>
            </w:tr>
          </w:tbl>
          <w:p w14:paraId="6563713E" w14:textId="77777777" w:rsidR="002559F4" w:rsidRPr="006242BA" w:rsidRDefault="002559F4" w:rsidP="002559F4">
            <w:pPr>
              <w:rPr>
                <w:rFonts w:cstheme="minorHAnsi"/>
                <w:lang w:val="sr-Latn-ME"/>
              </w:rPr>
            </w:pPr>
          </w:p>
          <w:p w14:paraId="32FC4E23" w14:textId="77777777" w:rsidR="002559F4" w:rsidRDefault="002559F4" w:rsidP="002559F4">
            <w:pPr>
              <w:rPr>
                <w:rFonts w:cstheme="minorHAnsi"/>
                <w:lang w:val="sr-Latn-ME"/>
              </w:rPr>
            </w:pPr>
            <w:r>
              <w:rPr>
                <w:rFonts w:cstheme="minorHAnsi"/>
                <w:lang w:val="sr-Latn-ME"/>
              </w:rPr>
              <w:t xml:space="preserve">3. </w:t>
            </w:r>
            <w:r w:rsidRPr="006242BA">
              <w:rPr>
                <w:rFonts w:eastAsia="Times New Roman"/>
              </w:rPr>
              <w:t>Na koji način ovaj zakon doprinosi ispunjavanju međunarodnih obaveza Crne Gore</w:t>
            </w:r>
            <w:r>
              <w:rPr>
                <w:rFonts w:eastAsia="Times New Roman"/>
              </w:rPr>
              <w:t xml:space="preserve"> u oblasti rodne ravnopravnosti i zaštite od diskriminacije</w:t>
            </w:r>
            <w:r w:rsidRPr="006242BA">
              <w:rPr>
                <w:rFonts w:eastAsia="Times New Roman"/>
              </w:rPr>
              <w:t>?</w:t>
            </w:r>
          </w:p>
          <w:tbl>
            <w:tblPr>
              <w:tblStyle w:val="TableGrid"/>
              <w:tblW w:w="0" w:type="auto"/>
              <w:tblLook w:val="04A0" w:firstRow="1" w:lastRow="0" w:firstColumn="1" w:lastColumn="0" w:noHBand="0" w:noVBand="1"/>
            </w:tblPr>
            <w:tblGrid>
              <w:gridCol w:w="8784"/>
            </w:tblGrid>
            <w:tr w:rsidR="002559F4" w14:paraId="08B0502E" w14:textId="77777777" w:rsidTr="002559F4">
              <w:tc>
                <w:tcPr>
                  <w:tcW w:w="9010" w:type="dxa"/>
                </w:tcPr>
                <w:p w14:paraId="144E5CCD" w14:textId="77777777" w:rsidR="002559F4" w:rsidRDefault="002559F4" w:rsidP="002559F4">
                  <w:pPr>
                    <w:rPr>
                      <w:rFonts w:cstheme="minorHAnsi"/>
                      <w:lang w:val="sr-Latn-ME"/>
                    </w:rPr>
                  </w:pPr>
                </w:p>
                <w:p w14:paraId="1D4ACDE9" w14:textId="77777777" w:rsidR="002559F4" w:rsidRDefault="002559F4" w:rsidP="002559F4">
                  <w:pPr>
                    <w:rPr>
                      <w:rFonts w:cstheme="minorHAnsi"/>
                      <w:lang w:val="sr-Latn-ME"/>
                    </w:rPr>
                  </w:pPr>
                </w:p>
                <w:p w14:paraId="59CA2847" w14:textId="77777777" w:rsidR="002559F4" w:rsidRDefault="002559F4" w:rsidP="002559F4">
                  <w:pPr>
                    <w:rPr>
                      <w:rFonts w:cstheme="minorHAnsi"/>
                      <w:lang w:val="sr-Latn-ME"/>
                    </w:rPr>
                  </w:pPr>
                </w:p>
                <w:p w14:paraId="3B781452" w14:textId="77777777" w:rsidR="002559F4" w:rsidRDefault="002559F4" w:rsidP="002559F4">
                  <w:pPr>
                    <w:rPr>
                      <w:rFonts w:cstheme="minorHAnsi"/>
                      <w:lang w:val="sr-Latn-ME"/>
                    </w:rPr>
                  </w:pPr>
                </w:p>
              </w:tc>
            </w:tr>
          </w:tbl>
          <w:p w14:paraId="6F00A5A3" w14:textId="77777777" w:rsidR="002559F4" w:rsidRPr="006242BA" w:rsidRDefault="002559F4" w:rsidP="002559F4">
            <w:pPr>
              <w:rPr>
                <w:rFonts w:cstheme="minorHAnsi"/>
                <w:lang w:val="sr-Latn-ME"/>
              </w:rPr>
            </w:pPr>
          </w:p>
          <w:p w14:paraId="06DF4F83" w14:textId="77777777" w:rsidR="002559F4" w:rsidRPr="006242BA" w:rsidRDefault="002559F4" w:rsidP="002559F4">
            <w:pPr>
              <w:spacing w:line="276" w:lineRule="auto"/>
              <w:jc w:val="both"/>
              <w:rPr>
                <w:rFonts w:eastAsia="Times New Roman"/>
              </w:rPr>
            </w:pPr>
            <w:r>
              <w:rPr>
                <w:rFonts w:eastAsia="Times New Roman"/>
              </w:rPr>
              <w:t xml:space="preserve">4. </w:t>
            </w:r>
            <w:r w:rsidRPr="006242BA">
              <w:rPr>
                <w:rFonts w:cstheme="minorHAnsi"/>
                <w:lang w:val="sr-Latn-ME"/>
              </w:rPr>
              <w:t xml:space="preserve">Na koji način ovaj zakon doprinosi primjeni odredbi Zakona o rodnoj ravnopravnosti i Zakona o antidiskriminaciji? </w:t>
            </w:r>
          </w:p>
          <w:tbl>
            <w:tblPr>
              <w:tblStyle w:val="TableGrid"/>
              <w:tblW w:w="0" w:type="auto"/>
              <w:tblLook w:val="04A0" w:firstRow="1" w:lastRow="0" w:firstColumn="1" w:lastColumn="0" w:noHBand="0" w:noVBand="1"/>
            </w:tblPr>
            <w:tblGrid>
              <w:gridCol w:w="8784"/>
            </w:tblGrid>
            <w:tr w:rsidR="002559F4" w:rsidRPr="006242BA" w14:paraId="53BBCF8D" w14:textId="77777777" w:rsidTr="002559F4">
              <w:tc>
                <w:tcPr>
                  <w:tcW w:w="9010" w:type="dxa"/>
                </w:tcPr>
                <w:p w14:paraId="3FF9FA47" w14:textId="77777777" w:rsidR="002559F4" w:rsidRPr="006242BA" w:rsidRDefault="002559F4" w:rsidP="002559F4">
                  <w:pPr>
                    <w:spacing w:line="276" w:lineRule="auto"/>
                    <w:jc w:val="both"/>
                    <w:rPr>
                      <w:rFonts w:eastAsia="Times New Roman"/>
                    </w:rPr>
                  </w:pPr>
                </w:p>
                <w:p w14:paraId="74035DA4" w14:textId="77777777" w:rsidR="002559F4" w:rsidRPr="006242BA" w:rsidRDefault="002559F4" w:rsidP="002559F4">
                  <w:pPr>
                    <w:spacing w:line="276" w:lineRule="auto"/>
                    <w:jc w:val="both"/>
                    <w:rPr>
                      <w:rFonts w:eastAsia="Times New Roman"/>
                    </w:rPr>
                  </w:pPr>
                </w:p>
                <w:p w14:paraId="402C5357" w14:textId="77777777" w:rsidR="002559F4" w:rsidRPr="006242BA" w:rsidRDefault="002559F4" w:rsidP="002559F4">
                  <w:pPr>
                    <w:spacing w:line="276" w:lineRule="auto"/>
                    <w:jc w:val="both"/>
                    <w:rPr>
                      <w:rFonts w:eastAsia="Times New Roman"/>
                    </w:rPr>
                  </w:pPr>
                </w:p>
                <w:p w14:paraId="7F8606B2" w14:textId="77777777" w:rsidR="002559F4" w:rsidRPr="006242BA" w:rsidRDefault="002559F4" w:rsidP="002559F4">
                  <w:pPr>
                    <w:spacing w:line="276" w:lineRule="auto"/>
                    <w:jc w:val="both"/>
                    <w:rPr>
                      <w:rFonts w:eastAsia="Times New Roman"/>
                    </w:rPr>
                  </w:pPr>
                </w:p>
              </w:tc>
            </w:tr>
          </w:tbl>
          <w:p w14:paraId="67163BD9" w14:textId="77777777" w:rsidR="002559F4" w:rsidRPr="006242BA" w:rsidRDefault="002559F4" w:rsidP="002559F4">
            <w:pPr>
              <w:spacing w:line="276" w:lineRule="auto"/>
              <w:jc w:val="both"/>
              <w:rPr>
                <w:rFonts w:eastAsia="Times New Roman"/>
              </w:rPr>
            </w:pPr>
            <w:r>
              <w:rPr>
                <w:rFonts w:eastAsia="Times New Roman"/>
              </w:rPr>
              <w:t xml:space="preserve">5. </w:t>
            </w:r>
            <w:r w:rsidRPr="007C6514">
              <w:rPr>
                <w:rFonts w:eastAsia="Times New Roman"/>
              </w:rPr>
              <w:t xml:space="preserve">Da li je </w:t>
            </w:r>
            <w:r>
              <w:rPr>
                <w:rFonts w:eastAsia="Times New Roman"/>
              </w:rPr>
              <w:t xml:space="preserve">u tokom izrade zakona (npr. kroz učešće u radnoj grupi za izradu zakona, ili tokom javne rasprave) </w:t>
            </w:r>
            <w:r w:rsidRPr="007C6514">
              <w:rPr>
                <w:rFonts w:eastAsia="Times New Roman"/>
              </w:rPr>
              <w:t>izvršena konsultacija sa bilo kojom od sljedeć</w:t>
            </w:r>
            <w:r>
              <w:rPr>
                <w:rFonts w:eastAsia="Times New Roman"/>
              </w:rPr>
              <w:t xml:space="preserve">ih grupa i ili pojedinaca/ki o rodnom uticaju zakona? </w:t>
            </w:r>
          </w:p>
          <w:tbl>
            <w:tblPr>
              <w:tblStyle w:val="TableGrid"/>
              <w:tblW w:w="0" w:type="auto"/>
              <w:tblLook w:val="04A0" w:firstRow="1" w:lastRow="0" w:firstColumn="1" w:lastColumn="0" w:noHBand="0" w:noVBand="1"/>
            </w:tblPr>
            <w:tblGrid>
              <w:gridCol w:w="3735"/>
              <w:gridCol w:w="698"/>
              <w:gridCol w:w="731"/>
              <w:gridCol w:w="3620"/>
            </w:tblGrid>
            <w:tr w:rsidR="002559F4" w14:paraId="7F187099" w14:textId="77777777" w:rsidTr="002559F4">
              <w:trPr>
                <w:trHeight w:val="339"/>
              </w:trPr>
              <w:tc>
                <w:tcPr>
                  <w:tcW w:w="3823" w:type="dxa"/>
                </w:tcPr>
                <w:p w14:paraId="5B02D5B0" w14:textId="77777777" w:rsidR="002559F4" w:rsidRPr="006242BA" w:rsidRDefault="002559F4" w:rsidP="002559F4">
                  <w:pPr>
                    <w:spacing w:line="276" w:lineRule="auto"/>
                    <w:jc w:val="both"/>
                    <w:rPr>
                      <w:i/>
                    </w:rPr>
                  </w:pPr>
                  <w:r w:rsidRPr="006242BA">
                    <w:rPr>
                      <w:i/>
                    </w:rPr>
                    <w:t>Pitanje</w:t>
                  </w:r>
                </w:p>
              </w:tc>
              <w:tc>
                <w:tcPr>
                  <w:tcW w:w="708" w:type="dxa"/>
                </w:tcPr>
                <w:p w14:paraId="16CCA352" w14:textId="77777777" w:rsidR="002559F4" w:rsidRPr="006242BA" w:rsidRDefault="002559F4" w:rsidP="002559F4">
                  <w:pPr>
                    <w:spacing w:line="276" w:lineRule="auto"/>
                    <w:jc w:val="both"/>
                    <w:rPr>
                      <w:i/>
                    </w:rPr>
                  </w:pPr>
                  <w:r w:rsidRPr="006242BA">
                    <w:rPr>
                      <w:i/>
                    </w:rPr>
                    <w:t>Da</w:t>
                  </w:r>
                </w:p>
              </w:tc>
              <w:tc>
                <w:tcPr>
                  <w:tcW w:w="743" w:type="dxa"/>
                </w:tcPr>
                <w:p w14:paraId="43A24739" w14:textId="77777777" w:rsidR="002559F4" w:rsidRPr="006242BA" w:rsidRDefault="002559F4" w:rsidP="002559F4">
                  <w:pPr>
                    <w:spacing w:line="276" w:lineRule="auto"/>
                    <w:jc w:val="both"/>
                    <w:rPr>
                      <w:i/>
                    </w:rPr>
                  </w:pPr>
                  <w:r w:rsidRPr="006242BA">
                    <w:rPr>
                      <w:i/>
                    </w:rPr>
                    <w:t xml:space="preserve">Ne </w:t>
                  </w:r>
                </w:p>
              </w:tc>
              <w:tc>
                <w:tcPr>
                  <w:tcW w:w="3736" w:type="dxa"/>
                </w:tcPr>
                <w:p w14:paraId="439325A8" w14:textId="77777777" w:rsidR="002559F4" w:rsidRPr="006242BA" w:rsidRDefault="002559F4" w:rsidP="002559F4">
                  <w:pPr>
                    <w:spacing w:line="276" w:lineRule="auto"/>
                    <w:jc w:val="both"/>
                    <w:rPr>
                      <w:i/>
                    </w:rPr>
                  </w:pPr>
                  <w:r>
                    <w:rPr>
                      <w:i/>
                    </w:rPr>
                    <w:t>Ako jeste</w:t>
                  </w:r>
                  <w:r w:rsidRPr="006242BA">
                    <w:rPr>
                      <w:i/>
                    </w:rPr>
                    <w:t>, navedite sažetak njihovih stavova</w:t>
                  </w:r>
                </w:p>
              </w:tc>
            </w:tr>
            <w:tr w:rsidR="002559F4" w14:paraId="2C29A8CF" w14:textId="77777777" w:rsidTr="002559F4">
              <w:tc>
                <w:tcPr>
                  <w:tcW w:w="3823" w:type="dxa"/>
                </w:tcPr>
                <w:p w14:paraId="67A4A43A" w14:textId="77777777" w:rsidR="002559F4" w:rsidRDefault="002559F4" w:rsidP="002559F4">
                  <w:pPr>
                    <w:spacing w:line="276" w:lineRule="auto"/>
                    <w:jc w:val="both"/>
                    <w:rPr>
                      <w:b/>
                      <w:i/>
                    </w:rPr>
                  </w:pPr>
                  <w:r w:rsidRPr="007C6514">
                    <w:rPr>
                      <w:rFonts w:eastAsia="Times New Roman"/>
                    </w:rPr>
                    <w:t>Stručnjaci</w:t>
                  </w:r>
                  <w:r>
                    <w:rPr>
                      <w:rFonts w:eastAsia="Times New Roman"/>
                    </w:rPr>
                    <w:t>/kinje za rodna pitanja,</w:t>
                  </w:r>
                  <w:r w:rsidRPr="007C6514">
                    <w:rPr>
                      <w:rFonts w:eastAsia="Times New Roman"/>
                    </w:rPr>
                    <w:t xml:space="preserve"> </w:t>
                  </w:r>
                  <w:r>
                    <w:rPr>
                      <w:rFonts w:eastAsia="Times New Roman"/>
                    </w:rPr>
                    <w:t xml:space="preserve">NVO-i koji se bave zaštitom prava i osnaživanja žena, osoba drugačijih polnih i rodnih identiteta, marginalizovanih i osjetljivih grupa, kao i </w:t>
                  </w:r>
                  <w:r w:rsidRPr="007C6514">
                    <w:rPr>
                      <w:rFonts w:eastAsia="Times New Roman"/>
                    </w:rPr>
                    <w:t>pripadnici</w:t>
                  </w:r>
                  <w:r>
                    <w:rPr>
                      <w:rFonts w:eastAsia="Times New Roman"/>
                    </w:rPr>
                    <w:t>/ce</w:t>
                  </w:r>
                  <w:r w:rsidRPr="007C6514">
                    <w:rPr>
                      <w:rFonts w:eastAsia="Times New Roman"/>
                    </w:rPr>
                    <w:t xml:space="preserve"> akademske zajednice, istraživački centri, </w:t>
                  </w:r>
                  <w:r>
                    <w:rPr>
                      <w:rFonts w:eastAsia="Times New Roman"/>
                    </w:rPr>
                    <w:t>think thankovi i dr.</w:t>
                  </w:r>
                </w:p>
              </w:tc>
              <w:tc>
                <w:tcPr>
                  <w:tcW w:w="708" w:type="dxa"/>
                </w:tcPr>
                <w:p w14:paraId="323D2EA5" w14:textId="77777777" w:rsidR="002559F4" w:rsidRDefault="002559F4" w:rsidP="002559F4">
                  <w:pPr>
                    <w:spacing w:line="276" w:lineRule="auto"/>
                    <w:jc w:val="both"/>
                    <w:rPr>
                      <w:b/>
                      <w:i/>
                    </w:rPr>
                  </w:pPr>
                </w:p>
              </w:tc>
              <w:tc>
                <w:tcPr>
                  <w:tcW w:w="743" w:type="dxa"/>
                </w:tcPr>
                <w:p w14:paraId="70334728" w14:textId="77777777" w:rsidR="002559F4" w:rsidRDefault="002559F4" w:rsidP="002559F4">
                  <w:pPr>
                    <w:spacing w:line="276" w:lineRule="auto"/>
                    <w:jc w:val="both"/>
                    <w:rPr>
                      <w:b/>
                      <w:i/>
                    </w:rPr>
                  </w:pPr>
                </w:p>
              </w:tc>
              <w:tc>
                <w:tcPr>
                  <w:tcW w:w="3736" w:type="dxa"/>
                </w:tcPr>
                <w:p w14:paraId="7A3DB3DA" w14:textId="77777777" w:rsidR="002559F4" w:rsidRDefault="002559F4" w:rsidP="002559F4">
                  <w:pPr>
                    <w:spacing w:line="276" w:lineRule="auto"/>
                    <w:jc w:val="both"/>
                    <w:rPr>
                      <w:b/>
                      <w:i/>
                    </w:rPr>
                  </w:pPr>
                </w:p>
              </w:tc>
            </w:tr>
            <w:tr w:rsidR="002559F4" w14:paraId="59CC68C7" w14:textId="77777777" w:rsidTr="002559F4">
              <w:tc>
                <w:tcPr>
                  <w:tcW w:w="3823" w:type="dxa"/>
                </w:tcPr>
                <w:p w14:paraId="553DD55B" w14:textId="77777777" w:rsidR="002559F4" w:rsidRDefault="002559F4" w:rsidP="002559F4">
                  <w:pPr>
                    <w:spacing w:line="276" w:lineRule="auto"/>
                    <w:jc w:val="both"/>
                    <w:rPr>
                      <w:b/>
                      <w:i/>
                    </w:rPr>
                  </w:pPr>
                  <w:r>
                    <w:rPr>
                      <w:rFonts w:eastAsia="Times New Roman"/>
                    </w:rPr>
                    <w:t xml:space="preserve">Relevantne institucije i </w:t>
                  </w:r>
                  <w:r w:rsidRPr="007C6514">
                    <w:rPr>
                      <w:rFonts w:eastAsia="Times New Roman"/>
                    </w:rPr>
                    <w:t>organi</w:t>
                  </w:r>
                  <w:r>
                    <w:rPr>
                      <w:rFonts w:eastAsia="Times New Roman"/>
                    </w:rPr>
                    <w:t>, npr. ministarstvo nadležno za ljudska prava i rodnu ravnopravnost, Ombudsman i dr.</w:t>
                  </w:r>
                </w:p>
              </w:tc>
              <w:tc>
                <w:tcPr>
                  <w:tcW w:w="708" w:type="dxa"/>
                </w:tcPr>
                <w:p w14:paraId="402EDAD3" w14:textId="77777777" w:rsidR="002559F4" w:rsidRDefault="002559F4" w:rsidP="002559F4">
                  <w:pPr>
                    <w:spacing w:line="276" w:lineRule="auto"/>
                    <w:jc w:val="both"/>
                    <w:rPr>
                      <w:b/>
                      <w:i/>
                    </w:rPr>
                  </w:pPr>
                </w:p>
              </w:tc>
              <w:tc>
                <w:tcPr>
                  <w:tcW w:w="743" w:type="dxa"/>
                </w:tcPr>
                <w:p w14:paraId="608DB787" w14:textId="77777777" w:rsidR="002559F4" w:rsidRDefault="002559F4" w:rsidP="002559F4">
                  <w:pPr>
                    <w:spacing w:line="276" w:lineRule="auto"/>
                    <w:jc w:val="both"/>
                    <w:rPr>
                      <w:b/>
                      <w:i/>
                    </w:rPr>
                  </w:pPr>
                </w:p>
              </w:tc>
              <w:tc>
                <w:tcPr>
                  <w:tcW w:w="3736" w:type="dxa"/>
                </w:tcPr>
                <w:p w14:paraId="37C69EF2" w14:textId="77777777" w:rsidR="002559F4" w:rsidRDefault="002559F4" w:rsidP="002559F4">
                  <w:pPr>
                    <w:spacing w:line="276" w:lineRule="auto"/>
                    <w:jc w:val="both"/>
                    <w:rPr>
                      <w:b/>
                      <w:i/>
                    </w:rPr>
                  </w:pPr>
                </w:p>
              </w:tc>
            </w:tr>
            <w:tr w:rsidR="002559F4" w14:paraId="6ED3945C" w14:textId="77777777" w:rsidTr="002559F4">
              <w:tc>
                <w:tcPr>
                  <w:tcW w:w="3823" w:type="dxa"/>
                </w:tcPr>
                <w:p w14:paraId="11DC8358" w14:textId="77777777" w:rsidR="002559F4" w:rsidRPr="00D33AE3" w:rsidRDefault="002559F4" w:rsidP="002559F4">
                  <w:pPr>
                    <w:spacing w:line="276" w:lineRule="auto"/>
                    <w:jc w:val="both"/>
                  </w:pPr>
                  <w:r>
                    <w:t xml:space="preserve">Predstavnici/ce poslodavačkih udruženja koji se bave ekonomskim osnaživanjem žena, udruženja preduzetnica,  sindikati i dr. </w:t>
                  </w:r>
                </w:p>
              </w:tc>
              <w:tc>
                <w:tcPr>
                  <w:tcW w:w="708" w:type="dxa"/>
                </w:tcPr>
                <w:p w14:paraId="53A793C5" w14:textId="77777777" w:rsidR="002559F4" w:rsidRDefault="002559F4" w:rsidP="002559F4">
                  <w:pPr>
                    <w:spacing w:line="276" w:lineRule="auto"/>
                    <w:jc w:val="both"/>
                    <w:rPr>
                      <w:b/>
                      <w:i/>
                    </w:rPr>
                  </w:pPr>
                </w:p>
              </w:tc>
              <w:tc>
                <w:tcPr>
                  <w:tcW w:w="743" w:type="dxa"/>
                </w:tcPr>
                <w:p w14:paraId="5EDCCD5F" w14:textId="77777777" w:rsidR="002559F4" w:rsidRDefault="002559F4" w:rsidP="002559F4">
                  <w:pPr>
                    <w:spacing w:line="276" w:lineRule="auto"/>
                    <w:jc w:val="both"/>
                    <w:rPr>
                      <w:b/>
                      <w:i/>
                    </w:rPr>
                  </w:pPr>
                </w:p>
              </w:tc>
              <w:tc>
                <w:tcPr>
                  <w:tcW w:w="3736" w:type="dxa"/>
                </w:tcPr>
                <w:p w14:paraId="57BFA96D" w14:textId="77777777" w:rsidR="002559F4" w:rsidRDefault="002559F4" w:rsidP="002559F4">
                  <w:pPr>
                    <w:spacing w:line="276" w:lineRule="auto"/>
                    <w:jc w:val="both"/>
                    <w:rPr>
                      <w:b/>
                      <w:i/>
                    </w:rPr>
                  </w:pPr>
                </w:p>
              </w:tc>
            </w:tr>
            <w:tr w:rsidR="002559F4" w14:paraId="6744ADFD" w14:textId="77777777" w:rsidTr="002559F4">
              <w:tc>
                <w:tcPr>
                  <w:tcW w:w="3823" w:type="dxa"/>
                </w:tcPr>
                <w:p w14:paraId="45EF7E7D" w14:textId="77777777" w:rsidR="002559F4" w:rsidRPr="00D33AE3" w:rsidRDefault="002559F4" w:rsidP="002559F4">
                  <w:pPr>
                    <w:spacing w:line="276" w:lineRule="auto"/>
                    <w:jc w:val="both"/>
                  </w:pPr>
                  <w:r>
                    <w:t>Međunarodne organizacije koje se bave rodnom ravnopravnošću</w:t>
                  </w:r>
                </w:p>
              </w:tc>
              <w:tc>
                <w:tcPr>
                  <w:tcW w:w="708" w:type="dxa"/>
                </w:tcPr>
                <w:p w14:paraId="0FD45F00" w14:textId="77777777" w:rsidR="002559F4" w:rsidRDefault="002559F4" w:rsidP="002559F4">
                  <w:pPr>
                    <w:spacing w:line="276" w:lineRule="auto"/>
                    <w:jc w:val="both"/>
                    <w:rPr>
                      <w:b/>
                      <w:i/>
                    </w:rPr>
                  </w:pPr>
                </w:p>
              </w:tc>
              <w:tc>
                <w:tcPr>
                  <w:tcW w:w="743" w:type="dxa"/>
                </w:tcPr>
                <w:p w14:paraId="614D3174" w14:textId="77777777" w:rsidR="002559F4" w:rsidRDefault="002559F4" w:rsidP="002559F4">
                  <w:pPr>
                    <w:spacing w:line="276" w:lineRule="auto"/>
                    <w:jc w:val="both"/>
                    <w:rPr>
                      <w:b/>
                      <w:i/>
                    </w:rPr>
                  </w:pPr>
                </w:p>
              </w:tc>
              <w:tc>
                <w:tcPr>
                  <w:tcW w:w="3736" w:type="dxa"/>
                </w:tcPr>
                <w:p w14:paraId="696F20A8" w14:textId="77777777" w:rsidR="002559F4" w:rsidRDefault="002559F4" w:rsidP="002559F4">
                  <w:pPr>
                    <w:spacing w:line="276" w:lineRule="auto"/>
                    <w:jc w:val="both"/>
                    <w:rPr>
                      <w:b/>
                      <w:i/>
                    </w:rPr>
                  </w:pPr>
                </w:p>
              </w:tc>
            </w:tr>
          </w:tbl>
          <w:p w14:paraId="50D39E66" w14:textId="77777777" w:rsidR="002559F4" w:rsidRDefault="002559F4" w:rsidP="002559F4">
            <w:pPr>
              <w:spacing w:line="276" w:lineRule="auto"/>
              <w:jc w:val="both"/>
            </w:pPr>
          </w:p>
          <w:p w14:paraId="61708093" w14:textId="77777777" w:rsidR="002559F4" w:rsidRDefault="002559F4" w:rsidP="002559F4">
            <w:pPr>
              <w:spacing w:line="276" w:lineRule="auto"/>
              <w:jc w:val="both"/>
              <w:rPr>
                <w:rFonts w:eastAsia="Times New Roman"/>
              </w:rPr>
            </w:pPr>
          </w:p>
          <w:p w14:paraId="34017938" w14:textId="77777777" w:rsidR="002559F4" w:rsidRDefault="002559F4" w:rsidP="002559F4">
            <w:pPr>
              <w:spacing w:line="276" w:lineRule="auto"/>
              <w:jc w:val="both"/>
              <w:rPr>
                <w:rFonts w:eastAsia="Times New Roman"/>
              </w:rPr>
            </w:pPr>
            <w:r>
              <w:rPr>
                <w:rFonts w:eastAsia="Times New Roman"/>
              </w:rPr>
              <w:lastRenderedPageBreak/>
              <w:t xml:space="preserve">6. </w:t>
            </w:r>
            <w:r w:rsidRPr="007C6514">
              <w:rPr>
                <w:rFonts w:eastAsia="Times New Roman"/>
              </w:rPr>
              <w:t>Da li su specifične potrebe žena i muškaraca</w:t>
            </w:r>
            <w:r>
              <w:rPr>
                <w:rFonts w:eastAsia="Times New Roman"/>
              </w:rPr>
              <w:t xml:space="preserve"> i osoba drugačijih polnih i rodnih identiteta identifikovane, uzete u obzir i integrisane</w:t>
            </w:r>
            <w:r w:rsidRPr="007C6514">
              <w:rPr>
                <w:rFonts w:eastAsia="Times New Roman"/>
              </w:rPr>
              <w:t xml:space="preserve"> u osmišljavanje </w:t>
            </w:r>
            <w:r>
              <w:rPr>
                <w:rFonts w:eastAsia="Times New Roman"/>
              </w:rPr>
              <w:t xml:space="preserve">zakona? Ako je odgovor "da", ukratko objasnite kroz koje članove zakona se </w:t>
            </w:r>
            <w:r w:rsidRPr="007C6514">
              <w:rPr>
                <w:rFonts w:eastAsia="Times New Roman"/>
              </w:rPr>
              <w:t>unapr</w:t>
            </w:r>
            <w:r>
              <w:rPr>
                <w:rFonts w:eastAsia="Times New Roman"/>
              </w:rPr>
              <w:t>eđuje rodna ravnopravnost</w:t>
            </w:r>
            <w:r w:rsidRPr="007C6514">
              <w:rPr>
                <w:rFonts w:eastAsia="Times New Roman"/>
              </w:rPr>
              <w:t>:</w:t>
            </w:r>
          </w:p>
          <w:tbl>
            <w:tblPr>
              <w:tblStyle w:val="TableGrid"/>
              <w:tblW w:w="0" w:type="auto"/>
              <w:tblLook w:val="04A0" w:firstRow="1" w:lastRow="0" w:firstColumn="1" w:lastColumn="0" w:noHBand="0" w:noVBand="1"/>
            </w:tblPr>
            <w:tblGrid>
              <w:gridCol w:w="558"/>
              <w:gridCol w:w="563"/>
              <w:gridCol w:w="5693"/>
              <w:gridCol w:w="1970"/>
            </w:tblGrid>
            <w:tr w:rsidR="002559F4" w14:paraId="5C042576" w14:textId="77777777" w:rsidTr="002559F4">
              <w:tc>
                <w:tcPr>
                  <w:tcW w:w="562" w:type="dxa"/>
                </w:tcPr>
                <w:p w14:paraId="37942FD0" w14:textId="77777777" w:rsidR="002559F4" w:rsidRPr="006F0288" w:rsidRDefault="002559F4" w:rsidP="002559F4">
                  <w:pPr>
                    <w:spacing w:line="276" w:lineRule="auto"/>
                    <w:jc w:val="both"/>
                    <w:rPr>
                      <w:rFonts w:eastAsia="Times New Roman"/>
                      <w:i/>
                    </w:rPr>
                  </w:pPr>
                  <w:r w:rsidRPr="006F0288">
                    <w:rPr>
                      <w:rFonts w:eastAsia="Times New Roman"/>
                      <w:i/>
                    </w:rPr>
                    <w:t>Ne</w:t>
                  </w:r>
                </w:p>
              </w:tc>
              <w:tc>
                <w:tcPr>
                  <w:tcW w:w="567" w:type="dxa"/>
                </w:tcPr>
                <w:p w14:paraId="4AFB0991" w14:textId="77777777" w:rsidR="002559F4" w:rsidRPr="006F0288" w:rsidRDefault="002559F4" w:rsidP="002559F4">
                  <w:pPr>
                    <w:spacing w:line="276" w:lineRule="auto"/>
                    <w:jc w:val="both"/>
                    <w:rPr>
                      <w:rFonts w:eastAsia="Times New Roman"/>
                      <w:i/>
                    </w:rPr>
                  </w:pPr>
                  <w:r w:rsidRPr="006F0288">
                    <w:rPr>
                      <w:rFonts w:eastAsia="Times New Roman"/>
                      <w:i/>
                    </w:rPr>
                    <w:t xml:space="preserve">Da </w:t>
                  </w:r>
                </w:p>
              </w:tc>
              <w:tc>
                <w:tcPr>
                  <w:tcW w:w="5865" w:type="dxa"/>
                </w:tcPr>
                <w:p w14:paraId="1BAAD2B3" w14:textId="77777777" w:rsidR="002559F4" w:rsidRPr="006F0288" w:rsidRDefault="002559F4" w:rsidP="002559F4">
                  <w:pPr>
                    <w:spacing w:line="276" w:lineRule="auto"/>
                    <w:jc w:val="both"/>
                    <w:rPr>
                      <w:rFonts w:eastAsia="Times New Roman"/>
                      <w:i/>
                    </w:rPr>
                  </w:pPr>
                  <w:r w:rsidRPr="006F0288">
                    <w:rPr>
                      <w:rFonts w:eastAsia="Times New Roman"/>
                      <w:i/>
                    </w:rPr>
                    <w:t xml:space="preserve">Unapređivanje rodne ravnopravnosti putem: </w:t>
                  </w:r>
                </w:p>
              </w:tc>
              <w:tc>
                <w:tcPr>
                  <w:tcW w:w="2016" w:type="dxa"/>
                </w:tcPr>
                <w:p w14:paraId="0361DA66" w14:textId="77777777" w:rsidR="002559F4" w:rsidRPr="006F0288" w:rsidRDefault="002559F4" w:rsidP="002559F4">
                  <w:pPr>
                    <w:spacing w:line="276" w:lineRule="auto"/>
                    <w:jc w:val="both"/>
                    <w:rPr>
                      <w:rFonts w:eastAsia="Times New Roman"/>
                      <w:i/>
                    </w:rPr>
                  </w:pPr>
                  <w:r w:rsidRPr="006F0288">
                    <w:rPr>
                      <w:rFonts w:eastAsia="Times New Roman"/>
                      <w:i/>
                    </w:rPr>
                    <w:t>Članovi zakona</w:t>
                  </w:r>
                </w:p>
              </w:tc>
            </w:tr>
            <w:tr w:rsidR="002559F4" w14:paraId="0F84291B" w14:textId="77777777" w:rsidTr="002559F4">
              <w:tc>
                <w:tcPr>
                  <w:tcW w:w="562" w:type="dxa"/>
                </w:tcPr>
                <w:p w14:paraId="261E18BA" w14:textId="77777777" w:rsidR="002559F4" w:rsidRDefault="002559F4" w:rsidP="002559F4">
                  <w:pPr>
                    <w:spacing w:line="276" w:lineRule="auto"/>
                    <w:jc w:val="both"/>
                    <w:rPr>
                      <w:rFonts w:eastAsia="Times New Roman"/>
                    </w:rPr>
                  </w:pPr>
                </w:p>
              </w:tc>
              <w:tc>
                <w:tcPr>
                  <w:tcW w:w="567" w:type="dxa"/>
                </w:tcPr>
                <w:p w14:paraId="6BA770E2" w14:textId="77777777" w:rsidR="002559F4" w:rsidRDefault="002559F4" w:rsidP="002559F4">
                  <w:pPr>
                    <w:spacing w:line="276" w:lineRule="auto"/>
                    <w:jc w:val="both"/>
                    <w:rPr>
                      <w:rFonts w:eastAsia="Times New Roman"/>
                    </w:rPr>
                  </w:pPr>
                </w:p>
              </w:tc>
              <w:tc>
                <w:tcPr>
                  <w:tcW w:w="5865" w:type="dxa"/>
                </w:tcPr>
                <w:p w14:paraId="11A27BBA" w14:textId="77777777" w:rsidR="002559F4" w:rsidRDefault="002559F4" w:rsidP="002559F4">
                  <w:pPr>
                    <w:spacing w:line="276" w:lineRule="auto"/>
                    <w:jc w:val="both"/>
                    <w:rPr>
                      <w:rFonts w:eastAsia="Times New Roman"/>
                    </w:rPr>
                  </w:pPr>
                  <w:r>
                    <w:rPr>
                      <w:rFonts w:eastAsia="Times New Roman"/>
                    </w:rPr>
                    <w:t>P</w:t>
                  </w:r>
                  <w:r w:rsidRPr="007C6514">
                    <w:rPr>
                      <w:rFonts w:eastAsia="Times New Roman"/>
                    </w:rPr>
                    <w:t>oboljšanja u odnosu na prethodno zakonodavstvo, javne politike ili programe koji su bili diskriminatorni i dovodili žene</w:t>
                  </w:r>
                  <w:r>
                    <w:rPr>
                      <w:rFonts w:eastAsia="Times New Roman"/>
                    </w:rPr>
                    <w:t xml:space="preserve"> i osobe drugačijih polnih i rodnih identiteta </w:t>
                  </w:r>
                  <w:r w:rsidRPr="007C6514">
                    <w:rPr>
                      <w:rFonts w:eastAsia="Times New Roman"/>
                    </w:rPr>
                    <w:t xml:space="preserve"> u lošu poziciju</w:t>
                  </w:r>
                </w:p>
              </w:tc>
              <w:tc>
                <w:tcPr>
                  <w:tcW w:w="2016" w:type="dxa"/>
                </w:tcPr>
                <w:p w14:paraId="21713828" w14:textId="77777777" w:rsidR="002559F4" w:rsidRDefault="002559F4" w:rsidP="002559F4">
                  <w:pPr>
                    <w:spacing w:line="276" w:lineRule="auto"/>
                    <w:jc w:val="both"/>
                    <w:rPr>
                      <w:rFonts w:eastAsia="Times New Roman"/>
                    </w:rPr>
                  </w:pPr>
                </w:p>
              </w:tc>
            </w:tr>
            <w:tr w:rsidR="002559F4" w14:paraId="5F15272D" w14:textId="77777777" w:rsidTr="002559F4">
              <w:tc>
                <w:tcPr>
                  <w:tcW w:w="562" w:type="dxa"/>
                </w:tcPr>
                <w:p w14:paraId="5C29AABA" w14:textId="77777777" w:rsidR="002559F4" w:rsidRDefault="002559F4" w:rsidP="002559F4">
                  <w:pPr>
                    <w:spacing w:line="276" w:lineRule="auto"/>
                    <w:jc w:val="both"/>
                    <w:rPr>
                      <w:rFonts w:eastAsia="Times New Roman"/>
                    </w:rPr>
                  </w:pPr>
                </w:p>
              </w:tc>
              <w:tc>
                <w:tcPr>
                  <w:tcW w:w="567" w:type="dxa"/>
                </w:tcPr>
                <w:p w14:paraId="45878B12" w14:textId="77777777" w:rsidR="002559F4" w:rsidRDefault="002559F4" w:rsidP="002559F4">
                  <w:pPr>
                    <w:spacing w:line="276" w:lineRule="auto"/>
                    <w:jc w:val="both"/>
                    <w:rPr>
                      <w:rFonts w:eastAsia="Times New Roman"/>
                    </w:rPr>
                  </w:pPr>
                </w:p>
              </w:tc>
              <w:tc>
                <w:tcPr>
                  <w:tcW w:w="5865" w:type="dxa"/>
                </w:tcPr>
                <w:p w14:paraId="7BEF01C9" w14:textId="77777777" w:rsidR="002559F4" w:rsidRDefault="002559F4" w:rsidP="002559F4">
                  <w:pPr>
                    <w:spacing w:line="276" w:lineRule="auto"/>
                    <w:jc w:val="both"/>
                    <w:rPr>
                      <w:rFonts w:eastAsia="Times New Roman"/>
                    </w:rPr>
                  </w:pPr>
                  <w:r>
                    <w:rPr>
                      <w:rFonts w:eastAsia="Times New Roman"/>
                    </w:rPr>
                    <w:t>U</w:t>
                  </w:r>
                  <w:r w:rsidRPr="007C6514">
                    <w:rPr>
                      <w:rFonts w:eastAsia="Times New Roman"/>
                    </w:rPr>
                    <w:t>spostavljanja pravne i druge zaštite prava žena</w:t>
                  </w:r>
                  <w:r>
                    <w:rPr>
                      <w:rFonts w:eastAsia="Times New Roman"/>
                    </w:rPr>
                    <w:t xml:space="preserve"> i osoba drugačijih polnih i rodnih identiteta </w:t>
                  </w:r>
                  <w:r w:rsidRPr="007C6514">
                    <w:rPr>
                      <w:rFonts w:eastAsia="Times New Roman"/>
                    </w:rPr>
                    <w:t xml:space="preserve"> </w:t>
                  </w:r>
                </w:p>
              </w:tc>
              <w:tc>
                <w:tcPr>
                  <w:tcW w:w="2016" w:type="dxa"/>
                </w:tcPr>
                <w:p w14:paraId="1B246A77" w14:textId="77777777" w:rsidR="002559F4" w:rsidRDefault="002559F4" w:rsidP="002559F4">
                  <w:pPr>
                    <w:spacing w:line="276" w:lineRule="auto"/>
                    <w:jc w:val="both"/>
                    <w:rPr>
                      <w:rFonts w:eastAsia="Times New Roman"/>
                    </w:rPr>
                  </w:pPr>
                </w:p>
              </w:tc>
            </w:tr>
            <w:tr w:rsidR="002559F4" w14:paraId="0B851B06" w14:textId="77777777" w:rsidTr="002559F4">
              <w:tc>
                <w:tcPr>
                  <w:tcW w:w="562" w:type="dxa"/>
                </w:tcPr>
                <w:p w14:paraId="498CE248" w14:textId="77777777" w:rsidR="002559F4" w:rsidRDefault="002559F4" w:rsidP="002559F4">
                  <w:pPr>
                    <w:spacing w:line="276" w:lineRule="auto"/>
                    <w:jc w:val="both"/>
                    <w:rPr>
                      <w:rFonts w:eastAsia="Times New Roman"/>
                    </w:rPr>
                  </w:pPr>
                </w:p>
              </w:tc>
              <w:tc>
                <w:tcPr>
                  <w:tcW w:w="567" w:type="dxa"/>
                </w:tcPr>
                <w:p w14:paraId="3CD1C471" w14:textId="77777777" w:rsidR="002559F4" w:rsidRDefault="002559F4" w:rsidP="002559F4">
                  <w:pPr>
                    <w:spacing w:line="276" w:lineRule="auto"/>
                    <w:jc w:val="both"/>
                    <w:rPr>
                      <w:rFonts w:eastAsia="Times New Roman"/>
                    </w:rPr>
                  </w:pPr>
                </w:p>
              </w:tc>
              <w:tc>
                <w:tcPr>
                  <w:tcW w:w="5865" w:type="dxa"/>
                </w:tcPr>
                <w:p w14:paraId="5669E62F" w14:textId="77777777" w:rsidR="002559F4" w:rsidRDefault="002559F4" w:rsidP="002559F4">
                  <w:pPr>
                    <w:spacing w:line="276" w:lineRule="auto"/>
                    <w:jc w:val="both"/>
                    <w:rPr>
                      <w:rFonts w:eastAsia="Times New Roman"/>
                    </w:rPr>
                  </w:pPr>
                  <w:r>
                    <w:rPr>
                      <w:rFonts w:eastAsia="Times New Roman"/>
                    </w:rPr>
                    <w:t>J</w:t>
                  </w:r>
                  <w:r w:rsidRPr="007C6514">
                    <w:rPr>
                      <w:rFonts w:eastAsia="Times New Roman"/>
                    </w:rPr>
                    <w:t>ačanja uloge žena u donošenju odluka</w:t>
                  </w:r>
                </w:p>
              </w:tc>
              <w:tc>
                <w:tcPr>
                  <w:tcW w:w="2016" w:type="dxa"/>
                </w:tcPr>
                <w:p w14:paraId="37B08FB0" w14:textId="77777777" w:rsidR="002559F4" w:rsidRDefault="002559F4" w:rsidP="002559F4">
                  <w:pPr>
                    <w:spacing w:line="276" w:lineRule="auto"/>
                    <w:jc w:val="both"/>
                    <w:rPr>
                      <w:rFonts w:eastAsia="Times New Roman"/>
                    </w:rPr>
                  </w:pPr>
                </w:p>
              </w:tc>
            </w:tr>
            <w:tr w:rsidR="002559F4" w14:paraId="441E9C69" w14:textId="77777777" w:rsidTr="002559F4">
              <w:tc>
                <w:tcPr>
                  <w:tcW w:w="562" w:type="dxa"/>
                </w:tcPr>
                <w:p w14:paraId="0C6A5E9E" w14:textId="77777777" w:rsidR="002559F4" w:rsidRDefault="002559F4" w:rsidP="002559F4">
                  <w:pPr>
                    <w:spacing w:line="276" w:lineRule="auto"/>
                    <w:jc w:val="both"/>
                    <w:rPr>
                      <w:rFonts w:eastAsia="Times New Roman"/>
                    </w:rPr>
                  </w:pPr>
                </w:p>
              </w:tc>
              <w:tc>
                <w:tcPr>
                  <w:tcW w:w="567" w:type="dxa"/>
                </w:tcPr>
                <w:p w14:paraId="67BC9808" w14:textId="77777777" w:rsidR="002559F4" w:rsidRDefault="002559F4" w:rsidP="002559F4">
                  <w:pPr>
                    <w:spacing w:line="276" w:lineRule="auto"/>
                    <w:jc w:val="both"/>
                    <w:rPr>
                      <w:rFonts w:eastAsia="Times New Roman"/>
                    </w:rPr>
                  </w:pPr>
                </w:p>
              </w:tc>
              <w:tc>
                <w:tcPr>
                  <w:tcW w:w="5865" w:type="dxa"/>
                </w:tcPr>
                <w:p w14:paraId="4921536E" w14:textId="77777777" w:rsidR="002559F4" w:rsidRDefault="002559F4" w:rsidP="002559F4">
                  <w:pPr>
                    <w:spacing w:line="276" w:lineRule="auto"/>
                    <w:jc w:val="both"/>
                    <w:rPr>
                      <w:rFonts w:eastAsia="Times New Roman"/>
                    </w:rPr>
                  </w:pPr>
                  <w:r>
                    <w:rPr>
                      <w:rFonts w:eastAsia="Times New Roman"/>
                    </w:rPr>
                    <w:t>P</w:t>
                  </w:r>
                  <w:r w:rsidRPr="007C6514">
                    <w:rPr>
                      <w:rFonts w:eastAsia="Times New Roman"/>
                    </w:rPr>
                    <w:t>ovećanja pristupa žena resursima i njihovoj kontroli</w:t>
                  </w:r>
                </w:p>
              </w:tc>
              <w:tc>
                <w:tcPr>
                  <w:tcW w:w="2016" w:type="dxa"/>
                </w:tcPr>
                <w:p w14:paraId="1E8A8BB7" w14:textId="77777777" w:rsidR="002559F4" w:rsidRDefault="002559F4" w:rsidP="002559F4">
                  <w:pPr>
                    <w:spacing w:line="276" w:lineRule="auto"/>
                    <w:jc w:val="both"/>
                    <w:rPr>
                      <w:rFonts w:eastAsia="Times New Roman"/>
                    </w:rPr>
                  </w:pPr>
                </w:p>
              </w:tc>
            </w:tr>
            <w:tr w:rsidR="002559F4" w14:paraId="0C622701" w14:textId="77777777" w:rsidTr="002559F4">
              <w:tc>
                <w:tcPr>
                  <w:tcW w:w="562" w:type="dxa"/>
                </w:tcPr>
                <w:p w14:paraId="65633312" w14:textId="77777777" w:rsidR="002559F4" w:rsidRDefault="002559F4" w:rsidP="002559F4">
                  <w:pPr>
                    <w:spacing w:line="276" w:lineRule="auto"/>
                    <w:jc w:val="both"/>
                    <w:rPr>
                      <w:rFonts w:eastAsia="Times New Roman"/>
                    </w:rPr>
                  </w:pPr>
                </w:p>
              </w:tc>
              <w:tc>
                <w:tcPr>
                  <w:tcW w:w="567" w:type="dxa"/>
                </w:tcPr>
                <w:p w14:paraId="29AB2BF5" w14:textId="77777777" w:rsidR="002559F4" w:rsidRDefault="002559F4" w:rsidP="002559F4">
                  <w:pPr>
                    <w:spacing w:line="276" w:lineRule="auto"/>
                    <w:jc w:val="both"/>
                    <w:rPr>
                      <w:rFonts w:eastAsia="Times New Roman"/>
                    </w:rPr>
                  </w:pPr>
                </w:p>
              </w:tc>
              <w:tc>
                <w:tcPr>
                  <w:tcW w:w="5865" w:type="dxa"/>
                </w:tcPr>
                <w:p w14:paraId="26C2177E" w14:textId="77777777" w:rsidR="002559F4" w:rsidRDefault="002559F4" w:rsidP="002559F4">
                  <w:pPr>
                    <w:spacing w:line="276" w:lineRule="auto"/>
                    <w:jc w:val="both"/>
                    <w:rPr>
                      <w:rFonts w:eastAsia="Times New Roman"/>
                    </w:rPr>
                  </w:pPr>
                  <w:r>
                    <w:rPr>
                      <w:rFonts w:eastAsia="Times New Roman"/>
                    </w:rPr>
                    <w:t>Doprinosa osnaživanju žena i osoba drugačijih polnih i rodnih identiteta</w:t>
                  </w:r>
                </w:p>
              </w:tc>
              <w:tc>
                <w:tcPr>
                  <w:tcW w:w="2016" w:type="dxa"/>
                </w:tcPr>
                <w:p w14:paraId="7F0C0D2B" w14:textId="77777777" w:rsidR="002559F4" w:rsidRDefault="002559F4" w:rsidP="002559F4">
                  <w:pPr>
                    <w:spacing w:line="276" w:lineRule="auto"/>
                    <w:jc w:val="both"/>
                    <w:rPr>
                      <w:rFonts w:eastAsia="Times New Roman"/>
                    </w:rPr>
                  </w:pPr>
                </w:p>
              </w:tc>
            </w:tr>
            <w:tr w:rsidR="002559F4" w14:paraId="2DBB3A1E" w14:textId="77777777" w:rsidTr="002559F4">
              <w:tc>
                <w:tcPr>
                  <w:tcW w:w="562" w:type="dxa"/>
                </w:tcPr>
                <w:p w14:paraId="2C7F18EC" w14:textId="77777777" w:rsidR="002559F4" w:rsidRDefault="002559F4" w:rsidP="002559F4">
                  <w:pPr>
                    <w:spacing w:line="276" w:lineRule="auto"/>
                    <w:jc w:val="both"/>
                    <w:rPr>
                      <w:rFonts w:eastAsia="Times New Roman"/>
                    </w:rPr>
                  </w:pPr>
                </w:p>
              </w:tc>
              <w:tc>
                <w:tcPr>
                  <w:tcW w:w="567" w:type="dxa"/>
                </w:tcPr>
                <w:p w14:paraId="22EBDB1F" w14:textId="77777777" w:rsidR="002559F4" w:rsidRDefault="002559F4" w:rsidP="002559F4">
                  <w:pPr>
                    <w:spacing w:line="276" w:lineRule="auto"/>
                    <w:jc w:val="both"/>
                    <w:rPr>
                      <w:rFonts w:eastAsia="Times New Roman"/>
                    </w:rPr>
                  </w:pPr>
                </w:p>
              </w:tc>
              <w:tc>
                <w:tcPr>
                  <w:tcW w:w="5865" w:type="dxa"/>
                </w:tcPr>
                <w:p w14:paraId="4D41EF61" w14:textId="77777777" w:rsidR="002559F4" w:rsidRDefault="002559F4" w:rsidP="002559F4">
                  <w:pPr>
                    <w:spacing w:line="276" w:lineRule="auto"/>
                    <w:jc w:val="both"/>
                    <w:rPr>
                      <w:rFonts w:eastAsia="Times New Roman"/>
                    </w:rPr>
                  </w:pPr>
                  <w:r>
                    <w:rPr>
                      <w:rFonts w:eastAsia="Times New Roman"/>
                    </w:rPr>
                    <w:t>Uvođenja afirmativnih mjera i privremenih mjera za postizanje rodne ravnopravnosti (kvote i sl.)</w:t>
                  </w:r>
                </w:p>
              </w:tc>
              <w:tc>
                <w:tcPr>
                  <w:tcW w:w="2016" w:type="dxa"/>
                </w:tcPr>
                <w:p w14:paraId="75894223" w14:textId="77777777" w:rsidR="002559F4" w:rsidRDefault="002559F4" w:rsidP="002559F4">
                  <w:pPr>
                    <w:spacing w:line="276" w:lineRule="auto"/>
                    <w:jc w:val="both"/>
                    <w:rPr>
                      <w:rFonts w:eastAsia="Times New Roman"/>
                    </w:rPr>
                  </w:pPr>
                </w:p>
              </w:tc>
            </w:tr>
          </w:tbl>
          <w:p w14:paraId="02B15F0D" w14:textId="77777777" w:rsidR="002559F4" w:rsidRDefault="002559F4" w:rsidP="002559F4">
            <w:pPr>
              <w:spacing w:line="276" w:lineRule="auto"/>
              <w:jc w:val="both"/>
              <w:rPr>
                <w:rFonts w:eastAsia="Times New Roman"/>
              </w:rPr>
            </w:pPr>
          </w:p>
          <w:p w14:paraId="69983A81" w14:textId="77777777" w:rsidR="002559F4" w:rsidRDefault="002559F4" w:rsidP="002559F4">
            <w:pPr>
              <w:spacing w:line="276" w:lineRule="auto"/>
              <w:jc w:val="both"/>
              <w:rPr>
                <w:lang w:val="uz-Cyrl-UZ"/>
              </w:rPr>
            </w:pPr>
            <w:r>
              <w:rPr>
                <w:lang w:val="uz-Cyrl-UZ"/>
              </w:rPr>
              <w:t xml:space="preserve">7. </w:t>
            </w:r>
            <w:r w:rsidRPr="006242BA">
              <w:rPr>
                <w:lang w:val="uz-Cyrl-UZ"/>
              </w:rPr>
              <w:t>Da li postoji plan praćenja primjene Zakona sa aspekta očekivanog doprinosa za unapređenje rodne ravnopravnost</w:t>
            </w:r>
            <w:r>
              <w:rPr>
                <w:lang w:val="uz-Cyrl-UZ"/>
              </w:rPr>
              <w:t xml:space="preserve">i? Ako je odgovor "da", navedite na koji način. </w:t>
            </w:r>
          </w:p>
          <w:tbl>
            <w:tblPr>
              <w:tblStyle w:val="TableGrid"/>
              <w:tblW w:w="0" w:type="auto"/>
              <w:tblLook w:val="04A0" w:firstRow="1" w:lastRow="0" w:firstColumn="1" w:lastColumn="0" w:noHBand="0" w:noVBand="1"/>
            </w:tblPr>
            <w:tblGrid>
              <w:gridCol w:w="495"/>
              <w:gridCol w:w="661"/>
              <w:gridCol w:w="7628"/>
            </w:tblGrid>
            <w:tr w:rsidR="002559F4" w14:paraId="4F94C901" w14:textId="77777777" w:rsidTr="002559F4">
              <w:tc>
                <w:tcPr>
                  <w:tcW w:w="496" w:type="dxa"/>
                </w:tcPr>
                <w:p w14:paraId="10095D55" w14:textId="77777777" w:rsidR="002559F4" w:rsidRPr="006F0288" w:rsidRDefault="002559F4" w:rsidP="002559F4">
                  <w:pPr>
                    <w:spacing w:line="276" w:lineRule="auto"/>
                    <w:jc w:val="both"/>
                    <w:rPr>
                      <w:i/>
                      <w:lang w:val="uz-Cyrl-UZ"/>
                    </w:rPr>
                  </w:pPr>
                  <w:r w:rsidRPr="006F0288">
                    <w:rPr>
                      <w:i/>
                      <w:lang w:val="uz-Cyrl-UZ"/>
                    </w:rPr>
                    <w:t>Ne</w:t>
                  </w:r>
                </w:p>
              </w:tc>
              <w:tc>
                <w:tcPr>
                  <w:tcW w:w="667" w:type="dxa"/>
                </w:tcPr>
                <w:p w14:paraId="524E30AA" w14:textId="77777777" w:rsidR="002559F4" w:rsidRPr="006F0288" w:rsidRDefault="002559F4" w:rsidP="002559F4">
                  <w:pPr>
                    <w:spacing w:line="276" w:lineRule="auto"/>
                    <w:jc w:val="both"/>
                    <w:rPr>
                      <w:i/>
                      <w:lang w:val="uz-Cyrl-UZ"/>
                    </w:rPr>
                  </w:pPr>
                  <w:r w:rsidRPr="006F0288">
                    <w:rPr>
                      <w:i/>
                      <w:lang w:val="uz-Cyrl-UZ"/>
                    </w:rPr>
                    <w:t xml:space="preserve">Da </w:t>
                  </w:r>
                </w:p>
              </w:tc>
              <w:tc>
                <w:tcPr>
                  <w:tcW w:w="7847" w:type="dxa"/>
                </w:tcPr>
                <w:p w14:paraId="1CADB8BC" w14:textId="77777777" w:rsidR="002559F4" w:rsidRPr="006F0288" w:rsidRDefault="002559F4" w:rsidP="002559F4">
                  <w:pPr>
                    <w:spacing w:line="276" w:lineRule="auto"/>
                    <w:jc w:val="both"/>
                    <w:rPr>
                      <w:i/>
                      <w:lang w:val="uz-Cyrl-UZ"/>
                    </w:rPr>
                  </w:pPr>
                  <w:r w:rsidRPr="006F0288">
                    <w:rPr>
                      <w:i/>
                      <w:lang w:val="uz-Cyrl-UZ"/>
                    </w:rPr>
                    <w:t>Na koji način</w:t>
                  </w:r>
                </w:p>
              </w:tc>
            </w:tr>
            <w:tr w:rsidR="002559F4" w14:paraId="4EF08037" w14:textId="77777777" w:rsidTr="002559F4">
              <w:tc>
                <w:tcPr>
                  <w:tcW w:w="496" w:type="dxa"/>
                </w:tcPr>
                <w:p w14:paraId="19F01ADC" w14:textId="77777777" w:rsidR="002559F4" w:rsidRDefault="002559F4" w:rsidP="002559F4">
                  <w:pPr>
                    <w:spacing w:line="276" w:lineRule="auto"/>
                    <w:jc w:val="both"/>
                    <w:rPr>
                      <w:lang w:val="uz-Cyrl-UZ"/>
                    </w:rPr>
                  </w:pPr>
                </w:p>
              </w:tc>
              <w:tc>
                <w:tcPr>
                  <w:tcW w:w="667" w:type="dxa"/>
                </w:tcPr>
                <w:p w14:paraId="2B432830" w14:textId="77777777" w:rsidR="002559F4" w:rsidRDefault="002559F4" w:rsidP="002559F4">
                  <w:pPr>
                    <w:spacing w:line="276" w:lineRule="auto"/>
                    <w:jc w:val="both"/>
                    <w:rPr>
                      <w:lang w:val="uz-Cyrl-UZ"/>
                    </w:rPr>
                  </w:pPr>
                </w:p>
              </w:tc>
              <w:tc>
                <w:tcPr>
                  <w:tcW w:w="7847" w:type="dxa"/>
                </w:tcPr>
                <w:p w14:paraId="4A69911A" w14:textId="77777777" w:rsidR="002559F4" w:rsidRDefault="002559F4" w:rsidP="002559F4">
                  <w:pPr>
                    <w:spacing w:line="276" w:lineRule="auto"/>
                    <w:jc w:val="both"/>
                    <w:rPr>
                      <w:lang w:val="uz-Cyrl-UZ"/>
                    </w:rPr>
                  </w:pPr>
                </w:p>
              </w:tc>
            </w:tr>
          </w:tbl>
          <w:p w14:paraId="7B739BCA" w14:textId="77777777" w:rsidR="002559F4" w:rsidRPr="006242BA" w:rsidRDefault="002559F4" w:rsidP="002559F4">
            <w:pPr>
              <w:spacing w:line="276" w:lineRule="auto"/>
              <w:jc w:val="both"/>
            </w:pPr>
            <w:r w:rsidRPr="006242BA">
              <w:rPr>
                <w:lang w:val="uz-Cyrl-UZ"/>
              </w:rPr>
              <w:t xml:space="preserve"> </w:t>
            </w:r>
          </w:p>
          <w:p w14:paraId="1D2C7E1C" w14:textId="77777777" w:rsidR="002559F4" w:rsidRDefault="002559F4" w:rsidP="002559F4">
            <w:pPr>
              <w:spacing w:line="276" w:lineRule="auto"/>
              <w:jc w:val="both"/>
              <w:rPr>
                <w:lang w:val="sr-Latn-ME" w:eastAsia="en-GB"/>
              </w:rPr>
            </w:pPr>
            <w:r>
              <w:t xml:space="preserve">8. Da li je u tekstu zakona korišćen rodno senzitivni jezik? (Napomena: </w:t>
            </w:r>
            <w:r>
              <w:rPr>
                <w:lang w:val="sr-Latn-ME" w:eastAsia="en-GB"/>
              </w:rPr>
              <w:t>ukoliko u tekstu zakona</w:t>
            </w:r>
            <w:r w:rsidRPr="009A243E">
              <w:rPr>
                <w:lang w:val="sr-Latn-ME" w:eastAsia="en-GB"/>
              </w:rPr>
              <w:t xml:space="preserve">, umjesto rodno senzitivnog jezika, postoji samo formulacija "svi izrazi u muškom rodu odnose se </w:t>
            </w:r>
            <w:r>
              <w:rPr>
                <w:lang w:val="sr-Latn-ME" w:eastAsia="en-GB"/>
              </w:rPr>
              <w:t>i na ženski rod", takav zakon</w:t>
            </w:r>
            <w:r w:rsidRPr="009A243E">
              <w:rPr>
                <w:lang w:val="sr-Latn-ME" w:eastAsia="en-GB"/>
              </w:rPr>
              <w:t xml:space="preserve"> se smatra rodno nesenzitivnim)</w:t>
            </w:r>
          </w:p>
          <w:tbl>
            <w:tblPr>
              <w:tblStyle w:val="TableGrid"/>
              <w:tblW w:w="0" w:type="auto"/>
              <w:tblLook w:val="04A0" w:firstRow="1" w:lastRow="0" w:firstColumn="1" w:lastColumn="0" w:noHBand="0" w:noVBand="1"/>
            </w:tblPr>
            <w:tblGrid>
              <w:gridCol w:w="923"/>
              <w:gridCol w:w="954"/>
              <w:gridCol w:w="6907"/>
            </w:tblGrid>
            <w:tr w:rsidR="002559F4" w14:paraId="0E11E4AB" w14:textId="77777777" w:rsidTr="002559F4">
              <w:tc>
                <w:tcPr>
                  <w:tcW w:w="923" w:type="dxa"/>
                </w:tcPr>
                <w:p w14:paraId="4EEEB709" w14:textId="77777777" w:rsidR="002559F4" w:rsidRDefault="002559F4" w:rsidP="002559F4">
                  <w:pPr>
                    <w:spacing w:line="276" w:lineRule="auto"/>
                    <w:jc w:val="both"/>
                    <w:rPr>
                      <w:lang w:val="sr-Latn-ME" w:eastAsia="en-GB"/>
                    </w:rPr>
                  </w:pPr>
                  <w:r>
                    <w:rPr>
                      <w:lang w:val="sr-Latn-ME" w:eastAsia="en-GB"/>
                    </w:rPr>
                    <w:t>Ne</w:t>
                  </w:r>
                </w:p>
              </w:tc>
              <w:tc>
                <w:tcPr>
                  <w:tcW w:w="954" w:type="dxa"/>
                </w:tcPr>
                <w:p w14:paraId="36F0BD52" w14:textId="77777777" w:rsidR="002559F4" w:rsidRDefault="002559F4" w:rsidP="002559F4">
                  <w:pPr>
                    <w:spacing w:line="276" w:lineRule="auto"/>
                    <w:jc w:val="both"/>
                    <w:rPr>
                      <w:lang w:val="sr-Latn-ME" w:eastAsia="en-GB"/>
                    </w:rPr>
                  </w:pPr>
                  <w:r>
                    <w:rPr>
                      <w:lang w:val="sr-Latn-ME" w:eastAsia="en-GB"/>
                    </w:rPr>
                    <w:t>Da</w:t>
                  </w:r>
                </w:p>
              </w:tc>
              <w:tc>
                <w:tcPr>
                  <w:tcW w:w="6907" w:type="dxa"/>
                </w:tcPr>
                <w:p w14:paraId="4C9BBF97" w14:textId="77777777" w:rsidR="002559F4" w:rsidRDefault="002559F4" w:rsidP="002559F4">
                  <w:pPr>
                    <w:spacing w:line="276" w:lineRule="auto"/>
                    <w:jc w:val="both"/>
                    <w:rPr>
                      <w:lang w:val="sr-Latn-ME" w:eastAsia="en-GB"/>
                    </w:rPr>
                  </w:pPr>
                  <w:r>
                    <w:rPr>
                      <w:lang w:val="sr-Latn-ME" w:eastAsia="en-GB"/>
                    </w:rPr>
                    <w:t>Komentar</w:t>
                  </w:r>
                </w:p>
              </w:tc>
            </w:tr>
            <w:tr w:rsidR="002559F4" w14:paraId="74CB2855" w14:textId="77777777" w:rsidTr="002559F4">
              <w:tc>
                <w:tcPr>
                  <w:tcW w:w="923" w:type="dxa"/>
                </w:tcPr>
                <w:p w14:paraId="5F7E1B4F" w14:textId="77777777" w:rsidR="002559F4" w:rsidRDefault="002559F4" w:rsidP="002559F4">
                  <w:pPr>
                    <w:spacing w:line="276" w:lineRule="auto"/>
                    <w:jc w:val="both"/>
                    <w:rPr>
                      <w:lang w:val="sr-Latn-ME" w:eastAsia="en-GB"/>
                    </w:rPr>
                  </w:pPr>
                </w:p>
              </w:tc>
              <w:tc>
                <w:tcPr>
                  <w:tcW w:w="954" w:type="dxa"/>
                </w:tcPr>
                <w:p w14:paraId="03EA7F78" w14:textId="77777777" w:rsidR="002559F4" w:rsidRDefault="002559F4" w:rsidP="002559F4">
                  <w:pPr>
                    <w:spacing w:line="276" w:lineRule="auto"/>
                    <w:jc w:val="both"/>
                    <w:rPr>
                      <w:lang w:val="sr-Latn-ME" w:eastAsia="en-GB"/>
                    </w:rPr>
                  </w:pPr>
                </w:p>
              </w:tc>
              <w:tc>
                <w:tcPr>
                  <w:tcW w:w="6907" w:type="dxa"/>
                </w:tcPr>
                <w:p w14:paraId="5628C2EF" w14:textId="77777777" w:rsidR="002559F4" w:rsidRDefault="002559F4" w:rsidP="002559F4">
                  <w:pPr>
                    <w:spacing w:line="276" w:lineRule="auto"/>
                    <w:jc w:val="both"/>
                    <w:rPr>
                      <w:lang w:val="sr-Latn-ME" w:eastAsia="en-GB"/>
                    </w:rPr>
                  </w:pPr>
                </w:p>
              </w:tc>
            </w:tr>
          </w:tbl>
          <w:p w14:paraId="30D73918" w14:textId="77777777" w:rsidR="002559F4" w:rsidRDefault="002559F4" w:rsidP="002559F4">
            <w:pPr>
              <w:spacing w:line="276" w:lineRule="auto"/>
              <w:jc w:val="both"/>
              <w:rPr>
                <w:lang w:val="sr-Latn-ME" w:eastAsia="en-GB"/>
              </w:rPr>
            </w:pPr>
          </w:p>
          <w:p w14:paraId="4BB61D11" w14:textId="77777777" w:rsidR="002559F4" w:rsidRDefault="002559F4" w:rsidP="002559F4">
            <w:pPr>
              <w:spacing w:line="276" w:lineRule="auto"/>
              <w:jc w:val="both"/>
            </w:pPr>
            <w:r>
              <w:t>Dodatni komentari i sugestije (opciono):</w:t>
            </w:r>
          </w:p>
          <w:tbl>
            <w:tblPr>
              <w:tblStyle w:val="TableGrid"/>
              <w:tblW w:w="0" w:type="auto"/>
              <w:tblLook w:val="04A0" w:firstRow="1" w:lastRow="0" w:firstColumn="1" w:lastColumn="0" w:noHBand="0" w:noVBand="1"/>
            </w:tblPr>
            <w:tblGrid>
              <w:gridCol w:w="8784"/>
            </w:tblGrid>
            <w:tr w:rsidR="002559F4" w14:paraId="3B5F5BC9" w14:textId="77777777" w:rsidTr="002559F4">
              <w:tc>
                <w:tcPr>
                  <w:tcW w:w="8784" w:type="dxa"/>
                </w:tcPr>
                <w:p w14:paraId="2485FCBB" w14:textId="77777777" w:rsidR="002559F4" w:rsidRDefault="002559F4" w:rsidP="002559F4">
                  <w:pPr>
                    <w:spacing w:line="276" w:lineRule="auto"/>
                    <w:jc w:val="both"/>
                  </w:pPr>
                </w:p>
                <w:p w14:paraId="433D4675" w14:textId="77777777" w:rsidR="002559F4" w:rsidRDefault="002559F4" w:rsidP="002559F4">
                  <w:pPr>
                    <w:spacing w:line="276" w:lineRule="auto"/>
                    <w:jc w:val="both"/>
                  </w:pPr>
                </w:p>
                <w:p w14:paraId="20C4DD02" w14:textId="77777777" w:rsidR="002559F4" w:rsidRDefault="002559F4" w:rsidP="002559F4">
                  <w:pPr>
                    <w:spacing w:line="276" w:lineRule="auto"/>
                    <w:jc w:val="both"/>
                  </w:pPr>
                </w:p>
              </w:tc>
            </w:tr>
            <w:tr w:rsidR="002559F4" w14:paraId="42B2FF96" w14:textId="77777777" w:rsidTr="002559F4">
              <w:tc>
                <w:tcPr>
                  <w:tcW w:w="8784" w:type="dxa"/>
                </w:tcPr>
                <w:p w14:paraId="5451017D" w14:textId="77777777" w:rsidR="002559F4" w:rsidRDefault="002559F4" w:rsidP="002559F4">
                  <w:pPr>
                    <w:spacing w:line="276" w:lineRule="auto"/>
                    <w:jc w:val="both"/>
                  </w:pPr>
                </w:p>
              </w:tc>
            </w:tr>
          </w:tbl>
          <w:p w14:paraId="6803FBE6" w14:textId="77777777" w:rsidR="002559F4" w:rsidRDefault="002559F4" w:rsidP="002559F4">
            <w:pPr>
              <w:spacing w:line="276" w:lineRule="auto"/>
              <w:jc w:val="both"/>
            </w:pPr>
          </w:p>
        </w:tc>
      </w:tr>
    </w:tbl>
    <w:p w14:paraId="7847D85F" w14:textId="77777777" w:rsidR="009D5CC5" w:rsidRDefault="009D5CC5" w:rsidP="002559F4">
      <w:pPr>
        <w:jc w:val="both"/>
        <w:rPr>
          <w:noProof/>
          <w:lang w:val="hr-HR"/>
        </w:rPr>
      </w:pPr>
    </w:p>
    <w:p w14:paraId="7908485C" w14:textId="77777777" w:rsidR="007F7C42" w:rsidRDefault="007F7C42" w:rsidP="002559F4">
      <w:pPr>
        <w:jc w:val="both"/>
        <w:rPr>
          <w:noProof/>
          <w:lang w:val="hr-HR"/>
        </w:rPr>
      </w:pPr>
    </w:p>
    <w:p w14:paraId="4DCCE6D6" w14:textId="77777777" w:rsidR="007F7C42" w:rsidRDefault="007F7C42" w:rsidP="002559F4">
      <w:pPr>
        <w:jc w:val="both"/>
        <w:rPr>
          <w:noProof/>
          <w:lang w:val="hr-HR"/>
        </w:rPr>
      </w:pPr>
    </w:p>
    <w:p w14:paraId="48C06B7F" w14:textId="77777777" w:rsidR="007F7C42" w:rsidRDefault="007F7C42" w:rsidP="002559F4">
      <w:pPr>
        <w:jc w:val="both"/>
        <w:rPr>
          <w:noProof/>
          <w:lang w:val="hr-HR"/>
        </w:rPr>
      </w:pPr>
    </w:p>
    <w:p w14:paraId="18E8B31E" w14:textId="77777777" w:rsidR="007F7C42" w:rsidRDefault="007F7C42" w:rsidP="002559F4">
      <w:pPr>
        <w:jc w:val="both"/>
        <w:rPr>
          <w:noProof/>
          <w:lang w:val="hr-HR"/>
        </w:rPr>
      </w:pPr>
    </w:p>
    <w:p w14:paraId="322C406B" w14:textId="77777777" w:rsidR="007F7C42" w:rsidRDefault="007F7C42" w:rsidP="002559F4">
      <w:pPr>
        <w:jc w:val="both"/>
        <w:rPr>
          <w:noProof/>
          <w:lang w:val="hr-HR"/>
        </w:rPr>
      </w:pPr>
    </w:p>
    <w:p w14:paraId="0B0369CA" w14:textId="417F0664" w:rsidR="002559F4" w:rsidRDefault="004B685A" w:rsidP="00A11649">
      <w:pPr>
        <w:pStyle w:val="Heading2"/>
        <w:rPr>
          <w:noProof/>
          <w:lang w:val="hr-HR"/>
        </w:rPr>
      </w:pPr>
      <w:bookmarkStart w:id="7" w:name="_Toc100339529"/>
      <w:r>
        <w:rPr>
          <w:noProof/>
          <w:lang w:val="hr-HR"/>
        </w:rPr>
        <w:lastRenderedPageBreak/>
        <w:t xml:space="preserve">III </w:t>
      </w:r>
      <w:r w:rsidR="002559F4">
        <w:rPr>
          <w:noProof/>
          <w:lang w:val="hr-HR"/>
        </w:rPr>
        <w:t>Procjena orodnjenosti važećih strateških dokumenata</w:t>
      </w:r>
      <w:bookmarkEnd w:id="7"/>
    </w:p>
    <w:p w14:paraId="4B8D73DC" w14:textId="77777777" w:rsidR="00A11649" w:rsidRPr="00A11649" w:rsidRDefault="00A11649" w:rsidP="00A11649"/>
    <w:p w14:paraId="605B1FC5" w14:textId="2DE88B74" w:rsidR="002559F4" w:rsidRDefault="002559F4" w:rsidP="002559F4">
      <w:pPr>
        <w:jc w:val="both"/>
        <w:rPr>
          <w:noProof/>
          <w:lang w:val="hr-HR"/>
        </w:rPr>
      </w:pPr>
      <w:r>
        <w:rPr>
          <w:noProof/>
          <w:lang w:val="hr-HR"/>
        </w:rPr>
        <w:t xml:space="preserve">Instrument za procjenu orodnjenosti strateških dokumenata testiran je na strateškim dokumentima za koja je u periodu pripreme </w:t>
      </w:r>
      <w:r>
        <w:rPr>
          <w:i/>
          <w:iCs/>
          <w:noProof/>
          <w:lang w:val="hr-HR"/>
        </w:rPr>
        <w:t xml:space="preserve">Strategije rodne ravnopravnosti </w:t>
      </w:r>
      <w:r>
        <w:rPr>
          <w:noProof/>
          <w:lang w:val="hr-HR"/>
        </w:rPr>
        <w:t>za period 2021-2025. godine preliminarno ocijenjeno da na bilo koji način uključuju dimenziju rodne ravnopravnosti u s</w:t>
      </w:r>
      <w:r w:rsidR="009D5CC5">
        <w:rPr>
          <w:noProof/>
          <w:lang w:val="hr-HR"/>
        </w:rPr>
        <w:t>voj tekst. Tom prilikom je za 2</w:t>
      </w:r>
      <w:r w:rsidR="00685411">
        <w:rPr>
          <w:noProof/>
          <w:lang w:val="hr-HR"/>
        </w:rPr>
        <w:t>6</w:t>
      </w:r>
      <w:r>
        <w:rPr>
          <w:noProof/>
          <w:lang w:val="hr-HR"/>
        </w:rPr>
        <w:t xml:space="preserve"> dokumenata ocijenjeno da bar u određenoj mjeri sadrže rodno senzitivne elemente. Od tih 26, u međuvremenu je isteklo 11, a donešeno novih 11 strateških dokumenata. To čini zbir od 26 dokumenata koji su uključeni u ovu analizu.</w:t>
      </w:r>
    </w:p>
    <w:p w14:paraId="09006B16" w14:textId="77777777" w:rsidR="002559F4" w:rsidRDefault="002559F4" w:rsidP="006734D0">
      <w:pPr>
        <w:jc w:val="both"/>
        <w:rPr>
          <w:noProof/>
          <w:lang w:val="hr-HR"/>
        </w:rPr>
      </w:pPr>
      <w:r>
        <w:rPr>
          <w:noProof/>
          <w:lang w:val="hr-HR"/>
        </w:rPr>
        <w:t xml:space="preserve">U nastavku teksta, svaki od njih će biti ocijenjen uz korišćenje instriumenta za procjenu orodnjenosti strateških dokumenata. </w:t>
      </w:r>
    </w:p>
    <w:p w14:paraId="3B0BA6F7" w14:textId="77777777" w:rsidR="005022DA" w:rsidRDefault="005022DA" w:rsidP="006734D0">
      <w:pPr>
        <w:jc w:val="both"/>
        <w:rPr>
          <w:noProof/>
          <w:lang w:val="hr-HR"/>
        </w:rPr>
      </w:pPr>
    </w:p>
    <w:p w14:paraId="77449E15" w14:textId="6140BF8F" w:rsidR="009D5CC5" w:rsidRDefault="009D5CC5" w:rsidP="00420CF0">
      <w:pPr>
        <w:pStyle w:val="Heading3"/>
      </w:pPr>
      <w:bookmarkStart w:id="8" w:name="_Toc100339530"/>
      <w:r>
        <w:t xml:space="preserve">1. </w:t>
      </w:r>
      <w:r w:rsidR="00A13A75" w:rsidRPr="00234104">
        <w:t>S</w:t>
      </w:r>
      <w:r w:rsidR="003B4B35" w:rsidRPr="00234104">
        <w:t>trategij</w:t>
      </w:r>
      <w:r w:rsidR="00A13A75" w:rsidRPr="00234104">
        <w:t>a</w:t>
      </w:r>
      <w:r w:rsidR="003B4B35" w:rsidRPr="00234104">
        <w:t xml:space="preserve"> za borbu protiv trgovine ljudima za period 2019-2024</w:t>
      </w:r>
      <w:bookmarkEnd w:id="8"/>
    </w:p>
    <w:p w14:paraId="0A47FBB5" w14:textId="77777777" w:rsidR="00332517" w:rsidRPr="00332517" w:rsidRDefault="00332517" w:rsidP="00332517"/>
    <w:p w14:paraId="4E71EFCE" w14:textId="5667D665" w:rsidR="005B4F1C" w:rsidRPr="007D71A2" w:rsidRDefault="0093731A" w:rsidP="00A13A75">
      <w:pPr>
        <w:jc w:val="both"/>
        <w:rPr>
          <w:lang w:val="hr-HR"/>
        </w:rPr>
      </w:pPr>
      <w:r>
        <w:rPr>
          <w:lang w:val="hr-HR"/>
        </w:rPr>
        <w:t xml:space="preserve">Osnovni ciljevi ove strategije su da </w:t>
      </w:r>
      <w:r w:rsidR="009F7921">
        <w:rPr>
          <w:lang w:val="hr-HR"/>
        </w:rPr>
        <w:t xml:space="preserve">država do 2024. godine unaprijedi efikasnost i funkcionalnost sistema radi prevencije, identifikacije, zaštite, pomoći i praćenja žrtava trgovine ljudima sa posebnim fokusom na djecu, kao i da </w:t>
      </w:r>
      <w:r w:rsidR="00A04381">
        <w:rPr>
          <w:lang w:val="hr-HR"/>
        </w:rPr>
        <w:t xml:space="preserve">unaprijedi efikasnost istraga, krivičnog gonjenja i adekvatnog kažnjavanja u skladu sa krivičnim zakonodavstvom Crne Gore. </w:t>
      </w:r>
    </w:p>
    <w:p w14:paraId="04099B1D" w14:textId="77777777" w:rsidR="005B4F1C" w:rsidRPr="007D71A2" w:rsidRDefault="005B4F1C" w:rsidP="005B4F1C">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30"/>
        <w:gridCol w:w="4569"/>
        <w:gridCol w:w="1206"/>
        <w:gridCol w:w="1263"/>
        <w:gridCol w:w="1782"/>
      </w:tblGrid>
      <w:tr w:rsidR="005B4F1C" w:rsidRPr="00AC67F2" w14:paraId="4D1E2C29"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 w:type="pct"/>
            <w:shd w:val="clear" w:color="auto" w:fill="B4C6E7" w:themeFill="accent1" w:themeFillTint="66"/>
          </w:tcPr>
          <w:p w14:paraId="7F9062E0" w14:textId="77777777" w:rsidR="005B4F1C" w:rsidRPr="00AC67F2" w:rsidRDefault="005B4F1C" w:rsidP="002559F4">
            <w:pPr>
              <w:rPr>
                <w:rFonts w:cstheme="minorHAnsi"/>
                <w:lang w:val="sr-Latn-ME"/>
              </w:rPr>
            </w:pPr>
            <w:r w:rsidRPr="00AC67F2">
              <w:rPr>
                <w:rFonts w:cstheme="minorHAnsi"/>
                <w:lang w:val="sr-Latn-ME"/>
              </w:rPr>
              <w:t>Br.</w:t>
            </w:r>
          </w:p>
        </w:tc>
        <w:tc>
          <w:tcPr>
            <w:tcW w:w="2473" w:type="pct"/>
            <w:shd w:val="clear" w:color="auto" w:fill="B4C6E7" w:themeFill="accent1" w:themeFillTint="66"/>
          </w:tcPr>
          <w:p w14:paraId="612E262E"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75" w:type="pct"/>
            <w:shd w:val="clear" w:color="auto" w:fill="B4C6E7" w:themeFill="accent1" w:themeFillTint="66"/>
          </w:tcPr>
          <w:p w14:paraId="427BA7D3"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555" w:type="pct"/>
            <w:shd w:val="clear" w:color="auto" w:fill="B4C6E7" w:themeFill="accent1" w:themeFillTint="66"/>
          </w:tcPr>
          <w:p w14:paraId="1CE21FD3" w14:textId="77777777" w:rsidR="005B4F1C" w:rsidRPr="009148DB"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83" w:type="pct"/>
            <w:shd w:val="clear" w:color="auto" w:fill="B4C6E7" w:themeFill="accent1" w:themeFillTint="66"/>
          </w:tcPr>
          <w:p w14:paraId="29EB90C9"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5B4F1C" w:rsidRPr="00AC67F2" w14:paraId="55070FFF"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19910321" w14:textId="77777777" w:rsidR="005B4F1C" w:rsidRPr="00AC67F2" w:rsidRDefault="005B4F1C" w:rsidP="002559F4">
            <w:pPr>
              <w:rPr>
                <w:rFonts w:cstheme="minorHAnsi"/>
                <w:lang w:val="sr-Latn-ME"/>
              </w:rPr>
            </w:pPr>
            <w:r w:rsidRPr="00AC67F2">
              <w:rPr>
                <w:rFonts w:cstheme="minorHAnsi"/>
                <w:lang w:val="sr-Latn-ME"/>
              </w:rPr>
              <w:t>1</w:t>
            </w:r>
            <w:r>
              <w:rPr>
                <w:rFonts w:cstheme="minorHAnsi"/>
                <w:lang w:val="sr-Latn-ME"/>
              </w:rPr>
              <w:t>.1</w:t>
            </w:r>
          </w:p>
        </w:tc>
        <w:tc>
          <w:tcPr>
            <w:tcW w:w="2473" w:type="pct"/>
          </w:tcPr>
          <w:p w14:paraId="6B31C17B" w14:textId="77777777" w:rsidR="005B4F1C" w:rsidRPr="00DA659B"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6ED88A3C"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75" w:type="pct"/>
          </w:tcPr>
          <w:p w14:paraId="043C1810"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1073BF75"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83" w:type="pct"/>
          </w:tcPr>
          <w:p w14:paraId="4384B456" w14:textId="77777777" w:rsidR="005B4F1C" w:rsidRPr="00A545D6"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545D6">
              <w:rPr>
                <w:rFonts w:cstheme="minorHAnsi"/>
                <w:sz w:val="18"/>
                <w:szCs w:val="18"/>
                <w:lang w:val="sr-Latn-ME"/>
              </w:rPr>
              <w:t xml:space="preserve">Tekst strategije ne sadrži imena niti funkcionalnu pripadnost članova i članica radne grupe. </w:t>
            </w:r>
          </w:p>
        </w:tc>
      </w:tr>
      <w:tr w:rsidR="005B4F1C" w:rsidRPr="00AC67F2" w14:paraId="14455CAA"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0AFD91CA" w14:textId="77777777" w:rsidR="005B4F1C" w:rsidRPr="00AC67F2" w:rsidRDefault="005B4F1C" w:rsidP="002559F4">
            <w:pPr>
              <w:rPr>
                <w:rFonts w:cstheme="minorHAnsi"/>
                <w:lang w:val="sr-Latn-ME"/>
              </w:rPr>
            </w:pPr>
            <w:r>
              <w:rPr>
                <w:rFonts w:cstheme="minorHAnsi"/>
                <w:lang w:val="sr-Latn-ME"/>
              </w:rPr>
              <w:t>1.2</w:t>
            </w:r>
          </w:p>
        </w:tc>
        <w:tc>
          <w:tcPr>
            <w:tcW w:w="2473" w:type="pct"/>
          </w:tcPr>
          <w:p w14:paraId="3CCEB84B" w14:textId="77777777" w:rsidR="005B4F1C"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6180DAC7"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75" w:type="pct"/>
          </w:tcPr>
          <w:p w14:paraId="2755F3B7"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27736AC8"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83" w:type="pct"/>
          </w:tcPr>
          <w:p w14:paraId="11D43015" w14:textId="77777777" w:rsidR="005B4F1C" w:rsidRPr="00A545D6"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545D6">
              <w:rPr>
                <w:rFonts w:cstheme="minorHAnsi"/>
                <w:sz w:val="18"/>
                <w:szCs w:val="18"/>
                <w:lang w:val="sr-Latn-ME"/>
              </w:rPr>
              <w:t>Tekst strategije ne sadrži podatke o tome koje su organizacije i eksperti-ekspertkinje konsultovani, mada je jedan od principa na koji se pozivaju „učešće civilnog sektora“</w:t>
            </w:r>
          </w:p>
        </w:tc>
      </w:tr>
      <w:tr w:rsidR="005B4F1C" w:rsidRPr="00AC67F2" w14:paraId="5ECCAD95" w14:textId="77777777" w:rsidTr="002559F4">
        <w:tc>
          <w:tcPr>
            <w:cnfStyle w:val="001000000000" w:firstRow="0" w:lastRow="0" w:firstColumn="1" w:lastColumn="0" w:oddVBand="0" w:evenVBand="0" w:oddHBand="0" w:evenHBand="0" w:firstRowFirstColumn="0" w:firstRowLastColumn="0" w:lastRowFirstColumn="0" w:lastRowLastColumn="0"/>
            <w:tcW w:w="2787" w:type="pct"/>
            <w:gridSpan w:val="2"/>
          </w:tcPr>
          <w:p w14:paraId="4400A0BA" w14:textId="77777777" w:rsidR="005B4F1C" w:rsidRPr="00AC67F2" w:rsidRDefault="005B4F1C" w:rsidP="002559F4">
            <w:pPr>
              <w:rPr>
                <w:rFonts w:cstheme="minorHAnsi"/>
                <w:lang w:val="sr-Latn-ME"/>
              </w:rPr>
            </w:pPr>
            <w:r>
              <w:rPr>
                <w:rFonts w:cstheme="minorHAnsi"/>
                <w:lang w:val="sr-Latn-ME"/>
              </w:rPr>
              <w:t>Ukupno</w:t>
            </w:r>
          </w:p>
        </w:tc>
        <w:tc>
          <w:tcPr>
            <w:tcW w:w="675" w:type="pct"/>
          </w:tcPr>
          <w:p w14:paraId="6722D789"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3EB3860D" w14:textId="77777777" w:rsidR="005B4F1C" w:rsidRPr="00527B8F"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83" w:type="pct"/>
          </w:tcPr>
          <w:p w14:paraId="082A6E0D" w14:textId="77777777" w:rsidR="005B4F1C" w:rsidRPr="008C09CD" w:rsidRDefault="005B4F1C"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8C09CD">
              <w:rPr>
                <w:rFonts w:cstheme="minorHAnsi"/>
                <w:b/>
                <w:bCs/>
                <w:sz w:val="28"/>
                <w:szCs w:val="28"/>
                <w:lang w:val="sr-Latn-ME"/>
              </w:rPr>
              <w:t>0</w:t>
            </w:r>
            <w:r>
              <w:rPr>
                <w:rFonts w:cstheme="minorHAnsi"/>
                <w:b/>
                <w:bCs/>
                <w:sz w:val="28"/>
                <w:szCs w:val="28"/>
              </w:rPr>
              <w:t>/2</w:t>
            </w:r>
          </w:p>
        </w:tc>
      </w:tr>
    </w:tbl>
    <w:p w14:paraId="4CA9CE8D" w14:textId="6AD3BF15" w:rsidR="005B4F1C" w:rsidRPr="00F43A6C" w:rsidRDefault="005B4F1C" w:rsidP="00F43A6C">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5B4F1C" w:rsidRPr="00AC67F2" w14:paraId="267BF008"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2965CFB7" w14:textId="77777777" w:rsidR="005B4F1C" w:rsidRPr="00AC67F2" w:rsidRDefault="005B4F1C"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41DE66D0"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0C1B1068"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05512D44"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xml:space="preserve">/Plan ne sadrži informaciju </w:t>
            </w:r>
            <w:r>
              <w:rPr>
                <w:rFonts w:cstheme="minorHAnsi"/>
                <w:lang w:val="sr-Latn-ME"/>
              </w:rPr>
              <w:lastRenderedPageBreak/>
              <w:t>na ovu temu</w:t>
            </w:r>
          </w:p>
        </w:tc>
        <w:tc>
          <w:tcPr>
            <w:tcW w:w="1393" w:type="dxa"/>
            <w:shd w:val="clear" w:color="auto" w:fill="B4C6E7" w:themeFill="accent1" w:themeFillTint="66"/>
          </w:tcPr>
          <w:p w14:paraId="1642481F"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lastRenderedPageBreak/>
              <w:t>Nije relevantno</w:t>
            </w:r>
          </w:p>
        </w:tc>
        <w:tc>
          <w:tcPr>
            <w:tcW w:w="1593" w:type="dxa"/>
            <w:shd w:val="clear" w:color="auto" w:fill="B4C6E7" w:themeFill="accent1" w:themeFillTint="66"/>
          </w:tcPr>
          <w:p w14:paraId="07D58C81"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5B4F1C" w:rsidRPr="00AC67F2" w14:paraId="1C3EF8EB"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BB41B19" w14:textId="77777777" w:rsidR="005B4F1C" w:rsidRPr="00AC67F2" w:rsidRDefault="005B4F1C"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47809720"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2B328902"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4CBED829"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50776CD8"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0976D0B" w14:textId="77777777" w:rsidR="005B4F1C" w:rsidRPr="00A71811"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Analiza stanja jasno navodi da je svega 10% angažovanih u sektoru policije ženskog pola i da se nijedna žena ne nalazi na rukovodećoj poziciji.</w:t>
            </w:r>
            <w:r w:rsidRPr="00A71811">
              <w:rPr>
                <w:rFonts w:cstheme="minorHAnsi"/>
                <w:sz w:val="18"/>
                <w:szCs w:val="18"/>
                <w:lang w:val="sr-Latn-ME"/>
              </w:rPr>
              <w:t xml:space="preserve"> </w:t>
            </w:r>
          </w:p>
        </w:tc>
      </w:tr>
      <w:tr w:rsidR="005B4F1C" w:rsidRPr="00AC67F2" w14:paraId="6CB17FB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6E01282" w14:textId="77777777" w:rsidR="005B4F1C" w:rsidRPr="00AC67F2" w:rsidRDefault="005B4F1C" w:rsidP="002559F4">
            <w:pPr>
              <w:rPr>
                <w:rFonts w:cstheme="minorHAnsi"/>
                <w:lang w:val="sr-Latn-ME"/>
              </w:rPr>
            </w:pPr>
            <w:r>
              <w:rPr>
                <w:rFonts w:cstheme="minorHAnsi"/>
                <w:lang w:val="sr-Latn-ME"/>
              </w:rPr>
              <w:t>2.2</w:t>
            </w:r>
          </w:p>
        </w:tc>
        <w:tc>
          <w:tcPr>
            <w:tcW w:w="3856" w:type="dxa"/>
          </w:tcPr>
          <w:p w14:paraId="4D32D579"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tcPr>
          <w:p w14:paraId="32347167"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20EF4C38"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174BC4FB"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0D09358" w14:textId="77777777" w:rsidR="005B4F1C" w:rsidRPr="00A71811"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71811">
              <w:rPr>
                <w:rFonts w:cstheme="minorHAnsi"/>
                <w:sz w:val="18"/>
                <w:szCs w:val="18"/>
                <w:lang w:val="sr-Latn-ME"/>
              </w:rPr>
              <w:t xml:space="preserve">Strategija ne artikuliše vezu između obrazovanja (odustanka od istog) i na primjer prisilnih i maloljetničkih brakova. </w:t>
            </w:r>
          </w:p>
        </w:tc>
      </w:tr>
      <w:tr w:rsidR="005B4F1C" w:rsidRPr="00AC67F2" w14:paraId="3D04D55C"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07D8D22" w14:textId="77777777" w:rsidR="005B4F1C" w:rsidRDefault="005B4F1C" w:rsidP="002559F4">
            <w:pPr>
              <w:rPr>
                <w:rFonts w:cstheme="minorHAnsi"/>
                <w:lang w:val="sr-Latn-ME"/>
              </w:rPr>
            </w:pPr>
            <w:r>
              <w:rPr>
                <w:rFonts w:cstheme="minorHAnsi"/>
                <w:lang w:val="sr-Latn-ME"/>
              </w:rPr>
              <w:t>2.3</w:t>
            </w:r>
          </w:p>
        </w:tc>
        <w:tc>
          <w:tcPr>
            <w:tcW w:w="3856" w:type="dxa"/>
          </w:tcPr>
          <w:p w14:paraId="1B9C42B8" w14:textId="77777777" w:rsidR="005B4F1C"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tcPr>
          <w:p w14:paraId="54B85FF0"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04564E3"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413C251E"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B68C2C5" w14:textId="77777777" w:rsidR="005B4F1C" w:rsidRPr="00A71811"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71811">
              <w:rPr>
                <w:rFonts w:cstheme="minorHAnsi"/>
                <w:sz w:val="18"/>
                <w:szCs w:val="18"/>
                <w:lang w:val="sr-Latn-ME"/>
              </w:rPr>
              <w:t xml:space="preserve">Strategija ne sadrži informacije o tome da li su mehanizmi koji se uvode jednako dostupne muškarcima i ženama. </w:t>
            </w:r>
          </w:p>
        </w:tc>
      </w:tr>
      <w:tr w:rsidR="005B4F1C" w:rsidRPr="00AC67F2" w14:paraId="603F7EF9"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D7A036F" w14:textId="77777777" w:rsidR="005B4F1C" w:rsidRPr="00AC67F2" w:rsidRDefault="005B4F1C" w:rsidP="002559F4">
            <w:pPr>
              <w:rPr>
                <w:rFonts w:cstheme="minorHAnsi"/>
                <w:lang w:val="sr-Latn-ME"/>
              </w:rPr>
            </w:pPr>
            <w:r>
              <w:rPr>
                <w:rFonts w:cstheme="minorHAnsi"/>
                <w:lang w:val="sr-Latn-ME"/>
              </w:rPr>
              <w:t>2.4</w:t>
            </w:r>
          </w:p>
        </w:tc>
        <w:tc>
          <w:tcPr>
            <w:tcW w:w="3856" w:type="dxa"/>
          </w:tcPr>
          <w:p w14:paraId="4CE2B16F"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tcPr>
          <w:p w14:paraId="2FBDCFC2"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1FD8168D"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3FE5E73B"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1E48B43" w14:textId="77777777" w:rsidR="005B4F1C" w:rsidRPr="00210328"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210328">
              <w:rPr>
                <w:rFonts w:cstheme="minorHAnsi"/>
                <w:sz w:val="18"/>
                <w:szCs w:val="18"/>
                <w:lang w:val="sr-Latn-ME"/>
              </w:rPr>
              <w:t>Strategija fokus</w:t>
            </w:r>
          </w:p>
          <w:p w14:paraId="67BF7875" w14:textId="77777777" w:rsidR="005B4F1C" w:rsidRPr="00210328"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210328">
              <w:rPr>
                <w:rFonts w:cstheme="minorHAnsi"/>
                <w:sz w:val="18"/>
                <w:szCs w:val="18"/>
                <w:lang w:val="sr-Latn-ME"/>
              </w:rPr>
              <w:t>stavlja na uzrast i rodne specifičnosti samog zločina, obezbjeđujući adekvatan odgovor na</w:t>
            </w:r>
          </w:p>
          <w:p w14:paraId="377D08BB" w14:textId="77777777" w:rsidR="005B4F1C"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210328">
              <w:rPr>
                <w:rFonts w:cstheme="minorHAnsi"/>
                <w:sz w:val="18"/>
                <w:szCs w:val="18"/>
                <w:lang w:val="sr-Latn-ME"/>
              </w:rPr>
              <w:t>njihovu ranjivost.</w:t>
            </w:r>
            <w:r>
              <w:rPr>
                <w:rFonts w:cstheme="minorHAnsi"/>
                <w:sz w:val="18"/>
                <w:szCs w:val="18"/>
                <w:lang w:val="sr-Latn-ME"/>
              </w:rPr>
              <w:t xml:space="preserve"> 10</w:t>
            </w:r>
          </w:p>
          <w:p w14:paraId="52C4BACF" w14:textId="77777777" w:rsidR="005B4F1C" w:rsidRPr="00A71811"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71811">
              <w:rPr>
                <w:rFonts w:cstheme="minorHAnsi"/>
                <w:sz w:val="18"/>
                <w:szCs w:val="18"/>
                <w:lang w:val="sr-Latn-ME"/>
              </w:rPr>
              <w:t xml:space="preserve">Ciljevi ostaju na generalnom nivou i nemaju rodnu dimenziju bez obzira na jasno uočene razlike u vjerovatnoći da muškarac i žena postanu žrtve. </w:t>
            </w:r>
          </w:p>
        </w:tc>
      </w:tr>
      <w:tr w:rsidR="005B4F1C" w:rsidRPr="00AC67F2" w14:paraId="020B044C"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EF7063F" w14:textId="77777777" w:rsidR="005B4F1C" w:rsidRDefault="005B4F1C" w:rsidP="002559F4">
            <w:pPr>
              <w:rPr>
                <w:rFonts w:cstheme="minorHAnsi"/>
                <w:lang w:val="sr-Latn-ME"/>
              </w:rPr>
            </w:pPr>
            <w:r>
              <w:rPr>
                <w:rFonts w:cstheme="minorHAnsi"/>
                <w:lang w:val="sr-Latn-ME"/>
              </w:rPr>
              <w:t>2.5</w:t>
            </w:r>
          </w:p>
        </w:tc>
        <w:tc>
          <w:tcPr>
            <w:tcW w:w="3856" w:type="dxa"/>
          </w:tcPr>
          <w:p w14:paraId="65B79F63"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506A8696"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21B9F85E"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7679F9C0"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406F1F27" w14:textId="77777777" w:rsidR="005B4F1C" w:rsidRPr="00A71811"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71811">
              <w:rPr>
                <w:rFonts w:cstheme="minorHAnsi"/>
                <w:sz w:val="18"/>
                <w:szCs w:val="18"/>
                <w:lang w:val="sr-Latn-ME"/>
              </w:rPr>
              <w:t xml:space="preserve">Mjere ostaju na opštem nivou i nemaju rodnu dimenziju. </w:t>
            </w:r>
          </w:p>
        </w:tc>
      </w:tr>
      <w:tr w:rsidR="005B4F1C" w:rsidRPr="00AC67F2" w14:paraId="7CD1F729"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7BB08503" w14:textId="77777777" w:rsidR="005B4F1C" w:rsidRPr="00AC67F2" w:rsidRDefault="005B4F1C" w:rsidP="002559F4">
            <w:pPr>
              <w:rPr>
                <w:rFonts w:cstheme="minorHAnsi"/>
                <w:lang w:val="sr-Latn-ME"/>
              </w:rPr>
            </w:pPr>
            <w:r>
              <w:rPr>
                <w:rFonts w:cstheme="minorHAnsi"/>
                <w:lang w:val="sr-Latn-ME"/>
              </w:rPr>
              <w:t>2.6</w:t>
            </w:r>
          </w:p>
        </w:tc>
        <w:tc>
          <w:tcPr>
            <w:tcW w:w="3856" w:type="dxa"/>
            <w:shd w:val="clear" w:color="auto" w:fill="D9D9D9" w:themeFill="background1" w:themeFillShade="D9"/>
          </w:tcPr>
          <w:p w14:paraId="3DEBC724"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D9D9D9" w:themeFill="background1" w:themeFillShade="D9"/>
          </w:tcPr>
          <w:p w14:paraId="19439502"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50B83AE7"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46B88D34" w14:textId="04C18B26" w:rsidR="005B4F1C" w:rsidRPr="00AC67F2" w:rsidRDefault="00D642E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593" w:type="dxa"/>
            <w:shd w:val="clear" w:color="auto" w:fill="D9D9D9" w:themeFill="background1" w:themeFillShade="D9"/>
          </w:tcPr>
          <w:p w14:paraId="310DE333" w14:textId="77777777" w:rsidR="005B4F1C" w:rsidRPr="00A71811"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71811">
              <w:rPr>
                <w:rFonts w:cstheme="minorHAnsi"/>
                <w:sz w:val="18"/>
                <w:szCs w:val="18"/>
                <w:lang w:val="sr-Latn-ME"/>
              </w:rPr>
              <w:t>Nema rodno targetiranih mjera</w:t>
            </w:r>
          </w:p>
        </w:tc>
      </w:tr>
      <w:tr w:rsidR="005B4F1C" w:rsidRPr="00AC67F2" w14:paraId="39260C16"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E03E5B8" w14:textId="77777777" w:rsidR="005B4F1C" w:rsidRDefault="005B4F1C" w:rsidP="002559F4">
            <w:pPr>
              <w:rPr>
                <w:rFonts w:cstheme="minorHAnsi"/>
                <w:lang w:val="sr-Latn-ME"/>
              </w:rPr>
            </w:pPr>
            <w:r>
              <w:rPr>
                <w:rFonts w:cstheme="minorHAnsi"/>
                <w:lang w:val="sr-Latn-ME"/>
              </w:rPr>
              <w:t>2.7</w:t>
            </w:r>
          </w:p>
        </w:tc>
        <w:tc>
          <w:tcPr>
            <w:tcW w:w="3856" w:type="dxa"/>
          </w:tcPr>
          <w:p w14:paraId="16908735" w14:textId="23DB5DA9" w:rsidR="005B4F1C"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nacionalni rodni mehanizmi, međunarodne organizacije i NVO-i koji </w:t>
            </w:r>
            <w:r>
              <w:rPr>
                <w:rFonts w:cstheme="minorHAnsi"/>
                <w:lang w:val="sr-Latn-ME"/>
              </w:rPr>
              <w:lastRenderedPageBreak/>
              <w:t>se bave rodnom ravnopravnošću prepoznati kao partneri i partnerke u realizaciji tih mjera?</w:t>
            </w:r>
          </w:p>
        </w:tc>
        <w:tc>
          <w:tcPr>
            <w:tcW w:w="747" w:type="dxa"/>
          </w:tcPr>
          <w:p w14:paraId="419FBB0B"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lastRenderedPageBreak/>
              <w:t>√</w:t>
            </w:r>
          </w:p>
        </w:tc>
        <w:tc>
          <w:tcPr>
            <w:tcW w:w="1263" w:type="dxa"/>
          </w:tcPr>
          <w:p w14:paraId="27D77714"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10000B31"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CBA10DE" w14:textId="77777777" w:rsidR="005B4F1C" w:rsidRPr="00A71811"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71811">
              <w:rPr>
                <w:rFonts w:cstheme="minorHAnsi"/>
                <w:sz w:val="18"/>
                <w:szCs w:val="18"/>
                <w:lang w:val="sr-Latn-ME"/>
              </w:rPr>
              <w:t xml:space="preserve">Generalno kao organizacije koje se bave </w:t>
            </w:r>
            <w:r w:rsidRPr="00A71811">
              <w:rPr>
                <w:rFonts w:cstheme="minorHAnsi"/>
                <w:sz w:val="18"/>
                <w:szCs w:val="18"/>
                <w:lang w:val="sr-Latn-ME"/>
              </w:rPr>
              <w:lastRenderedPageBreak/>
              <w:t xml:space="preserve">tematikom trafikinga. S obzirom na to da se ovom tematikom bave često organizacije za zaštitu prava žena, ovaj kriterijum je ispunjen. </w:t>
            </w:r>
          </w:p>
        </w:tc>
      </w:tr>
      <w:tr w:rsidR="005B4F1C" w:rsidRPr="00AC67F2" w14:paraId="1A0A250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3AA7027" w14:textId="0C01CDDC" w:rsidR="005B4F1C" w:rsidRPr="00AC67F2" w:rsidRDefault="005B4F1C" w:rsidP="002559F4">
            <w:pPr>
              <w:rPr>
                <w:rFonts w:cstheme="minorHAnsi"/>
                <w:lang w:val="sr-Latn-ME"/>
              </w:rPr>
            </w:pPr>
            <w:r>
              <w:rPr>
                <w:rFonts w:cstheme="minorHAnsi"/>
                <w:lang w:val="sr-Latn-ME"/>
              </w:rPr>
              <w:lastRenderedPageBreak/>
              <w:t>2.</w:t>
            </w:r>
            <w:r w:rsidR="00685411">
              <w:rPr>
                <w:rFonts w:cstheme="minorHAnsi"/>
                <w:lang w:val="sr-Latn-ME"/>
              </w:rPr>
              <w:t>8</w:t>
            </w:r>
          </w:p>
        </w:tc>
        <w:tc>
          <w:tcPr>
            <w:tcW w:w="3856" w:type="dxa"/>
          </w:tcPr>
          <w:p w14:paraId="3C9D3892" w14:textId="77777777" w:rsidR="005B4F1C"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76901FEA" w14:textId="77777777" w:rsidR="005B4F1C" w:rsidRPr="005C2773" w:rsidRDefault="005B4F1C"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12253CE9"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399E7583"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0F0EE548"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497EA198" w14:textId="5A93A9B7" w:rsidR="005B4F1C" w:rsidRPr="00AC67F2" w:rsidRDefault="002448BF" w:rsidP="00FB3C52">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3F278B">
              <w:rPr>
                <w:rFonts w:cstheme="minorHAnsi"/>
                <w:sz w:val="18"/>
                <w:szCs w:val="18"/>
                <w:lang w:val="sr-Latn-ME"/>
              </w:rPr>
              <w:t>Strategija uglavnom koristi rodno neutralne izraze, međutim u djelovima gdje to nije moguće ne koristi se rodno senzitivan jezik (npr. „njihove nosioce“ str. 11, „r</w:t>
            </w:r>
            <w:r w:rsidRPr="003F278B">
              <w:rPr>
                <w:sz w:val="18"/>
                <w:szCs w:val="18"/>
              </w:rPr>
              <w:t>adom viših državnih tužilaštava rukovode rukovodioci tih državnih tužilaštava str. 25 ili “državni tužioci, specijalni tužioci i rukovodioci navedenih tužilaštava str. 25)</w:t>
            </w:r>
          </w:p>
        </w:tc>
      </w:tr>
      <w:tr w:rsidR="005B4F1C" w:rsidRPr="00AC67F2" w14:paraId="3790F613"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123B4B19" w14:textId="77777777" w:rsidR="005B4F1C" w:rsidRPr="00AC67F2" w:rsidRDefault="005B4F1C" w:rsidP="002559F4">
            <w:pPr>
              <w:rPr>
                <w:rFonts w:cstheme="minorHAnsi"/>
                <w:lang w:val="sr-Latn-ME" w:eastAsia="en-GB"/>
              </w:rPr>
            </w:pPr>
            <w:r>
              <w:rPr>
                <w:rFonts w:cstheme="minorHAnsi"/>
                <w:lang w:val="sr-Latn-ME"/>
              </w:rPr>
              <w:t>Ukupno</w:t>
            </w:r>
          </w:p>
        </w:tc>
        <w:tc>
          <w:tcPr>
            <w:tcW w:w="747" w:type="dxa"/>
          </w:tcPr>
          <w:p w14:paraId="07BCB17D"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6CF1ACBF" w14:textId="77777777" w:rsidR="005B4F1C" w:rsidRPr="00527B8F"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0E7D1F44"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1251B30" w14:textId="77777777" w:rsidR="005B4F1C" w:rsidRPr="00E72E03" w:rsidRDefault="005B4F1C"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sidRPr="00E72E03">
              <w:rPr>
                <w:rFonts w:cstheme="minorHAnsi"/>
                <w:b/>
                <w:bCs/>
                <w:sz w:val="28"/>
                <w:szCs w:val="28"/>
                <w:lang w:val="sr-Latn-ME"/>
              </w:rPr>
              <w:t>2/</w:t>
            </w:r>
            <w:r>
              <w:rPr>
                <w:rFonts w:cstheme="minorHAnsi"/>
                <w:b/>
                <w:bCs/>
                <w:sz w:val="28"/>
                <w:szCs w:val="28"/>
                <w:lang w:val="sr-Latn-ME"/>
              </w:rPr>
              <w:t>7</w:t>
            </w:r>
          </w:p>
        </w:tc>
      </w:tr>
    </w:tbl>
    <w:p w14:paraId="4F3D17A2" w14:textId="77777777" w:rsidR="005B4F1C" w:rsidRPr="00AC67F2" w:rsidRDefault="005B4F1C" w:rsidP="005B4F1C">
      <w:pPr>
        <w:rPr>
          <w:rFonts w:cstheme="minorHAnsi"/>
          <w:lang w:val="sr-Latn-ME"/>
        </w:rPr>
      </w:pPr>
    </w:p>
    <w:p w14:paraId="75C08ECB" w14:textId="1E42C501" w:rsidR="005B4F1C" w:rsidRPr="00852DD8" w:rsidRDefault="005B4F1C" w:rsidP="00852DD8">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5B4F1C" w:rsidRPr="00AC67F2" w14:paraId="31569BCC"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773305FE" w14:textId="77777777" w:rsidR="005B4F1C" w:rsidRPr="00AC67F2" w:rsidRDefault="005B4F1C"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7B79D20A"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0B7BB1B6"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235D5222"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4E24B2F9"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70F2E561"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5B4F1C" w:rsidRPr="00AC67F2" w14:paraId="05349270"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2A3A7C4" w14:textId="77777777" w:rsidR="005B4F1C" w:rsidRPr="00AC67F2" w:rsidRDefault="005B4F1C" w:rsidP="002559F4">
            <w:pPr>
              <w:rPr>
                <w:rFonts w:cstheme="minorHAnsi"/>
                <w:lang w:val="sr-Latn-ME"/>
              </w:rPr>
            </w:pPr>
            <w:r>
              <w:rPr>
                <w:rFonts w:cstheme="minorHAnsi"/>
                <w:lang w:val="sr-Latn-ME"/>
              </w:rPr>
              <w:t>3.1</w:t>
            </w:r>
          </w:p>
        </w:tc>
        <w:tc>
          <w:tcPr>
            <w:tcW w:w="3908" w:type="dxa"/>
          </w:tcPr>
          <w:p w14:paraId="3B67EF0F"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1D4AD8A9"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5B668670"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07" w:type="dxa"/>
          </w:tcPr>
          <w:p w14:paraId="074055A0"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4A2193EC" w14:textId="77777777" w:rsidR="005B4F1C" w:rsidRPr="009A4E2D"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Na nivou indikatora učinka i indikartora rezultata nema rodno disagregiranih indikatora. </w:t>
            </w:r>
          </w:p>
        </w:tc>
      </w:tr>
      <w:tr w:rsidR="005B4F1C" w:rsidRPr="00AC67F2" w14:paraId="120B5B95"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4CE29406" w14:textId="77777777" w:rsidR="005B4F1C" w:rsidRDefault="005B4F1C" w:rsidP="002559F4">
            <w:pPr>
              <w:rPr>
                <w:rFonts w:cstheme="minorHAnsi"/>
                <w:lang w:val="sr-Latn-ME"/>
              </w:rPr>
            </w:pPr>
            <w:r>
              <w:rPr>
                <w:rFonts w:cstheme="minorHAnsi"/>
                <w:lang w:val="sr-Latn-ME"/>
              </w:rPr>
              <w:t>Ukupno</w:t>
            </w:r>
          </w:p>
        </w:tc>
        <w:tc>
          <w:tcPr>
            <w:tcW w:w="760" w:type="dxa"/>
            <w:shd w:val="clear" w:color="auto" w:fill="auto"/>
          </w:tcPr>
          <w:p w14:paraId="2B559302"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0CF56BA0" w14:textId="77777777" w:rsidR="005B4F1C" w:rsidRPr="00527B8F"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3E2E9FEF"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1DBA6041" w14:textId="77777777" w:rsidR="005B4F1C" w:rsidRPr="00AC67F2" w:rsidRDefault="005B4F1C"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8C09CD">
              <w:rPr>
                <w:rFonts w:cstheme="minorHAnsi"/>
                <w:b/>
                <w:bCs/>
                <w:sz w:val="28"/>
                <w:szCs w:val="28"/>
                <w:lang w:val="sr-Latn-ME"/>
              </w:rPr>
              <w:t>0</w:t>
            </w:r>
            <w:r>
              <w:rPr>
                <w:rFonts w:cstheme="minorHAnsi"/>
                <w:b/>
                <w:bCs/>
                <w:sz w:val="28"/>
                <w:szCs w:val="28"/>
              </w:rPr>
              <w:t>/1</w:t>
            </w:r>
          </w:p>
        </w:tc>
      </w:tr>
    </w:tbl>
    <w:p w14:paraId="58C51EEC" w14:textId="77777777" w:rsidR="005B4F1C" w:rsidRDefault="005B4F1C" w:rsidP="005B4F1C">
      <w:pPr>
        <w:rPr>
          <w:rFonts w:cstheme="minorHAnsi"/>
          <w:lang w:val="sr-Latn-ME"/>
        </w:rPr>
      </w:pPr>
    </w:p>
    <w:p w14:paraId="1D401BA1" w14:textId="23A40071" w:rsidR="005B4F1C" w:rsidRPr="0080118F" w:rsidRDefault="005B4F1C" w:rsidP="005B4F1C">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0000"/>
          <w:sz w:val="32"/>
          <w:szCs w:val="32"/>
          <w:lang w:val="sr-Latn-ME"/>
        </w:rPr>
      </w:pPr>
      <w:r w:rsidRPr="0080118F">
        <w:rPr>
          <w:rFonts w:cstheme="minorHAnsi"/>
          <w:color w:val="FF0000"/>
          <w:sz w:val="32"/>
          <w:szCs w:val="32"/>
          <w:lang w:val="sr-Latn-ME"/>
        </w:rPr>
        <w:t>Konačna ocjena: 2 od 1</w:t>
      </w:r>
      <w:r w:rsidR="00C11312" w:rsidRPr="0080118F">
        <w:rPr>
          <w:rFonts w:cstheme="minorHAnsi"/>
          <w:color w:val="FF0000"/>
          <w:sz w:val="32"/>
          <w:szCs w:val="32"/>
          <w:lang w:val="sr-Latn-ME"/>
        </w:rPr>
        <w:t>0</w:t>
      </w:r>
      <w:r w:rsidRPr="0080118F">
        <w:rPr>
          <w:rFonts w:cstheme="minorHAnsi"/>
          <w:color w:val="FF0000"/>
          <w:sz w:val="32"/>
          <w:szCs w:val="32"/>
          <w:lang w:val="sr-Latn-ME"/>
        </w:rPr>
        <w:t xml:space="preserve"> ili </w:t>
      </w:r>
      <w:r w:rsidRPr="0080118F">
        <w:rPr>
          <w:rFonts w:cstheme="minorHAnsi"/>
          <w:b/>
          <w:bCs/>
          <w:color w:val="FF0000"/>
          <w:sz w:val="32"/>
          <w:szCs w:val="32"/>
          <w:lang w:val="sr-Latn-ME"/>
        </w:rPr>
        <w:t>0.</w:t>
      </w:r>
      <w:r w:rsidR="00C11312" w:rsidRPr="0080118F">
        <w:rPr>
          <w:rFonts w:cstheme="minorHAnsi"/>
          <w:b/>
          <w:bCs/>
          <w:color w:val="FF0000"/>
          <w:sz w:val="32"/>
          <w:szCs w:val="32"/>
          <w:lang w:val="sr-Latn-ME"/>
        </w:rPr>
        <w:t>2</w:t>
      </w:r>
      <w:r w:rsidRPr="0080118F">
        <w:rPr>
          <w:rFonts w:cstheme="minorHAnsi"/>
          <w:b/>
          <w:bCs/>
          <w:color w:val="FF0000"/>
          <w:sz w:val="32"/>
          <w:szCs w:val="32"/>
          <w:lang w:val="sr-Latn-ME"/>
        </w:rPr>
        <w:t xml:space="preserve"> – Strategija </w:t>
      </w:r>
      <w:r w:rsidR="001E065B" w:rsidRPr="0080118F">
        <w:rPr>
          <w:rFonts w:cstheme="minorHAnsi"/>
          <w:b/>
          <w:bCs/>
          <w:color w:val="FF0000"/>
          <w:sz w:val="32"/>
          <w:szCs w:val="32"/>
          <w:lang w:val="sr-Latn-ME"/>
        </w:rPr>
        <w:t xml:space="preserve">uopšte </w:t>
      </w:r>
      <w:r w:rsidRPr="0080118F">
        <w:rPr>
          <w:rFonts w:cstheme="minorHAnsi"/>
          <w:b/>
          <w:bCs/>
          <w:color w:val="FF0000"/>
          <w:sz w:val="32"/>
          <w:szCs w:val="32"/>
          <w:lang w:val="sr-Latn-ME"/>
        </w:rPr>
        <w:t>nije orodnjena</w:t>
      </w:r>
    </w:p>
    <w:p w14:paraId="3F70A570" w14:textId="77777777" w:rsidR="005B4F1C" w:rsidRDefault="005B4F1C" w:rsidP="005B4F1C">
      <w:pPr>
        <w:jc w:val="both"/>
        <w:rPr>
          <w:rFonts w:cstheme="minorHAnsi"/>
          <w:lang w:val="sr-Latn-ME"/>
        </w:rPr>
      </w:pPr>
      <w:r>
        <w:rPr>
          <w:rFonts w:cstheme="minorHAnsi"/>
          <w:b/>
          <w:bCs/>
          <w:lang w:val="sr-Latn-ME"/>
        </w:rPr>
        <w:lastRenderedPageBreak/>
        <w:t>Dodatni k</w:t>
      </w:r>
      <w:r w:rsidRPr="00D92CDD">
        <w:rPr>
          <w:rFonts w:cstheme="minorHAnsi"/>
          <w:b/>
          <w:bCs/>
          <w:lang w:val="sr-Latn-ME"/>
        </w:rPr>
        <w:t>omentar</w:t>
      </w:r>
      <w:r>
        <w:rPr>
          <w:rFonts w:cstheme="minorHAnsi"/>
          <w:b/>
          <w:bCs/>
          <w:lang w:val="sr-Latn-ME"/>
        </w:rPr>
        <w:t xml:space="preserve"> i obrazloženje</w:t>
      </w:r>
      <w:r w:rsidRPr="00D92CDD">
        <w:rPr>
          <w:rFonts w:cstheme="minorHAnsi"/>
          <w:b/>
          <w:bCs/>
          <w:lang w:val="sr-Latn-ME"/>
        </w:rPr>
        <w:t>:</w:t>
      </w:r>
      <w:r>
        <w:rPr>
          <w:rFonts w:cstheme="minorHAnsi"/>
          <w:lang w:val="sr-Latn-ME"/>
        </w:rPr>
        <w:t xml:space="preserve"> Strategija za borbu protiv trgovine ljudima 2019 - 2024. u analizi stanja detektuje da su žene češće žrtve raznih oblika trgovine ljudima i te nalaze potkrijepljuje podacima iz zvanične statistike iz perioda od 2012. do 2018. godine. Do kraja teksta Strategija podrazumijeva da se su sve ili većina mjera zapravo usmjerene na smanjivanje broja žrtava, a s obzirom na to da su to češće žene – ženskih žrtava. </w:t>
      </w:r>
    </w:p>
    <w:p w14:paraId="1B66B672" w14:textId="77777777" w:rsidR="005B4F1C" w:rsidRPr="00A545D6" w:rsidRDefault="005B4F1C" w:rsidP="00A04381">
      <w:pPr>
        <w:jc w:val="both"/>
        <w:rPr>
          <w:lang w:val="hr-HR"/>
        </w:rPr>
      </w:pPr>
    </w:p>
    <w:p w14:paraId="77FCC9BE" w14:textId="65B1BC4D" w:rsidR="009D5CC5" w:rsidRDefault="009D5CC5" w:rsidP="0080118F">
      <w:pPr>
        <w:pStyle w:val="Heading3"/>
        <w:rPr>
          <w:noProof/>
          <w:lang w:val="hr-HR"/>
        </w:rPr>
      </w:pPr>
      <w:bookmarkStart w:id="9" w:name="_Toc100339531"/>
      <w:r>
        <w:rPr>
          <w:noProof/>
          <w:lang w:val="hr-HR"/>
        </w:rPr>
        <w:t xml:space="preserve">2. </w:t>
      </w:r>
      <w:r w:rsidR="00B718A3" w:rsidRPr="00B718A3">
        <w:rPr>
          <w:noProof/>
          <w:lang w:val="hr-HR"/>
        </w:rPr>
        <w:t>Strategija upravljanja ljudskim resursima u Upravi policije 2019-2024</w:t>
      </w:r>
      <w:bookmarkEnd w:id="9"/>
    </w:p>
    <w:p w14:paraId="685E366C" w14:textId="77777777" w:rsidR="0053536E" w:rsidRPr="0053536E" w:rsidRDefault="0053536E" w:rsidP="0053536E"/>
    <w:p w14:paraId="49B0FD1E" w14:textId="4829985A" w:rsidR="00A13A75" w:rsidRPr="00A13A75" w:rsidRDefault="00475B51" w:rsidP="00475B51">
      <w:pPr>
        <w:jc w:val="both"/>
        <w:rPr>
          <w:lang w:val="hr-HR"/>
        </w:rPr>
      </w:pPr>
      <w:r w:rsidRPr="00475B51">
        <w:rPr>
          <w:lang w:val="hr-HR"/>
        </w:rPr>
        <w:t>Strategij</w:t>
      </w:r>
      <w:r>
        <w:rPr>
          <w:lang w:val="hr-HR"/>
        </w:rPr>
        <w:t>a upravljanja ljudskim resursima u Upravi policije nastoji da do 2024. godine</w:t>
      </w:r>
      <w:r w:rsidRPr="00475B51">
        <w:rPr>
          <w:lang w:val="hr-HR"/>
        </w:rPr>
        <w:t xml:space="preserve"> uspostav</w:t>
      </w:r>
      <w:r>
        <w:rPr>
          <w:lang w:val="hr-HR"/>
        </w:rPr>
        <w:t>i</w:t>
      </w:r>
      <w:r w:rsidRPr="00475B51">
        <w:rPr>
          <w:lang w:val="hr-HR"/>
        </w:rPr>
        <w:t xml:space="preserve"> sistem u kome </w:t>
      </w:r>
      <w:r>
        <w:rPr>
          <w:lang w:val="hr-HR"/>
        </w:rPr>
        <w:t xml:space="preserve">će </w:t>
      </w:r>
      <w:r w:rsidRPr="00475B51">
        <w:rPr>
          <w:lang w:val="hr-HR"/>
        </w:rPr>
        <w:t>kompetentni policijski slu</w:t>
      </w:r>
      <w:r>
        <w:rPr>
          <w:lang w:val="hr-HR"/>
        </w:rPr>
        <w:t>ž</w:t>
      </w:r>
      <w:r w:rsidRPr="00475B51">
        <w:rPr>
          <w:lang w:val="hr-HR"/>
        </w:rPr>
        <w:t>benici</w:t>
      </w:r>
      <w:r w:rsidR="00C04C8C">
        <w:rPr>
          <w:lang w:val="hr-HR"/>
        </w:rPr>
        <w:t>/ce</w:t>
      </w:r>
      <w:r w:rsidRPr="00475B51">
        <w:rPr>
          <w:lang w:val="hr-HR"/>
        </w:rPr>
        <w:t xml:space="preserve"> profesionalno i odgovorno obavlja</w:t>
      </w:r>
      <w:r>
        <w:rPr>
          <w:lang w:val="hr-HR"/>
        </w:rPr>
        <w:t>ti</w:t>
      </w:r>
      <w:r w:rsidRPr="00475B51">
        <w:rPr>
          <w:lang w:val="hr-HR"/>
        </w:rPr>
        <w:t xml:space="preserve"> poslove oĉuvanja bezbjednosti pojedinaca</w:t>
      </w:r>
      <w:r w:rsidR="00C04C8C">
        <w:rPr>
          <w:lang w:val="hr-HR"/>
        </w:rPr>
        <w:t>/ki</w:t>
      </w:r>
      <w:r w:rsidRPr="00475B51">
        <w:rPr>
          <w:lang w:val="hr-HR"/>
        </w:rPr>
        <w:t>, zajednice i dr</w:t>
      </w:r>
      <w:r>
        <w:rPr>
          <w:lang w:val="hr-HR"/>
        </w:rPr>
        <w:t>ž</w:t>
      </w:r>
      <w:r w:rsidRPr="00475B51">
        <w:rPr>
          <w:lang w:val="hr-HR"/>
        </w:rPr>
        <w:t xml:space="preserve">ave, </w:t>
      </w:r>
      <w:r>
        <w:rPr>
          <w:lang w:val="hr-HR"/>
        </w:rPr>
        <w:t xml:space="preserve">te sistem </w:t>
      </w:r>
      <w:r w:rsidRPr="00475B51">
        <w:rPr>
          <w:lang w:val="hr-HR"/>
        </w:rPr>
        <w:t xml:space="preserve">koga </w:t>
      </w:r>
      <w:r>
        <w:rPr>
          <w:lang w:val="hr-HR"/>
        </w:rPr>
        <w:t xml:space="preserve">će </w:t>
      </w:r>
      <w:r w:rsidRPr="00475B51">
        <w:rPr>
          <w:lang w:val="hr-HR"/>
        </w:rPr>
        <w:t>karakteri</w:t>
      </w:r>
      <w:r>
        <w:rPr>
          <w:lang w:val="hr-HR"/>
        </w:rPr>
        <w:t>sati</w:t>
      </w:r>
      <w:r w:rsidRPr="00475B51">
        <w:rPr>
          <w:lang w:val="hr-HR"/>
        </w:rPr>
        <w:t xml:space="preserve"> kontinuirani rast povjerenja gra</w:t>
      </w:r>
      <w:r>
        <w:rPr>
          <w:lang w:val="hr-HR"/>
        </w:rPr>
        <w:t>đ</w:t>
      </w:r>
      <w:r w:rsidRPr="00475B51">
        <w:rPr>
          <w:lang w:val="hr-HR"/>
        </w:rPr>
        <w:t>ana</w:t>
      </w:r>
      <w:r w:rsidR="00C04C8C">
        <w:rPr>
          <w:lang w:val="hr-HR"/>
        </w:rPr>
        <w:t>/ki</w:t>
      </w:r>
      <w:r w:rsidRPr="00475B51">
        <w:rPr>
          <w:lang w:val="hr-HR"/>
        </w:rPr>
        <w:t xml:space="preserve"> u rad policije.</w:t>
      </w:r>
    </w:p>
    <w:p w14:paraId="3FE3A33A" w14:textId="77777777" w:rsidR="005B4F1C" w:rsidRPr="007D71A2" w:rsidRDefault="005B4F1C" w:rsidP="005B4F1C">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30"/>
        <w:gridCol w:w="4569"/>
        <w:gridCol w:w="1206"/>
        <w:gridCol w:w="1263"/>
        <w:gridCol w:w="1782"/>
      </w:tblGrid>
      <w:tr w:rsidR="005B4F1C" w:rsidRPr="00AC67F2" w14:paraId="7D5EA80E"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 w:type="pct"/>
            <w:shd w:val="clear" w:color="auto" w:fill="B4C6E7" w:themeFill="accent1" w:themeFillTint="66"/>
          </w:tcPr>
          <w:p w14:paraId="1AF9C98E" w14:textId="77777777" w:rsidR="005B4F1C" w:rsidRPr="00AC67F2" w:rsidRDefault="005B4F1C" w:rsidP="002559F4">
            <w:pPr>
              <w:rPr>
                <w:rFonts w:cstheme="minorHAnsi"/>
                <w:lang w:val="sr-Latn-ME"/>
              </w:rPr>
            </w:pPr>
            <w:r w:rsidRPr="00AC67F2">
              <w:rPr>
                <w:rFonts w:cstheme="minorHAnsi"/>
                <w:lang w:val="sr-Latn-ME"/>
              </w:rPr>
              <w:t>Br.</w:t>
            </w:r>
          </w:p>
        </w:tc>
        <w:tc>
          <w:tcPr>
            <w:tcW w:w="2473" w:type="pct"/>
            <w:shd w:val="clear" w:color="auto" w:fill="B4C6E7" w:themeFill="accent1" w:themeFillTint="66"/>
          </w:tcPr>
          <w:p w14:paraId="7BB60C1F"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75" w:type="pct"/>
            <w:shd w:val="clear" w:color="auto" w:fill="B4C6E7" w:themeFill="accent1" w:themeFillTint="66"/>
          </w:tcPr>
          <w:p w14:paraId="11FC02AB"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555" w:type="pct"/>
            <w:shd w:val="clear" w:color="auto" w:fill="B4C6E7" w:themeFill="accent1" w:themeFillTint="66"/>
          </w:tcPr>
          <w:p w14:paraId="0BFF01E9" w14:textId="77777777" w:rsidR="005B4F1C" w:rsidRPr="009148DB"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83" w:type="pct"/>
            <w:shd w:val="clear" w:color="auto" w:fill="B4C6E7" w:themeFill="accent1" w:themeFillTint="66"/>
          </w:tcPr>
          <w:p w14:paraId="50F90C6E"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5B4F1C" w:rsidRPr="00AC67F2" w14:paraId="791D3637"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336227F5" w14:textId="77777777" w:rsidR="005B4F1C" w:rsidRPr="00AC67F2" w:rsidRDefault="005B4F1C" w:rsidP="002559F4">
            <w:pPr>
              <w:rPr>
                <w:rFonts w:cstheme="minorHAnsi"/>
                <w:lang w:val="sr-Latn-ME"/>
              </w:rPr>
            </w:pPr>
            <w:r w:rsidRPr="00AC67F2">
              <w:rPr>
                <w:rFonts w:cstheme="minorHAnsi"/>
                <w:lang w:val="sr-Latn-ME"/>
              </w:rPr>
              <w:t>1</w:t>
            </w:r>
            <w:r>
              <w:rPr>
                <w:rFonts w:cstheme="minorHAnsi"/>
                <w:lang w:val="sr-Latn-ME"/>
              </w:rPr>
              <w:t>.1</w:t>
            </w:r>
          </w:p>
        </w:tc>
        <w:tc>
          <w:tcPr>
            <w:tcW w:w="2473" w:type="pct"/>
          </w:tcPr>
          <w:p w14:paraId="57A3BA0B" w14:textId="77777777" w:rsidR="005B4F1C" w:rsidRPr="00DA659B"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3F25223F"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75" w:type="pct"/>
          </w:tcPr>
          <w:p w14:paraId="0E9F9418"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1B0121F4"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83" w:type="pct"/>
          </w:tcPr>
          <w:p w14:paraId="15806130" w14:textId="77777777" w:rsidR="005B4F1C" w:rsidRPr="00A545D6"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545D6">
              <w:rPr>
                <w:rFonts w:cstheme="minorHAnsi"/>
                <w:sz w:val="18"/>
                <w:szCs w:val="18"/>
                <w:lang w:val="sr-Latn-ME"/>
              </w:rPr>
              <w:t xml:space="preserve">Tekst strategije ne sadrži imena niti funkcionalnu pripadnost članova i članica radne grupe. </w:t>
            </w:r>
          </w:p>
        </w:tc>
      </w:tr>
      <w:tr w:rsidR="005B4F1C" w:rsidRPr="00AC67F2" w14:paraId="7A6A542F"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70B5DCA1" w14:textId="77777777" w:rsidR="005B4F1C" w:rsidRPr="00AC67F2" w:rsidRDefault="005B4F1C" w:rsidP="002559F4">
            <w:pPr>
              <w:rPr>
                <w:rFonts w:cstheme="minorHAnsi"/>
                <w:lang w:val="sr-Latn-ME"/>
              </w:rPr>
            </w:pPr>
            <w:r>
              <w:rPr>
                <w:rFonts w:cstheme="minorHAnsi"/>
                <w:lang w:val="sr-Latn-ME"/>
              </w:rPr>
              <w:t>1.2</w:t>
            </w:r>
          </w:p>
        </w:tc>
        <w:tc>
          <w:tcPr>
            <w:tcW w:w="2473" w:type="pct"/>
          </w:tcPr>
          <w:p w14:paraId="0BDE080C" w14:textId="77777777" w:rsidR="005B4F1C"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5FE77C10"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75" w:type="pct"/>
          </w:tcPr>
          <w:p w14:paraId="4E8F6B7F"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6F1BC060"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83" w:type="pct"/>
          </w:tcPr>
          <w:p w14:paraId="16B00988" w14:textId="44523695" w:rsidR="005B4F1C" w:rsidRPr="00A545D6"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545D6">
              <w:rPr>
                <w:rFonts w:cstheme="minorHAnsi"/>
                <w:sz w:val="18"/>
                <w:szCs w:val="18"/>
                <w:lang w:val="sr-Latn-ME"/>
              </w:rPr>
              <w:t>Tekst strategije ne sadrži podatke o tome koje su organizacije i eksperti-ekspertkinje konsultovani</w:t>
            </w:r>
            <w:r w:rsidR="00E12C74">
              <w:rPr>
                <w:rFonts w:cstheme="minorHAnsi"/>
                <w:sz w:val="18"/>
                <w:szCs w:val="18"/>
                <w:lang w:val="sr-Latn-ME"/>
              </w:rPr>
              <w:t>.</w:t>
            </w:r>
          </w:p>
        </w:tc>
      </w:tr>
      <w:tr w:rsidR="005B4F1C" w:rsidRPr="00AC67F2" w14:paraId="4DABE6C0" w14:textId="77777777" w:rsidTr="002559F4">
        <w:tc>
          <w:tcPr>
            <w:cnfStyle w:val="001000000000" w:firstRow="0" w:lastRow="0" w:firstColumn="1" w:lastColumn="0" w:oddVBand="0" w:evenVBand="0" w:oddHBand="0" w:evenHBand="0" w:firstRowFirstColumn="0" w:firstRowLastColumn="0" w:lastRowFirstColumn="0" w:lastRowLastColumn="0"/>
            <w:tcW w:w="2787" w:type="pct"/>
            <w:gridSpan w:val="2"/>
          </w:tcPr>
          <w:p w14:paraId="5C2C8E9A" w14:textId="77777777" w:rsidR="005B4F1C" w:rsidRPr="00AC67F2" w:rsidRDefault="005B4F1C" w:rsidP="002559F4">
            <w:pPr>
              <w:rPr>
                <w:rFonts w:cstheme="minorHAnsi"/>
                <w:lang w:val="sr-Latn-ME"/>
              </w:rPr>
            </w:pPr>
            <w:r>
              <w:rPr>
                <w:rFonts w:cstheme="minorHAnsi"/>
                <w:lang w:val="sr-Latn-ME"/>
              </w:rPr>
              <w:t>Ukupno</w:t>
            </w:r>
          </w:p>
        </w:tc>
        <w:tc>
          <w:tcPr>
            <w:tcW w:w="675" w:type="pct"/>
          </w:tcPr>
          <w:p w14:paraId="346789C8"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031D7D59" w14:textId="77777777" w:rsidR="005B4F1C" w:rsidRPr="00527B8F"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83" w:type="pct"/>
          </w:tcPr>
          <w:p w14:paraId="1D5E81F2" w14:textId="77777777" w:rsidR="005B4F1C" w:rsidRPr="008C09CD" w:rsidRDefault="005B4F1C"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8C09CD">
              <w:rPr>
                <w:rFonts w:cstheme="minorHAnsi"/>
                <w:b/>
                <w:bCs/>
                <w:sz w:val="28"/>
                <w:szCs w:val="28"/>
                <w:lang w:val="sr-Latn-ME"/>
              </w:rPr>
              <w:t>0</w:t>
            </w:r>
            <w:r>
              <w:rPr>
                <w:rFonts w:cstheme="minorHAnsi"/>
                <w:b/>
                <w:bCs/>
                <w:sz w:val="28"/>
                <w:szCs w:val="28"/>
              </w:rPr>
              <w:t>/2</w:t>
            </w:r>
          </w:p>
        </w:tc>
      </w:tr>
    </w:tbl>
    <w:p w14:paraId="56C02951" w14:textId="77777777" w:rsidR="005B4F1C" w:rsidRDefault="005B4F1C" w:rsidP="005B4F1C">
      <w:pPr>
        <w:rPr>
          <w:b/>
          <w:bCs/>
          <w:lang w:val="sr-Latn-ME"/>
        </w:rPr>
      </w:pPr>
    </w:p>
    <w:p w14:paraId="24FDF2E7" w14:textId="77777777" w:rsidR="005B4F1C" w:rsidRPr="007D71A2" w:rsidRDefault="005B4F1C" w:rsidP="005B4F1C">
      <w:pPr>
        <w:rPr>
          <w:b/>
          <w:bCs/>
          <w:lang w:val="sr-Latn-ME"/>
        </w:rPr>
      </w:pPr>
      <w:r w:rsidRPr="007D71A2">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5B4F1C" w:rsidRPr="00AC67F2" w14:paraId="477517CE"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3D5C3FAA" w14:textId="77777777" w:rsidR="005B4F1C" w:rsidRPr="00AC67F2" w:rsidRDefault="005B4F1C"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17033BFF"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722153F1"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039E2822"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65766343"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09CAE30D"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5B4F1C" w:rsidRPr="00AC67F2" w14:paraId="09468480"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21F0882" w14:textId="77777777" w:rsidR="005B4F1C" w:rsidRPr="00AC67F2" w:rsidRDefault="005B4F1C"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2B9658CA"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41D91712"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4056F7A3"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636709D8"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02F19750" w14:textId="77777777" w:rsidR="005B4F1C" w:rsidRPr="00A71811"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71811">
              <w:rPr>
                <w:rFonts w:cstheme="minorHAnsi"/>
                <w:sz w:val="18"/>
                <w:szCs w:val="18"/>
                <w:lang w:val="sr-Latn-ME"/>
              </w:rPr>
              <w:t xml:space="preserve">U dijelu III Procjena koristi ostvarene implementacijom strategije 2012-2018. godine navode se podaci </w:t>
            </w:r>
            <w:r w:rsidRPr="00A71811">
              <w:rPr>
                <w:rFonts w:cstheme="minorHAnsi"/>
                <w:sz w:val="18"/>
                <w:szCs w:val="18"/>
                <w:lang w:val="sr-Latn-ME"/>
              </w:rPr>
              <w:lastRenderedPageBreak/>
              <w:t xml:space="preserve">o broju identifikovanih i potencijalnih žrtava razvrstani po polu. Podaci jasno ukazuju da su žrtve mnogo češće ženskog pola, posebno kada je u pitanju seksualna eksploatacija. </w:t>
            </w:r>
          </w:p>
        </w:tc>
      </w:tr>
      <w:tr w:rsidR="005B4F1C" w:rsidRPr="00AC67F2" w14:paraId="456568B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155CAF6" w14:textId="77777777" w:rsidR="005B4F1C" w:rsidRPr="00AC67F2" w:rsidRDefault="005B4F1C" w:rsidP="002559F4">
            <w:pPr>
              <w:rPr>
                <w:rFonts w:cstheme="minorHAnsi"/>
                <w:lang w:val="sr-Latn-ME"/>
              </w:rPr>
            </w:pPr>
            <w:r>
              <w:rPr>
                <w:rFonts w:cstheme="minorHAnsi"/>
                <w:lang w:val="sr-Latn-ME"/>
              </w:rPr>
              <w:lastRenderedPageBreak/>
              <w:t>2.2</w:t>
            </w:r>
          </w:p>
        </w:tc>
        <w:tc>
          <w:tcPr>
            <w:tcW w:w="3856" w:type="dxa"/>
          </w:tcPr>
          <w:p w14:paraId="03583380"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tcPr>
          <w:p w14:paraId="69BC6EAB"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7CEE86A9"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65B0FADA"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19467F8" w14:textId="77777777" w:rsidR="005B4F1C" w:rsidRPr="00A71811"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Strategija uočava nejednakost u oblasti zapošljavanja žena u sektoru bezbjednosti, kao i njihov izostatak u sferama odlučivanja. </w:t>
            </w:r>
            <w:r w:rsidRPr="00A71811">
              <w:rPr>
                <w:rFonts w:cstheme="minorHAnsi"/>
                <w:sz w:val="18"/>
                <w:szCs w:val="18"/>
                <w:lang w:val="sr-Latn-ME"/>
              </w:rPr>
              <w:t xml:space="preserve"> </w:t>
            </w:r>
          </w:p>
        </w:tc>
      </w:tr>
      <w:tr w:rsidR="005B4F1C" w:rsidRPr="00AC67F2" w14:paraId="42A23381"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E6F033B" w14:textId="77777777" w:rsidR="005B4F1C" w:rsidRDefault="005B4F1C" w:rsidP="002559F4">
            <w:pPr>
              <w:rPr>
                <w:rFonts w:cstheme="minorHAnsi"/>
                <w:lang w:val="sr-Latn-ME"/>
              </w:rPr>
            </w:pPr>
            <w:r>
              <w:rPr>
                <w:rFonts w:cstheme="minorHAnsi"/>
                <w:lang w:val="sr-Latn-ME"/>
              </w:rPr>
              <w:t>2.3</w:t>
            </w:r>
          </w:p>
        </w:tc>
        <w:tc>
          <w:tcPr>
            <w:tcW w:w="3856" w:type="dxa"/>
          </w:tcPr>
          <w:p w14:paraId="63DBC499" w14:textId="77777777" w:rsidR="005B4F1C"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tcPr>
          <w:p w14:paraId="01121D71"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2F003532"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36057B09"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0B4DCC45" w14:textId="77777777" w:rsidR="005B4F1C" w:rsidRPr="00A71811"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Kao razlog uočen je neadekvatan kulturni i socijalni ambijent, te neefikasan siste planiranja ljudskih resursa. </w:t>
            </w:r>
            <w:r w:rsidRPr="00A71811">
              <w:rPr>
                <w:rFonts w:cstheme="minorHAnsi"/>
                <w:sz w:val="18"/>
                <w:szCs w:val="18"/>
                <w:lang w:val="sr-Latn-ME"/>
              </w:rPr>
              <w:t xml:space="preserve"> </w:t>
            </w:r>
          </w:p>
        </w:tc>
      </w:tr>
      <w:tr w:rsidR="005B4F1C" w:rsidRPr="00AC67F2" w14:paraId="1D3A1782"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39EBDCB" w14:textId="77777777" w:rsidR="005B4F1C" w:rsidRPr="00AC67F2" w:rsidRDefault="005B4F1C" w:rsidP="002559F4">
            <w:pPr>
              <w:rPr>
                <w:rFonts w:cstheme="minorHAnsi"/>
                <w:lang w:val="sr-Latn-ME"/>
              </w:rPr>
            </w:pPr>
            <w:r>
              <w:rPr>
                <w:rFonts w:cstheme="minorHAnsi"/>
                <w:lang w:val="sr-Latn-ME"/>
              </w:rPr>
              <w:t>2.4</w:t>
            </w:r>
          </w:p>
        </w:tc>
        <w:tc>
          <w:tcPr>
            <w:tcW w:w="3856" w:type="dxa"/>
          </w:tcPr>
          <w:p w14:paraId="5BE3FE18"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tcPr>
          <w:p w14:paraId="5497C765"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5DC93E03"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0C5CEE82"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436968A" w14:textId="77777777" w:rsidR="005B4F1C" w:rsidRPr="00A71811"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Operativni cilj 2</w:t>
            </w:r>
            <w:r w:rsidRPr="00A71811">
              <w:rPr>
                <w:rFonts w:cstheme="minorHAnsi"/>
                <w:sz w:val="18"/>
                <w:szCs w:val="18"/>
                <w:lang w:val="sr-Latn-ME"/>
              </w:rPr>
              <w:t xml:space="preserve"> </w:t>
            </w:r>
          </w:p>
        </w:tc>
      </w:tr>
      <w:tr w:rsidR="005B4F1C" w:rsidRPr="00AC67F2" w14:paraId="215E91EA"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8A494DE" w14:textId="77777777" w:rsidR="005B4F1C" w:rsidRDefault="005B4F1C" w:rsidP="002559F4">
            <w:pPr>
              <w:rPr>
                <w:rFonts w:cstheme="minorHAnsi"/>
                <w:lang w:val="sr-Latn-ME"/>
              </w:rPr>
            </w:pPr>
            <w:r>
              <w:rPr>
                <w:rFonts w:cstheme="minorHAnsi"/>
                <w:lang w:val="sr-Latn-ME"/>
              </w:rPr>
              <w:t>2.5</w:t>
            </w:r>
          </w:p>
        </w:tc>
        <w:tc>
          <w:tcPr>
            <w:tcW w:w="3856" w:type="dxa"/>
          </w:tcPr>
          <w:p w14:paraId="3CEFDCCB"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58F630E9" w14:textId="77777777" w:rsidR="005B4F1C" w:rsidRPr="004C0876"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4C0876">
              <w:rPr>
                <w:rFonts w:cstheme="minorHAnsi"/>
                <w:b/>
                <w:bCs/>
                <w:lang w:val="sr-Latn-ME"/>
              </w:rPr>
              <w:t>0.5</w:t>
            </w:r>
          </w:p>
        </w:tc>
        <w:tc>
          <w:tcPr>
            <w:tcW w:w="1263" w:type="dxa"/>
          </w:tcPr>
          <w:p w14:paraId="77BF3A53"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7E2D80A1"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2AC91B5" w14:textId="0C43CF49" w:rsidR="005B4F1C" w:rsidRPr="007D7DDA" w:rsidRDefault="005B4F1C" w:rsidP="002559F4">
            <w:pPr>
              <w:pStyle w:val="NormalWeb"/>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D7DDA">
              <w:rPr>
                <w:rFonts w:ascii="Calibri" w:hAnsi="Calibri" w:cs="Calibri"/>
                <w:sz w:val="18"/>
                <w:szCs w:val="18"/>
                <w:lang w:val="sr-Latn-ME"/>
              </w:rPr>
              <w:t>Mjere s</w:t>
            </w:r>
            <w:r w:rsidR="002E448A">
              <w:rPr>
                <w:rFonts w:ascii="Calibri" w:hAnsi="Calibri" w:cs="Calibri"/>
                <w:sz w:val="18"/>
                <w:szCs w:val="18"/>
                <w:lang w:val="sr-Latn-ME"/>
              </w:rPr>
              <w:t>u</w:t>
            </w:r>
            <w:r w:rsidRPr="007D7DDA">
              <w:rPr>
                <w:rFonts w:ascii="Calibri" w:hAnsi="Calibri" w:cs="Calibri"/>
                <w:sz w:val="18"/>
                <w:szCs w:val="18"/>
                <w:lang w:val="sr-Latn-ME"/>
              </w:rPr>
              <w:t xml:space="preserve"> nedovoljno definisane: „</w:t>
            </w:r>
            <w:r w:rsidRPr="007D7DDA">
              <w:rPr>
                <w:rFonts w:ascii="Calibri" w:hAnsi="Calibri" w:cs="Calibri"/>
                <w:sz w:val="18"/>
                <w:szCs w:val="18"/>
              </w:rPr>
              <w:t xml:space="preserve">Preduzimanje posebnih mjera usmjerenih na poboljšanje stanja u oblasti rodne ravnopravnosti, kako u smislu povećanja broja </w:t>
            </w:r>
            <w:r w:rsidR="002E448A">
              <w:rPr>
                <w:rFonts w:ascii="Calibri" w:hAnsi="Calibri" w:cs="Calibri"/>
                <w:sz w:val="18"/>
                <w:szCs w:val="18"/>
                <w:lang w:val="hr-HR"/>
              </w:rPr>
              <w:t>ž</w:t>
            </w:r>
            <w:r w:rsidRPr="007D7DDA">
              <w:rPr>
                <w:rFonts w:ascii="Calibri" w:hAnsi="Calibri" w:cs="Calibri"/>
                <w:sz w:val="18"/>
                <w:szCs w:val="18"/>
              </w:rPr>
              <w:t>ena u Upravi policije, tako i osiguranju da ţene zauzimaju rukovodeća radna mjesta u policiji.</w:t>
            </w:r>
            <w:r w:rsidRPr="007D7DDA">
              <w:rPr>
                <w:rFonts w:ascii="Calibri" w:hAnsi="Calibri" w:cs="Calibri"/>
                <w:sz w:val="18"/>
                <w:szCs w:val="18"/>
                <w:lang w:val="hr-HR"/>
              </w:rPr>
              <w:t>“</w:t>
            </w:r>
          </w:p>
        </w:tc>
      </w:tr>
      <w:tr w:rsidR="005B4F1C" w:rsidRPr="00AC67F2" w14:paraId="0336511A"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44108A96" w14:textId="77777777" w:rsidR="005B4F1C" w:rsidRPr="00AC67F2" w:rsidRDefault="005B4F1C" w:rsidP="002559F4">
            <w:pPr>
              <w:rPr>
                <w:rFonts w:cstheme="minorHAnsi"/>
                <w:lang w:val="sr-Latn-ME"/>
              </w:rPr>
            </w:pPr>
            <w:r>
              <w:rPr>
                <w:rFonts w:cstheme="minorHAnsi"/>
                <w:lang w:val="sr-Latn-ME"/>
              </w:rPr>
              <w:t>2.6</w:t>
            </w:r>
          </w:p>
        </w:tc>
        <w:tc>
          <w:tcPr>
            <w:tcW w:w="3856" w:type="dxa"/>
            <w:shd w:val="clear" w:color="auto" w:fill="auto"/>
          </w:tcPr>
          <w:p w14:paraId="49A16865"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auto"/>
          </w:tcPr>
          <w:p w14:paraId="502EC49B" w14:textId="04210801" w:rsidR="005B4F1C" w:rsidRPr="00AC67F2" w:rsidRDefault="00D642E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shd w:val="clear" w:color="auto" w:fill="auto"/>
          </w:tcPr>
          <w:p w14:paraId="2D3946F3"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0963AD8D"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5005A275" w14:textId="77777777" w:rsidR="005B4F1C" w:rsidRPr="00A71811"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Budget je dat za cjelokupan cilj.</w:t>
            </w:r>
          </w:p>
        </w:tc>
      </w:tr>
      <w:tr w:rsidR="005B4F1C" w:rsidRPr="00AC67F2" w14:paraId="48DAAA9B"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5D209D1" w14:textId="77777777" w:rsidR="005B4F1C" w:rsidRDefault="005B4F1C" w:rsidP="002559F4">
            <w:pPr>
              <w:rPr>
                <w:rFonts w:cstheme="minorHAnsi"/>
                <w:lang w:val="sr-Latn-ME"/>
              </w:rPr>
            </w:pPr>
            <w:r>
              <w:rPr>
                <w:rFonts w:cstheme="minorHAnsi"/>
                <w:lang w:val="sr-Latn-ME"/>
              </w:rPr>
              <w:t>2.7</w:t>
            </w:r>
          </w:p>
        </w:tc>
        <w:tc>
          <w:tcPr>
            <w:tcW w:w="3856" w:type="dxa"/>
          </w:tcPr>
          <w:p w14:paraId="75CF79AE" w14:textId="1AE42E65" w:rsidR="005B4F1C"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337C087D"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385E7C0D"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1BC9D3FE"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8D685E0" w14:textId="77777777" w:rsidR="005B4F1C" w:rsidRPr="00A71811"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5B4F1C" w:rsidRPr="00AC67F2" w14:paraId="0941988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7CFDA0C" w14:textId="6E91BA39" w:rsidR="005B4F1C" w:rsidRPr="00AC67F2" w:rsidRDefault="005B4F1C" w:rsidP="002559F4">
            <w:pPr>
              <w:rPr>
                <w:rFonts w:cstheme="minorHAnsi"/>
                <w:lang w:val="sr-Latn-ME"/>
              </w:rPr>
            </w:pPr>
            <w:r>
              <w:rPr>
                <w:rFonts w:cstheme="minorHAnsi"/>
                <w:lang w:val="sr-Latn-ME"/>
              </w:rPr>
              <w:lastRenderedPageBreak/>
              <w:t>2.</w:t>
            </w:r>
            <w:r w:rsidR="00685411">
              <w:rPr>
                <w:rFonts w:cstheme="minorHAnsi"/>
                <w:lang w:val="sr-Latn-ME"/>
              </w:rPr>
              <w:t>9</w:t>
            </w:r>
          </w:p>
        </w:tc>
        <w:tc>
          <w:tcPr>
            <w:tcW w:w="3856" w:type="dxa"/>
          </w:tcPr>
          <w:p w14:paraId="4BECBAC0" w14:textId="77777777" w:rsidR="005B4F1C"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53C54106" w14:textId="77777777" w:rsidR="005B4F1C" w:rsidRPr="005C2773" w:rsidRDefault="005B4F1C"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515C64E3"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60972CE8"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22A2B552"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712D9FD" w14:textId="6C4DD340" w:rsidR="005B4F1C" w:rsidRPr="00AC67F2" w:rsidRDefault="002448BF"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3F278B">
              <w:rPr>
                <w:rFonts w:cstheme="minorHAnsi"/>
                <w:sz w:val="18"/>
                <w:szCs w:val="18"/>
                <w:lang w:val="sr-Latn-ME"/>
              </w:rPr>
              <w:t xml:space="preserve">Strategija uglavnom koristi rodno neutralne izraze, međutim u djelovima gdje to nije moguće ne koristi se rodno senzitivan jezik (npr. </w:t>
            </w:r>
            <w:r>
              <w:rPr>
                <w:rFonts w:cstheme="minorHAnsi"/>
                <w:sz w:val="18"/>
                <w:szCs w:val="18"/>
                <w:lang w:val="sr-Latn-ME"/>
              </w:rPr>
              <w:t>„građani“, „zaposleni“, „profesionalci“…)</w:t>
            </w:r>
            <w:r w:rsidRPr="003F278B">
              <w:rPr>
                <w:sz w:val="18"/>
                <w:szCs w:val="18"/>
              </w:rPr>
              <w:t xml:space="preserve"> </w:t>
            </w:r>
          </w:p>
        </w:tc>
      </w:tr>
      <w:tr w:rsidR="005B4F1C" w:rsidRPr="00AC67F2" w14:paraId="381F1C6C"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34852FD0" w14:textId="77777777" w:rsidR="005B4F1C" w:rsidRPr="00AC67F2" w:rsidRDefault="005B4F1C" w:rsidP="002559F4">
            <w:pPr>
              <w:rPr>
                <w:rFonts w:cstheme="minorHAnsi"/>
                <w:lang w:val="sr-Latn-ME" w:eastAsia="en-GB"/>
              </w:rPr>
            </w:pPr>
            <w:r>
              <w:rPr>
                <w:rFonts w:cstheme="minorHAnsi"/>
                <w:lang w:val="sr-Latn-ME"/>
              </w:rPr>
              <w:t>Ukupno</w:t>
            </w:r>
          </w:p>
        </w:tc>
        <w:tc>
          <w:tcPr>
            <w:tcW w:w="747" w:type="dxa"/>
          </w:tcPr>
          <w:p w14:paraId="7487FDF3"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202646BE" w14:textId="77777777" w:rsidR="005B4F1C" w:rsidRPr="00527B8F"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7774BD6A"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49375E8" w14:textId="0E452083" w:rsidR="005B4F1C" w:rsidRPr="00E72E03" w:rsidRDefault="005B4F1C"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5</w:t>
            </w:r>
            <w:r w:rsidR="00D642ED">
              <w:rPr>
                <w:rFonts w:cstheme="minorHAnsi"/>
                <w:b/>
                <w:bCs/>
                <w:sz w:val="28"/>
                <w:szCs w:val="28"/>
                <w:lang w:val="sr-Latn-ME"/>
              </w:rPr>
              <w:t>.5</w:t>
            </w:r>
            <w:r w:rsidRPr="00E72E03">
              <w:rPr>
                <w:rFonts w:cstheme="minorHAnsi"/>
                <w:b/>
                <w:bCs/>
                <w:sz w:val="28"/>
                <w:szCs w:val="28"/>
                <w:lang w:val="sr-Latn-ME"/>
              </w:rPr>
              <w:t>/</w:t>
            </w:r>
            <w:r>
              <w:rPr>
                <w:rFonts w:cstheme="minorHAnsi"/>
                <w:b/>
                <w:bCs/>
                <w:sz w:val="28"/>
                <w:szCs w:val="28"/>
                <w:lang w:val="sr-Latn-ME"/>
              </w:rPr>
              <w:t>8</w:t>
            </w:r>
          </w:p>
        </w:tc>
      </w:tr>
    </w:tbl>
    <w:p w14:paraId="1C923E97" w14:textId="77777777" w:rsidR="005B4F1C" w:rsidRPr="00AC67F2" w:rsidRDefault="005B4F1C" w:rsidP="005B4F1C">
      <w:pPr>
        <w:rPr>
          <w:rFonts w:cstheme="minorHAnsi"/>
          <w:lang w:val="sr-Latn-ME"/>
        </w:rPr>
      </w:pPr>
    </w:p>
    <w:p w14:paraId="3177FB27" w14:textId="77777777" w:rsidR="005B4F1C" w:rsidRPr="007D71A2" w:rsidRDefault="005B4F1C" w:rsidP="005B4F1C">
      <w:pPr>
        <w:rPr>
          <w:b/>
          <w:bCs/>
        </w:rPr>
      </w:pPr>
      <w:r w:rsidRPr="007D71A2">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5B4F1C" w:rsidRPr="00AC67F2" w14:paraId="19773C14"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62EAC7E7" w14:textId="77777777" w:rsidR="005B4F1C" w:rsidRPr="00AC67F2" w:rsidRDefault="005B4F1C"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6403E6B8"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04B72013"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00563CB7"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0763FAB9"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21962E34" w14:textId="77777777" w:rsidR="005B4F1C" w:rsidRPr="00AC67F2" w:rsidRDefault="005B4F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5B4F1C" w:rsidRPr="00AC67F2" w14:paraId="002FB0A4"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E488287" w14:textId="77777777" w:rsidR="005B4F1C" w:rsidRPr="00AC67F2" w:rsidRDefault="005B4F1C" w:rsidP="002559F4">
            <w:pPr>
              <w:rPr>
                <w:rFonts w:cstheme="minorHAnsi"/>
                <w:lang w:val="sr-Latn-ME"/>
              </w:rPr>
            </w:pPr>
            <w:r>
              <w:rPr>
                <w:rFonts w:cstheme="minorHAnsi"/>
                <w:lang w:val="sr-Latn-ME"/>
              </w:rPr>
              <w:t>3.1</w:t>
            </w:r>
          </w:p>
        </w:tc>
        <w:tc>
          <w:tcPr>
            <w:tcW w:w="3908" w:type="dxa"/>
          </w:tcPr>
          <w:p w14:paraId="0EC43A2B"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18F83989"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05C3F78E"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tcPr>
          <w:p w14:paraId="49FCB5F3"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7EDD05AD" w14:textId="77777777" w:rsidR="005B4F1C" w:rsidRPr="00D05226" w:rsidRDefault="005B4F1C" w:rsidP="002559F4">
            <w:pPr>
              <w:pStyle w:val="NormalWeb"/>
              <w:shd w:val="clear" w:color="auto" w:fill="FFFFFF"/>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hr-HR"/>
              </w:rPr>
            </w:pPr>
            <w:r w:rsidRPr="00D05226">
              <w:rPr>
                <w:rFonts w:ascii="Calibri" w:hAnsi="Calibri" w:cs="Calibri"/>
                <w:sz w:val="18"/>
                <w:szCs w:val="18"/>
              </w:rPr>
              <w:t xml:space="preserve">Procenat </w:t>
            </w:r>
            <w:r>
              <w:rPr>
                <w:rFonts w:ascii="Calibri" w:hAnsi="Calibri" w:cs="Calibri"/>
                <w:sz w:val="18"/>
                <w:szCs w:val="18"/>
                <w:lang w:val="hr-HR"/>
              </w:rPr>
              <w:t>ž</w:t>
            </w:r>
            <w:r w:rsidRPr="00D05226">
              <w:rPr>
                <w:rFonts w:ascii="Calibri" w:hAnsi="Calibri" w:cs="Calibri"/>
                <w:sz w:val="18"/>
                <w:szCs w:val="18"/>
              </w:rPr>
              <w:t xml:space="preserve">ena koje se nalaze na rukovodećim radnim mjestima u policiji </w:t>
            </w:r>
            <w:r w:rsidRPr="00D05226">
              <w:rPr>
                <w:rFonts w:ascii="Calibri" w:hAnsi="Calibri" w:cs="Calibri"/>
                <w:sz w:val="18"/>
                <w:szCs w:val="18"/>
                <w:lang w:val="hr-HR"/>
              </w:rPr>
              <w:t>– target minimum 10%</w:t>
            </w:r>
          </w:p>
        </w:tc>
      </w:tr>
      <w:tr w:rsidR="005B4F1C" w:rsidRPr="00AC67F2" w14:paraId="7D61F2CC"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4098418B" w14:textId="77777777" w:rsidR="005B4F1C" w:rsidRDefault="005B4F1C" w:rsidP="002559F4">
            <w:pPr>
              <w:rPr>
                <w:rFonts w:cstheme="minorHAnsi"/>
                <w:lang w:val="sr-Latn-ME"/>
              </w:rPr>
            </w:pPr>
            <w:r>
              <w:rPr>
                <w:rFonts w:cstheme="minorHAnsi"/>
                <w:lang w:val="sr-Latn-ME"/>
              </w:rPr>
              <w:t>Ukupno</w:t>
            </w:r>
          </w:p>
        </w:tc>
        <w:tc>
          <w:tcPr>
            <w:tcW w:w="760" w:type="dxa"/>
            <w:shd w:val="clear" w:color="auto" w:fill="auto"/>
          </w:tcPr>
          <w:p w14:paraId="2C1753A8" w14:textId="77777777" w:rsidR="005B4F1C" w:rsidRPr="00AC67F2" w:rsidRDefault="005B4F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15F113F3" w14:textId="77777777" w:rsidR="005B4F1C" w:rsidRPr="00527B8F"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5C97026E" w14:textId="77777777" w:rsidR="005B4F1C" w:rsidRPr="00AC67F2" w:rsidRDefault="005B4F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284515CC" w14:textId="77777777" w:rsidR="005B4F1C" w:rsidRPr="00AC67F2" w:rsidRDefault="005B4F1C"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1/1</w:t>
            </w:r>
          </w:p>
        </w:tc>
      </w:tr>
    </w:tbl>
    <w:p w14:paraId="31AC6516" w14:textId="77777777" w:rsidR="005B4F1C" w:rsidRDefault="005B4F1C" w:rsidP="005B4F1C">
      <w:pPr>
        <w:rPr>
          <w:rFonts w:cstheme="minorHAnsi"/>
          <w:lang w:val="sr-Latn-ME"/>
        </w:rPr>
      </w:pPr>
    </w:p>
    <w:p w14:paraId="3DAEC2E7" w14:textId="516FA610" w:rsidR="005B4F1C" w:rsidRPr="00A25197" w:rsidRDefault="005B4F1C" w:rsidP="005B4F1C">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92D050"/>
          <w:sz w:val="32"/>
          <w:szCs w:val="32"/>
          <w:lang w:val="sr-Latn-ME"/>
        </w:rPr>
      </w:pPr>
      <w:r w:rsidRPr="00A25197">
        <w:rPr>
          <w:rFonts w:cstheme="minorHAnsi"/>
          <w:color w:val="92D050"/>
          <w:sz w:val="32"/>
          <w:szCs w:val="32"/>
          <w:lang w:val="sr-Latn-ME"/>
        </w:rPr>
        <w:t>Konačna ocjena: 6</w:t>
      </w:r>
      <w:r w:rsidR="00A25197" w:rsidRPr="00A25197">
        <w:rPr>
          <w:rFonts w:cstheme="minorHAnsi"/>
          <w:color w:val="92D050"/>
          <w:sz w:val="32"/>
          <w:szCs w:val="32"/>
          <w:lang w:val="sr-Latn-ME"/>
        </w:rPr>
        <w:t>.5</w:t>
      </w:r>
      <w:r w:rsidRPr="00A25197">
        <w:rPr>
          <w:rFonts w:cstheme="minorHAnsi"/>
          <w:color w:val="92D050"/>
          <w:sz w:val="32"/>
          <w:szCs w:val="32"/>
          <w:lang w:val="sr-Latn-ME"/>
        </w:rPr>
        <w:t xml:space="preserve"> od 1</w:t>
      </w:r>
      <w:r w:rsidR="00E11371">
        <w:rPr>
          <w:rFonts w:cstheme="minorHAnsi"/>
          <w:color w:val="92D050"/>
          <w:sz w:val="32"/>
          <w:szCs w:val="32"/>
          <w:lang w:val="sr-Latn-ME"/>
        </w:rPr>
        <w:t>1</w:t>
      </w:r>
      <w:r w:rsidRPr="00A25197">
        <w:rPr>
          <w:rFonts w:cstheme="minorHAnsi"/>
          <w:color w:val="92D050"/>
          <w:sz w:val="32"/>
          <w:szCs w:val="32"/>
          <w:lang w:val="sr-Latn-ME"/>
        </w:rPr>
        <w:t xml:space="preserve"> ili </w:t>
      </w:r>
      <w:r w:rsidRPr="00A25197">
        <w:rPr>
          <w:rFonts w:cstheme="minorHAnsi"/>
          <w:b/>
          <w:bCs/>
          <w:color w:val="92D050"/>
          <w:sz w:val="32"/>
          <w:szCs w:val="32"/>
          <w:lang w:val="sr-Latn-ME"/>
        </w:rPr>
        <w:t>0.5</w:t>
      </w:r>
      <w:r w:rsidR="00E11371">
        <w:rPr>
          <w:rFonts w:cstheme="minorHAnsi"/>
          <w:b/>
          <w:bCs/>
          <w:color w:val="92D050"/>
          <w:sz w:val="32"/>
          <w:szCs w:val="32"/>
          <w:lang w:val="sr-Latn-ME"/>
        </w:rPr>
        <w:t>9</w:t>
      </w:r>
      <w:r w:rsidRPr="00A25197">
        <w:rPr>
          <w:rFonts w:cstheme="minorHAnsi"/>
          <w:b/>
          <w:bCs/>
          <w:color w:val="92D050"/>
          <w:sz w:val="32"/>
          <w:szCs w:val="32"/>
          <w:lang w:val="sr-Latn-ME"/>
        </w:rPr>
        <w:t xml:space="preserve"> – Strategija </w:t>
      </w:r>
      <w:r w:rsidR="00A25197" w:rsidRPr="00A25197">
        <w:rPr>
          <w:rFonts w:cstheme="minorHAnsi"/>
          <w:b/>
          <w:bCs/>
          <w:color w:val="92D050"/>
          <w:sz w:val="32"/>
          <w:szCs w:val="32"/>
          <w:lang w:val="sr-Latn-ME"/>
        </w:rPr>
        <w:t xml:space="preserve">je </w:t>
      </w:r>
      <w:r w:rsidRPr="00A25197">
        <w:rPr>
          <w:rFonts w:cstheme="minorHAnsi"/>
          <w:b/>
          <w:bCs/>
          <w:color w:val="92D050"/>
          <w:sz w:val="32"/>
          <w:szCs w:val="32"/>
          <w:lang w:val="sr-Latn-ME"/>
        </w:rPr>
        <w:t>uglavnom orodnjena</w:t>
      </w:r>
    </w:p>
    <w:p w14:paraId="2ECF3A17" w14:textId="77777777" w:rsidR="00044156" w:rsidRDefault="00044156" w:rsidP="00044156">
      <w:pPr>
        <w:rPr>
          <w:rFonts w:cstheme="minorHAnsi"/>
          <w:lang w:val="sr-Latn-ME"/>
        </w:rPr>
      </w:pPr>
    </w:p>
    <w:p w14:paraId="5557D37E" w14:textId="37D47DB4" w:rsidR="00F140DA" w:rsidRDefault="009D5CC5" w:rsidP="00DC394B">
      <w:pPr>
        <w:pStyle w:val="Heading3"/>
        <w:rPr>
          <w:noProof/>
          <w:lang w:val="hr-HR"/>
        </w:rPr>
      </w:pPr>
      <w:bookmarkStart w:id="10" w:name="_Toc100339532"/>
      <w:r>
        <w:rPr>
          <w:noProof/>
          <w:lang w:val="hr-HR"/>
        </w:rPr>
        <w:t xml:space="preserve">3. </w:t>
      </w:r>
      <w:r w:rsidR="00F140DA">
        <w:rPr>
          <w:noProof/>
          <w:lang w:val="hr-HR"/>
        </w:rPr>
        <w:t>S</w:t>
      </w:r>
      <w:r w:rsidR="00AC6EB8" w:rsidRPr="00AC6EB8">
        <w:rPr>
          <w:noProof/>
          <w:lang w:val="hr-HR"/>
        </w:rPr>
        <w:t>trategija za suzbijanje nedozvoljenog posjedovanja, zloupotrebe i trgovine, malokalibarskim i lakim oružjem i municijom 2019-2025</w:t>
      </w:r>
      <w:bookmarkEnd w:id="10"/>
    </w:p>
    <w:p w14:paraId="015AAE92" w14:textId="77777777" w:rsidR="0053536E" w:rsidRPr="0053536E" w:rsidRDefault="0053536E" w:rsidP="0053536E"/>
    <w:p w14:paraId="25484240" w14:textId="7BED7227" w:rsidR="00757B71" w:rsidRPr="00757B71" w:rsidRDefault="00757B71" w:rsidP="00757B71">
      <w:pPr>
        <w:jc w:val="both"/>
        <w:rPr>
          <w:lang w:val="hr-HR"/>
        </w:rPr>
      </w:pPr>
      <w:r>
        <w:rPr>
          <w:lang w:val="hr-HR"/>
        </w:rPr>
        <w:t xml:space="preserve">Cilj ove Strategije je da se do 2025. godine </w:t>
      </w:r>
      <w:r w:rsidRPr="00757B71">
        <w:rPr>
          <w:lang w:val="hr-HR"/>
        </w:rPr>
        <w:t>izgrad</w:t>
      </w:r>
      <w:r>
        <w:rPr>
          <w:lang w:val="hr-HR"/>
        </w:rPr>
        <w:t>i</w:t>
      </w:r>
      <w:r w:rsidRPr="00757B71">
        <w:rPr>
          <w:lang w:val="hr-HR"/>
        </w:rPr>
        <w:t xml:space="preserve"> sveobuhvatn</w:t>
      </w:r>
      <w:r>
        <w:rPr>
          <w:lang w:val="hr-HR"/>
        </w:rPr>
        <w:t>i</w:t>
      </w:r>
      <w:r w:rsidRPr="00757B71">
        <w:rPr>
          <w:lang w:val="hr-HR"/>
        </w:rPr>
        <w:t xml:space="preserve"> i efikasn</w:t>
      </w:r>
      <w:r>
        <w:rPr>
          <w:lang w:val="hr-HR"/>
        </w:rPr>
        <w:t>i</w:t>
      </w:r>
      <w:r w:rsidRPr="00757B71">
        <w:rPr>
          <w:lang w:val="hr-HR"/>
        </w:rPr>
        <w:t xml:space="preserve"> sistem kontrole malokalibarskog i lakog oružja i municije, kroz uspostavljanje zakonodavnog okvira o kontroli naoružanja, smanjenje nelegalnih tokova, širenja i zloupotrebe vatrenog oružja, municije i eksploziva.</w:t>
      </w:r>
    </w:p>
    <w:p w14:paraId="5E72A57C" w14:textId="77777777" w:rsidR="00044156" w:rsidRPr="00044156" w:rsidRDefault="00044156" w:rsidP="00044156">
      <w:pPr>
        <w:rPr>
          <w:lang w:val="hr-HR"/>
        </w:rPr>
      </w:pPr>
    </w:p>
    <w:p w14:paraId="7BF3607E" w14:textId="77777777" w:rsidR="00044156" w:rsidRPr="007D71A2" w:rsidRDefault="00044156" w:rsidP="00044156">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30"/>
        <w:gridCol w:w="4569"/>
        <w:gridCol w:w="1206"/>
        <w:gridCol w:w="1263"/>
        <w:gridCol w:w="1782"/>
      </w:tblGrid>
      <w:tr w:rsidR="00044156" w:rsidRPr="00AC67F2" w14:paraId="44503B64"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 w:type="pct"/>
            <w:shd w:val="clear" w:color="auto" w:fill="B4C6E7" w:themeFill="accent1" w:themeFillTint="66"/>
          </w:tcPr>
          <w:p w14:paraId="42C9C7D2" w14:textId="77777777" w:rsidR="00044156" w:rsidRPr="00AC67F2" w:rsidRDefault="00044156" w:rsidP="002559F4">
            <w:pPr>
              <w:rPr>
                <w:rFonts w:cstheme="minorHAnsi"/>
                <w:lang w:val="sr-Latn-ME"/>
              </w:rPr>
            </w:pPr>
            <w:r w:rsidRPr="00AC67F2">
              <w:rPr>
                <w:rFonts w:cstheme="minorHAnsi"/>
                <w:lang w:val="sr-Latn-ME"/>
              </w:rPr>
              <w:t>Br.</w:t>
            </w:r>
          </w:p>
        </w:tc>
        <w:tc>
          <w:tcPr>
            <w:tcW w:w="2473" w:type="pct"/>
            <w:shd w:val="clear" w:color="auto" w:fill="B4C6E7" w:themeFill="accent1" w:themeFillTint="66"/>
          </w:tcPr>
          <w:p w14:paraId="52039B7B" w14:textId="77777777" w:rsidR="00044156" w:rsidRPr="00AC67F2" w:rsidRDefault="0004415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75" w:type="pct"/>
            <w:shd w:val="clear" w:color="auto" w:fill="B4C6E7" w:themeFill="accent1" w:themeFillTint="66"/>
          </w:tcPr>
          <w:p w14:paraId="6F708F81" w14:textId="77777777" w:rsidR="00044156" w:rsidRPr="00AC67F2" w:rsidRDefault="0004415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555" w:type="pct"/>
            <w:shd w:val="clear" w:color="auto" w:fill="B4C6E7" w:themeFill="accent1" w:themeFillTint="66"/>
          </w:tcPr>
          <w:p w14:paraId="4C3E2F30" w14:textId="77777777" w:rsidR="00044156" w:rsidRPr="009148DB" w:rsidRDefault="00044156"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83" w:type="pct"/>
            <w:shd w:val="clear" w:color="auto" w:fill="B4C6E7" w:themeFill="accent1" w:themeFillTint="66"/>
          </w:tcPr>
          <w:p w14:paraId="08A530DD" w14:textId="77777777" w:rsidR="00044156" w:rsidRPr="00AC67F2" w:rsidRDefault="0004415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044156" w:rsidRPr="00AC67F2" w14:paraId="6C68A523"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55035281" w14:textId="77777777" w:rsidR="00044156" w:rsidRPr="00AC67F2" w:rsidRDefault="00044156" w:rsidP="002559F4">
            <w:pPr>
              <w:rPr>
                <w:rFonts w:cstheme="minorHAnsi"/>
                <w:lang w:val="sr-Latn-ME"/>
              </w:rPr>
            </w:pPr>
            <w:r w:rsidRPr="00AC67F2">
              <w:rPr>
                <w:rFonts w:cstheme="minorHAnsi"/>
                <w:lang w:val="sr-Latn-ME"/>
              </w:rPr>
              <w:lastRenderedPageBreak/>
              <w:t>1</w:t>
            </w:r>
            <w:r>
              <w:rPr>
                <w:rFonts w:cstheme="minorHAnsi"/>
                <w:lang w:val="sr-Latn-ME"/>
              </w:rPr>
              <w:t>.1</w:t>
            </w:r>
          </w:p>
        </w:tc>
        <w:tc>
          <w:tcPr>
            <w:tcW w:w="2473" w:type="pct"/>
          </w:tcPr>
          <w:p w14:paraId="7B80FD45" w14:textId="77777777" w:rsidR="00044156" w:rsidRPr="00DA659B"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1E813B2D" w14:textId="77777777" w:rsidR="00044156" w:rsidRPr="00AC67F2"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75" w:type="pct"/>
          </w:tcPr>
          <w:p w14:paraId="5EC7F19B" w14:textId="6883F71D" w:rsidR="00044156" w:rsidRPr="00AC67F2" w:rsidRDefault="0089682B" w:rsidP="0089682B">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555" w:type="pct"/>
          </w:tcPr>
          <w:p w14:paraId="378CB35B" w14:textId="770A7DAB"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983" w:type="pct"/>
          </w:tcPr>
          <w:p w14:paraId="2BC9810D" w14:textId="1F41BE60" w:rsidR="00044156" w:rsidRPr="0089682B" w:rsidRDefault="0089682B" w:rsidP="0089682B">
            <w:pPr>
              <w:pStyle w:val="NormalWeb"/>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682B">
              <w:rPr>
                <w:rFonts w:ascii="Calibri" w:hAnsi="Calibri" w:cs="Calibri"/>
                <w:sz w:val="18"/>
                <w:szCs w:val="18"/>
                <w:lang w:val="hr-HR"/>
              </w:rPr>
              <w:t>Strategija sadrži sljedeću informaciju na strani 11: „</w:t>
            </w:r>
            <w:r w:rsidR="005063FF" w:rsidRPr="0089682B">
              <w:rPr>
                <w:rFonts w:ascii="Calibri" w:hAnsi="Calibri" w:cs="Calibri"/>
                <w:sz w:val="18"/>
                <w:szCs w:val="18"/>
              </w:rPr>
              <w:t>Treba istaći da su žene i muškarci podjednako učestvovali u izradi ovog strateškog dokumenta, kao i Mapi puta.</w:t>
            </w:r>
            <w:r w:rsidRPr="0089682B">
              <w:rPr>
                <w:rFonts w:ascii="Calibri" w:hAnsi="Calibri" w:cs="Calibri"/>
                <w:sz w:val="18"/>
                <w:szCs w:val="18"/>
                <w:lang w:val="hr-HR"/>
              </w:rPr>
              <w:t>“</w:t>
            </w:r>
            <w:r w:rsidR="005063FF" w:rsidRPr="0089682B">
              <w:rPr>
                <w:rFonts w:ascii="Calibri" w:hAnsi="Calibri" w:cs="Calibri"/>
                <w:sz w:val="18"/>
                <w:szCs w:val="18"/>
              </w:rPr>
              <w:t xml:space="preserve"> </w:t>
            </w:r>
          </w:p>
        </w:tc>
      </w:tr>
      <w:tr w:rsidR="00044156" w:rsidRPr="00AC67F2" w14:paraId="4CE9588D"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0594329E" w14:textId="77777777" w:rsidR="00044156" w:rsidRPr="00AC67F2" w:rsidRDefault="00044156" w:rsidP="002559F4">
            <w:pPr>
              <w:rPr>
                <w:rFonts w:cstheme="minorHAnsi"/>
                <w:lang w:val="sr-Latn-ME"/>
              </w:rPr>
            </w:pPr>
            <w:r>
              <w:rPr>
                <w:rFonts w:cstheme="minorHAnsi"/>
                <w:lang w:val="sr-Latn-ME"/>
              </w:rPr>
              <w:t>1.2</w:t>
            </w:r>
          </w:p>
        </w:tc>
        <w:tc>
          <w:tcPr>
            <w:tcW w:w="2473" w:type="pct"/>
          </w:tcPr>
          <w:p w14:paraId="21669777" w14:textId="77777777" w:rsidR="00044156"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77CD6F51" w14:textId="77777777" w:rsidR="00044156" w:rsidRPr="00AC67F2"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75" w:type="pct"/>
          </w:tcPr>
          <w:p w14:paraId="1F347462" w14:textId="77777777" w:rsidR="00044156" w:rsidRPr="00AC67F2"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3A61941E"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83" w:type="pct"/>
          </w:tcPr>
          <w:p w14:paraId="4C7C056F" w14:textId="0F4EC66C" w:rsidR="00044156" w:rsidRPr="00A545D6"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545D6">
              <w:rPr>
                <w:rFonts w:cstheme="minorHAnsi"/>
                <w:sz w:val="18"/>
                <w:szCs w:val="18"/>
                <w:lang w:val="sr-Latn-ME"/>
              </w:rPr>
              <w:t>Tekst strategije ne sadrži podatke o tome koje su organizacije i eksperti-ekspertkinje konsultovani</w:t>
            </w:r>
            <w:r w:rsidR="001B2887">
              <w:rPr>
                <w:rFonts w:cstheme="minorHAnsi"/>
                <w:sz w:val="18"/>
                <w:szCs w:val="18"/>
                <w:lang w:val="sr-Latn-ME"/>
              </w:rPr>
              <w:t>.</w:t>
            </w:r>
          </w:p>
        </w:tc>
      </w:tr>
      <w:tr w:rsidR="00044156" w:rsidRPr="00AC67F2" w14:paraId="7F46F6AA" w14:textId="77777777" w:rsidTr="002559F4">
        <w:tc>
          <w:tcPr>
            <w:cnfStyle w:val="001000000000" w:firstRow="0" w:lastRow="0" w:firstColumn="1" w:lastColumn="0" w:oddVBand="0" w:evenVBand="0" w:oddHBand="0" w:evenHBand="0" w:firstRowFirstColumn="0" w:firstRowLastColumn="0" w:lastRowFirstColumn="0" w:lastRowLastColumn="0"/>
            <w:tcW w:w="2787" w:type="pct"/>
            <w:gridSpan w:val="2"/>
          </w:tcPr>
          <w:p w14:paraId="2EF70246" w14:textId="77777777" w:rsidR="00044156" w:rsidRPr="00AC67F2" w:rsidRDefault="00044156" w:rsidP="002559F4">
            <w:pPr>
              <w:rPr>
                <w:rFonts w:cstheme="minorHAnsi"/>
                <w:lang w:val="sr-Latn-ME"/>
              </w:rPr>
            </w:pPr>
            <w:r>
              <w:rPr>
                <w:rFonts w:cstheme="minorHAnsi"/>
                <w:lang w:val="sr-Latn-ME"/>
              </w:rPr>
              <w:t>Ukupno</w:t>
            </w:r>
          </w:p>
        </w:tc>
        <w:tc>
          <w:tcPr>
            <w:tcW w:w="675" w:type="pct"/>
          </w:tcPr>
          <w:p w14:paraId="551F043B" w14:textId="77777777" w:rsidR="00044156" w:rsidRPr="00AC67F2"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21F22C3E" w14:textId="77777777" w:rsidR="00044156" w:rsidRPr="00527B8F"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83" w:type="pct"/>
          </w:tcPr>
          <w:p w14:paraId="62981413" w14:textId="28D45E47" w:rsidR="00044156" w:rsidRPr="008C09CD" w:rsidRDefault="001B2887"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lang w:val="sr-Latn-ME"/>
              </w:rPr>
              <w:t>1</w:t>
            </w:r>
            <w:r w:rsidR="00044156">
              <w:rPr>
                <w:rFonts w:cstheme="minorHAnsi"/>
                <w:b/>
                <w:bCs/>
                <w:sz w:val="28"/>
                <w:szCs w:val="28"/>
              </w:rPr>
              <w:t>/2</w:t>
            </w:r>
          </w:p>
        </w:tc>
      </w:tr>
    </w:tbl>
    <w:p w14:paraId="6071C8D3" w14:textId="77777777" w:rsidR="00044156" w:rsidRDefault="00044156" w:rsidP="00044156">
      <w:pPr>
        <w:rPr>
          <w:b/>
          <w:bCs/>
          <w:lang w:val="sr-Latn-ME"/>
        </w:rPr>
      </w:pPr>
    </w:p>
    <w:p w14:paraId="0832243E" w14:textId="77777777" w:rsidR="00044156" w:rsidRPr="007D71A2" w:rsidRDefault="00044156" w:rsidP="00044156">
      <w:pPr>
        <w:rPr>
          <w:b/>
          <w:bCs/>
          <w:lang w:val="sr-Latn-ME"/>
        </w:rPr>
      </w:pPr>
      <w:r w:rsidRPr="007D71A2">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044156" w:rsidRPr="00AC67F2" w14:paraId="0269E9CB"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06A50CFC" w14:textId="77777777" w:rsidR="00044156" w:rsidRPr="00AC67F2" w:rsidRDefault="00044156"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04EFC457" w14:textId="77777777" w:rsidR="00044156" w:rsidRPr="00AC67F2" w:rsidRDefault="0004415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7D4BF832" w14:textId="77777777" w:rsidR="00044156" w:rsidRPr="00AC67F2" w:rsidRDefault="0004415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667D9803" w14:textId="77777777" w:rsidR="00044156" w:rsidRPr="00AC67F2" w:rsidRDefault="0004415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7B3DA30C" w14:textId="77777777" w:rsidR="00044156" w:rsidRPr="00AC67F2" w:rsidRDefault="0004415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06A4FC26" w14:textId="77777777" w:rsidR="00044156" w:rsidRPr="00AC67F2" w:rsidRDefault="0004415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044156" w:rsidRPr="00AC67F2" w14:paraId="0AD8EA49"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43AB5C3" w14:textId="77777777" w:rsidR="00044156" w:rsidRPr="00AC67F2" w:rsidRDefault="00044156"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4B5BC957" w14:textId="77777777" w:rsidR="00044156" w:rsidRPr="00AC67F2"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1B47F4BC" w14:textId="7C3284A3" w:rsidR="00044156" w:rsidRPr="00AC67F2" w:rsidRDefault="00637C40"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328499E1"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24100E74"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7073715" w14:textId="7708A325" w:rsidR="00044156" w:rsidRPr="00A71811" w:rsidRDefault="00701EFA"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Ističe se da muškarci dominiraju kao vlasnici vatrenog oružja. </w:t>
            </w:r>
            <w:r w:rsidR="00637C40">
              <w:rPr>
                <w:rFonts w:cstheme="minorHAnsi"/>
                <w:sz w:val="18"/>
                <w:szCs w:val="18"/>
                <w:lang w:val="sr-Latn-ME"/>
              </w:rPr>
              <w:t xml:space="preserve">Takođe, žene su u 6.7% žrtve ubistva vatrenim oružjem. </w:t>
            </w:r>
            <w:r w:rsidR="00803B9B">
              <w:rPr>
                <w:rFonts w:cstheme="minorHAnsi"/>
                <w:sz w:val="18"/>
                <w:szCs w:val="18"/>
                <w:lang w:val="sr-Latn-ME"/>
              </w:rPr>
              <w:t xml:space="preserve"> Žene čine većinu žrtava porodičnog nasilja počinjenog oružjem, s druge strane. </w:t>
            </w:r>
            <w:r w:rsidR="00A646EF">
              <w:rPr>
                <w:rFonts w:cstheme="minorHAnsi"/>
                <w:sz w:val="18"/>
                <w:szCs w:val="18"/>
                <w:lang w:val="sr-Latn-ME"/>
              </w:rPr>
              <w:t xml:space="preserve">Sve žrtve intimnih partnera su žene. </w:t>
            </w:r>
            <w:r w:rsidR="00044156" w:rsidRPr="00A71811">
              <w:rPr>
                <w:rFonts w:cstheme="minorHAnsi"/>
                <w:sz w:val="18"/>
                <w:szCs w:val="18"/>
                <w:lang w:val="sr-Latn-ME"/>
              </w:rPr>
              <w:t xml:space="preserve"> </w:t>
            </w:r>
          </w:p>
        </w:tc>
      </w:tr>
      <w:tr w:rsidR="00044156" w:rsidRPr="00AC67F2" w14:paraId="51D3999A"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3EA0BB33" w14:textId="77777777" w:rsidR="00044156" w:rsidRPr="00AC67F2" w:rsidRDefault="00044156" w:rsidP="002559F4">
            <w:pPr>
              <w:rPr>
                <w:rFonts w:cstheme="minorHAnsi"/>
                <w:lang w:val="sr-Latn-ME"/>
              </w:rPr>
            </w:pPr>
            <w:r>
              <w:rPr>
                <w:rFonts w:cstheme="minorHAnsi"/>
                <w:lang w:val="sr-Latn-ME"/>
              </w:rPr>
              <w:t>2.2</w:t>
            </w:r>
          </w:p>
        </w:tc>
        <w:tc>
          <w:tcPr>
            <w:tcW w:w="3856" w:type="dxa"/>
            <w:shd w:val="clear" w:color="auto" w:fill="D9D9D9" w:themeFill="background1" w:themeFillShade="D9"/>
          </w:tcPr>
          <w:p w14:paraId="373A74B6" w14:textId="77777777" w:rsidR="00044156" w:rsidRPr="00AC67F2"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shd w:val="clear" w:color="auto" w:fill="D9D9D9" w:themeFill="background1" w:themeFillShade="D9"/>
          </w:tcPr>
          <w:p w14:paraId="589C3425" w14:textId="0CFC0776"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7B895AF6"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5F73824E" w14:textId="6F729CA1"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D9D9D9" w:themeFill="background1" w:themeFillShade="D9"/>
          </w:tcPr>
          <w:p w14:paraId="6D5ADCC0" w14:textId="36A6C931" w:rsidR="00044156" w:rsidRPr="004C2991" w:rsidRDefault="00F544E0"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4C2991">
              <w:rPr>
                <w:rFonts w:cstheme="minorHAnsi"/>
                <w:sz w:val="18"/>
                <w:szCs w:val="18"/>
                <w:lang w:val="sr-Latn-ME"/>
              </w:rPr>
              <w:t>Nije relevantno</w:t>
            </w:r>
            <w:r w:rsidR="004C2991" w:rsidRPr="004C2991">
              <w:rPr>
                <w:rFonts w:cstheme="minorHAnsi"/>
                <w:sz w:val="18"/>
                <w:szCs w:val="18"/>
                <w:lang w:val="sr-Latn-ME"/>
              </w:rPr>
              <w:t>. U pitanju je veoma specijalizovana oblast koja se ne može direktno povezati sa obrazovanjem, zapošljavanjem ili učešćem u odlučivanju.</w:t>
            </w:r>
          </w:p>
        </w:tc>
      </w:tr>
      <w:tr w:rsidR="00044156" w:rsidRPr="00AC67F2" w14:paraId="1D7B0AB9"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DB8797E" w14:textId="77777777" w:rsidR="00044156" w:rsidRDefault="00044156" w:rsidP="002559F4">
            <w:pPr>
              <w:rPr>
                <w:rFonts w:cstheme="minorHAnsi"/>
                <w:lang w:val="sr-Latn-ME"/>
              </w:rPr>
            </w:pPr>
            <w:r>
              <w:rPr>
                <w:rFonts w:cstheme="minorHAnsi"/>
                <w:lang w:val="sr-Latn-ME"/>
              </w:rPr>
              <w:t>2.3</w:t>
            </w:r>
          </w:p>
        </w:tc>
        <w:tc>
          <w:tcPr>
            <w:tcW w:w="3856" w:type="dxa"/>
          </w:tcPr>
          <w:p w14:paraId="6919BABA" w14:textId="77777777" w:rsidR="00044156"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tcPr>
          <w:p w14:paraId="1B1D5740" w14:textId="707D44F9"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FA8F862" w14:textId="0CCF7A08" w:rsidR="00044156" w:rsidRPr="00AC67F2" w:rsidRDefault="003F0BE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204DA20B"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D4E3CB0" w14:textId="10CC07E2" w:rsidR="00044156" w:rsidRPr="00A71811"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044156" w:rsidRPr="00AC67F2" w14:paraId="4D39AEF3"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4572C6F" w14:textId="77777777" w:rsidR="00044156" w:rsidRPr="00AC67F2" w:rsidRDefault="00044156" w:rsidP="002559F4">
            <w:pPr>
              <w:rPr>
                <w:rFonts w:cstheme="minorHAnsi"/>
                <w:lang w:val="sr-Latn-ME"/>
              </w:rPr>
            </w:pPr>
            <w:r>
              <w:rPr>
                <w:rFonts w:cstheme="minorHAnsi"/>
                <w:lang w:val="sr-Latn-ME"/>
              </w:rPr>
              <w:lastRenderedPageBreak/>
              <w:t>2.4</w:t>
            </w:r>
          </w:p>
        </w:tc>
        <w:tc>
          <w:tcPr>
            <w:tcW w:w="3856" w:type="dxa"/>
          </w:tcPr>
          <w:p w14:paraId="6F504DE7" w14:textId="77777777" w:rsidR="00044156" w:rsidRPr="00AC67F2"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tcPr>
          <w:p w14:paraId="76C97DDE"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2AEE9DAB"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1F2371E1"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DD48687" w14:textId="5B40B527" w:rsidR="00044156" w:rsidRPr="00A71811" w:rsidRDefault="001934B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U operativnom cilju </w:t>
            </w:r>
            <w:r w:rsidR="00605A22">
              <w:rPr>
                <w:rFonts w:cstheme="minorHAnsi"/>
                <w:sz w:val="18"/>
                <w:szCs w:val="18"/>
                <w:lang w:val="sr-Latn-ME"/>
              </w:rPr>
              <w:t xml:space="preserve">4 su podaci iz analize pretočeni u aktivnosti. </w:t>
            </w:r>
            <w:r w:rsidR="00044156" w:rsidRPr="00A71811">
              <w:rPr>
                <w:rFonts w:cstheme="minorHAnsi"/>
                <w:sz w:val="18"/>
                <w:szCs w:val="18"/>
                <w:lang w:val="sr-Latn-ME"/>
              </w:rPr>
              <w:t xml:space="preserve"> </w:t>
            </w:r>
          </w:p>
        </w:tc>
      </w:tr>
      <w:tr w:rsidR="00044156" w:rsidRPr="00AC67F2" w14:paraId="27873A6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8F98C2D" w14:textId="77777777" w:rsidR="00044156" w:rsidRDefault="00044156" w:rsidP="002559F4">
            <w:pPr>
              <w:rPr>
                <w:rFonts w:cstheme="minorHAnsi"/>
                <w:lang w:val="sr-Latn-ME"/>
              </w:rPr>
            </w:pPr>
            <w:r>
              <w:rPr>
                <w:rFonts w:cstheme="minorHAnsi"/>
                <w:lang w:val="sr-Latn-ME"/>
              </w:rPr>
              <w:t>2.5</w:t>
            </w:r>
          </w:p>
        </w:tc>
        <w:tc>
          <w:tcPr>
            <w:tcW w:w="3856" w:type="dxa"/>
          </w:tcPr>
          <w:p w14:paraId="58836367" w14:textId="77777777" w:rsidR="00044156" w:rsidRPr="00AC67F2"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43894414" w14:textId="2577F087" w:rsidR="00044156" w:rsidRPr="004C0876" w:rsidRDefault="00605A2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tcPr>
          <w:p w14:paraId="04058F0F"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644DD31E"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8A9073C" w14:textId="1254781A" w:rsidR="00044156" w:rsidRPr="00605A22" w:rsidRDefault="00605A22" w:rsidP="002559F4">
            <w:pPr>
              <w:pStyle w:val="NormalWeb"/>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hr-HR"/>
              </w:rPr>
            </w:pPr>
            <w:r>
              <w:rPr>
                <w:rFonts w:ascii="Calibri" w:hAnsi="Calibri" w:cs="Calibri"/>
                <w:sz w:val="18"/>
                <w:szCs w:val="18"/>
                <w:lang w:val="hr-HR"/>
              </w:rPr>
              <w:t xml:space="preserve">Mjere u okviru operativnog cilja 4. </w:t>
            </w:r>
          </w:p>
        </w:tc>
      </w:tr>
      <w:tr w:rsidR="00044156" w:rsidRPr="00AC67F2" w14:paraId="5819D612"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09D83E57" w14:textId="77777777" w:rsidR="00044156" w:rsidRPr="00AC67F2" w:rsidRDefault="00044156" w:rsidP="002559F4">
            <w:pPr>
              <w:rPr>
                <w:rFonts w:cstheme="minorHAnsi"/>
                <w:lang w:val="sr-Latn-ME"/>
              </w:rPr>
            </w:pPr>
            <w:r>
              <w:rPr>
                <w:rFonts w:cstheme="minorHAnsi"/>
                <w:lang w:val="sr-Latn-ME"/>
              </w:rPr>
              <w:t>2.6</w:t>
            </w:r>
          </w:p>
        </w:tc>
        <w:tc>
          <w:tcPr>
            <w:tcW w:w="3856" w:type="dxa"/>
            <w:shd w:val="clear" w:color="auto" w:fill="auto"/>
          </w:tcPr>
          <w:p w14:paraId="47DC3691" w14:textId="77777777" w:rsidR="00044156" w:rsidRPr="00AC67F2"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auto"/>
          </w:tcPr>
          <w:p w14:paraId="662643E5" w14:textId="581BF43A" w:rsidR="00044156" w:rsidRPr="00F60F9A" w:rsidRDefault="00F60F9A"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F60F9A">
              <w:rPr>
                <w:rFonts w:cstheme="minorHAnsi"/>
                <w:b/>
                <w:bCs/>
                <w:lang w:val="sr-Latn-ME"/>
              </w:rPr>
              <w:t>0.5</w:t>
            </w:r>
          </w:p>
        </w:tc>
        <w:tc>
          <w:tcPr>
            <w:tcW w:w="1263" w:type="dxa"/>
            <w:shd w:val="clear" w:color="auto" w:fill="auto"/>
          </w:tcPr>
          <w:p w14:paraId="6507A59F"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7169A125"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7C580737" w14:textId="180C6DA8" w:rsidR="00044156" w:rsidRPr="00A71811" w:rsidRDefault="00145FA3"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Za mjere </w:t>
            </w:r>
            <w:r w:rsidR="00F60F9A">
              <w:rPr>
                <w:rFonts w:cstheme="minorHAnsi"/>
                <w:sz w:val="18"/>
                <w:szCs w:val="18"/>
                <w:lang w:val="sr-Latn-ME"/>
              </w:rPr>
              <w:t xml:space="preserve">kojima se adresira problem prema Strategiji nisu potrebna dodatna budžetska izdvajanja već se finansiraju iz redovnog budžeta. </w:t>
            </w:r>
          </w:p>
        </w:tc>
      </w:tr>
      <w:tr w:rsidR="00044156" w:rsidRPr="00AC67F2" w14:paraId="1E81CCEE"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2364B93" w14:textId="77777777" w:rsidR="00044156" w:rsidRDefault="00044156" w:rsidP="002559F4">
            <w:pPr>
              <w:rPr>
                <w:rFonts w:cstheme="minorHAnsi"/>
                <w:lang w:val="sr-Latn-ME"/>
              </w:rPr>
            </w:pPr>
            <w:r>
              <w:rPr>
                <w:rFonts w:cstheme="minorHAnsi"/>
                <w:lang w:val="sr-Latn-ME"/>
              </w:rPr>
              <w:t>2.7</w:t>
            </w:r>
          </w:p>
        </w:tc>
        <w:tc>
          <w:tcPr>
            <w:tcW w:w="3856" w:type="dxa"/>
          </w:tcPr>
          <w:p w14:paraId="27FE3AD8" w14:textId="7A93A4FB" w:rsidR="00044156"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5F242E6F" w14:textId="7C217604" w:rsidR="00044156" w:rsidRPr="00387995" w:rsidRDefault="00387995"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387995">
              <w:rPr>
                <w:rFonts w:cstheme="minorHAnsi"/>
                <w:b/>
                <w:bCs/>
                <w:lang w:val="sr-Latn-ME"/>
              </w:rPr>
              <w:t>0.5</w:t>
            </w:r>
          </w:p>
        </w:tc>
        <w:tc>
          <w:tcPr>
            <w:tcW w:w="1263" w:type="dxa"/>
          </w:tcPr>
          <w:p w14:paraId="0A163A7C" w14:textId="50CF275F"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11CE5894"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428DBB7" w14:textId="735C4483" w:rsidR="00044156" w:rsidRPr="00A71811" w:rsidRDefault="00387995"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Prepoznate su obrazovne institucije</w:t>
            </w:r>
            <w:r w:rsidR="00145FA3">
              <w:rPr>
                <w:rFonts w:cstheme="minorHAnsi"/>
                <w:sz w:val="18"/>
                <w:szCs w:val="18"/>
                <w:lang w:val="sr-Latn-ME"/>
              </w:rPr>
              <w:t xml:space="preserve"> i mediji.</w:t>
            </w:r>
          </w:p>
        </w:tc>
      </w:tr>
      <w:tr w:rsidR="00044156" w:rsidRPr="00AC67F2" w14:paraId="60F2D69E"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49F8AF1" w14:textId="434296B8" w:rsidR="00044156" w:rsidRPr="00AC67F2" w:rsidRDefault="00044156"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27A24081" w14:textId="77777777" w:rsidR="00044156"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16915F92" w14:textId="77777777" w:rsidR="00044156" w:rsidRPr="005C2773" w:rsidRDefault="00044156"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620C1B2F" w14:textId="723D978B" w:rsidR="00044156" w:rsidRPr="00637C40" w:rsidRDefault="00637C40"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637C40">
              <w:rPr>
                <w:rFonts w:cstheme="minorHAnsi"/>
                <w:b/>
                <w:bCs/>
                <w:lang w:val="sr-Latn-ME"/>
              </w:rPr>
              <w:t>0.5</w:t>
            </w:r>
          </w:p>
        </w:tc>
        <w:tc>
          <w:tcPr>
            <w:tcW w:w="1263" w:type="dxa"/>
          </w:tcPr>
          <w:p w14:paraId="057BCE4B" w14:textId="2B0341E1"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79A5BC27"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6302B1D" w14:textId="45A6CC95" w:rsidR="00044156" w:rsidRPr="00AC67F2"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3F278B">
              <w:rPr>
                <w:rFonts w:cstheme="minorHAnsi"/>
                <w:sz w:val="18"/>
                <w:szCs w:val="18"/>
                <w:lang w:val="sr-Latn-ME"/>
              </w:rPr>
              <w:t>Strategija uglavnom koristi rodno neutralne izraze, međutim u djelovima gdje to nije moguće ne koristi se rodno senzitivan jezik (npr. „</w:t>
            </w:r>
            <w:r w:rsidR="005D0F9F">
              <w:rPr>
                <w:rFonts w:cstheme="minorHAnsi"/>
                <w:sz w:val="18"/>
                <w:szCs w:val="18"/>
                <w:lang w:val="sr-Latn-ME"/>
              </w:rPr>
              <w:t>građani“</w:t>
            </w:r>
            <w:r w:rsidR="00126B28">
              <w:rPr>
                <w:rFonts w:cstheme="minorHAnsi"/>
                <w:sz w:val="18"/>
                <w:szCs w:val="18"/>
                <w:lang w:val="sr-Latn-ME"/>
              </w:rPr>
              <w:t>, „vlasnici“</w:t>
            </w:r>
            <w:r w:rsidR="005D0F9F">
              <w:rPr>
                <w:rFonts w:cstheme="minorHAnsi"/>
                <w:sz w:val="18"/>
                <w:szCs w:val="18"/>
                <w:lang w:val="sr-Latn-ME"/>
              </w:rPr>
              <w:t>)</w:t>
            </w:r>
            <w:r w:rsidR="00637C40">
              <w:rPr>
                <w:rFonts w:cstheme="minorHAnsi"/>
                <w:sz w:val="18"/>
                <w:szCs w:val="18"/>
                <w:lang w:val="sr-Latn-ME"/>
              </w:rPr>
              <w:t xml:space="preserve">. Ipak, na nekim mjestima se ističu oba pola – građani i građanke. </w:t>
            </w:r>
          </w:p>
        </w:tc>
      </w:tr>
      <w:tr w:rsidR="00044156" w:rsidRPr="00AC67F2" w14:paraId="38C0D937"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5F20587E" w14:textId="77777777" w:rsidR="00044156" w:rsidRPr="00AC67F2" w:rsidRDefault="00044156" w:rsidP="002559F4">
            <w:pPr>
              <w:rPr>
                <w:rFonts w:cstheme="minorHAnsi"/>
                <w:lang w:val="sr-Latn-ME" w:eastAsia="en-GB"/>
              </w:rPr>
            </w:pPr>
            <w:r>
              <w:rPr>
                <w:rFonts w:cstheme="minorHAnsi"/>
                <w:lang w:val="sr-Latn-ME"/>
              </w:rPr>
              <w:t>Ukupno</w:t>
            </w:r>
          </w:p>
        </w:tc>
        <w:tc>
          <w:tcPr>
            <w:tcW w:w="747" w:type="dxa"/>
          </w:tcPr>
          <w:p w14:paraId="76EFC598"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677C40AB" w14:textId="77777777" w:rsidR="00044156" w:rsidRPr="00527B8F"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24C9C20E"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B265612" w14:textId="458B2123" w:rsidR="00044156" w:rsidRPr="00E72E03" w:rsidRDefault="002053C4"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rPr>
              <w:t>4.5/7</w:t>
            </w:r>
          </w:p>
        </w:tc>
      </w:tr>
    </w:tbl>
    <w:p w14:paraId="5959E361" w14:textId="77777777" w:rsidR="00044156" w:rsidRPr="00AC67F2" w:rsidRDefault="00044156" w:rsidP="00044156">
      <w:pPr>
        <w:rPr>
          <w:rFonts w:cstheme="minorHAnsi"/>
          <w:lang w:val="sr-Latn-ME"/>
        </w:rPr>
      </w:pPr>
    </w:p>
    <w:p w14:paraId="6874D641" w14:textId="77777777" w:rsidR="00044156" w:rsidRPr="007D71A2" w:rsidRDefault="00044156" w:rsidP="00044156">
      <w:pPr>
        <w:rPr>
          <w:b/>
          <w:bCs/>
        </w:rPr>
      </w:pPr>
      <w:r w:rsidRPr="007D71A2">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044156" w:rsidRPr="00AC67F2" w14:paraId="44B2C9F8"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654C6988" w14:textId="77777777" w:rsidR="00044156" w:rsidRPr="00AC67F2" w:rsidRDefault="00044156"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3F797227" w14:textId="77777777" w:rsidR="00044156" w:rsidRPr="00AC67F2" w:rsidRDefault="0004415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311D23A7" w14:textId="77777777" w:rsidR="00044156" w:rsidRPr="00AC67F2" w:rsidRDefault="0004415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45ED7D35" w14:textId="77777777" w:rsidR="00044156" w:rsidRPr="00AC67F2" w:rsidRDefault="0004415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42E9354B" w14:textId="77777777" w:rsidR="00044156" w:rsidRPr="00AC67F2" w:rsidRDefault="0004415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07AE4C53" w14:textId="77777777" w:rsidR="00044156" w:rsidRPr="00AC67F2" w:rsidRDefault="0004415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044156" w:rsidRPr="00AC67F2" w14:paraId="35AFCC01"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9FB0351" w14:textId="77777777" w:rsidR="00044156" w:rsidRPr="00AC67F2" w:rsidRDefault="00044156" w:rsidP="002559F4">
            <w:pPr>
              <w:rPr>
                <w:rFonts w:cstheme="minorHAnsi"/>
                <w:lang w:val="sr-Latn-ME"/>
              </w:rPr>
            </w:pPr>
            <w:r>
              <w:rPr>
                <w:rFonts w:cstheme="minorHAnsi"/>
                <w:lang w:val="sr-Latn-ME"/>
              </w:rPr>
              <w:t>3.1</w:t>
            </w:r>
          </w:p>
        </w:tc>
        <w:tc>
          <w:tcPr>
            <w:tcW w:w="3908" w:type="dxa"/>
          </w:tcPr>
          <w:p w14:paraId="4DBAF432" w14:textId="77777777" w:rsidR="00044156" w:rsidRPr="00AC67F2"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1836FDBB"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10B0A110"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tcPr>
          <w:p w14:paraId="631FAA24"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13E78D64" w14:textId="77777777" w:rsidR="00044156" w:rsidRDefault="00AB7DD8" w:rsidP="00AB7DD8">
            <w:pPr>
              <w:pStyle w:val="NormalWeb"/>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hr-HR"/>
              </w:rPr>
            </w:pPr>
            <w:r w:rsidRPr="00AB7DD8">
              <w:rPr>
                <w:rFonts w:ascii="Calibri" w:hAnsi="Calibri" w:cs="Calibri"/>
                <w:sz w:val="18"/>
                <w:szCs w:val="18"/>
              </w:rPr>
              <w:t>Indikato</w:t>
            </w:r>
            <w:r w:rsidRPr="00AB7DD8">
              <w:rPr>
                <w:rFonts w:ascii="Calibri" w:hAnsi="Calibri" w:cs="Calibri"/>
                <w:sz w:val="18"/>
                <w:szCs w:val="18"/>
                <w:lang w:val="hr-HR"/>
              </w:rPr>
              <w:t xml:space="preserve">r 10: </w:t>
            </w:r>
            <w:r w:rsidRPr="00AB7DD8">
              <w:rPr>
                <w:rFonts w:ascii="Calibri" w:hAnsi="Calibri" w:cs="Calibri"/>
                <w:sz w:val="18"/>
                <w:szCs w:val="18"/>
              </w:rPr>
              <w:t xml:space="preserve">broj incidenata u kojima je korišćeno vatreno oružje i žrtava zloupotrebe vatrenog oružja u svakoj nadležnosti u Crnoj Gori, </w:t>
            </w:r>
            <w:r w:rsidRPr="00AB7DD8">
              <w:rPr>
                <w:rFonts w:ascii="Calibri" w:hAnsi="Calibri" w:cs="Calibri"/>
                <w:sz w:val="18"/>
                <w:szCs w:val="18"/>
              </w:rPr>
              <w:lastRenderedPageBreak/>
              <w:t>razvrstano po polu i starosti</w:t>
            </w:r>
            <w:r>
              <w:rPr>
                <w:rFonts w:ascii="Calibri" w:hAnsi="Calibri" w:cs="Calibri"/>
                <w:sz w:val="18"/>
                <w:szCs w:val="18"/>
                <w:lang w:val="hr-HR"/>
              </w:rPr>
              <w:t>.</w:t>
            </w:r>
          </w:p>
          <w:p w14:paraId="50CF2448" w14:textId="228F84B0" w:rsidR="0020553D" w:rsidRPr="0020553D" w:rsidRDefault="0020553D" w:rsidP="00AB7DD8">
            <w:pPr>
              <w:pStyle w:val="NormalWeb"/>
              <w:cnfStyle w:val="000000000000" w:firstRow="0" w:lastRow="0" w:firstColumn="0" w:lastColumn="0" w:oddVBand="0" w:evenVBand="0" w:oddHBand="0" w:evenHBand="0" w:firstRowFirstColumn="0" w:firstRowLastColumn="0" w:lastRowFirstColumn="0" w:lastRowLastColumn="0"/>
            </w:pPr>
            <w:r>
              <w:rPr>
                <w:rFonts w:ascii="Calibri" w:hAnsi="Calibri" w:cs="Calibri"/>
                <w:sz w:val="18"/>
                <w:szCs w:val="18"/>
                <w:lang w:val="hr-HR"/>
              </w:rPr>
              <w:t xml:space="preserve">Indikator 14: </w:t>
            </w:r>
            <w:r w:rsidRPr="0020553D">
              <w:rPr>
                <w:rFonts w:ascii="Calibri" w:hAnsi="Calibri" w:cs="Calibri"/>
                <w:sz w:val="18"/>
                <w:szCs w:val="18"/>
              </w:rPr>
              <w:t>stepen zadovoljstva (percepcije) građana u pogledu bezjednosti ili osjećaja sigurnosti u odnosu na zloupotrebe vatrenog oružja (razvrstano po polu i starosti).</w:t>
            </w:r>
            <w:r>
              <w:rPr>
                <w:sz w:val="22"/>
                <w:szCs w:val="22"/>
              </w:rPr>
              <w:t xml:space="preserve"> </w:t>
            </w:r>
          </w:p>
        </w:tc>
      </w:tr>
      <w:tr w:rsidR="00044156" w:rsidRPr="00AC67F2" w14:paraId="47E1036E"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343200C8" w14:textId="77777777" w:rsidR="00044156" w:rsidRDefault="00044156" w:rsidP="002559F4">
            <w:pPr>
              <w:rPr>
                <w:rFonts w:cstheme="minorHAnsi"/>
                <w:lang w:val="sr-Latn-ME"/>
              </w:rPr>
            </w:pPr>
            <w:r>
              <w:rPr>
                <w:rFonts w:cstheme="minorHAnsi"/>
                <w:lang w:val="sr-Latn-ME"/>
              </w:rPr>
              <w:lastRenderedPageBreak/>
              <w:t>Ukupno</w:t>
            </w:r>
          </w:p>
        </w:tc>
        <w:tc>
          <w:tcPr>
            <w:tcW w:w="760" w:type="dxa"/>
            <w:shd w:val="clear" w:color="auto" w:fill="auto"/>
          </w:tcPr>
          <w:p w14:paraId="7D54B7E4" w14:textId="77777777" w:rsidR="00044156" w:rsidRPr="00AC67F2" w:rsidRDefault="0004415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361FB1B8" w14:textId="77777777" w:rsidR="00044156" w:rsidRPr="00527B8F"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78F1BE7A" w14:textId="77777777" w:rsidR="00044156" w:rsidRPr="00AC67F2" w:rsidRDefault="000441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6D2537F7" w14:textId="77777777" w:rsidR="00044156" w:rsidRPr="00AC67F2" w:rsidRDefault="00044156"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1/1</w:t>
            </w:r>
          </w:p>
        </w:tc>
      </w:tr>
    </w:tbl>
    <w:p w14:paraId="1E4D60D0" w14:textId="77777777" w:rsidR="00044156" w:rsidRDefault="00044156" w:rsidP="00044156">
      <w:pPr>
        <w:rPr>
          <w:rFonts w:cstheme="minorHAnsi"/>
          <w:lang w:val="sr-Latn-ME"/>
        </w:rPr>
      </w:pPr>
    </w:p>
    <w:p w14:paraId="1905CC43" w14:textId="598B1CC4" w:rsidR="00E12C74" w:rsidRPr="004C2991" w:rsidRDefault="00044156" w:rsidP="004C2991">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92D050"/>
          <w:sz w:val="32"/>
          <w:szCs w:val="32"/>
          <w:lang w:val="sr-Latn-ME"/>
        </w:rPr>
      </w:pPr>
      <w:r w:rsidRPr="00AD0D43">
        <w:rPr>
          <w:rFonts w:cstheme="minorHAnsi"/>
          <w:color w:val="92D050"/>
          <w:sz w:val="32"/>
          <w:szCs w:val="32"/>
          <w:lang w:val="sr-Latn-ME"/>
        </w:rPr>
        <w:t>Konačna ocjena: 6</w:t>
      </w:r>
      <w:r w:rsidR="001B2887">
        <w:rPr>
          <w:rFonts w:cstheme="minorHAnsi"/>
          <w:color w:val="92D050"/>
          <w:sz w:val="32"/>
          <w:szCs w:val="32"/>
          <w:lang w:val="sr-Latn-ME"/>
        </w:rPr>
        <w:t>.5</w:t>
      </w:r>
      <w:r w:rsidRPr="00AD0D43">
        <w:rPr>
          <w:rFonts w:cstheme="minorHAnsi"/>
          <w:color w:val="92D050"/>
          <w:sz w:val="32"/>
          <w:szCs w:val="32"/>
          <w:lang w:val="sr-Latn-ME"/>
        </w:rPr>
        <w:t xml:space="preserve"> od 1</w:t>
      </w:r>
      <w:r w:rsidR="00012944">
        <w:rPr>
          <w:rFonts w:cstheme="minorHAnsi"/>
          <w:color w:val="92D050"/>
          <w:sz w:val="32"/>
          <w:szCs w:val="32"/>
          <w:lang w:val="sr-Latn-ME"/>
        </w:rPr>
        <w:t>0</w:t>
      </w:r>
      <w:r w:rsidRPr="00AD0D43">
        <w:rPr>
          <w:rFonts w:cstheme="minorHAnsi"/>
          <w:color w:val="92D050"/>
          <w:sz w:val="32"/>
          <w:szCs w:val="32"/>
          <w:lang w:val="sr-Latn-ME"/>
        </w:rPr>
        <w:t xml:space="preserve"> ili </w:t>
      </w:r>
      <w:r w:rsidRPr="00AD0D43">
        <w:rPr>
          <w:rFonts w:cstheme="minorHAnsi"/>
          <w:b/>
          <w:bCs/>
          <w:color w:val="92D050"/>
          <w:sz w:val="32"/>
          <w:szCs w:val="32"/>
          <w:lang w:val="sr-Latn-ME"/>
        </w:rPr>
        <w:t>0.</w:t>
      </w:r>
      <w:r w:rsidR="00012944">
        <w:rPr>
          <w:rFonts w:cstheme="minorHAnsi"/>
          <w:b/>
          <w:bCs/>
          <w:color w:val="92D050"/>
          <w:sz w:val="32"/>
          <w:szCs w:val="32"/>
          <w:lang w:val="sr-Latn-ME"/>
        </w:rPr>
        <w:t>65</w:t>
      </w:r>
      <w:r w:rsidRPr="00AD0D43">
        <w:rPr>
          <w:rFonts w:cstheme="minorHAnsi"/>
          <w:b/>
          <w:bCs/>
          <w:color w:val="92D050"/>
          <w:sz w:val="32"/>
          <w:szCs w:val="32"/>
          <w:lang w:val="sr-Latn-ME"/>
        </w:rPr>
        <w:t xml:space="preserve"> – Strategija je uglavnom orodnjena</w:t>
      </w:r>
    </w:p>
    <w:p w14:paraId="6DE729A5" w14:textId="77777777" w:rsidR="009D5CC5" w:rsidRDefault="009D5CC5" w:rsidP="007754ED">
      <w:pPr>
        <w:pStyle w:val="Heading3"/>
        <w:rPr>
          <w:noProof/>
          <w:lang w:val="hr-HR"/>
        </w:rPr>
      </w:pPr>
    </w:p>
    <w:p w14:paraId="3B4BDB3C" w14:textId="77777777" w:rsidR="009D5CC5" w:rsidRPr="009D5CC5" w:rsidRDefault="009D5CC5" w:rsidP="009D5CC5"/>
    <w:p w14:paraId="3F35B236" w14:textId="00F46824" w:rsidR="00E12C74" w:rsidRDefault="009D5CC5" w:rsidP="009D5CC5">
      <w:pPr>
        <w:pStyle w:val="Heading3"/>
        <w:rPr>
          <w:noProof/>
          <w:lang w:val="hr-HR"/>
        </w:rPr>
      </w:pPr>
      <w:bookmarkStart w:id="11" w:name="_Toc100339533"/>
      <w:r>
        <w:rPr>
          <w:noProof/>
          <w:lang w:val="hr-HR"/>
        </w:rPr>
        <w:t xml:space="preserve">4. </w:t>
      </w:r>
      <w:r w:rsidR="00B153FD" w:rsidRPr="00AC6EB8">
        <w:rPr>
          <w:noProof/>
          <w:lang w:val="hr-HR"/>
        </w:rPr>
        <w:t>Šengenski akcioni plan</w:t>
      </w:r>
      <w:bookmarkEnd w:id="11"/>
    </w:p>
    <w:p w14:paraId="0EE7C8A5" w14:textId="77777777" w:rsidR="0053536E" w:rsidRPr="0053536E" w:rsidRDefault="0053536E" w:rsidP="0053536E"/>
    <w:p w14:paraId="1B6F5096" w14:textId="3877E470" w:rsidR="007857B9" w:rsidRDefault="007857B9" w:rsidP="007857B9">
      <w:pPr>
        <w:jc w:val="both"/>
        <w:rPr>
          <w:lang w:val="hr-HR"/>
        </w:rPr>
      </w:pPr>
      <w:r>
        <w:rPr>
          <w:lang w:val="hr-HR"/>
        </w:rPr>
        <w:t xml:space="preserve">Šengenski akcioni plan nastao je s ciljem da </w:t>
      </w:r>
      <w:r w:rsidR="00D317A4">
        <w:rPr>
          <w:lang w:val="hr-HR"/>
        </w:rPr>
        <w:t xml:space="preserve">doprinese </w:t>
      </w:r>
      <w:r w:rsidRPr="007857B9">
        <w:rPr>
          <w:lang w:val="hr-HR"/>
        </w:rPr>
        <w:t>puno</w:t>
      </w:r>
      <w:r w:rsidR="00D317A4">
        <w:rPr>
          <w:lang w:val="hr-HR"/>
        </w:rPr>
        <w:t>m</w:t>
      </w:r>
      <w:r w:rsidRPr="007857B9">
        <w:rPr>
          <w:lang w:val="hr-HR"/>
        </w:rPr>
        <w:t xml:space="preserve"> ostvarenj</w:t>
      </w:r>
      <w:r w:rsidR="00D317A4">
        <w:rPr>
          <w:lang w:val="hr-HR"/>
        </w:rPr>
        <w:t>u</w:t>
      </w:r>
      <w:r w:rsidRPr="007857B9">
        <w:rPr>
          <w:lang w:val="hr-HR"/>
        </w:rPr>
        <w:t xml:space="preserve"> prava na slobodu kretanja osoba nakon ukidanja nadzora državne granice na unutrašnjim granicama</w:t>
      </w:r>
      <w:r w:rsidR="0060539D">
        <w:rPr>
          <w:lang w:val="hr-HR"/>
        </w:rPr>
        <w:t xml:space="preserve"> kako bi Crna Gora nakon ulaska u Evropsku uniju što prije postala dio šengenskog prostora. </w:t>
      </w:r>
    </w:p>
    <w:p w14:paraId="1F21A907" w14:textId="77777777" w:rsidR="00B36F53" w:rsidRDefault="00B36F53" w:rsidP="00E12C74">
      <w:pPr>
        <w:rPr>
          <w:lang w:val="hr-HR"/>
        </w:rPr>
      </w:pPr>
    </w:p>
    <w:p w14:paraId="301CD11E" w14:textId="77777777" w:rsidR="00B36F53" w:rsidRPr="007D71A2" w:rsidRDefault="00B36F53" w:rsidP="00B36F53">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30"/>
        <w:gridCol w:w="4569"/>
        <w:gridCol w:w="1206"/>
        <w:gridCol w:w="1263"/>
        <w:gridCol w:w="1782"/>
      </w:tblGrid>
      <w:tr w:rsidR="00B36F53" w:rsidRPr="00AC67F2" w14:paraId="6AA4C5D6"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 w:type="pct"/>
            <w:shd w:val="clear" w:color="auto" w:fill="B4C6E7" w:themeFill="accent1" w:themeFillTint="66"/>
          </w:tcPr>
          <w:p w14:paraId="5C8F273D" w14:textId="77777777" w:rsidR="00B36F53" w:rsidRPr="00AC67F2" w:rsidRDefault="00B36F53" w:rsidP="002559F4">
            <w:pPr>
              <w:rPr>
                <w:rFonts w:cstheme="minorHAnsi"/>
                <w:lang w:val="sr-Latn-ME"/>
              </w:rPr>
            </w:pPr>
            <w:r w:rsidRPr="00AC67F2">
              <w:rPr>
                <w:rFonts w:cstheme="minorHAnsi"/>
                <w:lang w:val="sr-Latn-ME"/>
              </w:rPr>
              <w:t>Br.</w:t>
            </w:r>
          </w:p>
        </w:tc>
        <w:tc>
          <w:tcPr>
            <w:tcW w:w="2473" w:type="pct"/>
            <w:shd w:val="clear" w:color="auto" w:fill="B4C6E7" w:themeFill="accent1" w:themeFillTint="66"/>
          </w:tcPr>
          <w:p w14:paraId="7AE149F7" w14:textId="77777777" w:rsidR="00B36F53" w:rsidRPr="00AC67F2" w:rsidRDefault="00B36F53"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75" w:type="pct"/>
            <w:shd w:val="clear" w:color="auto" w:fill="B4C6E7" w:themeFill="accent1" w:themeFillTint="66"/>
          </w:tcPr>
          <w:p w14:paraId="2FDF7DC5" w14:textId="77777777" w:rsidR="00B36F53" w:rsidRPr="00AC67F2" w:rsidRDefault="00B36F53"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555" w:type="pct"/>
            <w:shd w:val="clear" w:color="auto" w:fill="B4C6E7" w:themeFill="accent1" w:themeFillTint="66"/>
          </w:tcPr>
          <w:p w14:paraId="2BE8BDEB" w14:textId="77777777" w:rsidR="00B36F53" w:rsidRPr="009148DB" w:rsidRDefault="00B36F53"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83" w:type="pct"/>
            <w:shd w:val="clear" w:color="auto" w:fill="B4C6E7" w:themeFill="accent1" w:themeFillTint="66"/>
          </w:tcPr>
          <w:p w14:paraId="1ACAA190" w14:textId="77777777" w:rsidR="00B36F53" w:rsidRPr="00AC67F2" w:rsidRDefault="00B36F53"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B36F53" w:rsidRPr="00AC67F2" w14:paraId="0A7B1956"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4E46893E" w14:textId="77777777" w:rsidR="00B36F53" w:rsidRPr="00AC67F2" w:rsidRDefault="00B36F53" w:rsidP="002559F4">
            <w:pPr>
              <w:rPr>
                <w:rFonts w:cstheme="minorHAnsi"/>
                <w:lang w:val="sr-Latn-ME"/>
              </w:rPr>
            </w:pPr>
            <w:r w:rsidRPr="00AC67F2">
              <w:rPr>
                <w:rFonts w:cstheme="minorHAnsi"/>
                <w:lang w:val="sr-Latn-ME"/>
              </w:rPr>
              <w:t>1</w:t>
            </w:r>
            <w:r>
              <w:rPr>
                <w:rFonts w:cstheme="minorHAnsi"/>
                <w:lang w:val="sr-Latn-ME"/>
              </w:rPr>
              <w:t>.1</w:t>
            </w:r>
          </w:p>
        </w:tc>
        <w:tc>
          <w:tcPr>
            <w:tcW w:w="2473" w:type="pct"/>
          </w:tcPr>
          <w:p w14:paraId="030BFBF3" w14:textId="77777777" w:rsidR="00B36F53" w:rsidRPr="00DA659B"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7DCD4661" w14:textId="77777777" w:rsidR="00B36F53" w:rsidRPr="00AC67F2"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75" w:type="pct"/>
          </w:tcPr>
          <w:p w14:paraId="471204C8" w14:textId="77777777" w:rsidR="00B36F53" w:rsidRPr="00AC67F2"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194E3BB5"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83" w:type="pct"/>
          </w:tcPr>
          <w:p w14:paraId="69555A6E" w14:textId="77777777" w:rsidR="00B36F53" w:rsidRPr="00A545D6"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545D6">
              <w:rPr>
                <w:rFonts w:cstheme="minorHAnsi"/>
                <w:sz w:val="18"/>
                <w:szCs w:val="18"/>
                <w:lang w:val="sr-Latn-ME"/>
              </w:rPr>
              <w:t xml:space="preserve">Tekst strategije ne sadrži imena niti funkcionalnu pripadnost članova i članica radne grupe. </w:t>
            </w:r>
          </w:p>
        </w:tc>
      </w:tr>
      <w:tr w:rsidR="00B36F53" w:rsidRPr="00AC67F2" w14:paraId="0544244F"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2F87B6E2" w14:textId="77777777" w:rsidR="00B36F53" w:rsidRPr="00AC67F2" w:rsidRDefault="00B36F53" w:rsidP="002559F4">
            <w:pPr>
              <w:rPr>
                <w:rFonts w:cstheme="minorHAnsi"/>
                <w:lang w:val="sr-Latn-ME"/>
              </w:rPr>
            </w:pPr>
            <w:r>
              <w:rPr>
                <w:rFonts w:cstheme="minorHAnsi"/>
                <w:lang w:val="sr-Latn-ME"/>
              </w:rPr>
              <w:t>1.2</w:t>
            </w:r>
          </w:p>
        </w:tc>
        <w:tc>
          <w:tcPr>
            <w:tcW w:w="2473" w:type="pct"/>
          </w:tcPr>
          <w:p w14:paraId="047FD040" w14:textId="77777777" w:rsidR="00B36F53"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3664DA0D" w14:textId="77777777" w:rsidR="00B36F53" w:rsidRPr="00AC67F2"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75" w:type="pct"/>
          </w:tcPr>
          <w:p w14:paraId="560E0468" w14:textId="77777777" w:rsidR="00B36F53" w:rsidRPr="00AC67F2"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72CBE1E5"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83" w:type="pct"/>
          </w:tcPr>
          <w:p w14:paraId="12A5FF69" w14:textId="77777777" w:rsidR="00B36F53" w:rsidRPr="00A545D6"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545D6">
              <w:rPr>
                <w:rFonts w:cstheme="minorHAnsi"/>
                <w:sz w:val="18"/>
                <w:szCs w:val="18"/>
                <w:lang w:val="sr-Latn-ME"/>
              </w:rPr>
              <w:t>Tekst strategije ne sadrži podatke o tome koje su organizacije i eksperti-ekspertkinje konsultovani</w:t>
            </w:r>
            <w:r>
              <w:rPr>
                <w:rFonts w:cstheme="minorHAnsi"/>
                <w:sz w:val="18"/>
                <w:szCs w:val="18"/>
                <w:lang w:val="sr-Latn-ME"/>
              </w:rPr>
              <w:t>.</w:t>
            </w:r>
          </w:p>
        </w:tc>
      </w:tr>
      <w:tr w:rsidR="00B36F53" w:rsidRPr="00AC67F2" w14:paraId="0065A434" w14:textId="77777777" w:rsidTr="002559F4">
        <w:tc>
          <w:tcPr>
            <w:cnfStyle w:val="001000000000" w:firstRow="0" w:lastRow="0" w:firstColumn="1" w:lastColumn="0" w:oddVBand="0" w:evenVBand="0" w:oddHBand="0" w:evenHBand="0" w:firstRowFirstColumn="0" w:firstRowLastColumn="0" w:lastRowFirstColumn="0" w:lastRowLastColumn="0"/>
            <w:tcW w:w="2787" w:type="pct"/>
            <w:gridSpan w:val="2"/>
          </w:tcPr>
          <w:p w14:paraId="223190EA" w14:textId="77777777" w:rsidR="00B36F53" w:rsidRPr="00AC67F2" w:rsidRDefault="00B36F53" w:rsidP="002559F4">
            <w:pPr>
              <w:rPr>
                <w:rFonts w:cstheme="minorHAnsi"/>
                <w:lang w:val="sr-Latn-ME"/>
              </w:rPr>
            </w:pPr>
            <w:r>
              <w:rPr>
                <w:rFonts w:cstheme="minorHAnsi"/>
                <w:lang w:val="sr-Latn-ME"/>
              </w:rPr>
              <w:t>Ukupno</w:t>
            </w:r>
          </w:p>
        </w:tc>
        <w:tc>
          <w:tcPr>
            <w:tcW w:w="675" w:type="pct"/>
          </w:tcPr>
          <w:p w14:paraId="62912CE9" w14:textId="77777777" w:rsidR="00B36F53" w:rsidRPr="00AC67F2"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7674C08E" w14:textId="77777777" w:rsidR="00B36F53" w:rsidRPr="00527B8F"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83" w:type="pct"/>
          </w:tcPr>
          <w:p w14:paraId="780C0696" w14:textId="77777777" w:rsidR="00B36F53" w:rsidRPr="008C09CD" w:rsidRDefault="00B36F53"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8C09CD">
              <w:rPr>
                <w:rFonts w:cstheme="minorHAnsi"/>
                <w:b/>
                <w:bCs/>
                <w:sz w:val="28"/>
                <w:szCs w:val="28"/>
                <w:lang w:val="sr-Latn-ME"/>
              </w:rPr>
              <w:t>0</w:t>
            </w:r>
            <w:r>
              <w:rPr>
                <w:rFonts w:cstheme="minorHAnsi"/>
                <w:b/>
                <w:bCs/>
                <w:sz w:val="28"/>
                <w:szCs w:val="28"/>
              </w:rPr>
              <w:t>/2</w:t>
            </w:r>
          </w:p>
        </w:tc>
      </w:tr>
    </w:tbl>
    <w:p w14:paraId="56590E2B" w14:textId="77777777" w:rsidR="00B36F53" w:rsidRDefault="00B36F53" w:rsidP="00B36F53">
      <w:pPr>
        <w:rPr>
          <w:b/>
          <w:bCs/>
          <w:lang w:val="sr-Latn-ME"/>
        </w:rPr>
      </w:pPr>
    </w:p>
    <w:p w14:paraId="31817911" w14:textId="77777777" w:rsidR="00B36F53" w:rsidRPr="007D71A2" w:rsidRDefault="00B36F53" w:rsidP="00B36F53">
      <w:pPr>
        <w:rPr>
          <w:b/>
          <w:bCs/>
          <w:lang w:val="sr-Latn-ME"/>
        </w:rPr>
      </w:pPr>
      <w:r w:rsidRPr="007D71A2">
        <w:rPr>
          <w:b/>
          <w:bCs/>
          <w:lang w:val="sr-Latn-ME"/>
        </w:rPr>
        <w:lastRenderedPageBreak/>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B36F53" w:rsidRPr="00AC67F2" w14:paraId="2A394305"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4F0E4330" w14:textId="77777777" w:rsidR="00B36F53" w:rsidRPr="00AC67F2" w:rsidRDefault="00B36F53"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7134633F" w14:textId="77777777" w:rsidR="00B36F53" w:rsidRPr="00AC67F2" w:rsidRDefault="00B36F53"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01D06DCA" w14:textId="77777777" w:rsidR="00B36F53" w:rsidRPr="00AC67F2" w:rsidRDefault="00B36F53"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34108246" w14:textId="77777777" w:rsidR="00B36F53" w:rsidRPr="00AC67F2" w:rsidRDefault="00B36F53"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7862917E" w14:textId="77777777" w:rsidR="00B36F53" w:rsidRPr="00AC67F2" w:rsidRDefault="00B36F53"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78748C5A" w14:textId="77777777" w:rsidR="00B36F53" w:rsidRPr="00AC67F2" w:rsidRDefault="00B36F53"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F00AD2" w:rsidRPr="00AC67F2" w14:paraId="3688A39F"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71CCE710" w14:textId="77777777" w:rsidR="00B36F53" w:rsidRPr="00AC67F2" w:rsidRDefault="00B36F53" w:rsidP="002559F4">
            <w:pPr>
              <w:rPr>
                <w:rFonts w:cstheme="minorHAnsi"/>
                <w:lang w:val="sr-Latn-ME"/>
              </w:rPr>
            </w:pPr>
            <w:r>
              <w:rPr>
                <w:rFonts w:cstheme="minorHAnsi"/>
                <w:lang w:val="sr-Latn-ME"/>
              </w:rPr>
              <w:t>2.</w:t>
            </w:r>
            <w:r w:rsidRPr="00AC67F2">
              <w:rPr>
                <w:rFonts w:cstheme="minorHAnsi"/>
                <w:lang w:val="sr-Latn-ME"/>
              </w:rPr>
              <w:t>1</w:t>
            </w:r>
          </w:p>
        </w:tc>
        <w:tc>
          <w:tcPr>
            <w:tcW w:w="3856" w:type="dxa"/>
            <w:shd w:val="clear" w:color="auto" w:fill="D9D9D9" w:themeFill="background1" w:themeFillShade="D9"/>
          </w:tcPr>
          <w:p w14:paraId="5CC93F41" w14:textId="77777777" w:rsidR="00B36F53" w:rsidRPr="00AC67F2"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shd w:val="clear" w:color="auto" w:fill="D9D9D9" w:themeFill="background1" w:themeFillShade="D9"/>
          </w:tcPr>
          <w:p w14:paraId="2F8C96ED" w14:textId="406FFA64"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3F86D4AB"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32998468"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D9D9D9" w:themeFill="background1" w:themeFillShade="D9"/>
          </w:tcPr>
          <w:p w14:paraId="46794CEB" w14:textId="254CC278" w:rsidR="00B36F53" w:rsidRPr="00A71811" w:rsidRDefault="00F00AD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Dokument ne sadrži analizu stanja</w:t>
            </w:r>
            <w:r w:rsidR="004C77C6">
              <w:rPr>
                <w:rFonts w:cstheme="minorHAnsi"/>
                <w:sz w:val="18"/>
                <w:szCs w:val="18"/>
                <w:lang w:val="sr-Latn-ME"/>
              </w:rPr>
              <w:t>.</w:t>
            </w:r>
          </w:p>
        </w:tc>
      </w:tr>
      <w:tr w:rsidR="00B36F53" w:rsidRPr="00AC67F2" w14:paraId="39C396C1"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32F9D2D8" w14:textId="77777777" w:rsidR="00B36F53" w:rsidRPr="00AC67F2" w:rsidRDefault="00B36F53" w:rsidP="002559F4">
            <w:pPr>
              <w:rPr>
                <w:rFonts w:cstheme="minorHAnsi"/>
                <w:lang w:val="sr-Latn-ME"/>
              </w:rPr>
            </w:pPr>
            <w:r>
              <w:rPr>
                <w:rFonts w:cstheme="minorHAnsi"/>
                <w:lang w:val="sr-Latn-ME"/>
              </w:rPr>
              <w:t>2.2</w:t>
            </w:r>
          </w:p>
        </w:tc>
        <w:tc>
          <w:tcPr>
            <w:tcW w:w="3856" w:type="dxa"/>
            <w:shd w:val="clear" w:color="auto" w:fill="D9D9D9" w:themeFill="background1" w:themeFillShade="D9"/>
          </w:tcPr>
          <w:p w14:paraId="351A7845" w14:textId="77777777" w:rsidR="00B36F53" w:rsidRPr="00AC67F2"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shd w:val="clear" w:color="auto" w:fill="D9D9D9" w:themeFill="background1" w:themeFillShade="D9"/>
          </w:tcPr>
          <w:p w14:paraId="5384B3B3" w14:textId="302562D1"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24EEC28E"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76AA83F8"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D9D9D9" w:themeFill="background1" w:themeFillShade="D9"/>
          </w:tcPr>
          <w:p w14:paraId="0695BEC1" w14:textId="3A3F5493" w:rsidR="00B36F53" w:rsidRPr="00A71811" w:rsidRDefault="004C77C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Dokument ne sadrži analizu stanja.</w:t>
            </w:r>
          </w:p>
        </w:tc>
      </w:tr>
      <w:tr w:rsidR="00B36F53" w:rsidRPr="00AC67F2" w14:paraId="63769D04"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1F7B3D23" w14:textId="77777777" w:rsidR="00B36F53" w:rsidRDefault="00B36F53" w:rsidP="002559F4">
            <w:pPr>
              <w:rPr>
                <w:rFonts w:cstheme="minorHAnsi"/>
                <w:lang w:val="sr-Latn-ME"/>
              </w:rPr>
            </w:pPr>
            <w:r>
              <w:rPr>
                <w:rFonts w:cstheme="minorHAnsi"/>
                <w:lang w:val="sr-Latn-ME"/>
              </w:rPr>
              <w:t>2.3</w:t>
            </w:r>
          </w:p>
        </w:tc>
        <w:tc>
          <w:tcPr>
            <w:tcW w:w="3856" w:type="dxa"/>
            <w:shd w:val="clear" w:color="auto" w:fill="D9D9D9" w:themeFill="background1" w:themeFillShade="D9"/>
          </w:tcPr>
          <w:p w14:paraId="55E52515" w14:textId="77777777" w:rsidR="00B36F53"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shd w:val="clear" w:color="auto" w:fill="D9D9D9" w:themeFill="background1" w:themeFillShade="D9"/>
          </w:tcPr>
          <w:p w14:paraId="52CC6767" w14:textId="405D6281"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06A7ACEB"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69A16652"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D9D9D9" w:themeFill="background1" w:themeFillShade="D9"/>
          </w:tcPr>
          <w:p w14:paraId="6FDF4568" w14:textId="0F92B707" w:rsidR="00B36F53" w:rsidRPr="00A71811" w:rsidRDefault="00AE0F0E"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Dokument ne sadrži analizu stanja.</w:t>
            </w:r>
          </w:p>
        </w:tc>
      </w:tr>
      <w:tr w:rsidR="00B36F53" w:rsidRPr="00AC67F2" w14:paraId="71384D9D"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8729491" w14:textId="77777777" w:rsidR="00B36F53" w:rsidRPr="00AC67F2" w:rsidRDefault="00B36F53" w:rsidP="002559F4">
            <w:pPr>
              <w:rPr>
                <w:rFonts w:cstheme="minorHAnsi"/>
                <w:lang w:val="sr-Latn-ME"/>
              </w:rPr>
            </w:pPr>
            <w:r>
              <w:rPr>
                <w:rFonts w:cstheme="minorHAnsi"/>
                <w:lang w:val="sr-Latn-ME"/>
              </w:rPr>
              <w:t>2.4</w:t>
            </w:r>
          </w:p>
        </w:tc>
        <w:tc>
          <w:tcPr>
            <w:tcW w:w="3856" w:type="dxa"/>
          </w:tcPr>
          <w:p w14:paraId="3EBA7104" w14:textId="77777777" w:rsidR="00B36F53" w:rsidRPr="00AC67F2"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tcPr>
          <w:p w14:paraId="118E8757" w14:textId="6962E25F"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23EAC2C3" w14:textId="11933D17" w:rsidR="00B36F53" w:rsidRPr="00AC67F2" w:rsidRDefault="00F36E5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003E887D"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A06C81F" w14:textId="1CBC2A09" w:rsidR="00B36F53" w:rsidRPr="00A71811"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71811">
              <w:rPr>
                <w:rFonts w:cstheme="minorHAnsi"/>
                <w:sz w:val="18"/>
                <w:szCs w:val="18"/>
                <w:lang w:val="sr-Latn-ME"/>
              </w:rPr>
              <w:t xml:space="preserve"> </w:t>
            </w:r>
          </w:p>
        </w:tc>
      </w:tr>
      <w:tr w:rsidR="00B36F53" w:rsidRPr="00AC67F2" w14:paraId="7720BBCD"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8066E1C" w14:textId="77777777" w:rsidR="00B36F53" w:rsidRDefault="00B36F53" w:rsidP="002559F4">
            <w:pPr>
              <w:rPr>
                <w:rFonts w:cstheme="minorHAnsi"/>
                <w:lang w:val="sr-Latn-ME"/>
              </w:rPr>
            </w:pPr>
            <w:r>
              <w:rPr>
                <w:rFonts w:cstheme="minorHAnsi"/>
                <w:lang w:val="sr-Latn-ME"/>
              </w:rPr>
              <w:t>2.5</w:t>
            </w:r>
          </w:p>
        </w:tc>
        <w:tc>
          <w:tcPr>
            <w:tcW w:w="3856" w:type="dxa"/>
          </w:tcPr>
          <w:p w14:paraId="49BAD534" w14:textId="77777777" w:rsidR="00B36F53" w:rsidRPr="00AC67F2"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1F920C1A" w14:textId="6EAEBFD3" w:rsidR="00B36F53" w:rsidRPr="004C0876"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tcPr>
          <w:p w14:paraId="40E6FD9D" w14:textId="24D6EBB4" w:rsidR="00B36F53" w:rsidRPr="00AC67F2" w:rsidRDefault="00F36E5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789C4467"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2C68945" w14:textId="77777777" w:rsidR="006B53F5" w:rsidRPr="006B53F5" w:rsidRDefault="00F36E57" w:rsidP="006B53F5">
            <w:pPr>
              <w:pStyle w:val="NormalWeb"/>
              <w:shd w:val="clear" w:color="auto" w:fill="FFFFFF"/>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B53F5">
              <w:rPr>
                <w:rFonts w:ascii="Calibri" w:hAnsi="Calibri" w:cs="Calibri"/>
                <w:sz w:val="18"/>
                <w:szCs w:val="18"/>
                <w:lang w:val="hr-HR"/>
              </w:rPr>
              <w:t xml:space="preserve">6.1.6 </w:t>
            </w:r>
            <w:r w:rsidR="006B53F5" w:rsidRPr="006B53F5">
              <w:rPr>
                <w:rFonts w:ascii="Calibri" w:hAnsi="Calibri" w:cs="Calibri"/>
                <w:sz w:val="18"/>
                <w:szCs w:val="18"/>
              </w:rPr>
              <w:t xml:space="preserve">Izraditi plan i program specijalističkih obuka za obuku policajaca koji rade u oblasti nadzora državne granice </w:t>
            </w:r>
          </w:p>
          <w:p w14:paraId="1DF9117D" w14:textId="4494234E" w:rsidR="00B36F53" w:rsidRPr="006B53F5" w:rsidRDefault="006B53F5" w:rsidP="006B53F5">
            <w:pPr>
              <w:pStyle w:val="NormalWeb"/>
              <w:shd w:val="clear" w:color="auto" w:fill="FFFFFF"/>
              <w:cnfStyle w:val="000000000000" w:firstRow="0" w:lastRow="0" w:firstColumn="0" w:lastColumn="0" w:oddVBand="0" w:evenVBand="0" w:oddHBand="0" w:evenHBand="0" w:firstRowFirstColumn="0" w:firstRowLastColumn="0" w:lastRowFirstColumn="0" w:lastRowLastColumn="0"/>
              <w:rPr>
                <w:lang w:val="hr-HR"/>
              </w:rPr>
            </w:pPr>
            <w:r w:rsidRPr="006B53F5">
              <w:rPr>
                <w:rFonts w:ascii="Calibri" w:hAnsi="Calibri" w:cs="Calibri"/>
                <w:sz w:val="18"/>
                <w:szCs w:val="18"/>
              </w:rPr>
              <w:t>Program treba da obuhvati</w:t>
            </w:r>
            <w:r w:rsidRPr="006B53F5">
              <w:rPr>
                <w:rFonts w:ascii="Calibri" w:hAnsi="Calibri" w:cs="Calibri"/>
                <w:sz w:val="18"/>
                <w:szCs w:val="18"/>
                <w:lang w:val="hr-HR"/>
              </w:rPr>
              <w:t xml:space="preserve"> između ostalog i otkrivanje žrtava trgovine ljudima.</w:t>
            </w:r>
          </w:p>
        </w:tc>
      </w:tr>
      <w:tr w:rsidR="00B36F53" w:rsidRPr="00AC67F2" w14:paraId="644DC544"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3DD1AE0B" w14:textId="77777777" w:rsidR="00B36F53" w:rsidRPr="00AC67F2" w:rsidRDefault="00B36F53" w:rsidP="002559F4">
            <w:pPr>
              <w:rPr>
                <w:rFonts w:cstheme="minorHAnsi"/>
                <w:lang w:val="sr-Latn-ME"/>
              </w:rPr>
            </w:pPr>
            <w:r>
              <w:rPr>
                <w:rFonts w:cstheme="minorHAnsi"/>
                <w:lang w:val="sr-Latn-ME"/>
              </w:rPr>
              <w:t>2.6</w:t>
            </w:r>
          </w:p>
        </w:tc>
        <w:tc>
          <w:tcPr>
            <w:tcW w:w="3856" w:type="dxa"/>
            <w:shd w:val="clear" w:color="auto" w:fill="auto"/>
          </w:tcPr>
          <w:p w14:paraId="300EBE87" w14:textId="77777777" w:rsidR="00B36F53" w:rsidRPr="00AC67F2"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auto"/>
          </w:tcPr>
          <w:p w14:paraId="40B0156A" w14:textId="1E06CA38" w:rsidR="00B36F53" w:rsidRPr="00AC67F2" w:rsidRDefault="006B53F5"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shd w:val="clear" w:color="auto" w:fill="auto"/>
          </w:tcPr>
          <w:p w14:paraId="3E324B37"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2A7C504D"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7E217335" w14:textId="565D6076" w:rsidR="00B36F53" w:rsidRPr="00A71811"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B36F53" w:rsidRPr="00AC67F2" w14:paraId="21614C09"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695BC37" w14:textId="77777777" w:rsidR="00B36F53" w:rsidRDefault="00B36F53" w:rsidP="002559F4">
            <w:pPr>
              <w:rPr>
                <w:rFonts w:cstheme="minorHAnsi"/>
                <w:lang w:val="sr-Latn-ME"/>
              </w:rPr>
            </w:pPr>
            <w:r>
              <w:rPr>
                <w:rFonts w:cstheme="minorHAnsi"/>
                <w:lang w:val="sr-Latn-ME"/>
              </w:rPr>
              <w:t>2.7</w:t>
            </w:r>
          </w:p>
        </w:tc>
        <w:tc>
          <w:tcPr>
            <w:tcW w:w="3856" w:type="dxa"/>
          </w:tcPr>
          <w:p w14:paraId="09623CC9" w14:textId="1828C799" w:rsidR="00B36F53"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18C2A458"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7E2775B8"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4ADC050F"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5BAFBF8" w14:textId="77777777" w:rsidR="00B36F53" w:rsidRPr="00A71811"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B36F53" w:rsidRPr="00AC67F2" w14:paraId="7B32EEE4"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CAEC153" w14:textId="48DB608C" w:rsidR="00B36F53" w:rsidRPr="00AC67F2" w:rsidRDefault="00B36F53"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473B4EA4" w14:textId="77777777" w:rsidR="00B36F53"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4944B9FA" w14:textId="77777777" w:rsidR="00B36F53" w:rsidRPr="005C2773" w:rsidRDefault="00B36F53"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6C9F81D6"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3E44DCAA"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72D22B37"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03D0C56F" w14:textId="1D8C7DE5" w:rsidR="00B36F53" w:rsidRPr="00F64A2A" w:rsidRDefault="00F64A2A"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F64A2A">
              <w:rPr>
                <w:rFonts w:cstheme="minorHAnsi"/>
                <w:sz w:val="18"/>
                <w:szCs w:val="18"/>
                <w:lang w:val="sr-Latn-ME"/>
              </w:rPr>
              <w:t>Strategija ne koristi rodno senzitivan jezik.</w:t>
            </w:r>
          </w:p>
        </w:tc>
      </w:tr>
      <w:tr w:rsidR="00B36F53" w:rsidRPr="00AC67F2" w14:paraId="512231E3"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6C038A2D" w14:textId="77777777" w:rsidR="00B36F53" w:rsidRPr="00AC67F2" w:rsidRDefault="00B36F53" w:rsidP="002559F4">
            <w:pPr>
              <w:rPr>
                <w:rFonts w:cstheme="minorHAnsi"/>
                <w:lang w:val="sr-Latn-ME" w:eastAsia="en-GB"/>
              </w:rPr>
            </w:pPr>
            <w:r>
              <w:rPr>
                <w:rFonts w:cstheme="minorHAnsi"/>
                <w:lang w:val="sr-Latn-ME"/>
              </w:rPr>
              <w:t>Ukupno</w:t>
            </w:r>
          </w:p>
        </w:tc>
        <w:tc>
          <w:tcPr>
            <w:tcW w:w="747" w:type="dxa"/>
          </w:tcPr>
          <w:p w14:paraId="5ED8C92C"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3DAA7B52" w14:textId="77777777" w:rsidR="00B36F53" w:rsidRPr="00527B8F"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5049C690"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95370FB" w14:textId="2313B06E" w:rsidR="00B36F53" w:rsidRPr="00E72E03" w:rsidRDefault="00D33F08"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1</w:t>
            </w:r>
            <w:r w:rsidR="00B36F53" w:rsidRPr="00E72E03">
              <w:rPr>
                <w:rFonts w:cstheme="minorHAnsi"/>
                <w:b/>
                <w:bCs/>
                <w:sz w:val="28"/>
                <w:szCs w:val="28"/>
                <w:lang w:val="sr-Latn-ME"/>
              </w:rPr>
              <w:t>/</w:t>
            </w:r>
            <w:r w:rsidR="00C95F3E">
              <w:rPr>
                <w:rFonts w:cstheme="minorHAnsi"/>
                <w:b/>
                <w:bCs/>
                <w:sz w:val="28"/>
                <w:szCs w:val="28"/>
                <w:lang w:val="sr-Latn-ME"/>
              </w:rPr>
              <w:t>5</w:t>
            </w:r>
          </w:p>
        </w:tc>
      </w:tr>
    </w:tbl>
    <w:p w14:paraId="27E0B01A" w14:textId="77777777" w:rsidR="00B36F53" w:rsidRPr="00AC67F2" w:rsidRDefault="00B36F53" w:rsidP="00B36F53">
      <w:pPr>
        <w:rPr>
          <w:rFonts w:cstheme="minorHAnsi"/>
          <w:lang w:val="sr-Latn-ME"/>
        </w:rPr>
      </w:pPr>
    </w:p>
    <w:p w14:paraId="71D098BA" w14:textId="77777777" w:rsidR="00B36F53" w:rsidRPr="007D71A2" w:rsidRDefault="00B36F53" w:rsidP="00B36F53">
      <w:pPr>
        <w:rPr>
          <w:b/>
          <w:bCs/>
        </w:rPr>
      </w:pPr>
      <w:r w:rsidRPr="007D71A2">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B36F53" w:rsidRPr="00AC67F2" w14:paraId="729E0672"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6A801C1E" w14:textId="77777777" w:rsidR="00B36F53" w:rsidRPr="00AC67F2" w:rsidRDefault="00B36F53"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4FC3912D" w14:textId="77777777" w:rsidR="00B36F53" w:rsidRPr="00AC67F2" w:rsidRDefault="00B36F53"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1CA542DE" w14:textId="77777777" w:rsidR="00B36F53" w:rsidRPr="00AC67F2" w:rsidRDefault="00B36F53"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0B02F81F" w14:textId="77777777" w:rsidR="00B36F53" w:rsidRPr="00AC67F2" w:rsidRDefault="00B36F53"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0BF57CF4" w14:textId="77777777" w:rsidR="00B36F53" w:rsidRPr="00AC67F2" w:rsidRDefault="00B36F53"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63C75F40" w14:textId="77777777" w:rsidR="00B36F53" w:rsidRPr="00AC67F2" w:rsidRDefault="00B36F53"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B36F53" w:rsidRPr="00AC67F2" w14:paraId="581F0D5C"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36A2858" w14:textId="77777777" w:rsidR="00B36F53" w:rsidRPr="00AC67F2" w:rsidRDefault="00B36F53" w:rsidP="002559F4">
            <w:pPr>
              <w:rPr>
                <w:rFonts w:cstheme="minorHAnsi"/>
                <w:lang w:val="sr-Latn-ME"/>
              </w:rPr>
            </w:pPr>
            <w:r>
              <w:rPr>
                <w:rFonts w:cstheme="minorHAnsi"/>
                <w:lang w:val="sr-Latn-ME"/>
              </w:rPr>
              <w:t>3.1</w:t>
            </w:r>
          </w:p>
        </w:tc>
        <w:tc>
          <w:tcPr>
            <w:tcW w:w="3908" w:type="dxa"/>
          </w:tcPr>
          <w:p w14:paraId="0A9A8539" w14:textId="77777777" w:rsidR="00B36F53" w:rsidRPr="00AC67F2"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64F59999" w14:textId="0DC24666"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3D125DC5" w14:textId="7113741E" w:rsidR="00B36F53" w:rsidRPr="00AC67F2" w:rsidRDefault="00D33F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07" w:type="dxa"/>
          </w:tcPr>
          <w:p w14:paraId="04A42A95"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29024BB4" w14:textId="5F90D78A" w:rsidR="00B36F53" w:rsidRPr="00D05226" w:rsidRDefault="00B36F53" w:rsidP="002559F4">
            <w:pPr>
              <w:pStyle w:val="NormalWeb"/>
              <w:shd w:val="clear" w:color="auto" w:fill="FFFFFF"/>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hr-HR"/>
              </w:rPr>
            </w:pPr>
          </w:p>
        </w:tc>
      </w:tr>
      <w:tr w:rsidR="00B36F53" w:rsidRPr="00AC67F2" w14:paraId="420DF5F8"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3A505B83" w14:textId="77777777" w:rsidR="00B36F53" w:rsidRDefault="00B36F53" w:rsidP="002559F4">
            <w:pPr>
              <w:rPr>
                <w:rFonts w:cstheme="minorHAnsi"/>
                <w:lang w:val="sr-Latn-ME"/>
              </w:rPr>
            </w:pPr>
            <w:r>
              <w:rPr>
                <w:rFonts w:cstheme="minorHAnsi"/>
                <w:lang w:val="sr-Latn-ME"/>
              </w:rPr>
              <w:t>Ukupno</w:t>
            </w:r>
          </w:p>
        </w:tc>
        <w:tc>
          <w:tcPr>
            <w:tcW w:w="760" w:type="dxa"/>
            <w:shd w:val="clear" w:color="auto" w:fill="auto"/>
          </w:tcPr>
          <w:p w14:paraId="37D3894E" w14:textId="77777777" w:rsidR="00B36F53" w:rsidRPr="00AC67F2" w:rsidRDefault="00B36F53"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49475193" w14:textId="77777777" w:rsidR="00B36F53" w:rsidRPr="00527B8F"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50113EE1" w14:textId="77777777" w:rsidR="00B36F53" w:rsidRPr="00AC67F2" w:rsidRDefault="00B36F5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40A62CB5" w14:textId="3A668BCF" w:rsidR="00B36F53" w:rsidRPr="00AC67F2" w:rsidRDefault="00D33F08"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0</w:t>
            </w:r>
            <w:r w:rsidR="00B36F53">
              <w:rPr>
                <w:rFonts w:cstheme="minorHAnsi"/>
                <w:b/>
                <w:bCs/>
                <w:sz w:val="28"/>
                <w:szCs w:val="28"/>
              </w:rPr>
              <w:t>/1</w:t>
            </w:r>
          </w:p>
        </w:tc>
      </w:tr>
    </w:tbl>
    <w:p w14:paraId="2CA1F93F" w14:textId="77777777" w:rsidR="00B36F53" w:rsidRDefault="00B36F53" w:rsidP="00B36F53">
      <w:pPr>
        <w:rPr>
          <w:rFonts w:cstheme="minorHAnsi"/>
          <w:lang w:val="sr-Latn-ME"/>
        </w:rPr>
      </w:pPr>
    </w:p>
    <w:p w14:paraId="5CE3AAAB" w14:textId="2F9500A6" w:rsidR="00B36F53" w:rsidRPr="004C3BF2" w:rsidRDefault="00B36F53" w:rsidP="00B36F53">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0000"/>
          <w:sz w:val="32"/>
          <w:szCs w:val="32"/>
          <w:lang w:val="sr-Latn-ME"/>
        </w:rPr>
      </w:pPr>
      <w:r w:rsidRPr="004C3BF2">
        <w:rPr>
          <w:rFonts w:cstheme="minorHAnsi"/>
          <w:color w:val="FF0000"/>
          <w:sz w:val="32"/>
          <w:szCs w:val="32"/>
          <w:lang w:val="sr-Latn-ME"/>
        </w:rPr>
        <w:t xml:space="preserve">Konačna ocjena: </w:t>
      </w:r>
      <w:r w:rsidR="00D33F08" w:rsidRPr="004C3BF2">
        <w:rPr>
          <w:rFonts w:cstheme="minorHAnsi"/>
          <w:color w:val="FF0000"/>
          <w:sz w:val="32"/>
          <w:szCs w:val="32"/>
          <w:lang w:val="sr-Latn-ME"/>
        </w:rPr>
        <w:t>1</w:t>
      </w:r>
      <w:r w:rsidRPr="004C3BF2">
        <w:rPr>
          <w:rFonts w:cstheme="minorHAnsi"/>
          <w:color w:val="FF0000"/>
          <w:sz w:val="32"/>
          <w:szCs w:val="32"/>
          <w:lang w:val="sr-Latn-ME"/>
        </w:rPr>
        <w:t xml:space="preserve"> od </w:t>
      </w:r>
      <w:r w:rsidR="00012944">
        <w:rPr>
          <w:rFonts w:cstheme="minorHAnsi"/>
          <w:color w:val="FF0000"/>
          <w:sz w:val="32"/>
          <w:szCs w:val="32"/>
          <w:lang w:val="sr-Latn-ME"/>
        </w:rPr>
        <w:t>8</w:t>
      </w:r>
      <w:r w:rsidRPr="004C3BF2">
        <w:rPr>
          <w:rFonts w:cstheme="minorHAnsi"/>
          <w:color w:val="FF0000"/>
          <w:sz w:val="32"/>
          <w:szCs w:val="32"/>
          <w:lang w:val="sr-Latn-ME"/>
        </w:rPr>
        <w:t xml:space="preserve"> ili </w:t>
      </w:r>
      <w:r w:rsidRPr="004C3BF2">
        <w:rPr>
          <w:rFonts w:cstheme="minorHAnsi"/>
          <w:b/>
          <w:bCs/>
          <w:color w:val="FF0000"/>
          <w:sz w:val="32"/>
          <w:szCs w:val="32"/>
          <w:lang w:val="sr-Latn-ME"/>
        </w:rPr>
        <w:t>0.</w:t>
      </w:r>
      <w:r w:rsidR="004C3BF2" w:rsidRPr="004C3BF2">
        <w:rPr>
          <w:rFonts w:cstheme="minorHAnsi"/>
          <w:b/>
          <w:bCs/>
          <w:color w:val="FF0000"/>
          <w:sz w:val="32"/>
          <w:szCs w:val="32"/>
          <w:lang w:val="sr-Latn-ME"/>
        </w:rPr>
        <w:t>1</w:t>
      </w:r>
      <w:r w:rsidR="00012944">
        <w:rPr>
          <w:rFonts w:cstheme="minorHAnsi"/>
          <w:b/>
          <w:bCs/>
          <w:color w:val="FF0000"/>
          <w:sz w:val="32"/>
          <w:szCs w:val="32"/>
          <w:lang w:val="sr-Latn-ME"/>
        </w:rPr>
        <w:t>2</w:t>
      </w:r>
      <w:r w:rsidRPr="004C3BF2">
        <w:rPr>
          <w:rFonts w:cstheme="minorHAnsi"/>
          <w:b/>
          <w:bCs/>
          <w:color w:val="FF0000"/>
          <w:sz w:val="32"/>
          <w:szCs w:val="32"/>
          <w:lang w:val="sr-Latn-ME"/>
        </w:rPr>
        <w:t xml:space="preserve"> – Strategija </w:t>
      </w:r>
      <w:r w:rsidR="004C3BF2" w:rsidRPr="004C3BF2">
        <w:rPr>
          <w:rFonts w:cstheme="minorHAnsi"/>
          <w:b/>
          <w:bCs/>
          <w:color w:val="FF0000"/>
          <w:sz w:val="32"/>
          <w:szCs w:val="32"/>
          <w:lang w:val="sr-Latn-ME"/>
        </w:rPr>
        <w:t>uopšte ni</w:t>
      </w:r>
      <w:r w:rsidRPr="004C3BF2">
        <w:rPr>
          <w:rFonts w:cstheme="minorHAnsi"/>
          <w:b/>
          <w:bCs/>
          <w:color w:val="FF0000"/>
          <w:sz w:val="32"/>
          <w:szCs w:val="32"/>
          <w:lang w:val="sr-Latn-ME"/>
        </w:rPr>
        <w:t>je orodnjena</w:t>
      </w:r>
    </w:p>
    <w:p w14:paraId="11669425" w14:textId="77777777" w:rsidR="007016B6" w:rsidRDefault="007016B6" w:rsidP="007016B6">
      <w:pPr>
        <w:rPr>
          <w:rFonts w:cstheme="minorHAnsi"/>
          <w:lang w:val="sr-Latn-ME"/>
        </w:rPr>
      </w:pPr>
    </w:p>
    <w:p w14:paraId="0D64EDA2" w14:textId="68266270" w:rsidR="00C527DD" w:rsidRDefault="009D5CC5" w:rsidP="007016B6">
      <w:pPr>
        <w:pStyle w:val="Heading3"/>
        <w:rPr>
          <w:noProof/>
          <w:lang w:val="hr-HR"/>
        </w:rPr>
      </w:pPr>
      <w:bookmarkStart w:id="12" w:name="_Toc100339534"/>
      <w:r>
        <w:rPr>
          <w:noProof/>
          <w:lang w:val="hr-HR"/>
        </w:rPr>
        <w:t xml:space="preserve">5. </w:t>
      </w:r>
      <w:r w:rsidR="00AC6EB8" w:rsidRPr="00AC6EB8">
        <w:rPr>
          <w:noProof/>
          <w:lang w:val="hr-HR"/>
        </w:rPr>
        <w:t>Strategija za unapređenje kvaliteta života LGBTI osoba u Crnoj Gori za period 2019-2023.</w:t>
      </w:r>
      <w:bookmarkEnd w:id="12"/>
    </w:p>
    <w:p w14:paraId="63D6920F" w14:textId="4DA3D58B" w:rsidR="003A270A" w:rsidRPr="003A270A" w:rsidRDefault="003A270A" w:rsidP="003A270A">
      <w:pPr>
        <w:pStyle w:val="NormalWeb"/>
        <w:jc w:val="both"/>
        <w:rPr>
          <w:rFonts w:ascii="Calibri" w:hAnsi="Calibri" w:cs="Calibri"/>
        </w:rPr>
      </w:pPr>
      <w:r w:rsidRPr="003A270A">
        <w:rPr>
          <w:rFonts w:ascii="Calibri" w:hAnsi="Calibri" w:cs="Calibri"/>
        </w:rPr>
        <w:t xml:space="preserve">Svrha i ciljevi </w:t>
      </w:r>
      <w:r>
        <w:rPr>
          <w:rFonts w:ascii="Calibri" w:hAnsi="Calibri" w:cs="Calibri"/>
          <w:lang w:val="hr-HR"/>
        </w:rPr>
        <w:t xml:space="preserve">ove </w:t>
      </w:r>
      <w:r w:rsidRPr="003A270A">
        <w:rPr>
          <w:rFonts w:ascii="Calibri" w:hAnsi="Calibri" w:cs="Calibri"/>
        </w:rPr>
        <w:t xml:space="preserve">Strategije su otklanjanje svake neposredne i posredne diskriminacije po osnovu seksualne orjentacije ili rodnog identiteta, smanjivanje homofobije i transfobije u crnogorskom društvu, te stalno unapređivanje društvenog prihvatanja LGBTI osoba i poboljšanje svih uslova i kvaliteta života LGBTI osoba u Crnoj Gori. </w:t>
      </w:r>
    </w:p>
    <w:p w14:paraId="25B215F6" w14:textId="77777777" w:rsidR="00EF4066" w:rsidRPr="007D71A2" w:rsidRDefault="00EF4066" w:rsidP="00EF4066">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30"/>
        <w:gridCol w:w="4569"/>
        <w:gridCol w:w="1206"/>
        <w:gridCol w:w="1263"/>
        <w:gridCol w:w="1782"/>
      </w:tblGrid>
      <w:tr w:rsidR="00EF4066" w:rsidRPr="00AC67F2" w14:paraId="79054266"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 w:type="pct"/>
            <w:shd w:val="clear" w:color="auto" w:fill="B4C6E7" w:themeFill="accent1" w:themeFillTint="66"/>
          </w:tcPr>
          <w:p w14:paraId="3C013A4F" w14:textId="77777777" w:rsidR="00EF4066" w:rsidRPr="00AC67F2" w:rsidRDefault="00EF4066" w:rsidP="002559F4">
            <w:pPr>
              <w:rPr>
                <w:rFonts w:cstheme="minorHAnsi"/>
                <w:lang w:val="sr-Latn-ME"/>
              </w:rPr>
            </w:pPr>
            <w:r w:rsidRPr="00AC67F2">
              <w:rPr>
                <w:rFonts w:cstheme="minorHAnsi"/>
                <w:lang w:val="sr-Latn-ME"/>
              </w:rPr>
              <w:t>Br.</w:t>
            </w:r>
          </w:p>
        </w:tc>
        <w:tc>
          <w:tcPr>
            <w:tcW w:w="2473" w:type="pct"/>
            <w:shd w:val="clear" w:color="auto" w:fill="B4C6E7" w:themeFill="accent1" w:themeFillTint="66"/>
          </w:tcPr>
          <w:p w14:paraId="1626CE88" w14:textId="77777777" w:rsidR="00EF4066" w:rsidRPr="00AC67F2" w:rsidRDefault="00EF406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75" w:type="pct"/>
            <w:shd w:val="clear" w:color="auto" w:fill="B4C6E7" w:themeFill="accent1" w:themeFillTint="66"/>
          </w:tcPr>
          <w:p w14:paraId="69CDE51C" w14:textId="77777777" w:rsidR="00EF4066" w:rsidRPr="00AC67F2" w:rsidRDefault="00EF406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555" w:type="pct"/>
            <w:shd w:val="clear" w:color="auto" w:fill="B4C6E7" w:themeFill="accent1" w:themeFillTint="66"/>
          </w:tcPr>
          <w:p w14:paraId="1ADB5BBC" w14:textId="77777777" w:rsidR="00EF4066" w:rsidRPr="009148DB" w:rsidRDefault="00EF4066"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83" w:type="pct"/>
            <w:shd w:val="clear" w:color="auto" w:fill="B4C6E7" w:themeFill="accent1" w:themeFillTint="66"/>
          </w:tcPr>
          <w:p w14:paraId="6C5AF8BC" w14:textId="77777777" w:rsidR="00EF4066" w:rsidRPr="00AC67F2" w:rsidRDefault="00EF406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EF4066" w:rsidRPr="00AC67F2" w14:paraId="35466532"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59D137DE" w14:textId="77777777" w:rsidR="00EF4066" w:rsidRPr="00AC67F2" w:rsidRDefault="00EF4066" w:rsidP="002559F4">
            <w:pPr>
              <w:rPr>
                <w:rFonts w:cstheme="minorHAnsi"/>
                <w:lang w:val="sr-Latn-ME"/>
              </w:rPr>
            </w:pPr>
            <w:r w:rsidRPr="00AC67F2">
              <w:rPr>
                <w:rFonts w:cstheme="minorHAnsi"/>
                <w:lang w:val="sr-Latn-ME"/>
              </w:rPr>
              <w:t>1</w:t>
            </w:r>
            <w:r>
              <w:rPr>
                <w:rFonts w:cstheme="minorHAnsi"/>
                <w:lang w:val="sr-Latn-ME"/>
              </w:rPr>
              <w:t>.1</w:t>
            </w:r>
          </w:p>
        </w:tc>
        <w:tc>
          <w:tcPr>
            <w:tcW w:w="2473" w:type="pct"/>
          </w:tcPr>
          <w:p w14:paraId="4A592061" w14:textId="77777777" w:rsidR="00EF4066" w:rsidRPr="00DA659B"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583C162F" w14:textId="77777777" w:rsidR="00EF4066" w:rsidRPr="00AC67F2"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75" w:type="pct"/>
          </w:tcPr>
          <w:p w14:paraId="142BE6F6" w14:textId="77777777" w:rsidR="00EF4066" w:rsidRPr="00AC67F2"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734835B1"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83" w:type="pct"/>
          </w:tcPr>
          <w:p w14:paraId="3440CEB2" w14:textId="77777777" w:rsidR="00EF4066" w:rsidRPr="00A545D6"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545D6">
              <w:rPr>
                <w:rFonts w:cstheme="minorHAnsi"/>
                <w:sz w:val="18"/>
                <w:szCs w:val="18"/>
                <w:lang w:val="sr-Latn-ME"/>
              </w:rPr>
              <w:t xml:space="preserve">Tekst strategije ne sadrži imena niti funkcionalnu pripadnost članova i članica radne grupe. </w:t>
            </w:r>
          </w:p>
        </w:tc>
      </w:tr>
      <w:tr w:rsidR="00EF4066" w:rsidRPr="00AC67F2" w14:paraId="5BDBEE11"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68A50388" w14:textId="77777777" w:rsidR="00EF4066" w:rsidRPr="00AC67F2" w:rsidRDefault="00EF4066" w:rsidP="002559F4">
            <w:pPr>
              <w:rPr>
                <w:rFonts w:cstheme="minorHAnsi"/>
                <w:lang w:val="sr-Latn-ME"/>
              </w:rPr>
            </w:pPr>
            <w:r>
              <w:rPr>
                <w:rFonts w:cstheme="minorHAnsi"/>
                <w:lang w:val="sr-Latn-ME"/>
              </w:rPr>
              <w:t>1.2</w:t>
            </w:r>
          </w:p>
        </w:tc>
        <w:tc>
          <w:tcPr>
            <w:tcW w:w="2473" w:type="pct"/>
          </w:tcPr>
          <w:p w14:paraId="1D85667A" w14:textId="77777777" w:rsidR="00EF4066"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21B929A5" w14:textId="77777777" w:rsidR="00EF4066" w:rsidRPr="00AC67F2"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75" w:type="pct"/>
          </w:tcPr>
          <w:p w14:paraId="577F51D1" w14:textId="77777777" w:rsidR="00EF4066" w:rsidRPr="00AC67F2"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4A72A594"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83" w:type="pct"/>
          </w:tcPr>
          <w:p w14:paraId="2B46F2C3" w14:textId="77777777" w:rsidR="00EF4066" w:rsidRPr="00A545D6"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545D6">
              <w:rPr>
                <w:rFonts w:cstheme="minorHAnsi"/>
                <w:sz w:val="18"/>
                <w:szCs w:val="18"/>
                <w:lang w:val="sr-Latn-ME"/>
              </w:rPr>
              <w:t>Tekst strategije ne sadrži podatke o tome koje su organizacije i eksperti-ekspertkinje konsultovani, mada je jedan od principa na koji se pozivaju „učešće civilnog sektora“</w:t>
            </w:r>
          </w:p>
        </w:tc>
      </w:tr>
      <w:tr w:rsidR="00EF4066" w:rsidRPr="00AC67F2" w14:paraId="3BF3B356" w14:textId="77777777" w:rsidTr="002559F4">
        <w:tc>
          <w:tcPr>
            <w:cnfStyle w:val="001000000000" w:firstRow="0" w:lastRow="0" w:firstColumn="1" w:lastColumn="0" w:oddVBand="0" w:evenVBand="0" w:oddHBand="0" w:evenHBand="0" w:firstRowFirstColumn="0" w:firstRowLastColumn="0" w:lastRowFirstColumn="0" w:lastRowLastColumn="0"/>
            <w:tcW w:w="2787" w:type="pct"/>
            <w:gridSpan w:val="2"/>
          </w:tcPr>
          <w:p w14:paraId="1F48EA1B" w14:textId="77777777" w:rsidR="00EF4066" w:rsidRPr="00AC67F2" w:rsidRDefault="00EF4066" w:rsidP="002559F4">
            <w:pPr>
              <w:rPr>
                <w:rFonts w:cstheme="minorHAnsi"/>
                <w:lang w:val="sr-Latn-ME"/>
              </w:rPr>
            </w:pPr>
            <w:r>
              <w:rPr>
                <w:rFonts w:cstheme="minorHAnsi"/>
                <w:lang w:val="sr-Latn-ME"/>
              </w:rPr>
              <w:lastRenderedPageBreak/>
              <w:t>Ukupno</w:t>
            </w:r>
          </w:p>
        </w:tc>
        <w:tc>
          <w:tcPr>
            <w:tcW w:w="675" w:type="pct"/>
          </w:tcPr>
          <w:p w14:paraId="4B49BED0" w14:textId="77777777" w:rsidR="00EF4066" w:rsidRPr="00AC67F2"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672A0375" w14:textId="77777777" w:rsidR="00EF4066" w:rsidRPr="00527B8F"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83" w:type="pct"/>
          </w:tcPr>
          <w:p w14:paraId="51D38DCC" w14:textId="77777777" w:rsidR="00EF4066" w:rsidRPr="008C09CD" w:rsidRDefault="00EF4066"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8C09CD">
              <w:rPr>
                <w:rFonts w:cstheme="minorHAnsi"/>
                <w:b/>
                <w:bCs/>
                <w:sz w:val="28"/>
                <w:szCs w:val="28"/>
                <w:lang w:val="sr-Latn-ME"/>
              </w:rPr>
              <w:t>0</w:t>
            </w:r>
            <w:r>
              <w:rPr>
                <w:rFonts w:cstheme="minorHAnsi"/>
                <w:b/>
                <w:bCs/>
                <w:sz w:val="28"/>
                <w:szCs w:val="28"/>
              </w:rPr>
              <w:t>/2</w:t>
            </w:r>
          </w:p>
        </w:tc>
      </w:tr>
    </w:tbl>
    <w:p w14:paraId="0F33B71F" w14:textId="77777777" w:rsidR="00EF4066" w:rsidRPr="00F43A6C" w:rsidRDefault="00EF4066" w:rsidP="00EF4066">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EF4066" w:rsidRPr="00AC67F2" w14:paraId="1D26B637"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4E04E1AC" w14:textId="77777777" w:rsidR="00EF4066" w:rsidRPr="00AC67F2" w:rsidRDefault="00EF4066"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2C527347" w14:textId="77777777" w:rsidR="00EF4066" w:rsidRPr="00AC67F2" w:rsidRDefault="00EF406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721D44EE" w14:textId="77777777" w:rsidR="00EF4066" w:rsidRPr="00AC67F2" w:rsidRDefault="00EF406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67EA4C01" w14:textId="77777777" w:rsidR="00EF4066" w:rsidRPr="00AC67F2" w:rsidRDefault="00EF406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2272B1C9" w14:textId="77777777" w:rsidR="00EF4066" w:rsidRPr="00AC67F2" w:rsidRDefault="00EF406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251B2352" w14:textId="77777777" w:rsidR="00EF4066" w:rsidRPr="00AC67F2" w:rsidRDefault="00EF406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EF4066" w:rsidRPr="00AC67F2" w14:paraId="5BF65A5A"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1292303" w14:textId="77777777" w:rsidR="00EF4066" w:rsidRPr="00AC67F2" w:rsidRDefault="00EF4066"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52310B6C" w14:textId="77777777" w:rsidR="00EF4066" w:rsidRPr="00AC67F2"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3E900647"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364D95AE"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5973FD6A"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1CDB71B" w14:textId="55FDC53D" w:rsidR="00EF4066" w:rsidRPr="00A71811" w:rsidRDefault="007E1BE3"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Analiza stanja koristi dostupne rodno disagregirane podatke da ilustruje stanje. </w:t>
            </w:r>
          </w:p>
        </w:tc>
      </w:tr>
      <w:tr w:rsidR="00EF4066" w:rsidRPr="00AC67F2" w14:paraId="231B0160"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4F51CD8" w14:textId="77777777" w:rsidR="00EF4066" w:rsidRPr="00AC67F2" w:rsidRDefault="00EF4066" w:rsidP="002559F4">
            <w:pPr>
              <w:rPr>
                <w:rFonts w:cstheme="minorHAnsi"/>
                <w:lang w:val="sr-Latn-ME"/>
              </w:rPr>
            </w:pPr>
            <w:r>
              <w:rPr>
                <w:rFonts w:cstheme="minorHAnsi"/>
                <w:lang w:val="sr-Latn-ME"/>
              </w:rPr>
              <w:t>2.2</w:t>
            </w:r>
          </w:p>
        </w:tc>
        <w:tc>
          <w:tcPr>
            <w:tcW w:w="3856" w:type="dxa"/>
          </w:tcPr>
          <w:p w14:paraId="1A603E66" w14:textId="77777777" w:rsidR="00EF4066" w:rsidRPr="00AC67F2"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tcPr>
          <w:p w14:paraId="79467DCF" w14:textId="5B967E49" w:rsidR="00EF4066" w:rsidRPr="00AC67F2" w:rsidRDefault="00B356D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2055553A" w14:textId="37AF4FD5"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04B3629F"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0DB2B5A" w14:textId="6415FC2E" w:rsidR="00EF4066" w:rsidRPr="00A71811" w:rsidRDefault="007E1BE3"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Podaci ukazuju na nejednakosti u oblasti zapošljavanja, zdravlja</w:t>
            </w:r>
            <w:r w:rsidR="007D5B1D">
              <w:rPr>
                <w:rFonts w:cstheme="minorHAnsi"/>
                <w:sz w:val="18"/>
                <w:szCs w:val="18"/>
                <w:lang w:val="sr-Latn-ME"/>
              </w:rPr>
              <w:t xml:space="preserve"> i drugih oblasti.</w:t>
            </w:r>
          </w:p>
        </w:tc>
      </w:tr>
      <w:tr w:rsidR="00EF4066" w:rsidRPr="00AC67F2" w14:paraId="112D12A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E108615" w14:textId="77777777" w:rsidR="00EF4066" w:rsidRDefault="00EF4066" w:rsidP="002559F4">
            <w:pPr>
              <w:rPr>
                <w:rFonts w:cstheme="minorHAnsi"/>
                <w:lang w:val="sr-Latn-ME"/>
              </w:rPr>
            </w:pPr>
            <w:r>
              <w:rPr>
                <w:rFonts w:cstheme="minorHAnsi"/>
                <w:lang w:val="sr-Latn-ME"/>
              </w:rPr>
              <w:t>2.3</w:t>
            </w:r>
          </w:p>
        </w:tc>
        <w:tc>
          <w:tcPr>
            <w:tcW w:w="3856" w:type="dxa"/>
          </w:tcPr>
          <w:p w14:paraId="3AF4B509" w14:textId="77777777" w:rsidR="00EF4066"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tcPr>
          <w:p w14:paraId="58D1F934" w14:textId="6C6F214E" w:rsidR="00EF4066" w:rsidRPr="00AC67F2" w:rsidRDefault="00B356D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0A521F0E" w14:textId="6F56B51E"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0B7E036D"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C562DEF" w14:textId="6807639E" w:rsidR="00EF4066" w:rsidRPr="00A71811" w:rsidRDefault="007D5B1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Strategija uočava prepreke i rizike posebno za osobe drugih rodnih i seksualnih identiteta. </w:t>
            </w:r>
          </w:p>
        </w:tc>
      </w:tr>
      <w:tr w:rsidR="00EF4066" w:rsidRPr="00AC67F2" w14:paraId="197D7F45"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93148A5" w14:textId="77777777" w:rsidR="00EF4066" w:rsidRPr="00AC67F2" w:rsidRDefault="00EF4066" w:rsidP="002559F4">
            <w:pPr>
              <w:rPr>
                <w:rFonts w:cstheme="minorHAnsi"/>
                <w:lang w:val="sr-Latn-ME"/>
              </w:rPr>
            </w:pPr>
            <w:r>
              <w:rPr>
                <w:rFonts w:cstheme="minorHAnsi"/>
                <w:lang w:val="sr-Latn-ME"/>
              </w:rPr>
              <w:t>2.4</w:t>
            </w:r>
          </w:p>
        </w:tc>
        <w:tc>
          <w:tcPr>
            <w:tcW w:w="3856" w:type="dxa"/>
          </w:tcPr>
          <w:p w14:paraId="42BC895B" w14:textId="77777777" w:rsidR="00EF4066" w:rsidRPr="00AC67F2"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tcPr>
          <w:p w14:paraId="55EE305D" w14:textId="5961C5D0" w:rsidR="00EF4066" w:rsidRPr="00AC67F2" w:rsidRDefault="00CD753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2DC2447D" w14:textId="1FF6C7F5"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10CA4E0C"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928B391" w14:textId="18CF8CFD" w:rsidR="00EF4066" w:rsidRPr="00A71811" w:rsidRDefault="00CD7531"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Uglavnom sve nejednakosti su povezane sa ciljevima i mjerama. </w:t>
            </w:r>
            <w:r w:rsidR="00EF4066" w:rsidRPr="00A71811">
              <w:rPr>
                <w:rFonts w:cstheme="minorHAnsi"/>
                <w:sz w:val="18"/>
                <w:szCs w:val="18"/>
                <w:lang w:val="sr-Latn-ME"/>
              </w:rPr>
              <w:t xml:space="preserve"> </w:t>
            </w:r>
          </w:p>
        </w:tc>
      </w:tr>
      <w:tr w:rsidR="00EF4066" w:rsidRPr="00AC67F2" w14:paraId="6CB2D701"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E883961" w14:textId="77777777" w:rsidR="00EF4066" w:rsidRDefault="00EF4066" w:rsidP="002559F4">
            <w:pPr>
              <w:rPr>
                <w:rFonts w:cstheme="minorHAnsi"/>
                <w:lang w:val="sr-Latn-ME"/>
              </w:rPr>
            </w:pPr>
            <w:r>
              <w:rPr>
                <w:rFonts w:cstheme="minorHAnsi"/>
                <w:lang w:val="sr-Latn-ME"/>
              </w:rPr>
              <w:t>2.5</w:t>
            </w:r>
          </w:p>
        </w:tc>
        <w:tc>
          <w:tcPr>
            <w:tcW w:w="3856" w:type="dxa"/>
          </w:tcPr>
          <w:p w14:paraId="4B0E2ABC" w14:textId="77777777" w:rsidR="00EF4066" w:rsidRPr="00AC67F2"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798A48BB" w14:textId="69DE3737" w:rsidR="00EF4066" w:rsidRPr="00AC67F2" w:rsidRDefault="00CD753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4915375A" w14:textId="65939594"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4DF956A1"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17D3DA5" w14:textId="0CF91AC4" w:rsidR="00EF4066" w:rsidRPr="00A71811"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EF4066" w:rsidRPr="00AC67F2" w14:paraId="3F36EC3F" w14:textId="77777777" w:rsidTr="00D53009">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23EF2924" w14:textId="77777777" w:rsidR="00EF4066" w:rsidRPr="00AC67F2" w:rsidRDefault="00EF4066" w:rsidP="002559F4">
            <w:pPr>
              <w:rPr>
                <w:rFonts w:cstheme="minorHAnsi"/>
                <w:lang w:val="sr-Latn-ME"/>
              </w:rPr>
            </w:pPr>
            <w:r>
              <w:rPr>
                <w:rFonts w:cstheme="minorHAnsi"/>
                <w:lang w:val="sr-Latn-ME"/>
              </w:rPr>
              <w:t>2.6</w:t>
            </w:r>
          </w:p>
        </w:tc>
        <w:tc>
          <w:tcPr>
            <w:tcW w:w="3856" w:type="dxa"/>
            <w:shd w:val="clear" w:color="auto" w:fill="auto"/>
          </w:tcPr>
          <w:p w14:paraId="290A1396" w14:textId="77777777" w:rsidR="00EF4066" w:rsidRPr="00AC67F2"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auto"/>
          </w:tcPr>
          <w:p w14:paraId="029E1C3D" w14:textId="5C8769A0" w:rsidR="00EF4066" w:rsidRPr="00AC67F2" w:rsidRDefault="00D5300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shd w:val="clear" w:color="auto" w:fill="auto"/>
          </w:tcPr>
          <w:p w14:paraId="06AE133A"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5F243AFD" w14:textId="13CDE2ED"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0BF7DF1C" w14:textId="6544E731" w:rsidR="00EF4066" w:rsidRPr="00A71811"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EF4066" w:rsidRPr="00AC67F2" w14:paraId="1665678D"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911F3C5" w14:textId="77777777" w:rsidR="00EF4066" w:rsidRDefault="00EF4066" w:rsidP="002559F4">
            <w:pPr>
              <w:rPr>
                <w:rFonts w:cstheme="minorHAnsi"/>
                <w:lang w:val="sr-Latn-ME"/>
              </w:rPr>
            </w:pPr>
            <w:r>
              <w:rPr>
                <w:rFonts w:cstheme="minorHAnsi"/>
                <w:lang w:val="sr-Latn-ME"/>
              </w:rPr>
              <w:t>2.7</w:t>
            </w:r>
          </w:p>
        </w:tc>
        <w:tc>
          <w:tcPr>
            <w:tcW w:w="3856" w:type="dxa"/>
          </w:tcPr>
          <w:p w14:paraId="00C19FF7" w14:textId="4BFE36D2" w:rsidR="00EF4066"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1F228094"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09AB69F0"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100BD5B3"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111E405" w14:textId="480AAA23" w:rsidR="00EF4066" w:rsidRPr="00A71811" w:rsidRDefault="00D5300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NVO i mediji, ali i obrazovni sistem. </w:t>
            </w:r>
          </w:p>
        </w:tc>
      </w:tr>
      <w:tr w:rsidR="00EF4066" w:rsidRPr="00AC67F2" w14:paraId="2D489850"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4B42523E" w14:textId="0246BF8B" w:rsidR="00EF4066" w:rsidRPr="00AC67F2" w:rsidRDefault="00EF4066"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4A59F7B1" w14:textId="77777777" w:rsidR="00EF4066"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78801751" w14:textId="77777777" w:rsidR="00EF4066" w:rsidRPr="005C2773" w:rsidRDefault="00EF4066"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650B6C58" w14:textId="6A870E88" w:rsidR="00EF4066" w:rsidRPr="00AC67F2" w:rsidRDefault="000E03E5"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024857CB" w14:textId="2C7DA09A"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2C5CC8D6"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E917529" w14:textId="36E2501B" w:rsidR="00EF4066" w:rsidRPr="00AC67F2" w:rsidRDefault="000E03E5"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sz w:val="18"/>
                <w:szCs w:val="18"/>
                <w:lang w:val="sr-Latn-ME"/>
              </w:rPr>
              <w:t xml:space="preserve">Strategija koristi izraze u odgovarajućim rodovima.  </w:t>
            </w:r>
          </w:p>
        </w:tc>
      </w:tr>
      <w:tr w:rsidR="00EF4066" w:rsidRPr="00AC67F2" w14:paraId="2758B72D"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5507F6A0" w14:textId="77777777" w:rsidR="00EF4066" w:rsidRPr="00AC67F2" w:rsidRDefault="00EF4066" w:rsidP="002559F4">
            <w:pPr>
              <w:rPr>
                <w:rFonts w:cstheme="minorHAnsi"/>
                <w:lang w:val="sr-Latn-ME" w:eastAsia="en-GB"/>
              </w:rPr>
            </w:pPr>
            <w:r>
              <w:rPr>
                <w:rFonts w:cstheme="minorHAnsi"/>
                <w:lang w:val="sr-Latn-ME"/>
              </w:rPr>
              <w:t>Ukupno</w:t>
            </w:r>
          </w:p>
        </w:tc>
        <w:tc>
          <w:tcPr>
            <w:tcW w:w="747" w:type="dxa"/>
          </w:tcPr>
          <w:p w14:paraId="2D8D2F7E"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1C63C6AC" w14:textId="77777777" w:rsidR="00EF4066" w:rsidRPr="00527B8F"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3AC97C6B"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EB6D6BB" w14:textId="7532CD0D" w:rsidR="00EF4066" w:rsidRPr="00E72E03" w:rsidRDefault="003A3666"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8</w:t>
            </w:r>
            <w:r w:rsidR="00EF4066" w:rsidRPr="00E72E03">
              <w:rPr>
                <w:rFonts w:cstheme="minorHAnsi"/>
                <w:b/>
                <w:bCs/>
                <w:sz w:val="28"/>
                <w:szCs w:val="28"/>
                <w:lang w:val="sr-Latn-ME"/>
              </w:rPr>
              <w:t>/</w:t>
            </w:r>
            <w:r>
              <w:rPr>
                <w:rFonts w:cstheme="minorHAnsi"/>
                <w:b/>
                <w:bCs/>
                <w:sz w:val="28"/>
                <w:szCs w:val="28"/>
                <w:lang w:val="sr-Latn-ME"/>
              </w:rPr>
              <w:t>8</w:t>
            </w:r>
          </w:p>
        </w:tc>
      </w:tr>
    </w:tbl>
    <w:p w14:paraId="1177FAC3" w14:textId="77777777" w:rsidR="00EF4066" w:rsidRPr="00AC67F2" w:rsidRDefault="00EF4066" w:rsidP="00EF4066">
      <w:pPr>
        <w:rPr>
          <w:rFonts w:cstheme="minorHAnsi"/>
          <w:lang w:val="sr-Latn-ME"/>
        </w:rPr>
      </w:pPr>
    </w:p>
    <w:p w14:paraId="42DBD445" w14:textId="77777777" w:rsidR="00EF4066" w:rsidRPr="00852DD8" w:rsidRDefault="00EF4066" w:rsidP="00EF4066">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EF4066" w:rsidRPr="00AC67F2" w14:paraId="3022B3AC"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066B3535" w14:textId="77777777" w:rsidR="00EF4066" w:rsidRPr="00AC67F2" w:rsidRDefault="00EF4066" w:rsidP="002559F4">
            <w:pPr>
              <w:rPr>
                <w:rFonts w:cstheme="minorHAnsi"/>
                <w:lang w:val="sr-Latn-ME"/>
              </w:rPr>
            </w:pPr>
            <w:r w:rsidRPr="00AC67F2">
              <w:rPr>
                <w:rFonts w:cstheme="minorHAnsi"/>
                <w:lang w:val="sr-Latn-ME"/>
              </w:rPr>
              <w:lastRenderedPageBreak/>
              <w:t>Br.</w:t>
            </w:r>
          </w:p>
        </w:tc>
        <w:tc>
          <w:tcPr>
            <w:tcW w:w="3908" w:type="dxa"/>
            <w:shd w:val="clear" w:color="auto" w:fill="B4C6E7" w:themeFill="accent1" w:themeFillTint="66"/>
          </w:tcPr>
          <w:p w14:paraId="59E4F96F" w14:textId="77777777" w:rsidR="00EF4066" w:rsidRPr="00AC67F2" w:rsidRDefault="00EF406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40420698" w14:textId="77777777" w:rsidR="00EF4066" w:rsidRPr="00AC67F2" w:rsidRDefault="00EF406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4003C4F1" w14:textId="77777777" w:rsidR="00EF4066" w:rsidRPr="00AC67F2" w:rsidRDefault="00EF406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6BA73594" w14:textId="77777777" w:rsidR="00EF4066" w:rsidRPr="00AC67F2" w:rsidRDefault="00EF406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08BF5B6A" w14:textId="77777777" w:rsidR="00EF4066" w:rsidRPr="00AC67F2" w:rsidRDefault="00EF4066"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EF4066" w:rsidRPr="00AC67F2" w14:paraId="4FB1DF15"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E538FDF" w14:textId="77777777" w:rsidR="00EF4066" w:rsidRPr="00AC67F2" w:rsidRDefault="00EF4066" w:rsidP="002559F4">
            <w:pPr>
              <w:rPr>
                <w:rFonts w:cstheme="minorHAnsi"/>
                <w:lang w:val="sr-Latn-ME"/>
              </w:rPr>
            </w:pPr>
            <w:r>
              <w:rPr>
                <w:rFonts w:cstheme="minorHAnsi"/>
                <w:lang w:val="sr-Latn-ME"/>
              </w:rPr>
              <w:t>3.1</w:t>
            </w:r>
          </w:p>
        </w:tc>
        <w:tc>
          <w:tcPr>
            <w:tcW w:w="3908" w:type="dxa"/>
          </w:tcPr>
          <w:p w14:paraId="26C3354E" w14:textId="77777777" w:rsidR="00EF4066" w:rsidRPr="00AC67F2"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29E0BC44" w14:textId="11E770FF" w:rsidR="00EF4066" w:rsidRPr="00AC67F2" w:rsidRDefault="00B50FEE" w:rsidP="00B50FEE">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2DA348C2" w14:textId="1EE352AD"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tcPr>
          <w:p w14:paraId="6C2AFBF6"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48110321" w14:textId="29958DB8" w:rsidR="00EF4066" w:rsidRPr="009A4E2D"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EF4066" w:rsidRPr="00AC67F2" w14:paraId="3DE1376E"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75C7F727" w14:textId="77777777" w:rsidR="00EF4066" w:rsidRDefault="00EF4066" w:rsidP="002559F4">
            <w:pPr>
              <w:rPr>
                <w:rFonts w:cstheme="minorHAnsi"/>
                <w:lang w:val="sr-Latn-ME"/>
              </w:rPr>
            </w:pPr>
            <w:r>
              <w:rPr>
                <w:rFonts w:cstheme="minorHAnsi"/>
                <w:lang w:val="sr-Latn-ME"/>
              </w:rPr>
              <w:t>Ukupno</w:t>
            </w:r>
          </w:p>
        </w:tc>
        <w:tc>
          <w:tcPr>
            <w:tcW w:w="760" w:type="dxa"/>
            <w:shd w:val="clear" w:color="auto" w:fill="auto"/>
          </w:tcPr>
          <w:p w14:paraId="13617ACC" w14:textId="77777777" w:rsidR="00EF4066" w:rsidRPr="00AC67F2" w:rsidRDefault="00EF4066"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1DB09FAE" w14:textId="77777777" w:rsidR="00EF4066" w:rsidRPr="00527B8F"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1BEA9933" w14:textId="77777777" w:rsidR="00EF4066" w:rsidRPr="00AC67F2" w:rsidRDefault="00EF40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1203FBD8" w14:textId="56B81E42" w:rsidR="00EF4066" w:rsidRPr="00AC67F2" w:rsidRDefault="00B50FEE"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1</w:t>
            </w:r>
            <w:r w:rsidR="00EF4066">
              <w:rPr>
                <w:rFonts w:cstheme="minorHAnsi"/>
                <w:b/>
                <w:bCs/>
                <w:sz w:val="28"/>
                <w:szCs w:val="28"/>
              </w:rPr>
              <w:t>/1</w:t>
            </w:r>
          </w:p>
        </w:tc>
      </w:tr>
    </w:tbl>
    <w:p w14:paraId="04184604" w14:textId="77777777" w:rsidR="00EF4066" w:rsidRDefault="00EF4066" w:rsidP="00EF4066">
      <w:pPr>
        <w:rPr>
          <w:rFonts w:cstheme="minorHAnsi"/>
          <w:lang w:val="sr-Latn-ME"/>
        </w:rPr>
      </w:pPr>
    </w:p>
    <w:p w14:paraId="3242ACC5" w14:textId="7E3A18A9" w:rsidR="00EF4066" w:rsidRPr="00B73DF4" w:rsidRDefault="00EF4066" w:rsidP="00EF4066">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00B050"/>
          <w:sz w:val="32"/>
          <w:szCs w:val="32"/>
          <w:lang w:val="sr-Latn-ME"/>
        </w:rPr>
      </w:pPr>
      <w:r w:rsidRPr="00B73DF4">
        <w:rPr>
          <w:rFonts w:cstheme="minorHAnsi"/>
          <w:color w:val="00B050"/>
          <w:sz w:val="32"/>
          <w:szCs w:val="32"/>
          <w:lang w:val="sr-Latn-ME"/>
        </w:rPr>
        <w:t xml:space="preserve">Konačna ocjena: </w:t>
      </w:r>
      <w:r w:rsidR="00A63F6F">
        <w:rPr>
          <w:rFonts w:cstheme="minorHAnsi"/>
          <w:color w:val="00B050"/>
          <w:sz w:val="32"/>
          <w:szCs w:val="32"/>
          <w:lang w:val="sr-Latn-ME"/>
        </w:rPr>
        <w:t>9</w:t>
      </w:r>
      <w:r w:rsidRPr="00B73DF4">
        <w:rPr>
          <w:rFonts w:cstheme="minorHAnsi"/>
          <w:color w:val="00B050"/>
          <w:sz w:val="32"/>
          <w:szCs w:val="32"/>
          <w:lang w:val="sr-Latn-ME"/>
        </w:rPr>
        <w:t xml:space="preserve"> od 1</w:t>
      </w:r>
      <w:r w:rsidR="00BE014A">
        <w:rPr>
          <w:rFonts w:cstheme="minorHAnsi"/>
          <w:color w:val="00B050"/>
          <w:sz w:val="32"/>
          <w:szCs w:val="32"/>
          <w:lang w:val="sr-Latn-ME"/>
        </w:rPr>
        <w:t>1</w:t>
      </w:r>
      <w:r w:rsidRPr="00B73DF4">
        <w:rPr>
          <w:rFonts w:cstheme="minorHAnsi"/>
          <w:color w:val="00B050"/>
          <w:sz w:val="32"/>
          <w:szCs w:val="32"/>
          <w:lang w:val="sr-Latn-ME"/>
        </w:rPr>
        <w:t xml:space="preserve"> ili </w:t>
      </w:r>
      <w:r w:rsidRPr="00B73DF4">
        <w:rPr>
          <w:rFonts w:cstheme="minorHAnsi"/>
          <w:b/>
          <w:bCs/>
          <w:color w:val="00B050"/>
          <w:sz w:val="32"/>
          <w:szCs w:val="32"/>
          <w:lang w:val="sr-Latn-ME"/>
        </w:rPr>
        <w:t>0.</w:t>
      </w:r>
      <w:r w:rsidR="00A63F6F">
        <w:rPr>
          <w:rFonts w:cstheme="minorHAnsi"/>
          <w:b/>
          <w:bCs/>
          <w:color w:val="00B050"/>
          <w:sz w:val="32"/>
          <w:szCs w:val="32"/>
          <w:lang w:val="sr-Latn-ME"/>
        </w:rPr>
        <w:t>81</w:t>
      </w:r>
      <w:r w:rsidRPr="00B73DF4">
        <w:rPr>
          <w:rFonts w:cstheme="minorHAnsi"/>
          <w:b/>
          <w:bCs/>
          <w:color w:val="00B050"/>
          <w:sz w:val="32"/>
          <w:szCs w:val="32"/>
          <w:lang w:val="sr-Latn-ME"/>
        </w:rPr>
        <w:t xml:space="preserve"> – Strategija </w:t>
      </w:r>
      <w:r w:rsidR="00B73DF4" w:rsidRPr="00B73DF4">
        <w:rPr>
          <w:rFonts w:cstheme="minorHAnsi"/>
          <w:b/>
          <w:bCs/>
          <w:color w:val="00B050"/>
          <w:sz w:val="32"/>
          <w:szCs w:val="32"/>
          <w:lang w:val="sr-Latn-ME"/>
        </w:rPr>
        <w:t>je u potpunosti</w:t>
      </w:r>
      <w:r w:rsidRPr="00B73DF4">
        <w:rPr>
          <w:rFonts w:cstheme="minorHAnsi"/>
          <w:b/>
          <w:bCs/>
          <w:color w:val="00B050"/>
          <w:sz w:val="32"/>
          <w:szCs w:val="32"/>
          <w:lang w:val="sr-Latn-ME"/>
        </w:rPr>
        <w:t xml:space="preserve"> orodnjena</w:t>
      </w:r>
    </w:p>
    <w:p w14:paraId="63C55DF3" w14:textId="77777777" w:rsidR="00EF4066" w:rsidRPr="00C527DD" w:rsidRDefault="00EF4066" w:rsidP="00C527DD">
      <w:pPr>
        <w:rPr>
          <w:lang w:val="hr-HR"/>
        </w:rPr>
      </w:pPr>
    </w:p>
    <w:p w14:paraId="413CB4A0" w14:textId="239B5F98" w:rsidR="00AC6EB8" w:rsidRDefault="009D5CC5" w:rsidP="00526008">
      <w:pPr>
        <w:pStyle w:val="Heading3"/>
        <w:rPr>
          <w:noProof/>
          <w:lang w:val="hr-HR"/>
        </w:rPr>
      </w:pPr>
      <w:bookmarkStart w:id="13" w:name="_Toc100339535"/>
      <w:r>
        <w:rPr>
          <w:noProof/>
          <w:lang w:val="hr-HR"/>
        </w:rPr>
        <w:t xml:space="preserve">6. </w:t>
      </w:r>
      <w:r w:rsidR="00AC6EB8" w:rsidRPr="00AC6EB8">
        <w:rPr>
          <w:noProof/>
          <w:lang w:val="hr-HR"/>
        </w:rPr>
        <w:t>Strategija za socijalnu inkluziju Roma i Egipćana u Crnoj Gori 20</w:t>
      </w:r>
      <w:r w:rsidR="00553247">
        <w:rPr>
          <w:noProof/>
          <w:lang w:val="hr-HR"/>
        </w:rPr>
        <w:t>21</w:t>
      </w:r>
      <w:r w:rsidR="00AC6EB8" w:rsidRPr="00AC6EB8">
        <w:rPr>
          <w:noProof/>
          <w:lang w:val="hr-HR"/>
        </w:rPr>
        <w:t>-202</w:t>
      </w:r>
      <w:r w:rsidR="00553247">
        <w:rPr>
          <w:noProof/>
          <w:lang w:val="hr-HR"/>
        </w:rPr>
        <w:t>5</w:t>
      </w:r>
      <w:r w:rsidR="000601C5">
        <w:rPr>
          <w:noProof/>
          <w:lang w:val="hr-HR"/>
        </w:rPr>
        <w:t>. godine</w:t>
      </w:r>
      <w:bookmarkEnd w:id="13"/>
    </w:p>
    <w:p w14:paraId="12299EC4" w14:textId="77777777" w:rsidR="009D28C6" w:rsidRPr="009D28C6" w:rsidRDefault="009D28C6" w:rsidP="009D28C6">
      <w:pPr>
        <w:rPr>
          <w:lang w:val="hr-HR"/>
        </w:rPr>
      </w:pPr>
    </w:p>
    <w:p w14:paraId="4DF683B1" w14:textId="6807A350" w:rsidR="000601C5" w:rsidRDefault="009D28C6" w:rsidP="009D28C6">
      <w:pPr>
        <w:jc w:val="both"/>
        <w:rPr>
          <w:lang w:val="hr-HR"/>
        </w:rPr>
      </w:pPr>
      <w:r>
        <w:rPr>
          <w:rFonts w:cstheme="minorHAnsi"/>
          <w:sz w:val="23"/>
          <w:szCs w:val="23"/>
        </w:rPr>
        <w:t>Cilj ove Strategije je p</w:t>
      </w:r>
      <w:r w:rsidRPr="00FA4D96">
        <w:rPr>
          <w:rFonts w:cstheme="minorHAnsi"/>
          <w:sz w:val="23"/>
          <w:szCs w:val="23"/>
        </w:rPr>
        <w:t>oboljšanje socio-ekonomskog i pravnog položaja Roma</w:t>
      </w:r>
      <w:r>
        <w:rPr>
          <w:rFonts w:cstheme="minorHAnsi"/>
          <w:sz w:val="23"/>
          <w:szCs w:val="23"/>
        </w:rPr>
        <w:t>, Romkinja,</w:t>
      </w:r>
      <w:r w:rsidRPr="00FA4D96">
        <w:rPr>
          <w:rFonts w:cstheme="minorHAnsi"/>
          <w:sz w:val="23"/>
          <w:szCs w:val="23"/>
        </w:rPr>
        <w:t xml:space="preserve"> Egipćana</w:t>
      </w:r>
      <w:r>
        <w:rPr>
          <w:rFonts w:cstheme="minorHAnsi"/>
          <w:sz w:val="23"/>
          <w:szCs w:val="23"/>
        </w:rPr>
        <w:t xml:space="preserve"> i Egipćanki</w:t>
      </w:r>
      <w:r w:rsidRPr="00FA4D96">
        <w:rPr>
          <w:rFonts w:cstheme="minorHAnsi"/>
          <w:sz w:val="23"/>
          <w:szCs w:val="23"/>
        </w:rPr>
        <w:t xml:space="preserve"> u Crnoj Gori, kroz izgradnju inkluzivnog i otvorenog društva zasnovanog na borbi i eliminisanju svih oblika diskriminacije, anticiganizma i siromaštva.</w:t>
      </w:r>
    </w:p>
    <w:p w14:paraId="1CEA9453" w14:textId="77777777" w:rsidR="00526008" w:rsidRPr="007D71A2" w:rsidRDefault="00526008" w:rsidP="00526008">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30"/>
        <w:gridCol w:w="4569"/>
        <w:gridCol w:w="1206"/>
        <w:gridCol w:w="1263"/>
        <w:gridCol w:w="1782"/>
      </w:tblGrid>
      <w:tr w:rsidR="00526008" w:rsidRPr="00AC67F2" w14:paraId="26D43386"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 w:type="pct"/>
            <w:shd w:val="clear" w:color="auto" w:fill="B4C6E7" w:themeFill="accent1" w:themeFillTint="66"/>
          </w:tcPr>
          <w:p w14:paraId="6E48EBF9" w14:textId="77777777" w:rsidR="00526008" w:rsidRPr="00AC67F2" w:rsidRDefault="00526008" w:rsidP="002559F4">
            <w:pPr>
              <w:rPr>
                <w:rFonts w:cstheme="minorHAnsi"/>
                <w:lang w:val="sr-Latn-ME"/>
              </w:rPr>
            </w:pPr>
            <w:r w:rsidRPr="00AC67F2">
              <w:rPr>
                <w:rFonts w:cstheme="minorHAnsi"/>
                <w:lang w:val="sr-Latn-ME"/>
              </w:rPr>
              <w:t>Br.</w:t>
            </w:r>
          </w:p>
        </w:tc>
        <w:tc>
          <w:tcPr>
            <w:tcW w:w="2473" w:type="pct"/>
            <w:shd w:val="clear" w:color="auto" w:fill="B4C6E7" w:themeFill="accent1" w:themeFillTint="66"/>
          </w:tcPr>
          <w:p w14:paraId="7E9195A8" w14:textId="77777777" w:rsidR="00526008" w:rsidRPr="00AC67F2" w:rsidRDefault="0052600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75" w:type="pct"/>
            <w:shd w:val="clear" w:color="auto" w:fill="B4C6E7" w:themeFill="accent1" w:themeFillTint="66"/>
          </w:tcPr>
          <w:p w14:paraId="322744F2" w14:textId="77777777" w:rsidR="00526008" w:rsidRPr="00AC67F2" w:rsidRDefault="0052600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555" w:type="pct"/>
            <w:shd w:val="clear" w:color="auto" w:fill="B4C6E7" w:themeFill="accent1" w:themeFillTint="66"/>
          </w:tcPr>
          <w:p w14:paraId="278CB595" w14:textId="77777777" w:rsidR="00526008" w:rsidRPr="009148DB" w:rsidRDefault="00526008"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83" w:type="pct"/>
            <w:shd w:val="clear" w:color="auto" w:fill="B4C6E7" w:themeFill="accent1" w:themeFillTint="66"/>
          </w:tcPr>
          <w:p w14:paraId="5C1EDB69" w14:textId="77777777" w:rsidR="00526008" w:rsidRPr="00AC67F2" w:rsidRDefault="0052600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526008" w:rsidRPr="00AC67F2" w14:paraId="3CA20529"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35C95021" w14:textId="77777777" w:rsidR="00526008" w:rsidRPr="00AC67F2" w:rsidRDefault="00526008" w:rsidP="002559F4">
            <w:pPr>
              <w:rPr>
                <w:rFonts w:cstheme="minorHAnsi"/>
                <w:lang w:val="sr-Latn-ME"/>
              </w:rPr>
            </w:pPr>
            <w:r w:rsidRPr="00AC67F2">
              <w:rPr>
                <w:rFonts w:cstheme="minorHAnsi"/>
                <w:lang w:val="sr-Latn-ME"/>
              </w:rPr>
              <w:t>1</w:t>
            </w:r>
            <w:r>
              <w:rPr>
                <w:rFonts w:cstheme="minorHAnsi"/>
                <w:lang w:val="sr-Latn-ME"/>
              </w:rPr>
              <w:t>.1</w:t>
            </w:r>
          </w:p>
        </w:tc>
        <w:tc>
          <w:tcPr>
            <w:tcW w:w="2473" w:type="pct"/>
          </w:tcPr>
          <w:p w14:paraId="0713E187" w14:textId="77777777" w:rsidR="00526008" w:rsidRPr="00DA659B"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20BF9BDC" w14:textId="77777777" w:rsidR="00526008" w:rsidRPr="00AC67F2"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75" w:type="pct"/>
          </w:tcPr>
          <w:p w14:paraId="71CB1A04" w14:textId="77777777" w:rsidR="00526008" w:rsidRPr="00AC67F2"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17B1F627"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83" w:type="pct"/>
          </w:tcPr>
          <w:p w14:paraId="213D02D2" w14:textId="77777777" w:rsidR="00526008" w:rsidRPr="00A545D6"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545D6">
              <w:rPr>
                <w:rFonts w:cstheme="minorHAnsi"/>
                <w:sz w:val="18"/>
                <w:szCs w:val="18"/>
                <w:lang w:val="sr-Latn-ME"/>
              </w:rPr>
              <w:t xml:space="preserve">Tekst strategije ne sadrži imena niti funkcionalnu pripadnost članova i članica radne grupe. </w:t>
            </w:r>
          </w:p>
        </w:tc>
      </w:tr>
      <w:tr w:rsidR="00526008" w:rsidRPr="00AC67F2" w14:paraId="46545D0C"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2EACCBB0" w14:textId="77777777" w:rsidR="00526008" w:rsidRPr="00AC67F2" w:rsidRDefault="00526008" w:rsidP="002559F4">
            <w:pPr>
              <w:rPr>
                <w:rFonts w:cstheme="minorHAnsi"/>
                <w:lang w:val="sr-Latn-ME"/>
              </w:rPr>
            </w:pPr>
            <w:r>
              <w:rPr>
                <w:rFonts w:cstheme="minorHAnsi"/>
                <w:lang w:val="sr-Latn-ME"/>
              </w:rPr>
              <w:t>1.2</w:t>
            </w:r>
          </w:p>
        </w:tc>
        <w:tc>
          <w:tcPr>
            <w:tcW w:w="2473" w:type="pct"/>
          </w:tcPr>
          <w:p w14:paraId="360EF7F4" w14:textId="77777777" w:rsidR="00526008"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774B1D62" w14:textId="77777777" w:rsidR="00526008" w:rsidRPr="00AC67F2"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75" w:type="pct"/>
          </w:tcPr>
          <w:p w14:paraId="17B33F53" w14:textId="77777777" w:rsidR="00526008" w:rsidRPr="00AC67F2"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52911D68"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83" w:type="pct"/>
          </w:tcPr>
          <w:p w14:paraId="2421F8D9" w14:textId="66E3B826" w:rsidR="00594F28" w:rsidRPr="00A545D6"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545D6">
              <w:rPr>
                <w:rFonts w:cstheme="minorHAnsi"/>
                <w:sz w:val="18"/>
                <w:szCs w:val="18"/>
                <w:lang w:val="sr-Latn-ME"/>
              </w:rPr>
              <w:t>Tekst strategije ne sadrži podatke o tome koje su organizacije i eksperti-ekspertkinje konsultovani</w:t>
            </w:r>
            <w:r w:rsidR="00594F28">
              <w:rPr>
                <w:rFonts w:cstheme="minorHAnsi"/>
                <w:sz w:val="18"/>
                <w:szCs w:val="18"/>
                <w:lang w:val="sr-Latn-ME"/>
              </w:rPr>
              <w:t>.</w:t>
            </w:r>
          </w:p>
        </w:tc>
      </w:tr>
      <w:tr w:rsidR="00526008" w:rsidRPr="00AC67F2" w14:paraId="1D047FFB" w14:textId="77777777" w:rsidTr="002559F4">
        <w:tc>
          <w:tcPr>
            <w:cnfStyle w:val="001000000000" w:firstRow="0" w:lastRow="0" w:firstColumn="1" w:lastColumn="0" w:oddVBand="0" w:evenVBand="0" w:oddHBand="0" w:evenHBand="0" w:firstRowFirstColumn="0" w:firstRowLastColumn="0" w:lastRowFirstColumn="0" w:lastRowLastColumn="0"/>
            <w:tcW w:w="2787" w:type="pct"/>
            <w:gridSpan w:val="2"/>
          </w:tcPr>
          <w:p w14:paraId="2D826263" w14:textId="77777777" w:rsidR="00526008" w:rsidRPr="00AC67F2" w:rsidRDefault="00526008" w:rsidP="002559F4">
            <w:pPr>
              <w:rPr>
                <w:rFonts w:cstheme="minorHAnsi"/>
                <w:lang w:val="sr-Latn-ME"/>
              </w:rPr>
            </w:pPr>
            <w:r>
              <w:rPr>
                <w:rFonts w:cstheme="minorHAnsi"/>
                <w:lang w:val="sr-Latn-ME"/>
              </w:rPr>
              <w:t>Ukupno</w:t>
            </w:r>
          </w:p>
        </w:tc>
        <w:tc>
          <w:tcPr>
            <w:tcW w:w="675" w:type="pct"/>
          </w:tcPr>
          <w:p w14:paraId="7E053F4F" w14:textId="77777777" w:rsidR="00526008" w:rsidRPr="00AC67F2"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2A5AC79D" w14:textId="77777777" w:rsidR="00526008" w:rsidRPr="00527B8F"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83" w:type="pct"/>
          </w:tcPr>
          <w:p w14:paraId="77A8AD12" w14:textId="77777777" w:rsidR="00526008" w:rsidRPr="008C09CD" w:rsidRDefault="00526008"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8C09CD">
              <w:rPr>
                <w:rFonts w:cstheme="minorHAnsi"/>
                <w:b/>
                <w:bCs/>
                <w:sz w:val="28"/>
                <w:szCs w:val="28"/>
                <w:lang w:val="sr-Latn-ME"/>
              </w:rPr>
              <w:t>0</w:t>
            </w:r>
            <w:r>
              <w:rPr>
                <w:rFonts w:cstheme="minorHAnsi"/>
                <w:b/>
                <w:bCs/>
                <w:sz w:val="28"/>
                <w:szCs w:val="28"/>
              </w:rPr>
              <w:t>/2</w:t>
            </w:r>
          </w:p>
        </w:tc>
      </w:tr>
    </w:tbl>
    <w:p w14:paraId="50AE7E26" w14:textId="77777777" w:rsidR="00526008" w:rsidRPr="00F43A6C" w:rsidRDefault="00526008" w:rsidP="00526008">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526008" w:rsidRPr="00AC67F2" w14:paraId="4009223F"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512A59F6" w14:textId="77777777" w:rsidR="00526008" w:rsidRPr="00AC67F2" w:rsidRDefault="00526008"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60CA0A42" w14:textId="77777777" w:rsidR="00526008" w:rsidRPr="00AC67F2" w:rsidRDefault="0052600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41F8624A" w14:textId="77777777" w:rsidR="00526008" w:rsidRPr="00AC67F2" w:rsidRDefault="0052600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70DF8254" w14:textId="77777777" w:rsidR="00526008" w:rsidRPr="00AC67F2" w:rsidRDefault="0052600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4997BB5D" w14:textId="77777777" w:rsidR="00526008" w:rsidRPr="00AC67F2" w:rsidRDefault="0052600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5CFBB986" w14:textId="77777777" w:rsidR="00526008" w:rsidRPr="00AC67F2" w:rsidRDefault="0052600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526008" w:rsidRPr="00AC67F2" w14:paraId="001BA6A1"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9739930" w14:textId="77777777" w:rsidR="00526008" w:rsidRPr="00AC67F2" w:rsidRDefault="00526008" w:rsidP="002559F4">
            <w:pPr>
              <w:rPr>
                <w:rFonts w:cstheme="minorHAnsi"/>
                <w:lang w:val="sr-Latn-ME"/>
              </w:rPr>
            </w:pPr>
            <w:r>
              <w:rPr>
                <w:rFonts w:cstheme="minorHAnsi"/>
                <w:lang w:val="sr-Latn-ME"/>
              </w:rPr>
              <w:lastRenderedPageBreak/>
              <w:t>2.</w:t>
            </w:r>
            <w:r w:rsidRPr="00AC67F2">
              <w:rPr>
                <w:rFonts w:cstheme="minorHAnsi"/>
                <w:lang w:val="sr-Latn-ME"/>
              </w:rPr>
              <w:t>1</w:t>
            </w:r>
          </w:p>
        </w:tc>
        <w:tc>
          <w:tcPr>
            <w:tcW w:w="3856" w:type="dxa"/>
          </w:tcPr>
          <w:p w14:paraId="22C89929" w14:textId="77777777" w:rsidR="00526008" w:rsidRPr="00AC67F2"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04A881C1"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4F868402"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768311B9"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D4BCD9C" w14:textId="284C73BA" w:rsidR="00526008" w:rsidRPr="00A71811"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Analiza stanja koristi dostupne rodno disagregirane podatke</w:t>
            </w:r>
            <w:r w:rsidR="00D11D54">
              <w:rPr>
                <w:rFonts w:cstheme="minorHAnsi"/>
                <w:sz w:val="18"/>
                <w:szCs w:val="18"/>
                <w:lang w:val="sr-Latn-ME"/>
              </w:rPr>
              <w:t xml:space="preserve">, posebno u dijelu obrazovanje i zapošljavanje. </w:t>
            </w:r>
            <w:r>
              <w:rPr>
                <w:rFonts w:cstheme="minorHAnsi"/>
                <w:sz w:val="18"/>
                <w:szCs w:val="18"/>
                <w:lang w:val="sr-Latn-ME"/>
              </w:rPr>
              <w:t xml:space="preserve"> </w:t>
            </w:r>
          </w:p>
        </w:tc>
      </w:tr>
      <w:tr w:rsidR="00526008" w:rsidRPr="00AC67F2" w14:paraId="2F34AC3A"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FD41082" w14:textId="77777777" w:rsidR="00526008" w:rsidRPr="00AC67F2" w:rsidRDefault="00526008" w:rsidP="002559F4">
            <w:pPr>
              <w:rPr>
                <w:rFonts w:cstheme="minorHAnsi"/>
                <w:lang w:val="sr-Latn-ME"/>
              </w:rPr>
            </w:pPr>
            <w:r>
              <w:rPr>
                <w:rFonts w:cstheme="minorHAnsi"/>
                <w:lang w:val="sr-Latn-ME"/>
              </w:rPr>
              <w:t>2.2</w:t>
            </w:r>
          </w:p>
        </w:tc>
        <w:tc>
          <w:tcPr>
            <w:tcW w:w="3856" w:type="dxa"/>
          </w:tcPr>
          <w:p w14:paraId="458A1089" w14:textId="77777777" w:rsidR="00526008" w:rsidRPr="00AC67F2"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tcPr>
          <w:p w14:paraId="5CA940AB"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6422C559"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24F9D062"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EBC0C68" w14:textId="12BC8680" w:rsidR="00526008" w:rsidRPr="00A71811" w:rsidRDefault="00D11D54"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Analiza ukazuje na nejednakost u odnosu na generalnu populaciju, ali i među rodovima. </w:t>
            </w:r>
          </w:p>
        </w:tc>
      </w:tr>
      <w:tr w:rsidR="00526008" w:rsidRPr="00AC67F2" w14:paraId="6FF2EBAA"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2BFFAA0" w14:textId="77777777" w:rsidR="00526008" w:rsidRDefault="00526008" w:rsidP="002559F4">
            <w:pPr>
              <w:rPr>
                <w:rFonts w:cstheme="minorHAnsi"/>
                <w:lang w:val="sr-Latn-ME"/>
              </w:rPr>
            </w:pPr>
            <w:r>
              <w:rPr>
                <w:rFonts w:cstheme="minorHAnsi"/>
                <w:lang w:val="sr-Latn-ME"/>
              </w:rPr>
              <w:t>2.3</w:t>
            </w:r>
          </w:p>
        </w:tc>
        <w:tc>
          <w:tcPr>
            <w:tcW w:w="3856" w:type="dxa"/>
          </w:tcPr>
          <w:p w14:paraId="69FE7F86" w14:textId="77777777" w:rsidR="00526008"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tcPr>
          <w:p w14:paraId="636F28BF"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3A7B04E6"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1C77B968"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8109A0E" w14:textId="0B12D0A2" w:rsidR="00526008" w:rsidRPr="00A71811" w:rsidRDefault="00C0728B"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Da, u dijelu zapošljavanja</w:t>
            </w:r>
            <w:r w:rsidR="0052145E">
              <w:rPr>
                <w:rFonts w:cstheme="minorHAnsi"/>
                <w:sz w:val="18"/>
                <w:szCs w:val="18"/>
                <w:lang w:val="sr-Latn-ME"/>
              </w:rPr>
              <w:t>.</w:t>
            </w:r>
          </w:p>
        </w:tc>
      </w:tr>
      <w:tr w:rsidR="00526008" w:rsidRPr="00AC67F2" w14:paraId="4C84E2ED"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547DE21" w14:textId="77777777" w:rsidR="00526008" w:rsidRPr="00AC67F2" w:rsidRDefault="00526008" w:rsidP="002559F4">
            <w:pPr>
              <w:rPr>
                <w:rFonts w:cstheme="minorHAnsi"/>
                <w:lang w:val="sr-Latn-ME"/>
              </w:rPr>
            </w:pPr>
            <w:r>
              <w:rPr>
                <w:rFonts w:cstheme="minorHAnsi"/>
                <w:lang w:val="sr-Latn-ME"/>
              </w:rPr>
              <w:t>2.4</w:t>
            </w:r>
          </w:p>
        </w:tc>
        <w:tc>
          <w:tcPr>
            <w:tcW w:w="3856" w:type="dxa"/>
          </w:tcPr>
          <w:p w14:paraId="41217E1E" w14:textId="77777777" w:rsidR="00526008" w:rsidRPr="00AC67F2"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tcPr>
          <w:p w14:paraId="3CF00E7B" w14:textId="5EDE4546" w:rsidR="00526008" w:rsidRPr="00AC67F2" w:rsidRDefault="00685E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lang w:val="sr-Latn-ME"/>
              </w:rPr>
              <w:t>0.5</w:t>
            </w:r>
          </w:p>
        </w:tc>
        <w:tc>
          <w:tcPr>
            <w:tcW w:w="1263" w:type="dxa"/>
          </w:tcPr>
          <w:p w14:paraId="60684665"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1B6175FF"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04F8814C" w14:textId="7AFD883A" w:rsidR="00526008" w:rsidRPr="00A71811" w:rsidRDefault="00685E6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Samo kod operativnog cilja 9</w:t>
            </w:r>
            <w:r w:rsidR="005C6870">
              <w:rPr>
                <w:rFonts w:cstheme="minorHAnsi"/>
                <w:sz w:val="18"/>
                <w:szCs w:val="18"/>
                <w:lang w:val="sr-Latn-ME"/>
              </w:rPr>
              <w:t xml:space="preserve"> i 10</w:t>
            </w:r>
            <w:r>
              <w:rPr>
                <w:rFonts w:cstheme="minorHAnsi"/>
                <w:sz w:val="18"/>
                <w:szCs w:val="18"/>
                <w:lang w:val="sr-Latn-ME"/>
              </w:rPr>
              <w:t xml:space="preserve"> </w:t>
            </w:r>
          </w:p>
        </w:tc>
      </w:tr>
      <w:tr w:rsidR="00526008" w:rsidRPr="00AC67F2" w14:paraId="05B807EB"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1027F48" w14:textId="77777777" w:rsidR="00526008" w:rsidRDefault="00526008" w:rsidP="002559F4">
            <w:pPr>
              <w:rPr>
                <w:rFonts w:cstheme="minorHAnsi"/>
                <w:lang w:val="sr-Latn-ME"/>
              </w:rPr>
            </w:pPr>
            <w:r>
              <w:rPr>
                <w:rFonts w:cstheme="minorHAnsi"/>
                <w:lang w:val="sr-Latn-ME"/>
              </w:rPr>
              <w:t>2.5</w:t>
            </w:r>
          </w:p>
        </w:tc>
        <w:tc>
          <w:tcPr>
            <w:tcW w:w="3856" w:type="dxa"/>
          </w:tcPr>
          <w:p w14:paraId="77D9B72F" w14:textId="77777777" w:rsidR="00526008" w:rsidRPr="00AC67F2"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76557198" w14:textId="2C6A5365" w:rsidR="00526008" w:rsidRPr="00AC67F2" w:rsidRDefault="00685E6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lang w:val="sr-Latn-ME"/>
              </w:rPr>
              <w:t>0.5</w:t>
            </w:r>
          </w:p>
        </w:tc>
        <w:tc>
          <w:tcPr>
            <w:tcW w:w="1263" w:type="dxa"/>
          </w:tcPr>
          <w:p w14:paraId="46F3C73C"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112F1BBF"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74824C9" w14:textId="7617E511" w:rsidR="00526008" w:rsidRPr="00A71811" w:rsidRDefault="00685E6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Samo kod operativnog cilja 9 i dijelom operativnog cilja 4</w:t>
            </w:r>
            <w:r w:rsidR="005C6870">
              <w:rPr>
                <w:rFonts w:cstheme="minorHAnsi"/>
                <w:sz w:val="18"/>
                <w:szCs w:val="18"/>
                <w:lang w:val="sr-Latn-ME"/>
              </w:rPr>
              <w:t xml:space="preserve"> i 10</w:t>
            </w:r>
            <w:r>
              <w:rPr>
                <w:rFonts w:cstheme="minorHAnsi"/>
                <w:sz w:val="18"/>
                <w:szCs w:val="18"/>
                <w:lang w:val="sr-Latn-ME"/>
              </w:rPr>
              <w:t xml:space="preserve">.  </w:t>
            </w:r>
            <w:r w:rsidRPr="00A71811">
              <w:rPr>
                <w:rFonts w:cstheme="minorHAnsi"/>
                <w:sz w:val="18"/>
                <w:szCs w:val="18"/>
                <w:lang w:val="sr-Latn-ME"/>
              </w:rPr>
              <w:t xml:space="preserve"> </w:t>
            </w:r>
          </w:p>
        </w:tc>
      </w:tr>
      <w:tr w:rsidR="00526008" w:rsidRPr="00AC67F2" w14:paraId="46378F6E"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00146E22" w14:textId="77777777" w:rsidR="00526008" w:rsidRPr="00AC67F2" w:rsidRDefault="00526008" w:rsidP="002559F4">
            <w:pPr>
              <w:rPr>
                <w:rFonts w:cstheme="minorHAnsi"/>
                <w:lang w:val="sr-Latn-ME"/>
              </w:rPr>
            </w:pPr>
            <w:r>
              <w:rPr>
                <w:rFonts w:cstheme="minorHAnsi"/>
                <w:lang w:val="sr-Latn-ME"/>
              </w:rPr>
              <w:t>2.6</w:t>
            </w:r>
          </w:p>
        </w:tc>
        <w:tc>
          <w:tcPr>
            <w:tcW w:w="3856" w:type="dxa"/>
            <w:shd w:val="clear" w:color="auto" w:fill="auto"/>
          </w:tcPr>
          <w:p w14:paraId="2AD1C4D3" w14:textId="77777777" w:rsidR="00526008" w:rsidRPr="00AC67F2"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auto"/>
          </w:tcPr>
          <w:p w14:paraId="4C78AE84"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shd w:val="clear" w:color="auto" w:fill="auto"/>
          </w:tcPr>
          <w:p w14:paraId="4CCBD997"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43675550"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6E40C7A2" w14:textId="65BC31DA" w:rsidR="00526008" w:rsidRPr="00A71811" w:rsidRDefault="002B56F8"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Planirano je finansiranje iz redovnih i donatorskih sredstava. </w:t>
            </w:r>
          </w:p>
        </w:tc>
      </w:tr>
      <w:tr w:rsidR="00526008" w:rsidRPr="00AC67F2" w14:paraId="446CE4A2"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C865948" w14:textId="77777777" w:rsidR="00526008" w:rsidRDefault="00526008" w:rsidP="002559F4">
            <w:pPr>
              <w:rPr>
                <w:rFonts w:cstheme="minorHAnsi"/>
                <w:lang w:val="sr-Latn-ME"/>
              </w:rPr>
            </w:pPr>
            <w:r>
              <w:rPr>
                <w:rFonts w:cstheme="minorHAnsi"/>
                <w:lang w:val="sr-Latn-ME"/>
              </w:rPr>
              <w:t>2.7</w:t>
            </w:r>
          </w:p>
        </w:tc>
        <w:tc>
          <w:tcPr>
            <w:tcW w:w="3856" w:type="dxa"/>
          </w:tcPr>
          <w:p w14:paraId="291C15B2" w14:textId="3112F08F" w:rsidR="00526008"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35790EC7"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0038BC38"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1B994E3E"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35B6635" w14:textId="7FD165F6" w:rsidR="00526008" w:rsidRPr="00A71811"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526008" w:rsidRPr="00AC67F2" w14:paraId="56E5C962"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08BEB7A" w14:textId="6EE622D3" w:rsidR="00526008" w:rsidRPr="00AC67F2" w:rsidRDefault="00526008"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32D56BE1" w14:textId="77777777" w:rsidR="00526008"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4098784C" w14:textId="77777777" w:rsidR="00526008" w:rsidRPr="005C2773" w:rsidRDefault="00526008"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344BC21E" w14:textId="690CA06C"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5962CFD0" w14:textId="2473330A" w:rsidR="00526008" w:rsidRPr="00AC67F2" w:rsidRDefault="00F773B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3ECB5360"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94A6A89" w14:textId="1EFDC00D" w:rsidR="00526008" w:rsidRPr="00AC67F2" w:rsidRDefault="00F773B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sz w:val="18"/>
                <w:szCs w:val="18"/>
                <w:lang w:val="sr-Latn-ME"/>
              </w:rPr>
              <w:t>Jezik koji se koristi u Strategiji nije rodno senzitivan.</w:t>
            </w:r>
          </w:p>
        </w:tc>
      </w:tr>
      <w:tr w:rsidR="00526008" w:rsidRPr="00AC67F2" w14:paraId="3AE24C6C"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486B969C" w14:textId="77777777" w:rsidR="00526008" w:rsidRPr="00AC67F2" w:rsidRDefault="00526008" w:rsidP="002559F4">
            <w:pPr>
              <w:rPr>
                <w:rFonts w:cstheme="minorHAnsi"/>
                <w:lang w:val="sr-Latn-ME" w:eastAsia="en-GB"/>
              </w:rPr>
            </w:pPr>
            <w:r>
              <w:rPr>
                <w:rFonts w:cstheme="minorHAnsi"/>
                <w:lang w:val="sr-Latn-ME"/>
              </w:rPr>
              <w:t>Ukupno</w:t>
            </w:r>
          </w:p>
        </w:tc>
        <w:tc>
          <w:tcPr>
            <w:tcW w:w="747" w:type="dxa"/>
          </w:tcPr>
          <w:p w14:paraId="627DA8A0"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09BAE6AF" w14:textId="77777777" w:rsidR="00526008" w:rsidRPr="00527B8F"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623071E8"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78EC32B" w14:textId="0DD2E920" w:rsidR="00526008" w:rsidRPr="00E72E03" w:rsidRDefault="007E5379"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6</w:t>
            </w:r>
            <w:r w:rsidR="00526008" w:rsidRPr="00E72E03">
              <w:rPr>
                <w:rFonts w:cstheme="minorHAnsi"/>
                <w:b/>
                <w:bCs/>
                <w:sz w:val="28"/>
                <w:szCs w:val="28"/>
                <w:lang w:val="sr-Latn-ME"/>
              </w:rPr>
              <w:t>/</w:t>
            </w:r>
            <w:r w:rsidR="00C95F3E">
              <w:rPr>
                <w:rFonts w:cstheme="minorHAnsi"/>
                <w:b/>
                <w:bCs/>
                <w:sz w:val="28"/>
                <w:szCs w:val="28"/>
                <w:lang w:val="sr-Latn-ME"/>
              </w:rPr>
              <w:t>8</w:t>
            </w:r>
          </w:p>
        </w:tc>
      </w:tr>
    </w:tbl>
    <w:p w14:paraId="169A9232" w14:textId="77777777" w:rsidR="00526008" w:rsidRPr="00AC67F2" w:rsidRDefault="00526008" w:rsidP="00526008">
      <w:pPr>
        <w:rPr>
          <w:rFonts w:cstheme="minorHAnsi"/>
          <w:lang w:val="sr-Latn-ME"/>
        </w:rPr>
      </w:pPr>
    </w:p>
    <w:p w14:paraId="42E73C2A" w14:textId="77777777" w:rsidR="00526008" w:rsidRPr="00852DD8" w:rsidRDefault="00526008" w:rsidP="00526008">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526008" w:rsidRPr="00AC67F2" w14:paraId="55BD6852"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3BFBF358" w14:textId="77777777" w:rsidR="00526008" w:rsidRPr="00AC67F2" w:rsidRDefault="00526008"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4BB359E0" w14:textId="77777777" w:rsidR="00526008" w:rsidRPr="00AC67F2" w:rsidRDefault="0052600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3A8BB739" w14:textId="77777777" w:rsidR="00526008" w:rsidRPr="00AC67F2" w:rsidRDefault="0052600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1D00DF2D" w14:textId="77777777" w:rsidR="00526008" w:rsidRPr="00AC67F2" w:rsidRDefault="0052600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xml:space="preserve">/ Plan ne sadrži informaciju </w:t>
            </w:r>
            <w:r>
              <w:rPr>
                <w:rFonts w:cstheme="minorHAnsi"/>
                <w:lang w:val="sr-Latn-ME"/>
              </w:rPr>
              <w:lastRenderedPageBreak/>
              <w:t>na ovu temu</w:t>
            </w:r>
          </w:p>
        </w:tc>
        <w:tc>
          <w:tcPr>
            <w:tcW w:w="1307" w:type="dxa"/>
            <w:shd w:val="clear" w:color="auto" w:fill="B4C6E7" w:themeFill="accent1" w:themeFillTint="66"/>
          </w:tcPr>
          <w:p w14:paraId="457E702E" w14:textId="77777777" w:rsidR="00526008" w:rsidRPr="00AC67F2" w:rsidRDefault="0052600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lastRenderedPageBreak/>
              <w:t>Nije relevantno</w:t>
            </w:r>
          </w:p>
        </w:tc>
        <w:tc>
          <w:tcPr>
            <w:tcW w:w="1614" w:type="dxa"/>
            <w:shd w:val="clear" w:color="auto" w:fill="B4C6E7" w:themeFill="accent1" w:themeFillTint="66"/>
          </w:tcPr>
          <w:p w14:paraId="1EA25C58" w14:textId="77777777" w:rsidR="00526008" w:rsidRPr="00AC67F2" w:rsidRDefault="0052600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526008" w:rsidRPr="00AC67F2" w14:paraId="24C29A8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E57EF26" w14:textId="77777777" w:rsidR="00526008" w:rsidRPr="00AC67F2" w:rsidRDefault="00526008" w:rsidP="002559F4">
            <w:pPr>
              <w:rPr>
                <w:rFonts w:cstheme="minorHAnsi"/>
                <w:lang w:val="sr-Latn-ME"/>
              </w:rPr>
            </w:pPr>
            <w:r>
              <w:rPr>
                <w:rFonts w:cstheme="minorHAnsi"/>
                <w:lang w:val="sr-Latn-ME"/>
              </w:rPr>
              <w:t>3.1</w:t>
            </w:r>
          </w:p>
        </w:tc>
        <w:tc>
          <w:tcPr>
            <w:tcW w:w="3908" w:type="dxa"/>
          </w:tcPr>
          <w:p w14:paraId="6E7E6B14" w14:textId="77777777" w:rsidR="00526008" w:rsidRPr="00AC67F2"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02DEDC26" w14:textId="3CF2475F" w:rsidR="00526008" w:rsidRPr="00AC67F2" w:rsidRDefault="007E53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lang w:val="sr-Latn-ME"/>
              </w:rPr>
              <w:t>1</w:t>
            </w:r>
          </w:p>
        </w:tc>
        <w:tc>
          <w:tcPr>
            <w:tcW w:w="1263" w:type="dxa"/>
          </w:tcPr>
          <w:p w14:paraId="3AB05746"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tcPr>
          <w:p w14:paraId="1A10FE7D"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18FFB4AA" w14:textId="4D4C127B" w:rsidR="00685E66" w:rsidRPr="009A4E2D" w:rsidRDefault="002B56F8"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ascii="Calibri" w:hAnsi="Calibri" w:cs="Calibri"/>
                <w:sz w:val="18"/>
                <w:szCs w:val="18"/>
              </w:rPr>
              <w:t xml:space="preserve">Jesu za mjere koje </w:t>
            </w:r>
            <w:r w:rsidR="007E5379">
              <w:rPr>
                <w:rFonts w:ascii="Calibri" w:hAnsi="Calibri" w:cs="Calibri"/>
                <w:sz w:val="18"/>
                <w:szCs w:val="18"/>
              </w:rPr>
              <w:t xml:space="preserve">adresiraju nejednakost. </w:t>
            </w:r>
            <w:r w:rsidR="00685E66" w:rsidRPr="002B56F8">
              <w:rPr>
                <w:rFonts w:ascii="Calibri" w:hAnsi="Calibri" w:cs="Calibri"/>
                <w:sz w:val="18"/>
                <w:szCs w:val="18"/>
                <w:lang w:val="sr-Latn-ME"/>
              </w:rPr>
              <w:t xml:space="preserve"> </w:t>
            </w:r>
          </w:p>
        </w:tc>
      </w:tr>
      <w:tr w:rsidR="00526008" w:rsidRPr="00AC67F2" w14:paraId="3B0D0A42"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58AEEC6E" w14:textId="77777777" w:rsidR="00526008" w:rsidRDefault="00526008" w:rsidP="002559F4">
            <w:pPr>
              <w:rPr>
                <w:rFonts w:cstheme="minorHAnsi"/>
                <w:lang w:val="sr-Latn-ME"/>
              </w:rPr>
            </w:pPr>
            <w:r>
              <w:rPr>
                <w:rFonts w:cstheme="minorHAnsi"/>
                <w:lang w:val="sr-Latn-ME"/>
              </w:rPr>
              <w:t>Ukupno</w:t>
            </w:r>
          </w:p>
        </w:tc>
        <w:tc>
          <w:tcPr>
            <w:tcW w:w="760" w:type="dxa"/>
            <w:shd w:val="clear" w:color="auto" w:fill="auto"/>
          </w:tcPr>
          <w:p w14:paraId="49B12B6D" w14:textId="77777777" w:rsidR="00526008" w:rsidRPr="00AC67F2" w:rsidRDefault="0052600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2CDBCAEB" w14:textId="77777777" w:rsidR="00526008" w:rsidRPr="00527B8F"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07045671" w14:textId="77777777" w:rsidR="00526008" w:rsidRPr="00AC67F2" w:rsidRDefault="005260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4C74E1F3" w14:textId="77777777" w:rsidR="00526008" w:rsidRPr="00AC67F2" w:rsidRDefault="00526008"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1/1</w:t>
            </w:r>
          </w:p>
        </w:tc>
      </w:tr>
    </w:tbl>
    <w:p w14:paraId="7E4F5DCA" w14:textId="77777777" w:rsidR="00526008" w:rsidRDefault="00526008" w:rsidP="00526008">
      <w:pPr>
        <w:rPr>
          <w:rFonts w:cstheme="minorHAnsi"/>
          <w:lang w:val="sr-Latn-ME"/>
        </w:rPr>
      </w:pPr>
    </w:p>
    <w:p w14:paraId="45CE0A17" w14:textId="12CDF6EB" w:rsidR="00526008" w:rsidRPr="00BE11E7" w:rsidRDefault="00526008" w:rsidP="00526008">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C000"/>
          <w:sz w:val="32"/>
          <w:szCs w:val="32"/>
          <w:lang w:val="sr-Latn-ME"/>
        </w:rPr>
      </w:pPr>
      <w:r w:rsidRPr="00FE0ACF">
        <w:rPr>
          <w:rFonts w:cstheme="minorHAnsi"/>
          <w:bCs/>
          <w:color w:val="92D050"/>
          <w:sz w:val="32"/>
          <w:szCs w:val="32"/>
          <w:lang w:val="sr-Latn-ME"/>
        </w:rPr>
        <w:t xml:space="preserve">Konačna ocjena: </w:t>
      </w:r>
      <w:r w:rsidR="00BE11E7" w:rsidRPr="00FE0ACF">
        <w:rPr>
          <w:rFonts w:cstheme="minorHAnsi"/>
          <w:bCs/>
          <w:color w:val="92D050"/>
          <w:sz w:val="32"/>
          <w:szCs w:val="32"/>
          <w:lang w:val="sr-Latn-ME"/>
        </w:rPr>
        <w:t>7</w:t>
      </w:r>
      <w:r w:rsidRPr="00FE0ACF">
        <w:rPr>
          <w:rFonts w:cstheme="minorHAnsi"/>
          <w:bCs/>
          <w:color w:val="92D050"/>
          <w:sz w:val="32"/>
          <w:szCs w:val="32"/>
          <w:lang w:val="sr-Latn-ME"/>
        </w:rPr>
        <w:t xml:space="preserve"> od 1</w:t>
      </w:r>
      <w:r w:rsidR="00BE014A" w:rsidRPr="00FE0ACF">
        <w:rPr>
          <w:rFonts w:cstheme="minorHAnsi"/>
          <w:bCs/>
          <w:color w:val="92D050"/>
          <w:sz w:val="32"/>
          <w:szCs w:val="32"/>
          <w:lang w:val="sr-Latn-ME"/>
        </w:rPr>
        <w:t>1</w:t>
      </w:r>
      <w:r w:rsidRPr="00FE0ACF">
        <w:rPr>
          <w:rFonts w:cstheme="minorHAnsi"/>
          <w:bCs/>
          <w:color w:val="92D050"/>
          <w:sz w:val="32"/>
          <w:szCs w:val="32"/>
          <w:lang w:val="sr-Latn-ME"/>
        </w:rPr>
        <w:t xml:space="preserve"> ili 0.</w:t>
      </w:r>
      <w:r w:rsidR="00BE014A" w:rsidRPr="00FE0ACF">
        <w:rPr>
          <w:rFonts w:cstheme="minorHAnsi"/>
          <w:bCs/>
          <w:color w:val="92D050"/>
          <w:sz w:val="32"/>
          <w:szCs w:val="32"/>
          <w:lang w:val="sr-Latn-ME"/>
        </w:rPr>
        <w:t>63</w:t>
      </w:r>
      <w:r w:rsidRPr="00FE0ACF">
        <w:rPr>
          <w:rFonts w:cstheme="minorHAnsi"/>
          <w:bCs/>
          <w:color w:val="92D050"/>
          <w:sz w:val="32"/>
          <w:szCs w:val="32"/>
          <w:lang w:val="sr-Latn-ME"/>
        </w:rPr>
        <w:t xml:space="preserve"> –</w:t>
      </w:r>
      <w:r w:rsidRPr="00BE11E7">
        <w:rPr>
          <w:rFonts w:cstheme="minorHAnsi"/>
          <w:b/>
          <w:bCs/>
          <w:color w:val="FFC000"/>
          <w:sz w:val="32"/>
          <w:szCs w:val="32"/>
          <w:lang w:val="sr-Latn-ME"/>
        </w:rPr>
        <w:t xml:space="preserve"> </w:t>
      </w:r>
      <w:r w:rsidR="00FE0ACF" w:rsidRPr="00A25197">
        <w:rPr>
          <w:rFonts w:cstheme="minorHAnsi"/>
          <w:b/>
          <w:bCs/>
          <w:color w:val="92D050"/>
          <w:sz w:val="32"/>
          <w:szCs w:val="32"/>
          <w:lang w:val="sr-Latn-ME"/>
        </w:rPr>
        <w:t>Strategija je uglavnom orodnjena</w:t>
      </w:r>
    </w:p>
    <w:p w14:paraId="42097B94" w14:textId="77777777" w:rsidR="000601C5" w:rsidRPr="000601C5" w:rsidRDefault="000601C5" w:rsidP="000601C5">
      <w:pPr>
        <w:rPr>
          <w:lang w:val="hr-HR"/>
        </w:rPr>
      </w:pPr>
    </w:p>
    <w:p w14:paraId="50EA27C7" w14:textId="1AAF1C31" w:rsidR="00AC6EB8" w:rsidRDefault="009D5CC5" w:rsidP="00594F28">
      <w:pPr>
        <w:pStyle w:val="Heading3"/>
        <w:rPr>
          <w:noProof/>
          <w:lang w:val="hr-HR"/>
        </w:rPr>
      </w:pPr>
      <w:bookmarkStart w:id="14" w:name="_Toc100339536"/>
      <w:r>
        <w:rPr>
          <w:noProof/>
          <w:lang w:val="hr-HR"/>
        </w:rPr>
        <w:t xml:space="preserve">7. </w:t>
      </w:r>
      <w:r w:rsidR="00AC6EB8" w:rsidRPr="00AC6EB8">
        <w:rPr>
          <w:noProof/>
          <w:lang w:val="hr-HR"/>
        </w:rPr>
        <w:t>Strategija za zaštitu lica sa invaliditetom od diskriminacije i promociju jednakosti za period 2017-2021.</w:t>
      </w:r>
      <w:bookmarkEnd w:id="14"/>
    </w:p>
    <w:p w14:paraId="517AF944" w14:textId="77777777" w:rsidR="00A00FA0" w:rsidRDefault="00A00FA0" w:rsidP="00A00FA0">
      <w:pPr>
        <w:rPr>
          <w:lang w:val="hr-HR"/>
        </w:rPr>
      </w:pPr>
    </w:p>
    <w:p w14:paraId="66BDFBEB" w14:textId="595267EE" w:rsidR="00A00FA0" w:rsidRPr="00A00FA0" w:rsidRDefault="00A00FA0" w:rsidP="00A00FA0">
      <w:pPr>
        <w:jc w:val="both"/>
        <w:rPr>
          <w:lang w:val="hr-HR"/>
        </w:rPr>
      </w:pPr>
      <w:r w:rsidRPr="00A00FA0">
        <w:rPr>
          <w:lang w:val="hr-HR"/>
        </w:rPr>
        <w:t>Strategija za zaštitu lica sa invaliditetom od diskriminacije i promociju jednakosti predstavlja posebni dokument u Crnoj Gori, koji se bavi implementacijom politike zaštite prava lica sa invaliditetom od diskriminacije i promocije jednakosti sa drugim licima. Ovo je prvi strateški dokument kojim se definišu mjere i aktivnosti z</w:t>
      </w:r>
      <w:r w:rsidR="00C04C8C">
        <w:rPr>
          <w:lang w:val="hr-HR"/>
        </w:rPr>
        <w:t>a obezbjeđivanje potpune zaštite</w:t>
      </w:r>
      <w:r w:rsidRPr="00A00FA0">
        <w:rPr>
          <w:lang w:val="hr-HR"/>
        </w:rPr>
        <w:t xml:space="preserve"> od diskriminacije i uživanje jednakih prava u svim oblastima</w:t>
      </w:r>
      <w:r w:rsidR="00C04C8C">
        <w:rPr>
          <w:lang w:val="hr-HR"/>
        </w:rPr>
        <w:t xml:space="preserve"> života licima sa invaliditetom</w:t>
      </w:r>
      <w:r w:rsidRPr="00A00FA0">
        <w:rPr>
          <w:lang w:val="hr-HR"/>
        </w:rPr>
        <w:t>.</w:t>
      </w:r>
    </w:p>
    <w:p w14:paraId="2548C7E7" w14:textId="77777777" w:rsidR="00594F28" w:rsidRPr="007D71A2" w:rsidRDefault="00594F28" w:rsidP="00594F28">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30"/>
        <w:gridCol w:w="4569"/>
        <w:gridCol w:w="1206"/>
        <w:gridCol w:w="1263"/>
        <w:gridCol w:w="1782"/>
      </w:tblGrid>
      <w:tr w:rsidR="00594F28" w:rsidRPr="00AC67F2" w14:paraId="3F4B5926"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 w:type="pct"/>
            <w:shd w:val="clear" w:color="auto" w:fill="B4C6E7" w:themeFill="accent1" w:themeFillTint="66"/>
          </w:tcPr>
          <w:p w14:paraId="7429B305" w14:textId="77777777" w:rsidR="00594F28" w:rsidRPr="00AC67F2" w:rsidRDefault="00594F28" w:rsidP="002559F4">
            <w:pPr>
              <w:rPr>
                <w:rFonts w:cstheme="minorHAnsi"/>
                <w:lang w:val="sr-Latn-ME"/>
              </w:rPr>
            </w:pPr>
            <w:r w:rsidRPr="00AC67F2">
              <w:rPr>
                <w:rFonts w:cstheme="minorHAnsi"/>
                <w:lang w:val="sr-Latn-ME"/>
              </w:rPr>
              <w:t>Br.</w:t>
            </w:r>
          </w:p>
        </w:tc>
        <w:tc>
          <w:tcPr>
            <w:tcW w:w="2473" w:type="pct"/>
            <w:shd w:val="clear" w:color="auto" w:fill="B4C6E7" w:themeFill="accent1" w:themeFillTint="66"/>
          </w:tcPr>
          <w:p w14:paraId="7EC5B94E" w14:textId="77777777" w:rsidR="00594F28" w:rsidRPr="00AC67F2" w:rsidRDefault="00594F2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75" w:type="pct"/>
            <w:shd w:val="clear" w:color="auto" w:fill="B4C6E7" w:themeFill="accent1" w:themeFillTint="66"/>
          </w:tcPr>
          <w:p w14:paraId="0262D429" w14:textId="77777777" w:rsidR="00594F28" w:rsidRPr="00AC67F2" w:rsidRDefault="00594F2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555" w:type="pct"/>
            <w:shd w:val="clear" w:color="auto" w:fill="B4C6E7" w:themeFill="accent1" w:themeFillTint="66"/>
          </w:tcPr>
          <w:p w14:paraId="2471CEE3" w14:textId="77777777" w:rsidR="00594F28" w:rsidRPr="009148DB" w:rsidRDefault="00594F28"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83" w:type="pct"/>
            <w:shd w:val="clear" w:color="auto" w:fill="B4C6E7" w:themeFill="accent1" w:themeFillTint="66"/>
          </w:tcPr>
          <w:p w14:paraId="3D1A9177" w14:textId="77777777" w:rsidR="00594F28" w:rsidRPr="00AC67F2" w:rsidRDefault="00594F2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594F28" w:rsidRPr="00AC67F2" w14:paraId="4824F108"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48A7D541" w14:textId="77777777" w:rsidR="00594F28" w:rsidRPr="00AC67F2" w:rsidRDefault="00594F28" w:rsidP="002559F4">
            <w:pPr>
              <w:rPr>
                <w:rFonts w:cstheme="minorHAnsi"/>
                <w:lang w:val="sr-Latn-ME"/>
              </w:rPr>
            </w:pPr>
            <w:r w:rsidRPr="00AC67F2">
              <w:rPr>
                <w:rFonts w:cstheme="minorHAnsi"/>
                <w:lang w:val="sr-Latn-ME"/>
              </w:rPr>
              <w:t>1</w:t>
            </w:r>
            <w:r>
              <w:rPr>
                <w:rFonts w:cstheme="minorHAnsi"/>
                <w:lang w:val="sr-Latn-ME"/>
              </w:rPr>
              <w:t>.1</w:t>
            </w:r>
          </w:p>
        </w:tc>
        <w:tc>
          <w:tcPr>
            <w:tcW w:w="2473" w:type="pct"/>
          </w:tcPr>
          <w:p w14:paraId="69ACFF45" w14:textId="77777777" w:rsidR="00594F28" w:rsidRPr="00DA659B"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2CC9E00C" w14:textId="77777777" w:rsidR="00594F28" w:rsidRPr="00AC67F2"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75" w:type="pct"/>
          </w:tcPr>
          <w:p w14:paraId="57A4E800" w14:textId="77777777" w:rsidR="00594F28" w:rsidRPr="00AC67F2"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6C653851"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83" w:type="pct"/>
          </w:tcPr>
          <w:p w14:paraId="022E5FFC" w14:textId="77777777" w:rsidR="00594F28" w:rsidRPr="00A545D6"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545D6">
              <w:rPr>
                <w:rFonts w:cstheme="minorHAnsi"/>
                <w:sz w:val="18"/>
                <w:szCs w:val="18"/>
                <w:lang w:val="sr-Latn-ME"/>
              </w:rPr>
              <w:t xml:space="preserve">Tekst strategije ne sadrži imena niti funkcionalnu pripadnost članova i članica radne grupe. </w:t>
            </w:r>
          </w:p>
        </w:tc>
      </w:tr>
      <w:tr w:rsidR="00594F28" w:rsidRPr="00AC67F2" w14:paraId="26F68B30" w14:textId="77777777" w:rsidTr="002559F4">
        <w:tc>
          <w:tcPr>
            <w:cnfStyle w:val="001000000000" w:firstRow="0" w:lastRow="0" w:firstColumn="1" w:lastColumn="0" w:oddVBand="0" w:evenVBand="0" w:oddHBand="0" w:evenHBand="0" w:firstRowFirstColumn="0" w:firstRowLastColumn="0" w:lastRowFirstColumn="0" w:lastRowLastColumn="0"/>
            <w:tcW w:w="314" w:type="pct"/>
          </w:tcPr>
          <w:p w14:paraId="4C3F995F" w14:textId="77777777" w:rsidR="00594F28" w:rsidRPr="00AC67F2" w:rsidRDefault="00594F28" w:rsidP="002559F4">
            <w:pPr>
              <w:rPr>
                <w:rFonts w:cstheme="minorHAnsi"/>
                <w:lang w:val="sr-Latn-ME"/>
              </w:rPr>
            </w:pPr>
            <w:r>
              <w:rPr>
                <w:rFonts w:cstheme="minorHAnsi"/>
                <w:lang w:val="sr-Latn-ME"/>
              </w:rPr>
              <w:t>1.2</w:t>
            </w:r>
          </w:p>
        </w:tc>
        <w:tc>
          <w:tcPr>
            <w:tcW w:w="2473" w:type="pct"/>
          </w:tcPr>
          <w:p w14:paraId="3EEBBDB5" w14:textId="77777777" w:rsidR="00594F28"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74D9ADAE" w14:textId="77777777" w:rsidR="00594F28" w:rsidRPr="00AC67F2"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75" w:type="pct"/>
          </w:tcPr>
          <w:p w14:paraId="5DE8DFC0" w14:textId="77777777" w:rsidR="00594F28" w:rsidRPr="00AC67F2"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49DCA62F"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83" w:type="pct"/>
          </w:tcPr>
          <w:p w14:paraId="30E04652" w14:textId="61E819F2" w:rsidR="00594F28" w:rsidRPr="00A545D6"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A545D6">
              <w:rPr>
                <w:rFonts w:cstheme="minorHAnsi"/>
                <w:sz w:val="18"/>
                <w:szCs w:val="18"/>
                <w:lang w:val="sr-Latn-ME"/>
              </w:rPr>
              <w:t>Tekst strategije ne sadrži podatke o tome koje su organizacije i eksperti-ekspertkinje konsultovani</w:t>
            </w:r>
            <w:r>
              <w:rPr>
                <w:rFonts w:cstheme="minorHAnsi"/>
                <w:sz w:val="18"/>
                <w:szCs w:val="18"/>
                <w:lang w:val="sr-Latn-ME"/>
              </w:rPr>
              <w:t>.</w:t>
            </w:r>
          </w:p>
        </w:tc>
      </w:tr>
      <w:tr w:rsidR="00594F28" w:rsidRPr="00AC67F2" w14:paraId="0CA6891B" w14:textId="77777777" w:rsidTr="002559F4">
        <w:tc>
          <w:tcPr>
            <w:cnfStyle w:val="001000000000" w:firstRow="0" w:lastRow="0" w:firstColumn="1" w:lastColumn="0" w:oddVBand="0" w:evenVBand="0" w:oddHBand="0" w:evenHBand="0" w:firstRowFirstColumn="0" w:firstRowLastColumn="0" w:lastRowFirstColumn="0" w:lastRowLastColumn="0"/>
            <w:tcW w:w="2787" w:type="pct"/>
            <w:gridSpan w:val="2"/>
          </w:tcPr>
          <w:p w14:paraId="5B466A48" w14:textId="77777777" w:rsidR="00594F28" w:rsidRPr="00AC67F2" w:rsidRDefault="00594F28" w:rsidP="002559F4">
            <w:pPr>
              <w:rPr>
                <w:rFonts w:cstheme="minorHAnsi"/>
                <w:lang w:val="sr-Latn-ME"/>
              </w:rPr>
            </w:pPr>
            <w:r>
              <w:rPr>
                <w:rFonts w:cstheme="minorHAnsi"/>
                <w:lang w:val="sr-Latn-ME"/>
              </w:rPr>
              <w:t>Ukupno</w:t>
            </w:r>
          </w:p>
        </w:tc>
        <w:tc>
          <w:tcPr>
            <w:tcW w:w="675" w:type="pct"/>
          </w:tcPr>
          <w:p w14:paraId="37682EB0" w14:textId="77777777" w:rsidR="00594F28" w:rsidRPr="00AC67F2"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555" w:type="pct"/>
          </w:tcPr>
          <w:p w14:paraId="32D3EA4F" w14:textId="77777777" w:rsidR="00594F28" w:rsidRPr="00527B8F"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83" w:type="pct"/>
          </w:tcPr>
          <w:p w14:paraId="06D0A069" w14:textId="77777777" w:rsidR="00594F28" w:rsidRPr="008C09CD" w:rsidRDefault="00594F28"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8C09CD">
              <w:rPr>
                <w:rFonts w:cstheme="minorHAnsi"/>
                <w:b/>
                <w:bCs/>
                <w:sz w:val="28"/>
                <w:szCs w:val="28"/>
                <w:lang w:val="sr-Latn-ME"/>
              </w:rPr>
              <w:t>0</w:t>
            </w:r>
            <w:r>
              <w:rPr>
                <w:rFonts w:cstheme="minorHAnsi"/>
                <w:b/>
                <w:bCs/>
                <w:sz w:val="28"/>
                <w:szCs w:val="28"/>
              </w:rPr>
              <w:t>/2</w:t>
            </w:r>
          </w:p>
        </w:tc>
      </w:tr>
    </w:tbl>
    <w:p w14:paraId="6BE683AF" w14:textId="77777777" w:rsidR="00594F28" w:rsidRPr="00F43A6C" w:rsidRDefault="00594F28" w:rsidP="00594F28">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594F28" w:rsidRPr="00AC67F2" w14:paraId="647AACD2"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0556B73B" w14:textId="77777777" w:rsidR="00594F28" w:rsidRPr="00AC67F2" w:rsidRDefault="00594F28"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6AC00036" w14:textId="77777777" w:rsidR="00594F28" w:rsidRPr="00AC67F2" w:rsidRDefault="00594F2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62D51725" w14:textId="77777777" w:rsidR="00594F28" w:rsidRPr="00AC67F2" w:rsidRDefault="00594F2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23E5C620" w14:textId="77777777" w:rsidR="00594F28" w:rsidRPr="00AC67F2" w:rsidRDefault="00594F2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40EE91BE" w14:textId="77777777" w:rsidR="00594F28" w:rsidRPr="00AC67F2" w:rsidRDefault="00594F2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1B59F0E1" w14:textId="77777777" w:rsidR="00594F28" w:rsidRPr="00AC67F2" w:rsidRDefault="00594F2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594F28" w:rsidRPr="00AC67F2" w14:paraId="3FC89ED9"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144E043" w14:textId="77777777" w:rsidR="00594F28" w:rsidRPr="00AC67F2" w:rsidRDefault="00594F28" w:rsidP="002559F4">
            <w:pPr>
              <w:rPr>
                <w:rFonts w:cstheme="minorHAnsi"/>
                <w:lang w:val="sr-Latn-ME"/>
              </w:rPr>
            </w:pPr>
            <w:r>
              <w:rPr>
                <w:rFonts w:cstheme="minorHAnsi"/>
                <w:lang w:val="sr-Latn-ME"/>
              </w:rPr>
              <w:lastRenderedPageBreak/>
              <w:t>2.</w:t>
            </w:r>
            <w:r w:rsidRPr="00AC67F2">
              <w:rPr>
                <w:rFonts w:cstheme="minorHAnsi"/>
                <w:lang w:val="sr-Latn-ME"/>
              </w:rPr>
              <w:t>1</w:t>
            </w:r>
          </w:p>
        </w:tc>
        <w:tc>
          <w:tcPr>
            <w:tcW w:w="3856" w:type="dxa"/>
          </w:tcPr>
          <w:p w14:paraId="5A5C3A5D" w14:textId="77777777" w:rsidR="00594F28" w:rsidRPr="00AC67F2"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1F37DB54" w14:textId="49E88CBA" w:rsidR="00594F28" w:rsidRPr="00A00FA0" w:rsidRDefault="00A00FA0"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A00FA0">
              <w:rPr>
                <w:rFonts w:cstheme="minorHAnsi"/>
                <w:b/>
                <w:bCs/>
                <w:lang w:val="sr-Latn-ME"/>
              </w:rPr>
              <w:t>0.5</w:t>
            </w:r>
          </w:p>
        </w:tc>
        <w:tc>
          <w:tcPr>
            <w:tcW w:w="1263" w:type="dxa"/>
          </w:tcPr>
          <w:p w14:paraId="3CE5DB51" w14:textId="7A3C833C"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591B75EF"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0D8844EB" w14:textId="4284AAB7" w:rsidR="00594F28" w:rsidRPr="00A71811" w:rsidRDefault="00A00FA0"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Jedino u dijelu zapošljavanja, ali ta nejednakost nije adresirana mjerama.  </w:t>
            </w:r>
          </w:p>
        </w:tc>
      </w:tr>
      <w:tr w:rsidR="00594F28" w:rsidRPr="00AC67F2" w14:paraId="2BEA2C35"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E82BC82" w14:textId="77777777" w:rsidR="00594F28" w:rsidRPr="00AC67F2" w:rsidRDefault="00594F28" w:rsidP="002559F4">
            <w:pPr>
              <w:rPr>
                <w:rFonts w:cstheme="minorHAnsi"/>
                <w:lang w:val="sr-Latn-ME"/>
              </w:rPr>
            </w:pPr>
            <w:r>
              <w:rPr>
                <w:rFonts w:cstheme="minorHAnsi"/>
                <w:lang w:val="sr-Latn-ME"/>
              </w:rPr>
              <w:t>2.2</w:t>
            </w:r>
          </w:p>
        </w:tc>
        <w:tc>
          <w:tcPr>
            <w:tcW w:w="3856" w:type="dxa"/>
          </w:tcPr>
          <w:p w14:paraId="48867A41" w14:textId="77777777" w:rsidR="00594F28" w:rsidRPr="00AC67F2"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tcPr>
          <w:p w14:paraId="6A0CDDD6" w14:textId="141AD72A" w:rsidR="00594F28" w:rsidRPr="00AC67F2" w:rsidRDefault="00F1396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0AA74CDD" w14:textId="6AF35543"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4F3C5FE6"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A37DB70" w14:textId="5E39D027" w:rsidR="00594F28" w:rsidRPr="00A71811" w:rsidRDefault="00F1396A"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Jedino u dijelu zapošljavanja, ali ta nejednakost nije adresirana mjerama. </w:t>
            </w:r>
            <w:r w:rsidR="00594F28">
              <w:rPr>
                <w:rFonts w:cstheme="minorHAnsi"/>
                <w:sz w:val="18"/>
                <w:szCs w:val="18"/>
                <w:lang w:val="sr-Latn-ME"/>
              </w:rPr>
              <w:t xml:space="preserve"> </w:t>
            </w:r>
          </w:p>
        </w:tc>
      </w:tr>
      <w:tr w:rsidR="00594F28" w:rsidRPr="00AC67F2" w14:paraId="4A98D0CF"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1AEC2E5" w14:textId="77777777" w:rsidR="00594F28" w:rsidRDefault="00594F28" w:rsidP="002559F4">
            <w:pPr>
              <w:rPr>
                <w:rFonts w:cstheme="minorHAnsi"/>
                <w:lang w:val="sr-Latn-ME"/>
              </w:rPr>
            </w:pPr>
            <w:r>
              <w:rPr>
                <w:rFonts w:cstheme="minorHAnsi"/>
                <w:lang w:val="sr-Latn-ME"/>
              </w:rPr>
              <w:t>2.3</w:t>
            </w:r>
          </w:p>
        </w:tc>
        <w:tc>
          <w:tcPr>
            <w:tcW w:w="3856" w:type="dxa"/>
          </w:tcPr>
          <w:p w14:paraId="3877BCA2" w14:textId="77777777" w:rsidR="00594F28"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tcPr>
          <w:p w14:paraId="648C6CD7" w14:textId="425E6F0B"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7A3853B6" w14:textId="3BD6CE0A" w:rsidR="00594F28" w:rsidRPr="00AC67F2" w:rsidRDefault="00EF0F4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5DF064A0"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A514389" w14:textId="1714B1CC" w:rsidR="00594F28" w:rsidRPr="00A71811" w:rsidRDefault="00EF0F41"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Jedino u odnosu na opštu populaciju.</w:t>
            </w:r>
          </w:p>
        </w:tc>
      </w:tr>
      <w:tr w:rsidR="00594F28" w:rsidRPr="00AC67F2" w14:paraId="1836A45E" w14:textId="77777777" w:rsidTr="0082469E">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638F8092" w14:textId="77777777" w:rsidR="00594F28" w:rsidRPr="00AC67F2" w:rsidRDefault="00594F28" w:rsidP="002559F4">
            <w:pPr>
              <w:rPr>
                <w:rFonts w:cstheme="minorHAnsi"/>
                <w:lang w:val="sr-Latn-ME"/>
              </w:rPr>
            </w:pPr>
            <w:r>
              <w:rPr>
                <w:rFonts w:cstheme="minorHAnsi"/>
                <w:lang w:val="sr-Latn-ME"/>
              </w:rPr>
              <w:t>2.4</w:t>
            </w:r>
          </w:p>
        </w:tc>
        <w:tc>
          <w:tcPr>
            <w:tcW w:w="3856" w:type="dxa"/>
            <w:shd w:val="clear" w:color="auto" w:fill="auto"/>
          </w:tcPr>
          <w:p w14:paraId="1344460C" w14:textId="77777777" w:rsidR="00594F28" w:rsidRPr="00AC67F2"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3D3FE824" w14:textId="3B293096" w:rsidR="00594F28" w:rsidRPr="00C26A63" w:rsidRDefault="00C26A63"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C26A63">
              <w:rPr>
                <w:rFonts w:cstheme="minorHAnsi"/>
                <w:b/>
                <w:bCs/>
                <w:lang w:val="sr-Latn-ME"/>
              </w:rPr>
              <w:t>0.5</w:t>
            </w:r>
          </w:p>
        </w:tc>
        <w:tc>
          <w:tcPr>
            <w:tcW w:w="1263" w:type="dxa"/>
            <w:shd w:val="clear" w:color="auto" w:fill="auto"/>
          </w:tcPr>
          <w:p w14:paraId="57B9863E" w14:textId="0289D8A6"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035FD836"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0EF6415F" w14:textId="22FDED6B" w:rsidR="00594F28" w:rsidRPr="00A71811" w:rsidRDefault="00C26A63"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Postoji cilj 5, ali on nije zasnovan na podacima. </w:t>
            </w:r>
            <w:r w:rsidR="00594F28">
              <w:rPr>
                <w:rFonts w:cstheme="minorHAnsi"/>
                <w:sz w:val="18"/>
                <w:szCs w:val="18"/>
                <w:lang w:val="sr-Latn-ME"/>
              </w:rPr>
              <w:t xml:space="preserve"> </w:t>
            </w:r>
          </w:p>
        </w:tc>
      </w:tr>
      <w:tr w:rsidR="00594F28" w:rsidRPr="00AC67F2" w14:paraId="227D37B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34C6F3D" w14:textId="77777777" w:rsidR="00594F28" w:rsidRDefault="00594F28" w:rsidP="002559F4">
            <w:pPr>
              <w:rPr>
                <w:rFonts w:cstheme="minorHAnsi"/>
                <w:lang w:val="sr-Latn-ME"/>
              </w:rPr>
            </w:pPr>
            <w:r>
              <w:rPr>
                <w:rFonts w:cstheme="minorHAnsi"/>
                <w:lang w:val="sr-Latn-ME"/>
              </w:rPr>
              <w:t>2.5</w:t>
            </w:r>
          </w:p>
        </w:tc>
        <w:tc>
          <w:tcPr>
            <w:tcW w:w="3856" w:type="dxa"/>
          </w:tcPr>
          <w:p w14:paraId="26541668" w14:textId="77777777" w:rsidR="00594F28" w:rsidRPr="00AC67F2"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02EC63D0" w14:textId="6BB7F1AB" w:rsidR="00594F28" w:rsidRPr="00AC67F2" w:rsidRDefault="00837A5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41BDC661"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28704A56"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6E0A094" w14:textId="705AEA0B" w:rsidR="00594F28" w:rsidRPr="00A71811" w:rsidRDefault="00837A5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Iako ne postoji analiza.u toj oblasti, predviđena je mjera u odnosu na medicinski potpomognutu oplodnju. </w:t>
            </w:r>
            <w:r w:rsidR="00594F28">
              <w:rPr>
                <w:rFonts w:cstheme="minorHAnsi"/>
                <w:sz w:val="18"/>
                <w:szCs w:val="18"/>
                <w:lang w:val="sr-Latn-ME"/>
              </w:rPr>
              <w:t xml:space="preserve">  </w:t>
            </w:r>
            <w:r w:rsidR="00594F28" w:rsidRPr="00A71811">
              <w:rPr>
                <w:rFonts w:cstheme="minorHAnsi"/>
                <w:sz w:val="18"/>
                <w:szCs w:val="18"/>
                <w:lang w:val="sr-Latn-ME"/>
              </w:rPr>
              <w:t xml:space="preserve"> </w:t>
            </w:r>
          </w:p>
        </w:tc>
      </w:tr>
      <w:tr w:rsidR="00594F28" w:rsidRPr="00AC67F2" w14:paraId="5656462B"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38CF3B53" w14:textId="77777777" w:rsidR="00594F28" w:rsidRPr="00AC67F2" w:rsidRDefault="00594F28" w:rsidP="002559F4">
            <w:pPr>
              <w:rPr>
                <w:rFonts w:cstheme="minorHAnsi"/>
                <w:lang w:val="sr-Latn-ME"/>
              </w:rPr>
            </w:pPr>
            <w:r>
              <w:rPr>
                <w:rFonts w:cstheme="minorHAnsi"/>
                <w:lang w:val="sr-Latn-ME"/>
              </w:rPr>
              <w:t>2.6</w:t>
            </w:r>
          </w:p>
        </w:tc>
        <w:tc>
          <w:tcPr>
            <w:tcW w:w="3856" w:type="dxa"/>
            <w:shd w:val="clear" w:color="auto" w:fill="auto"/>
          </w:tcPr>
          <w:p w14:paraId="0123C2D0" w14:textId="77777777" w:rsidR="00594F28" w:rsidRPr="00AC67F2"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auto"/>
          </w:tcPr>
          <w:p w14:paraId="53F54901" w14:textId="1F8B20B9" w:rsidR="00594F28" w:rsidRPr="00AC67F2" w:rsidRDefault="00C2693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00FA0">
              <w:rPr>
                <w:rFonts w:cstheme="minorHAnsi"/>
                <w:b/>
                <w:bCs/>
                <w:lang w:val="sr-Latn-ME"/>
              </w:rPr>
              <w:t>0.5</w:t>
            </w:r>
          </w:p>
        </w:tc>
        <w:tc>
          <w:tcPr>
            <w:tcW w:w="1263" w:type="dxa"/>
            <w:shd w:val="clear" w:color="auto" w:fill="auto"/>
          </w:tcPr>
          <w:p w14:paraId="03FE81FC"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55CD5E96"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42B2899E" w14:textId="77777777" w:rsidR="00594F28" w:rsidRPr="00A71811"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Planirano je finansiranje iz redovnih i donatorskih sredstava. </w:t>
            </w:r>
          </w:p>
        </w:tc>
      </w:tr>
      <w:tr w:rsidR="00594F28" w:rsidRPr="00AC67F2" w14:paraId="34158AA4"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46CEBC4F" w14:textId="77777777" w:rsidR="00594F28" w:rsidRDefault="00594F28" w:rsidP="002559F4">
            <w:pPr>
              <w:rPr>
                <w:rFonts w:cstheme="minorHAnsi"/>
                <w:lang w:val="sr-Latn-ME"/>
              </w:rPr>
            </w:pPr>
            <w:r>
              <w:rPr>
                <w:rFonts w:cstheme="minorHAnsi"/>
                <w:lang w:val="sr-Latn-ME"/>
              </w:rPr>
              <w:t>2.7</w:t>
            </w:r>
          </w:p>
        </w:tc>
        <w:tc>
          <w:tcPr>
            <w:tcW w:w="3856" w:type="dxa"/>
          </w:tcPr>
          <w:p w14:paraId="041AF0A1" w14:textId="1CD8F8DB" w:rsidR="00594F28"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188E005F" w14:textId="6B5D9242"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1AB0F29D" w14:textId="7FC0EA34" w:rsidR="00594F28" w:rsidRPr="00AC67F2" w:rsidRDefault="00C2693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11582A0F"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E523DB0" w14:textId="482C24B6" w:rsidR="00594F28" w:rsidRPr="00A71811" w:rsidRDefault="00C2693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Ne iz oblasti rodne ravnopravnosti.</w:t>
            </w:r>
          </w:p>
        </w:tc>
      </w:tr>
      <w:tr w:rsidR="00594F28" w:rsidRPr="00AC67F2" w14:paraId="056B4EB6"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974793D" w14:textId="07E4CF31" w:rsidR="00594F28" w:rsidRPr="00AC67F2" w:rsidRDefault="00594F28"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445BF3D3" w14:textId="77777777" w:rsidR="00594F28"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16A5B741" w14:textId="77777777" w:rsidR="00594F28" w:rsidRPr="005C2773" w:rsidRDefault="00594F28"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6E73E4AB"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6F186CD4"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1713F2D6"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357ABEB" w14:textId="33F91521" w:rsidR="00594F28" w:rsidRPr="00AC67F2"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sz w:val="18"/>
                <w:szCs w:val="18"/>
                <w:lang w:val="sr-Latn-ME"/>
              </w:rPr>
              <w:t>Jezik koji se koristi u Strategiji nije rodno senzitivan</w:t>
            </w:r>
            <w:r w:rsidR="00D077B9">
              <w:rPr>
                <w:rFonts w:cstheme="minorHAnsi"/>
                <w:sz w:val="18"/>
                <w:szCs w:val="18"/>
                <w:lang w:val="sr-Latn-ME"/>
              </w:rPr>
              <w:t xml:space="preserve"> („građani“)</w:t>
            </w:r>
            <w:r>
              <w:rPr>
                <w:rFonts w:cstheme="minorHAnsi"/>
                <w:sz w:val="18"/>
                <w:szCs w:val="18"/>
                <w:lang w:val="sr-Latn-ME"/>
              </w:rPr>
              <w:t>.</w:t>
            </w:r>
          </w:p>
        </w:tc>
      </w:tr>
      <w:tr w:rsidR="00594F28" w:rsidRPr="00AC67F2" w14:paraId="3C872087"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00B744CF" w14:textId="77777777" w:rsidR="00594F28" w:rsidRPr="00AC67F2" w:rsidRDefault="00594F28" w:rsidP="002559F4">
            <w:pPr>
              <w:rPr>
                <w:rFonts w:cstheme="minorHAnsi"/>
                <w:lang w:val="sr-Latn-ME" w:eastAsia="en-GB"/>
              </w:rPr>
            </w:pPr>
            <w:r>
              <w:rPr>
                <w:rFonts w:cstheme="minorHAnsi"/>
                <w:lang w:val="sr-Latn-ME"/>
              </w:rPr>
              <w:t>Ukupno</w:t>
            </w:r>
          </w:p>
        </w:tc>
        <w:tc>
          <w:tcPr>
            <w:tcW w:w="747" w:type="dxa"/>
          </w:tcPr>
          <w:p w14:paraId="11D75E84"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0E51B2F7" w14:textId="77777777" w:rsidR="00594F28" w:rsidRPr="00527B8F"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6F4B77DF"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D4288CE" w14:textId="6FED3B47" w:rsidR="00594F28" w:rsidRPr="00E72E03" w:rsidRDefault="00B4322C"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3.5</w:t>
            </w:r>
            <w:r w:rsidR="00594F28" w:rsidRPr="00E72E03">
              <w:rPr>
                <w:rFonts w:cstheme="minorHAnsi"/>
                <w:b/>
                <w:bCs/>
                <w:sz w:val="28"/>
                <w:szCs w:val="28"/>
                <w:lang w:val="sr-Latn-ME"/>
              </w:rPr>
              <w:t>/</w:t>
            </w:r>
            <w:r w:rsidR="003A3666">
              <w:rPr>
                <w:rFonts w:cstheme="minorHAnsi"/>
                <w:b/>
                <w:bCs/>
                <w:sz w:val="28"/>
                <w:szCs w:val="28"/>
                <w:lang w:val="sr-Latn-ME"/>
              </w:rPr>
              <w:t>8</w:t>
            </w:r>
          </w:p>
        </w:tc>
      </w:tr>
    </w:tbl>
    <w:p w14:paraId="26F79EC8" w14:textId="77777777" w:rsidR="00594F28" w:rsidRPr="00AC67F2" w:rsidRDefault="00594F28" w:rsidP="00594F28">
      <w:pPr>
        <w:rPr>
          <w:rFonts w:cstheme="minorHAnsi"/>
          <w:lang w:val="sr-Latn-ME"/>
        </w:rPr>
      </w:pPr>
    </w:p>
    <w:p w14:paraId="049319EE" w14:textId="77777777" w:rsidR="00594F28" w:rsidRPr="00852DD8" w:rsidRDefault="00594F28" w:rsidP="00594F28">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594F28" w:rsidRPr="00AC67F2" w14:paraId="1DF76846"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1A566693" w14:textId="77777777" w:rsidR="00594F28" w:rsidRPr="00AC67F2" w:rsidRDefault="00594F28"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7FA9E832" w14:textId="77777777" w:rsidR="00594F28" w:rsidRPr="00AC67F2" w:rsidRDefault="00594F2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343DBB5A" w14:textId="77777777" w:rsidR="00594F28" w:rsidRPr="00AC67F2" w:rsidRDefault="00594F2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3F4948D5" w14:textId="77777777" w:rsidR="00594F28" w:rsidRPr="00AC67F2" w:rsidRDefault="00594F2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797BE4BF" w14:textId="77777777" w:rsidR="00594F28" w:rsidRPr="00AC67F2" w:rsidRDefault="00594F2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21037DA2" w14:textId="77777777" w:rsidR="00594F28" w:rsidRPr="00AC67F2" w:rsidRDefault="00594F28"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594F28" w:rsidRPr="00AC67F2" w14:paraId="1EECD439"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76816A7" w14:textId="77777777" w:rsidR="00594F28" w:rsidRPr="00AC67F2" w:rsidRDefault="00594F28" w:rsidP="002559F4">
            <w:pPr>
              <w:rPr>
                <w:rFonts w:cstheme="minorHAnsi"/>
                <w:lang w:val="sr-Latn-ME"/>
              </w:rPr>
            </w:pPr>
            <w:r>
              <w:rPr>
                <w:rFonts w:cstheme="minorHAnsi"/>
                <w:lang w:val="sr-Latn-ME"/>
              </w:rPr>
              <w:lastRenderedPageBreak/>
              <w:t>3.1</w:t>
            </w:r>
          </w:p>
        </w:tc>
        <w:tc>
          <w:tcPr>
            <w:tcW w:w="3908" w:type="dxa"/>
          </w:tcPr>
          <w:p w14:paraId="2F39DA9D" w14:textId="77777777" w:rsidR="00594F28" w:rsidRPr="00AC67F2"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5984799F" w14:textId="3AE6E57C"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A3AB8A1" w14:textId="5751B54C" w:rsidR="00594F28" w:rsidRPr="00AC67F2" w:rsidRDefault="00C2693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07" w:type="dxa"/>
          </w:tcPr>
          <w:p w14:paraId="49C9D998"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5FAD85A4" w14:textId="74A519DF" w:rsidR="00594F28" w:rsidRPr="009A4E2D"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594F28" w:rsidRPr="00AC67F2" w14:paraId="25D5FDA5"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7E965AE8" w14:textId="77777777" w:rsidR="00594F28" w:rsidRDefault="00594F28" w:rsidP="002559F4">
            <w:pPr>
              <w:rPr>
                <w:rFonts w:cstheme="minorHAnsi"/>
                <w:lang w:val="sr-Latn-ME"/>
              </w:rPr>
            </w:pPr>
            <w:r>
              <w:rPr>
                <w:rFonts w:cstheme="minorHAnsi"/>
                <w:lang w:val="sr-Latn-ME"/>
              </w:rPr>
              <w:t>Ukupno</w:t>
            </w:r>
          </w:p>
        </w:tc>
        <w:tc>
          <w:tcPr>
            <w:tcW w:w="760" w:type="dxa"/>
            <w:shd w:val="clear" w:color="auto" w:fill="auto"/>
          </w:tcPr>
          <w:p w14:paraId="692A6C11" w14:textId="77777777" w:rsidR="00594F28" w:rsidRPr="00AC67F2" w:rsidRDefault="00594F28"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1B80B6B3" w14:textId="77777777" w:rsidR="00594F28" w:rsidRPr="00527B8F"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33EDA16F" w14:textId="77777777" w:rsidR="00594F28" w:rsidRPr="00AC67F2" w:rsidRDefault="00594F2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3E56DFD7" w14:textId="482ECA8C" w:rsidR="00594F28" w:rsidRPr="00AC67F2" w:rsidRDefault="00B4322C"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0</w:t>
            </w:r>
            <w:r w:rsidR="00594F28">
              <w:rPr>
                <w:rFonts w:cstheme="minorHAnsi"/>
                <w:b/>
                <w:bCs/>
                <w:sz w:val="28"/>
                <w:szCs w:val="28"/>
              </w:rPr>
              <w:t>/1</w:t>
            </w:r>
          </w:p>
        </w:tc>
      </w:tr>
    </w:tbl>
    <w:p w14:paraId="1D7061CF" w14:textId="77777777" w:rsidR="00594F28" w:rsidRDefault="00594F28" w:rsidP="00594F28">
      <w:pPr>
        <w:rPr>
          <w:rFonts w:cstheme="minorHAnsi"/>
          <w:lang w:val="sr-Latn-ME"/>
        </w:rPr>
      </w:pPr>
    </w:p>
    <w:p w14:paraId="7B6504E2" w14:textId="031522B2" w:rsidR="00594F28" w:rsidRPr="0080118F" w:rsidRDefault="00594F28" w:rsidP="00594F28">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C000" w:themeColor="accent4"/>
          <w:sz w:val="32"/>
          <w:szCs w:val="32"/>
          <w:lang w:val="sr-Latn-ME"/>
        </w:rPr>
      </w:pPr>
      <w:r w:rsidRPr="0080118F">
        <w:rPr>
          <w:rFonts w:cstheme="minorHAnsi"/>
          <w:color w:val="FFC000" w:themeColor="accent4"/>
          <w:sz w:val="32"/>
          <w:szCs w:val="32"/>
          <w:lang w:val="sr-Latn-ME"/>
        </w:rPr>
        <w:t xml:space="preserve">Konačna ocjena: </w:t>
      </w:r>
      <w:r w:rsidR="00A00FA0" w:rsidRPr="0080118F">
        <w:rPr>
          <w:rFonts w:cstheme="minorHAnsi"/>
          <w:color w:val="FFC000" w:themeColor="accent4"/>
          <w:sz w:val="32"/>
          <w:szCs w:val="32"/>
          <w:lang w:val="sr-Latn-ME"/>
        </w:rPr>
        <w:t>3.5</w:t>
      </w:r>
      <w:r w:rsidRPr="0080118F">
        <w:rPr>
          <w:rFonts w:cstheme="minorHAnsi"/>
          <w:color w:val="FFC000" w:themeColor="accent4"/>
          <w:sz w:val="32"/>
          <w:szCs w:val="32"/>
          <w:lang w:val="sr-Latn-ME"/>
        </w:rPr>
        <w:t xml:space="preserve"> od 1</w:t>
      </w:r>
      <w:r w:rsidR="00BE014A" w:rsidRPr="0080118F">
        <w:rPr>
          <w:rFonts w:cstheme="minorHAnsi"/>
          <w:color w:val="FFC000" w:themeColor="accent4"/>
          <w:sz w:val="32"/>
          <w:szCs w:val="32"/>
          <w:lang w:val="sr-Latn-ME"/>
        </w:rPr>
        <w:t>1</w:t>
      </w:r>
      <w:r w:rsidRPr="0080118F">
        <w:rPr>
          <w:rFonts w:cstheme="minorHAnsi"/>
          <w:color w:val="FFC000" w:themeColor="accent4"/>
          <w:sz w:val="32"/>
          <w:szCs w:val="32"/>
          <w:lang w:val="sr-Latn-ME"/>
        </w:rPr>
        <w:t xml:space="preserve"> ili </w:t>
      </w:r>
      <w:r w:rsidRPr="0080118F">
        <w:rPr>
          <w:rFonts w:cstheme="minorHAnsi"/>
          <w:b/>
          <w:bCs/>
          <w:color w:val="FFC000" w:themeColor="accent4"/>
          <w:sz w:val="32"/>
          <w:szCs w:val="32"/>
          <w:lang w:val="sr-Latn-ME"/>
        </w:rPr>
        <w:t>0.</w:t>
      </w:r>
      <w:r w:rsidR="00BE014A" w:rsidRPr="0080118F">
        <w:rPr>
          <w:rFonts w:cstheme="minorHAnsi"/>
          <w:b/>
          <w:bCs/>
          <w:color w:val="FFC000" w:themeColor="accent4"/>
          <w:sz w:val="32"/>
          <w:szCs w:val="32"/>
          <w:lang w:val="sr-Latn-ME"/>
        </w:rPr>
        <w:t>31</w:t>
      </w:r>
      <w:r w:rsidRPr="0080118F">
        <w:rPr>
          <w:rFonts w:cstheme="minorHAnsi"/>
          <w:b/>
          <w:bCs/>
          <w:color w:val="FFC000" w:themeColor="accent4"/>
          <w:sz w:val="32"/>
          <w:szCs w:val="32"/>
          <w:lang w:val="sr-Latn-ME"/>
        </w:rPr>
        <w:t xml:space="preserve"> – Strategija </w:t>
      </w:r>
      <w:r w:rsidR="00BE014A" w:rsidRPr="0080118F">
        <w:rPr>
          <w:rFonts w:cstheme="minorHAnsi"/>
          <w:b/>
          <w:bCs/>
          <w:color w:val="FFC000" w:themeColor="accent4"/>
          <w:sz w:val="32"/>
          <w:szCs w:val="32"/>
          <w:lang w:val="sr-Latn-ME"/>
        </w:rPr>
        <w:t xml:space="preserve">uglavnom </w:t>
      </w:r>
      <w:r w:rsidR="00B4322C" w:rsidRPr="0080118F">
        <w:rPr>
          <w:rFonts w:cstheme="minorHAnsi"/>
          <w:b/>
          <w:bCs/>
          <w:color w:val="FFC000" w:themeColor="accent4"/>
          <w:sz w:val="32"/>
          <w:szCs w:val="32"/>
          <w:lang w:val="sr-Latn-ME"/>
        </w:rPr>
        <w:t>nije</w:t>
      </w:r>
      <w:r w:rsidRPr="0080118F">
        <w:rPr>
          <w:rFonts w:cstheme="minorHAnsi"/>
          <w:b/>
          <w:bCs/>
          <w:color w:val="FFC000" w:themeColor="accent4"/>
          <w:sz w:val="32"/>
          <w:szCs w:val="32"/>
          <w:lang w:val="sr-Latn-ME"/>
        </w:rPr>
        <w:t xml:space="preserve"> orodnjena</w:t>
      </w:r>
    </w:p>
    <w:p w14:paraId="14629708" w14:textId="77777777" w:rsidR="00594F28" w:rsidRPr="00594F28" w:rsidRDefault="00594F28" w:rsidP="00594F28">
      <w:pPr>
        <w:rPr>
          <w:lang w:val="hr-HR"/>
        </w:rPr>
      </w:pPr>
    </w:p>
    <w:p w14:paraId="4204EC56" w14:textId="4AD952B3" w:rsidR="00AC6EB8" w:rsidRDefault="009D5CC5" w:rsidP="00D04734">
      <w:pPr>
        <w:pStyle w:val="Heading3"/>
        <w:rPr>
          <w:noProof/>
          <w:lang w:val="hr-HR"/>
        </w:rPr>
      </w:pPr>
      <w:bookmarkStart w:id="15" w:name="_Toc100339537"/>
      <w:r>
        <w:rPr>
          <w:noProof/>
          <w:lang w:val="hr-HR"/>
        </w:rPr>
        <w:t xml:space="preserve">8. </w:t>
      </w:r>
      <w:r w:rsidR="00AC6EB8" w:rsidRPr="00AC6EB8">
        <w:rPr>
          <w:noProof/>
          <w:lang w:val="hr-HR"/>
        </w:rPr>
        <w:t>Plan aktivnosti za postizanje rodne ravnopravnosti (PAPR) 2017-2021.</w:t>
      </w:r>
      <w:bookmarkEnd w:id="15"/>
    </w:p>
    <w:p w14:paraId="4B46E6BD" w14:textId="3E7E8EBF" w:rsidR="001E3AEE" w:rsidRPr="001E3AEE" w:rsidRDefault="00764FE6" w:rsidP="001E3AEE">
      <w:pPr>
        <w:pStyle w:val="NormalWeb"/>
        <w:jc w:val="both"/>
        <w:rPr>
          <w:rFonts w:ascii="Calibri" w:hAnsi="Calibri" w:cs="Calibri"/>
          <w:lang w:val="hr-HR"/>
        </w:rPr>
      </w:pPr>
      <w:r w:rsidRPr="00764FE6">
        <w:rPr>
          <w:rFonts w:ascii="Calibri" w:hAnsi="Calibri" w:cs="Calibri"/>
          <w:lang w:val="hr-HR"/>
        </w:rPr>
        <w:t xml:space="preserve">Misija ovog Plana bila </w:t>
      </w:r>
      <w:r w:rsidRPr="00764FE6">
        <w:rPr>
          <w:rFonts w:ascii="Calibri" w:hAnsi="Calibri" w:cs="Calibri"/>
        </w:rPr>
        <w:t xml:space="preserve">je osiguranje rodne ravnopravnosti u kreiranju i sprovođenju svih nacionalnih i lokalnih politika, te u radu svih pravnih subjekata na nivou države. </w:t>
      </w:r>
      <w:r>
        <w:rPr>
          <w:rFonts w:ascii="Calibri" w:hAnsi="Calibri" w:cs="Calibri"/>
          <w:lang w:val="hr-HR"/>
        </w:rPr>
        <w:t xml:space="preserve">Plan je sadržao </w:t>
      </w:r>
      <w:r w:rsidR="001E3AEE">
        <w:rPr>
          <w:rFonts w:ascii="Calibri" w:hAnsi="Calibri" w:cs="Calibri"/>
          <w:lang w:val="hr-HR"/>
        </w:rPr>
        <w:t>8 strateških ciljeva i to: u</w:t>
      </w:r>
      <w:r w:rsidR="009C16BA" w:rsidRPr="001E3AEE">
        <w:rPr>
          <w:rFonts w:ascii="Calibri" w:hAnsi="Calibri" w:cs="Calibri"/>
        </w:rPr>
        <w:t>spostavljanje društva jednakih mogućnosti i eliminisanje svih oblika diskriminacije po osnovu pola i roda</w:t>
      </w:r>
      <w:r w:rsidR="001E3AEE">
        <w:rPr>
          <w:rFonts w:ascii="Calibri" w:hAnsi="Calibri" w:cs="Calibri"/>
          <w:lang w:val="hr-HR"/>
        </w:rPr>
        <w:t>, u</w:t>
      </w:r>
      <w:r w:rsidR="009C16BA" w:rsidRPr="001E3AEE">
        <w:rPr>
          <w:rFonts w:ascii="Calibri" w:hAnsi="Calibri" w:cs="Calibri"/>
        </w:rPr>
        <w:t>vođenje rodno osjetljivog obrazovanja na svim nivoima obrazovanja</w:t>
      </w:r>
      <w:r w:rsidR="00A11E14">
        <w:rPr>
          <w:rFonts w:ascii="Calibri" w:hAnsi="Calibri" w:cs="Calibri"/>
          <w:lang w:val="hr-HR"/>
        </w:rPr>
        <w:t>, p</w:t>
      </w:r>
      <w:r w:rsidR="009C16BA" w:rsidRPr="001E3AEE">
        <w:rPr>
          <w:rFonts w:ascii="Calibri" w:hAnsi="Calibri" w:cs="Calibri"/>
        </w:rPr>
        <w:t>ovećati zaposlenost žena i ukloniti sve oblike diskriminacije žena na tržištu rada</w:t>
      </w:r>
      <w:r w:rsidR="001E3AEE">
        <w:rPr>
          <w:rFonts w:ascii="Calibri" w:hAnsi="Calibri" w:cs="Calibri"/>
          <w:lang w:val="hr-HR"/>
        </w:rPr>
        <w:t>, u</w:t>
      </w:r>
      <w:r w:rsidR="00900E5D" w:rsidRPr="001E3AEE">
        <w:rPr>
          <w:rFonts w:ascii="Calibri" w:hAnsi="Calibri" w:cs="Calibri"/>
        </w:rPr>
        <w:t>naprijediti dostupnu rodno osjetljivu zdravstvenu zaštitu</w:t>
      </w:r>
      <w:r w:rsidR="001E3AEE">
        <w:rPr>
          <w:rFonts w:ascii="Calibri" w:hAnsi="Calibri" w:cs="Calibri"/>
          <w:lang w:val="hr-HR"/>
        </w:rPr>
        <w:t>, s</w:t>
      </w:r>
      <w:r w:rsidR="00900E5D" w:rsidRPr="001E3AEE">
        <w:rPr>
          <w:rFonts w:ascii="Calibri" w:hAnsi="Calibri" w:cs="Calibri"/>
        </w:rPr>
        <w:t>uzbiti sve oblike rodno zasnovanog nasilja, nasilja nad ženama i nasilja u porodici, te unaprijediti položaj i zaštitu prava žrtava svih oblika rodno zasnovanog nasilja</w:t>
      </w:r>
      <w:r w:rsidR="001E3AEE">
        <w:rPr>
          <w:rFonts w:ascii="Calibri" w:hAnsi="Calibri" w:cs="Calibri"/>
          <w:lang w:val="hr-HR"/>
        </w:rPr>
        <w:t>, s</w:t>
      </w:r>
      <w:r w:rsidR="00900E5D" w:rsidRPr="001E3AEE">
        <w:rPr>
          <w:rFonts w:ascii="Calibri" w:hAnsi="Calibri" w:cs="Calibri"/>
        </w:rPr>
        <w:t>uzbijati rodne stereotipe i uvesti politiku rodne ravnopravnosti u medije, kulturu i sport</w:t>
      </w:r>
      <w:r w:rsidR="001E3AEE">
        <w:rPr>
          <w:rFonts w:ascii="Calibri" w:hAnsi="Calibri" w:cs="Calibri"/>
          <w:lang w:val="hr-HR"/>
        </w:rPr>
        <w:t>, r</w:t>
      </w:r>
      <w:r w:rsidR="001E3AEE" w:rsidRPr="001E3AEE">
        <w:rPr>
          <w:rFonts w:ascii="Calibri" w:hAnsi="Calibri" w:cs="Calibri"/>
        </w:rPr>
        <w:t>avnopravno učešće žena i muškaraca na svim nivoima odlučivanja</w:t>
      </w:r>
      <w:r w:rsidR="001E3AEE">
        <w:rPr>
          <w:rFonts w:ascii="Calibri" w:hAnsi="Calibri" w:cs="Calibri"/>
          <w:lang w:val="hr-HR"/>
        </w:rPr>
        <w:t xml:space="preserve"> i s</w:t>
      </w:r>
      <w:r w:rsidR="001E3AEE" w:rsidRPr="001E3AEE">
        <w:rPr>
          <w:rFonts w:ascii="Calibri" w:hAnsi="Calibri" w:cs="Calibri"/>
        </w:rPr>
        <w:t xml:space="preserve">tvaranje održivih mehanizama na nacionalnom i lokalnom nivou za postizanje rodne ravnopravnosti. </w:t>
      </w:r>
    </w:p>
    <w:p w14:paraId="38A8F54B" w14:textId="77777777" w:rsidR="00A11E14" w:rsidRPr="007D71A2" w:rsidRDefault="00A11E14" w:rsidP="00A11E14">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A11E14" w:rsidRPr="00AC67F2" w14:paraId="0725922F" w14:textId="77777777" w:rsidTr="00A11E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44D715D6" w14:textId="77777777" w:rsidR="00A11E14" w:rsidRPr="00AC67F2" w:rsidRDefault="00A11E14"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0A6D998C" w14:textId="77777777" w:rsidR="00A11E14" w:rsidRPr="00AC67F2" w:rsidRDefault="00A11E14"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29A84B6E" w14:textId="77777777" w:rsidR="00A11E14" w:rsidRPr="00AC67F2" w:rsidRDefault="00A11E14"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38627DF3" w14:textId="77777777" w:rsidR="00A11E14" w:rsidRPr="009148DB" w:rsidRDefault="00A11E14"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35869597" w14:textId="77777777" w:rsidR="00A11E14" w:rsidRPr="00AC67F2" w:rsidRDefault="00A11E14"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A11E14" w:rsidRPr="00AC67F2" w14:paraId="294B17C6" w14:textId="77777777" w:rsidTr="00A11E14">
        <w:tc>
          <w:tcPr>
            <w:cnfStyle w:val="001000000000" w:firstRow="0" w:lastRow="0" w:firstColumn="1" w:lastColumn="0" w:oddVBand="0" w:evenVBand="0" w:oddHBand="0" w:evenHBand="0" w:firstRowFirstColumn="0" w:firstRowLastColumn="0" w:lastRowFirstColumn="0" w:lastRowLastColumn="0"/>
            <w:tcW w:w="283" w:type="pct"/>
          </w:tcPr>
          <w:p w14:paraId="4765BDC3" w14:textId="77777777" w:rsidR="00A11E14" w:rsidRPr="00AC67F2" w:rsidRDefault="00A11E14" w:rsidP="00A11E14">
            <w:pPr>
              <w:rPr>
                <w:rFonts w:cstheme="minorHAnsi"/>
                <w:lang w:val="sr-Latn-ME"/>
              </w:rPr>
            </w:pPr>
            <w:r w:rsidRPr="00AC67F2">
              <w:rPr>
                <w:rFonts w:cstheme="minorHAnsi"/>
                <w:lang w:val="sr-Latn-ME"/>
              </w:rPr>
              <w:t>1</w:t>
            </w:r>
            <w:r>
              <w:rPr>
                <w:rFonts w:cstheme="minorHAnsi"/>
                <w:lang w:val="sr-Latn-ME"/>
              </w:rPr>
              <w:t>.1</w:t>
            </w:r>
          </w:p>
        </w:tc>
        <w:tc>
          <w:tcPr>
            <w:tcW w:w="2443" w:type="pct"/>
          </w:tcPr>
          <w:p w14:paraId="252DAD85" w14:textId="77777777" w:rsidR="00A11E14" w:rsidRPr="00DA659B" w:rsidRDefault="00A11E14" w:rsidP="00A11E1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64668C53" w14:textId="77777777" w:rsidR="00A11E14" w:rsidRPr="00AC67F2" w:rsidRDefault="00A11E14" w:rsidP="00A11E1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4D223128" w14:textId="4AF9FD51" w:rsidR="00A11E14" w:rsidRPr="00AC67F2" w:rsidRDefault="00A11E14" w:rsidP="00A11E1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33C49FAD" w14:textId="7377D747" w:rsidR="00A11E14" w:rsidRPr="00AC67F2" w:rsidRDefault="00A11E14" w:rsidP="00A11E1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192E8904" w14:textId="4B3F0F22" w:rsidR="00A11E14" w:rsidRPr="00A545D6" w:rsidRDefault="00A11E14" w:rsidP="00A11E1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w:t>
            </w:r>
          </w:p>
        </w:tc>
      </w:tr>
      <w:tr w:rsidR="00A11E14" w:rsidRPr="00AC67F2" w14:paraId="5B67C7EE" w14:textId="77777777" w:rsidTr="00A11E14">
        <w:tc>
          <w:tcPr>
            <w:cnfStyle w:val="001000000000" w:firstRow="0" w:lastRow="0" w:firstColumn="1" w:lastColumn="0" w:oddVBand="0" w:evenVBand="0" w:oddHBand="0" w:evenHBand="0" w:firstRowFirstColumn="0" w:firstRowLastColumn="0" w:lastRowFirstColumn="0" w:lastRowLastColumn="0"/>
            <w:tcW w:w="283" w:type="pct"/>
          </w:tcPr>
          <w:p w14:paraId="40DBDF0C" w14:textId="77777777" w:rsidR="00A11E14" w:rsidRPr="00AC67F2" w:rsidRDefault="00A11E14" w:rsidP="00A11E14">
            <w:pPr>
              <w:rPr>
                <w:rFonts w:cstheme="minorHAnsi"/>
                <w:lang w:val="sr-Latn-ME"/>
              </w:rPr>
            </w:pPr>
            <w:r>
              <w:rPr>
                <w:rFonts w:cstheme="minorHAnsi"/>
                <w:lang w:val="sr-Latn-ME"/>
              </w:rPr>
              <w:t>1.2</w:t>
            </w:r>
          </w:p>
        </w:tc>
        <w:tc>
          <w:tcPr>
            <w:tcW w:w="2443" w:type="pct"/>
          </w:tcPr>
          <w:p w14:paraId="4E089A36" w14:textId="77777777" w:rsidR="00A11E14" w:rsidRDefault="00A11E14" w:rsidP="00A11E1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3B10F511" w14:textId="77777777" w:rsidR="00A11E14" w:rsidRPr="00AC67F2" w:rsidRDefault="00A11E14" w:rsidP="00A11E1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149652CA" w14:textId="3F3877F7" w:rsidR="00A11E14" w:rsidRPr="00AC67F2" w:rsidRDefault="00A11E14" w:rsidP="00A11E1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675" w:type="pct"/>
          </w:tcPr>
          <w:p w14:paraId="65F2B90A" w14:textId="20D4A134" w:rsidR="00A11E14" w:rsidRPr="00AC67F2" w:rsidRDefault="00A11E14" w:rsidP="00A11E1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953" w:type="pct"/>
          </w:tcPr>
          <w:p w14:paraId="2BB1B489" w14:textId="5B5473A0" w:rsidR="00A11E14" w:rsidRPr="00A545D6" w:rsidRDefault="00A11E14" w:rsidP="00A11E1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A11E14" w:rsidRPr="00AC67F2" w14:paraId="61F69086" w14:textId="77777777" w:rsidTr="00A11E14">
        <w:tc>
          <w:tcPr>
            <w:cnfStyle w:val="001000000000" w:firstRow="0" w:lastRow="0" w:firstColumn="1" w:lastColumn="0" w:oddVBand="0" w:evenVBand="0" w:oddHBand="0" w:evenHBand="0" w:firstRowFirstColumn="0" w:firstRowLastColumn="0" w:lastRowFirstColumn="0" w:lastRowLastColumn="0"/>
            <w:tcW w:w="2727" w:type="pct"/>
            <w:gridSpan w:val="2"/>
          </w:tcPr>
          <w:p w14:paraId="376DDF56" w14:textId="77777777" w:rsidR="00A11E14" w:rsidRPr="00AC67F2" w:rsidRDefault="00A11E14" w:rsidP="00A11E14">
            <w:pPr>
              <w:rPr>
                <w:rFonts w:cstheme="minorHAnsi"/>
                <w:lang w:val="sr-Latn-ME"/>
              </w:rPr>
            </w:pPr>
            <w:r>
              <w:rPr>
                <w:rFonts w:cstheme="minorHAnsi"/>
                <w:lang w:val="sr-Latn-ME"/>
              </w:rPr>
              <w:t>Ukupno</w:t>
            </w:r>
          </w:p>
        </w:tc>
        <w:tc>
          <w:tcPr>
            <w:tcW w:w="645" w:type="pct"/>
          </w:tcPr>
          <w:p w14:paraId="0D1DB2F9" w14:textId="77777777" w:rsidR="00A11E14" w:rsidRPr="00AC67F2" w:rsidRDefault="00A11E14" w:rsidP="00A11E1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4767ADEF" w14:textId="77777777" w:rsidR="00A11E14" w:rsidRPr="00527B8F" w:rsidRDefault="00A11E14" w:rsidP="00A11E1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6F887B7E" w14:textId="706DDFB3" w:rsidR="00A11E14" w:rsidRPr="008C09CD" w:rsidRDefault="00A11E14" w:rsidP="00A11E1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1/2</w:t>
            </w:r>
          </w:p>
        </w:tc>
      </w:tr>
    </w:tbl>
    <w:p w14:paraId="4B135958" w14:textId="77777777" w:rsidR="00A11E14" w:rsidRPr="00F43A6C" w:rsidRDefault="00A11E14" w:rsidP="00A11E14">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A11E14" w:rsidRPr="00AC67F2" w14:paraId="00D98BF1"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405757B1" w14:textId="77777777" w:rsidR="00A11E14" w:rsidRPr="00AC67F2" w:rsidRDefault="00A11E14"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71CBE928" w14:textId="77777777" w:rsidR="00A11E14" w:rsidRPr="00AC67F2" w:rsidRDefault="00A11E14"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36BC84CA" w14:textId="77777777" w:rsidR="00A11E14" w:rsidRPr="00AC67F2" w:rsidRDefault="00A11E14"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793F0A87" w14:textId="77777777" w:rsidR="00A11E14" w:rsidRPr="00AC67F2" w:rsidRDefault="00A11E14"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xml:space="preserve">/Plan ne sadrži </w:t>
            </w:r>
            <w:r>
              <w:rPr>
                <w:rFonts w:cstheme="minorHAnsi"/>
                <w:lang w:val="sr-Latn-ME"/>
              </w:rPr>
              <w:lastRenderedPageBreak/>
              <w:t>informaciju na ovu temu</w:t>
            </w:r>
          </w:p>
        </w:tc>
        <w:tc>
          <w:tcPr>
            <w:tcW w:w="1393" w:type="dxa"/>
            <w:shd w:val="clear" w:color="auto" w:fill="B4C6E7" w:themeFill="accent1" w:themeFillTint="66"/>
          </w:tcPr>
          <w:p w14:paraId="0283D262" w14:textId="77777777" w:rsidR="00A11E14" w:rsidRPr="00AC67F2" w:rsidRDefault="00A11E14"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lastRenderedPageBreak/>
              <w:t>Nije relevantno</w:t>
            </w:r>
          </w:p>
        </w:tc>
        <w:tc>
          <w:tcPr>
            <w:tcW w:w="1593" w:type="dxa"/>
            <w:shd w:val="clear" w:color="auto" w:fill="B4C6E7" w:themeFill="accent1" w:themeFillTint="66"/>
          </w:tcPr>
          <w:p w14:paraId="162ABE77" w14:textId="77777777" w:rsidR="00A11E14" w:rsidRPr="00AC67F2" w:rsidRDefault="00A11E14"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A11E14" w:rsidRPr="00AC67F2" w14:paraId="206251C6"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4DA4337" w14:textId="77777777" w:rsidR="00A11E14" w:rsidRPr="00AC67F2" w:rsidRDefault="00A11E14"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34516455" w14:textId="77777777" w:rsidR="00A11E14" w:rsidRPr="00AC67F2"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3182DD92" w14:textId="142BB901" w:rsidR="00A11E14" w:rsidRPr="00A00FA0"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tcPr>
          <w:p w14:paraId="047AED37"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7AEB1787"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7F2959C" w14:textId="6C651A13" w:rsidR="00A11E14" w:rsidRPr="00A71811"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A11E14" w:rsidRPr="00AC67F2" w14:paraId="016A2386"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6E7D312" w14:textId="77777777" w:rsidR="00A11E14" w:rsidRPr="00AC67F2" w:rsidRDefault="00A11E14" w:rsidP="002559F4">
            <w:pPr>
              <w:rPr>
                <w:rFonts w:cstheme="minorHAnsi"/>
                <w:lang w:val="sr-Latn-ME"/>
              </w:rPr>
            </w:pPr>
            <w:r>
              <w:rPr>
                <w:rFonts w:cstheme="minorHAnsi"/>
                <w:lang w:val="sr-Latn-ME"/>
              </w:rPr>
              <w:t>2.2</w:t>
            </w:r>
          </w:p>
        </w:tc>
        <w:tc>
          <w:tcPr>
            <w:tcW w:w="3856" w:type="dxa"/>
          </w:tcPr>
          <w:p w14:paraId="369957F2" w14:textId="77777777" w:rsidR="00A11E14" w:rsidRPr="00AC67F2"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tcPr>
          <w:p w14:paraId="33CFA2E0"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3FA83B8C"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34015156"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19A242A" w14:textId="7DA64C60" w:rsidR="00A11E14" w:rsidRPr="00A71811"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A11E14" w:rsidRPr="00AC67F2" w14:paraId="5143C10F"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FE16B00" w14:textId="77777777" w:rsidR="00A11E14" w:rsidRDefault="00A11E14" w:rsidP="002559F4">
            <w:pPr>
              <w:rPr>
                <w:rFonts w:cstheme="minorHAnsi"/>
                <w:lang w:val="sr-Latn-ME"/>
              </w:rPr>
            </w:pPr>
            <w:r>
              <w:rPr>
                <w:rFonts w:cstheme="minorHAnsi"/>
                <w:lang w:val="sr-Latn-ME"/>
              </w:rPr>
              <w:t>2.3</w:t>
            </w:r>
          </w:p>
        </w:tc>
        <w:tc>
          <w:tcPr>
            <w:tcW w:w="3856" w:type="dxa"/>
          </w:tcPr>
          <w:p w14:paraId="65D2B5FE" w14:textId="77777777" w:rsidR="00A11E14"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tcPr>
          <w:p w14:paraId="5F9CB227" w14:textId="4D6B382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196B7D0E" w14:textId="772E7C80"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4BA9315E"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4D7AE3A" w14:textId="6FCCFA48" w:rsidR="00A11E14" w:rsidRPr="00A71811"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A11E14" w:rsidRPr="00AC67F2" w14:paraId="30BB8AA3"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2F523C0F" w14:textId="77777777" w:rsidR="00A11E14" w:rsidRPr="00AC67F2" w:rsidRDefault="00A11E14" w:rsidP="002559F4">
            <w:pPr>
              <w:rPr>
                <w:rFonts w:cstheme="minorHAnsi"/>
                <w:lang w:val="sr-Latn-ME"/>
              </w:rPr>
            </w:pPr>
            <w:r>
              <w:rPr>
                <w:rFonts w:cstheme="minorHAnsi"/>
                <w:lang w:val="sr-Latn-ME"/>
              </w:rPr>
              <w:t>2.4</w:t>
            </w:r>
          </w:p>
        </w:tc>
        <w:tc>
          <w:tcPr>
            <w:tcW w:w="3856" w:type="dxa"/>
            <w:shd w:val="clear" w:color="auto" w:fill="auto"/>
          </w:tcPr>
          <w:p w14:paraId="00D6DC9A" w14:textId="77777777" w:rsidR="00A11E14" w:rsidRPr="00AC67F2"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4DD9A88E" w14:textId="745157CA" w:rsidR="00A11E14" w:rsidRPr="00C26A63"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shd w:val="clear" w:color="auto" w:fill="auto"/>
          </w:tcPr>
          <w:p w14:paraId="32243AA9"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32EB39FD"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051C7B87" w14:textId="25AA7C4B" w:rsidR="00A11E14" w:rsidRPr="00A71811"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A11E14" w:rsidRPr="00AC67F2" w14:paraId="6B01EBB1"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5C26995" w14:textId="77777777" w:rsidR="00A11E14" w:rsidRDefault="00A11E14" w:rsidP="002559F4">
            <w:pPr>
              <w:rPr>
                <w:rFonts w:cstheme="minorHAnsi"/>
                <w:lang w:val="sr-Latn-ME"/>
              </w:rPr>
            </w:pPr>
            <w:r>
              <w:rPr>
                <w:rFonts w:cstheme="minorHAnsi"/>
                <w:lang w:val="sr-Latn-ME"/>
              </w:rPr>
              <w:t>2.5</w:t>
            </w:r>
          </w:p>
        </w:tc>
        <w:tc>
          <w:tcPr>
            <w:tcW w:w="3856" w:type="dxa"/>
          </w:tcPr>
          <w:p w14:paraId="2E592EDB" w14:textId="77777777" w:rsidR="00A11E14" w:rsidRPr="00AC67F2"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2E67441A"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4AAC6A4B"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537698B6"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07CD5350" w14:textId="49D43215" w:rsidR="00A11E14" w:rsidRPr="00A71811"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A11E14" w:rsidRPr="00AC67F2" w14:paraId="27BFD2D7"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43BBD804" w14:textId="77777777" w:rsidR="00A11E14" w:rsidRPr="00AC67F2" w:rsidRDefault="00A11E14" w:rsidP="002559F4">
            <w:pPr>
              <w:rPr>
                <w:rFonts w:cstheme="minorHAnsi"/>
                <w:lang w:val="sr-Latn-ME"/>
              </w:rPr>
            </w:pPr>
            <w:r>
              <w:rPr>
                <w:rFonts w:cstheme="minorHAnsi"/>
                <w:lang w:val="sr-Latn-ME"/>
              </w:rPr>
              <w:t>2.6</w:t>
            </w:r>
          </w:p>
        </w:tc>
        <w:tc>
          <w:tcPr>
            <w:tcW w:w="3856" w:type="dxa"/>
            <w:shd w:val="clear" w:color="auto" w:fill="auto"/>
          </w:tcPr>
          <w:p w14:paraId="185AEEE4" w14:textId="77777777" w:rsidR="00A11E14" w:rsidRPr="00AC67F2"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auto"/>
          </w:tcPr>
          <w:p w14:paraId="738B67B5" w14:textId="2BED5D62"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shd w:val="clear" w:color="auto" w:fill="auto"/>
          </w:tcPr>
          <w:p w14:paraId="46168483"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68E675DF"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6C44D582" w14:textId="6C921C6E" w:rsidR="00A11E14" w:rsidRPr="00A71811"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A11E14" w:rsidRPr="00AC67F2" w14:paraId="19F17E6E"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5084A44" w14:textId="77777777" w:rsidR="00A11E14" w:rsidRDefault="00A11E14" w:rsidP="002559F4">
            <w:pPr>
              <w:rPr>
                <w:rFonts w:cstheme="minorHAnsi"/>
                <w:lang w:val="sr-Latn-ME"/>
              </w:rPr>
            </w:pPr>
            <w:r>
              <w:rPr>
                <w:rFonts w:cstheme="minorHAnsi"/>
                <w:lang w:val="sr-Latn-ME"/>
              </w:rPr>
              <w:t>2.7</w:t>
            </w:r>
          </w:p>
        </w:tc>
        <w:tc>
          <w:tcPr>
            <w:tcW w:w="3856" w:type="dxa"/>
          </w:tcPr>
          <w:p w14:paraId="2A15C31C" w14:textId="1B0465B8" w:rsidR="00A11E14"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1FEAC9B0" w14:textId="653CDEFF"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0D48277A" w14:textId="6D6C0D08"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241F3230"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BD51E1F" w14:textId="3C5988C5" w:rsidR="00A11E14" w:rsidRPr="00A71811"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A11E14" w:rsidRPr="00AC67F2" w14:paraId="701C602D"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08BFC67" w14:textId="5CE0C4A1" w:rsidR="00A11E14" w:rsidRPr="00AC67F2" w:rsidRDefault="00A11E14"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755EEF54" w14:textId="77777777" w:rsidR="00A11E14"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561069A4" w14:textId="77777777" w:rsidR="00A11E14" w:rsidRPr="005C2773" w:rsidRDefault="00A11E14"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4EB1A9CB" w14:textId="73A2DBB9"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10CBBC32" w14:textId="12BCE4D1"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72FF8FC5"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13B6EF4" w14:textId="51E0BB1E" w:rsidR="00A11E14" w:rsidRPr="00AC67F2"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r>
      <w:tr w:rsidR="00A11E14" w:rsidRPr="00AC67F2" w14:paraId="4E61C607"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0BA2A0E0" w14:textId="77777777" w:rsidR="00A11E14" w:rsidRPr="00AC67F2" w:rsidRDefault="00A11E14" w:rsidP="002559F4">
            <w:pPr>
              <w:rPr>
                <w:rFonts w:cstheme="minorHAnsi"/>
                <w:lang w:val="sr-Latn-ME" w:eastAsia="en-GB"/>
              </w:rPr>
            </w:pPr>
            <w:r>
              <w:rPr>
                <w:rFonts w:cstheme="minorHAnsi"/>
                <w:lang w:val="sr-Latn-ME"/>
              </w:rPr>
              <w:t>Ukupno</w:t>
            </w:r>
          </w:p>
        </w:tc>
        <w:tc>
          <w:tcPr>
            <w:tcW w:w="747" w:type="dxa"/>
          </w:tcPr>
          <w:p w14:paraId="79027508"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6E50B4EE" w14:textId="77777777" w:rsidR="00A11E14" w:rsidRPr="00527B8F"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293A0693"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21AEF79" w14:textId="0F1146D7" w:rsidR="00A11E14" w:rsidRPr="00E72E03" w:rsidRDefault="003A3666"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8</w:t>
            </w:r>
            <w:r w:rsidR="00A11E14" w:rsidRPr="00E72E03">
              <w:rPr>
                <w:rFonts w:cstheme="minorHAnsi"/>
                <w:b/>
                <w:bCs/>
                <w:sz w:val="28"/>
                <w:szCs w:val="28"/>
                <w:lang w:val="sr-Latn-ME"/>
              </w:rPr>
              <w:t>/</w:t>
            </w:r>
            <w:r>
              <w:rPr>
                <w:rFonts w:cstheme="minorHAnsi"/>
                <w:b/>
                <w:bCs/>
                <w:sz w:val="28"/>
                <w:szCs w:val="28"/>
                <w:lang w:val="sr-Latn-ME"/>
              </w:rPr>
              <w:t>8</w:t>
            </w:r>
          </w:p>
        </w:tc>
      </w:tr>
    </w:tbl>
    <w:p w14:paraId="17F6E8EA" w14:textId="77777777" w:rsidR="00A11E14" w:rsidRPr="00AC67F2" w:rsidRDefault="00A11E14" w:rsidP="00A11E14">
      <w:pPr>
        <w:rPr>
          <w:rFonts w:cstheme="minorHAnsi"/>
          <w:lang w:val="sr-Latn-ME"/>
        </w:rPr>
      </w:pPr>
    </w:p>
    <w:p w14:paraId="765221D6" w14:textId="77777777" w:rsidR="00A11E14" w:rsidRPr="00852DD8" w:rsidRDefault="00A11E14" w:rsidP="00A11E14">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A11E14" w:rsidRPr="00AC67F2" w14:paraId="535F3D91"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47E8FDDC" w14:textId="77777777" w:rsidR="00A11E14" w:rsidRPr="00AC67F2" w:rsidRDefault="00A11E14"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505FC925" w14:textId="77777777" w:rsidR="00A11E14" w:rsidRPr="00AC67F2" w:rsidRDefault="00A11E14"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05B483AF" w14:textId="77777777" w:rsidR="00A11E14" w:rsidRPr="00AC67F2" w:rsidRDefault="00A11E14"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792C91FC" w14:textId="77777777" w:rsidR="00A11E14" w:rsidRPr="00AC67F2" w:rsidRDefault="00A11E14"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3DE96057" w14:textId="77777777" w:rsidR="00A11E14" w:rsidRPr="00AC67F2" w:rsidRDefault="00A11E14"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3D21C3BF" w14:textId="77777777" w:rsidR="00A11E14" w:rsidRPr="00AC67F2" w:rsidRDefault="00A11E14"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A11E14" w:rsidRPr="00AC67F2" w14:paraId="7F44764F"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7C9D2F3" w14:textId="77777777" w:rsidR="00A11E14" w:rsidRPr="00AC67F2" w:rsidRDefault="00A11E14" w:rsidP="002559F4">
            <w:pPr>
              <w:rPr>
                <w:rFonts w:cstheme="minorHAnsi"/>
                <w:lang w:val="sr-Latn-ME"/>
              </w:rPr>
            </w:pPr>
            <w:r>
              <w:rPr>
                <w:rFonts w:cstheme="minorHAnsi"/>
                <w:lang w:val="sr-Latn-ME"/>
              </w:rPr>
              <w:t>3.1</w:t>
            </w:r>
          </w:p>
        </w:tc>
        <w:tc>
          <w:tcPr>
            <w:tcW w:w="3908" w:type="dxa"/>
          </w:tcPr>
          <w:p w14:paraId="64AE5DA3" w14:textId="77777777" w:rsidR="00A11E14" w:rsidRPr="00AC67F2"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104B1A3F" w14:textId="644CB5FC"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2C3AA92C" w14:textId="34DED98D"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tcPr>
          <w:p w14:paraId="6178BEFF"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70441772" w14:textId="77777777" w:rsidR="00A11E14" w:rsidRPr="009A4E2D"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A11E14" w:rsidRPr="00AC67F2" w14:paraId="17855BB7"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007BA552" w14:textId="77777777" w:rsidR="00A11E14" w:rsidRDefault="00A11E14" w:rsidP="002559F4">
            <w:pPr>
              <w:rPr>
                <w:rFonts w:cstheme="minorHAnsi"/>
                <w:lang w:val="sr-Latn-ME"/>
              </w:rPr>
            </w:pPr>
            <w:r>
              <w:rPr>
                <w:rFonts w:cstheme="minorHAnsi"/>
                <w:lang w:val="sr-Latn-ME"/>
              </w:rPr>
              <w:lastRenderedPageBreak/>
              <w:t>Ukupno</w:t>
            </w:r>
          </w:p>
        </w:tc>
        <w:tc>
          <w:tcPr>
            <w:tcW w:w="760" w:type="dxa"/>
            <w:shd w:val="clear" w:color="auto" w:fill="auto"/>
          </w:tcPr>
          <w:p w14:paraId="2281EE91" w14:textId="77777777" w:rsidR="00A11E14" w:rsidRPr="00AC67F2" w:rsidRDefault="00A11E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6DA9F7DB" w14:textId="77777777" w:rsidR="00A11E14" w:rsidRPr="00527B8F"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2C968755" w14:textId="77777777" w:rsidR="00A11E14" w:rsidRPr="00AC67F2" w:rsidRDefault="00A11E1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25D28001" w14:textId="6FF7C77C" w:rsidR="00A11E14" w:rsidRPr="00AC67F2" w:rsidRDefault="00A11E14"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1/1</w:t>
            </w:r>
          </w:p>
        </w:tc>
      </w:tr>
    </w:tbl>
    <w:p w14:paraId="721C3B8B" w14:textId="77777777" w:rsidR="00A11E14" w:rsidRDefault="00A11E14" w:rsidP="00A11E14">
      <w:pPr>
        <w:rPr>
          <w:rFonts w:cstheme="minorHAnsi"/>
          <w:lang w:val="sr-Latn-ME"/>
        </w:rPr>
      </w:pPr>
    </w:p>
    <w:p w14:paraId="2D1593A0" w14:textId="463A5FE8" w:rsidR="00764FE6" w:rsidRPr="005C229D" w:rsidRDefault="00A11E14" w:rsidP="005C229D">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00B050"/>
          <w:sz w:val="32"/>
          <w:szCs w:val="32"/>
          <w:lang w:val="sr-Latn-ME"/>
        </w:rPr>
      </w:pPr>
      <w:r w:rsidRPr="006A5A0D">
        <w:rPr>
          <w:rFonts w:cstheme="minorHAnsi"/>
          <w:color w:val="00B050"/>
          <w:sz w:val="32"/>
          <w:szCs w:val="32"/>
          <w:lang w:val="sr-Latn-ME"/>
        </w:rPr>
        <w:t xml:space="preserve">Konačna ocjena: </w:t>
      </w:r>
      <w:r w:rsidR="00A14BA3" w:rsidRPr="006A5A0D">
        <w:rPr>
          <w:rFonts w:cstheme="minorHAnsi"/>
          <w:color w:val="00B050"/>
          <w:sz w:val="32"/>
          <w:szCs w:val="32"/>
          <w:lang w:val="sr-Latn-ME"/>
        </w:rPr>
        <w:t>1</w:t>
      </w:r>
      <w:r w:rsidR="00A14BA3">
        <w:rPr>
          <w:rFonts w:cstheme="minorHAnsi"/>
          <w:color w:val="00B050"/>
          <w:sz w:val="32"/>
          <w:szCs w:val="32"/>
          <w:lang w:val="sr-Latn-ME"/>
        </w:rPr>
        <w:t>0</w:t>
      </w:r>
      <w:r w:rsidR="00A14BA3" w:rsidRPr="006A5A0D">
        <w:rPr>
          <w:rFonts w:cstheme="minorHAnsi"/>
          <w:color w:val="00B050"/>
          <w:sz w:val="32"/>
          <w:szCs w:val="32"/>
          <w:lang w:val="sr-Latn-ME"/>
        </w:rPr>
        <w:t xml:space="preserve"> </w:t>
      </w:r>
      <w:r w:rsidRPr="006A5A0D">
        <w:rPr>
          <w:rFonts w:cstheme="minorHAnsi"/>
          <w:color w:val="00B050"/>
          <w:sz w:val="32"/>
          <w:szCs w:val="32"/>
          <w:lang w:val="sr-Latn-ME"/>
        </w:rPr>
        <w:t>od 1</w:t>
      </w:r>
      <w:r w:rsidR="00655A67">
        <w:rPr>
          <w:rFonts w:cstheme="minorHAnsi"/>
          <w:color w:val="00B050"/>
          <w:sz w:val="32"/>
          <w:szCs w:val="32"/>
          <w:lang w:val="sr-Latn-ME"/>
        </w:rPr>
        <w:t>1</w:t>
      </w:r>
      <w:r w:rsidRPr="006A5A0D">
        <w:rPr>
          <w:rFonts w:cstheme="minorHAnsi"/>
          <w:color w:val="00B050"/>
          <w:sz w:val="32"/>
          <w:szCs w:val="32"/>
          <w:lang w:val="sr-Latn-ME"/>
        </w:rPr>
        <w:t xml:space="preserve"> ili </w:t>
      </w:r>
      <w:r w:rsidR="00A14BA3">
        <w:rPr>
          <w:rFonts w:cstheme="minorHAnsi"/>
          <w:color w:val="00B050"/>
          <w:sz w:val="32"/>
          <w:szCs w:val="32"/>
          <w:lang w:val="sr-Latn-ME"/>
        </w:rPr>
        <w:t>0.9</w:t>
      </w:r>
      <w:r w:rsidR="00655A67">
        <w:rPr>
          <w:rFonts w:cstheme="minorHAnsi"/>
          <w:b/>
          <w:bCs/>
          <w:color w:val="00B050"/>
          <w:sz w:val="32"/>
          <w:szCs w:val="32"/>
          <w:lang w:val="sr-Latn-ME"/>
        </w:rPr>
        <w:t>1</w:t>
      </w:r>
      <w:r w:rsidRPr="006A5A0D">
        <w:rPr>
          <w:rFonts w:cstheme="minorHAnsi"/>
          <w:b/>
          <w:bCs/>
          <w:color w:val="00B050"/>
          <w:sz w:val="32"/>
          <w:szCs w:val="32"/>
          <w:lang w:val="sr-Latn-ME"/>
        </w:rPr>
        <w:t xml:space="preserve"> – Strategija </w:t>
      </w:r>
      <w:r w:rsidR="006A5A0D" w:rsidRPr="006A5A0D">
        <w:rPr>
          <w:rFonts w:cstheme="minorHAnsi"/>
          <w:b/>
          <w:bCs/>
          <w:color w:val="00B050"/>
          <w:sz w:val="32"/>
          <w:szCs w:val="32"/>
          <w:lang w:val="sr-Latn-ME"/>
        </w:rPr>
        <w:t xml:space="preserve">je u potpunosti </w:t>
      </w:r>
      <w:r w:rsidRPr="006A5A0D">
        <w:rPr>
          <w:rFonts w:cstheme="minorHAnsi"/>
          <w:b/>
          <w:bCs/>
          <w:color w:val="00B050"/>
          <w:sz w:val="32"/>
          <w:szCs w:val="32"/>
          <w:lang w:val="sr-Latn-ME"/>
        </w:rPr>
        <w:t>orodnjena</w:t>
      </w:r>
    </w:p>
    <w:p w14:paraId="0E468123" w14:textId="77777777" w:rsidR="009D5CC5" w:rsidRDefault="009D5CC5" w:rsidP="005C229D">
      <w:pPr>
        <w:pStyle w:val="Heading3"/>
        <w:rPr>
          <w:noProof/>
          <w:lang w:val="hr-HR"/>
        </w:rPr>
      </w:pPr>
    </w:p>
    <w:p w14:paraId="51EB806C" w14:textId="41D4C29A" w:rsidR="00AC6EB8" w:rsidRDefault="009D5CC5" w:rsidP="005C229D">
      <w:pPr>
        <w:pStyle w:val="Heading3"/>
        <w:rPr>
          <w:noProof/>
          <w:lang w:val="hr-HR"/>
        </w:rPr>
      </w:pPr>
      <w:bookmarkStart w:id="16" w:name="_Toc100339538"/>
      <w:r>
        <w:rPr>
          <w:noProof/>
          <w:lang w:val="hr-HR"/>
        </w:rPr>
        <w:t xml:space="preserve">9. </w:t>
      </w:r>
      <w:r w:rsidR="00AC6EB8" w:rsidRPr="00AC6EB8">
        <w:rPr>
          <w:noProof/>
          <w:lang w:val="hr-HR"/>
        </w:rPr>
        <w:t>Strategija izvršenja krivičnih sankcija za period 2017-2021.</w:t>
      </w:r>
      <w:bookmarkEnd w:id="16"/>
    </w:p>
    <w:p w14:paraId="3B80D6B6" w14:textId="77777777" w:rsidR="009D5CC5" w:rsidRPr="009D5CC5" w:rsidRDefault="009D5CC5" w:rsidP="009D5CC5"/>
    <w:p w14:paraId="7B36DAD0" w14:textId="090B56CB" w:rsidR="005C229D" w:rsidRPr="005C229D" w:rsidRDefault="002E4F78" w:rsidP="005C229D">
      <w:pPr>
        <w:rPr>
          <w:lang w:val="hr-HR"/>
        </w:rPr>
      </w:pPr>
      <w:r w:rsidRPr="002E4F78">
        <w:rPr>
          <w:lang w:val="hr-HR"/>
        </w:rPr>
        <w:t>Strategija za izvršenje krivičnih sankcija je dokument koji predstavlja osnovu za reformu i funkcionisanje pravosudnog sistema u dijelu izvršenja krivičnih sankcija.</w:t>
      </w:r>
      <w:r w:rsidR="00CC3F74">
        <w:rPr>
          <w:lang w:val="hr-HR"/>
        </w:rPr>
        <w:t xml:space="preserve"> </w:t>
      </w:r>
    </w:p>
    <w:p w14:paraId="50ADE0BB" w14:textId="77777777" w:rsidR="005C229D" w:rsidRPr="007D71A2" w:rsidRDefault="005C229D" w:rsidP="005C229D">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5C229D" w:rsidRPr="00AC67F2" w14:paraId="5746B8B0"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399341DF" w14:textId="77777777" w:rsidR="005C229D" w:rsidRPr="00AC67F2" w:rsidRDefault="005C229D"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6152DCFB" w14:textId="77777777" w:rsidR="005C229D" w:rsidRPr="00AC67F2" w:rsidRDefault="005C229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42F46246" w14:textId="77777777" w:rsidR="005C229D" w:rsidRPr="00AC67F2" w:rsidRDefault="005C229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346AF025" w14:textId="77777777" w:rsidR="005C229D" w:rsidRPr="009148DB" w:rsidRDefault="005C229D"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058B97AF" w14:textId="77777777" w:rsidR="005C229D" w:rsidRPr="00AC67F2" w:rsidRDefault="005C229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5C229D" w:rsidRPr="00AC67F2" w14:paraId="5A6D203C"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4F2826E8" w14:textId="77777777" w:rsidR="005C229D" w:rsidRPr="00AC67F2" w:rsidRDefault="005C229D"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52696C7E" w14:textId="77777777" w:rsidR="005C229D" w:rsidRPr="00DA659B"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3174124A" w14:textId="77777777" w:rsidR="005C229D" w:rsidRPr="00AC67F2"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4CEE65AB" w14:textId="77777777"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70BF2137" w14:textId="77777777"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6F6A41D9" w14:textId="61FFF2BF" w:rsidR="005C229D" w:rsidRPr="00A545D6"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w:t>
            </w:r>
            <w:r w:rsidR="001D3D0F">
              <w:rPr>
                <w:rFonts w:cstheme="minorHAnsi"/>
                <w:sz w:val="18"/>
                <w:szCs w:val="18"/>
                <w:lang w:val="sr-Latn-ME"/>
              </w:rPr>
              <w:t xml:space="preserve">Poznato je iz kojih institucija su bili članovi. </w:t>
            </w:r>
          </w:p>
        </w:tc>
      </w:tr>
      <w:tr w:rsidR="005C229D" w:rsidRPr="00AC67F2" w14:paraId="59814925"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277A881F" w14:textId="77777777" w:rsidR="005C229D" w:rsidRPr="00AC67F2" w:rsidRDefault="005C229D" w:rsidP="002559F4">
            <w:pPr>
              <w:rPr>
                <w:rFonts w:cstheme="minorHAnsi"/>
                <w:lang w:val="sr-Latn-ME"/>
              </w:rPr>
            </w:pPr>
            <w:r>
              <w:rPr>
                <w:rFonts w:cstheme="minorHAnsi"/>
                <w:lang w:val="sr-Latn-ME"/>
              </w:rPr>
              <w:t>1.2</w:t>
            </w:r>
          </w:p>
        </w:tc>
        <w:tc>
          <w:tcPr>
            <w:tcW w:w="2443" w:type="pct"/>
          </w:tcPr>
          <w:p w14:paraId="22C4DD70" w14:textId="77777777" w:rsidR="005C229D"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756FD2CC" w14:textId="77777777" w:rsidR="005C229D" w:rsidRPr="00AC67F2"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5DF6D664" w14:textId="19115679"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618BA4F3" w14:textId="492F251E" w:rsidR="005C229D" w:rsidRPr="00AC67F2" w:rsidRDefault="001D3D0F"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4543EA53" w14:textId="7FA087C9" w:rsidR="005C229D" w:rsidRPr="00A545D6" w:rsidRDefault="001D3D0F"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U Strategiji se navodi da je bila angažovana ekspertska pomoć, ali nije precizirano da </w:t>
            </w:r>
            <w:r w:rsidR="00E87802">
              <w:rPr>
                <w:rFonts w:cstheme="minorHAnsi"/>
                <w:sz w:val="18"/>
                <w:szCs w:val="18"/>
                <w:lang w:val="sr-Latn-ME"/>
              </w:rPr>
              <w:t xml:space="preserve">se odnosila na rodnu perspektivu. </w:t>
            </w:r>
          </w:p>
        </w:tc>
      </w:tr>
      <w:tr w:rsidR="005C229D" w:rsidRPr="00AC67F2" w14:paraId="1353E8B6"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4FDFE5DC" w14:textId="77777777" w:rsidR="005C229D" w:rsidRPr="00AC67F2" w:rsidRDefault="005C229D" w:rsidP="002559F4">
            <w:pPr>
              <w:rPr>
                <w:rFonts w:cstheme="minorHAnsi"/>
                <w:lang w:val="sr-Latn-ME"/>
              </w:rPr>
            </w:pPr>
            <w:r>
              <w:rPr>
                <w:rFonts w:cstheme="minorHAnsi"/>
                <w:lang w:val="sr-Latn-ME"/>
              </w:rPr>
              <w:t>Ukupno</w:t>
            </w:r>
          </w:p>
        </w:tc>
        <w:tc>
          <w:tcPr>
            <w:tcW w:w="645" w:type="pct"/>
          </w:tcPr>
          <w:p w14:paraId="5B820575" w14:textId="77777777" w:rsidR="005C229D" w:rsidRPr="00AC67F2"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26183FDC" w14:textId="77777777" w:rsidR="005C229D" w:rsidRPr="00527B8F"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0B56930C" w14:textId="5402C7F3" w:rsidR="005C229D" w:rsidRPr="008C09CD" w:rsidRDefault="00E87802"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w:t>
            </w:r>
            <w:r w:rsidR="005C229D">
              <w:rPr>
                <w:rFonts w:cstheme="minorHAnsi"/>
                <w:b/>
                <w:bCs/>
                <w:sz w:val="28"/>
                <w:szCs w:val="28"/>
              </w:rPr>
              <w:t>/2</w:t>
            </w:r>
          </w:p>
        </w:tc>
      </w:tr>
    </w:tbl>
    <w:p w14:paraId="15134E2F" w14:textId="77777777" w:rsidR="005C229D" w:rsidRPr="00F43A6C" w:rsidRDefault="005C229D" w:rsidP="005C229D">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5C229D" w:rsidRPr="00AC67F2" w14:paraId="6C0BF1F4"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20AB202B" w14:textId="77777777" w:rsidR="005C229D" w:rsidRPr="00AC67F2" w:rsidRDefault="005C229D"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5FFDC2D9" w14:textId="77777777" w:rsidR="005C229D" w:rsidRPr="00AC67F2" w:rsidRDefault="005C229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2528E5A3" w14:textId="77777777" w:rsidR="005C229D" w:rsidRPr="00AC67F2" w:rsidRDefault="005C229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2CFE59C9" w14:textId="77777777" w:rsidR="005C229D" w:rsidRPr="00AC67F2" w:rsidRDefault="005C229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34C73702" w14:textId="77777777" w:rsidR="005C229D" w:rsidRPr="00AC67F2" w:rsidRDefault="005C229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59960A09" w14:textId="77777777" w:rsidR="005C229D" w:rsidRPr="00AC67F2" w:rsidRDefault="005C229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5C229D" w:rsidRPr="00AC67F2" w14:paraId="12A59F15"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14E130E" w14:textId="77777777" w:rsidR="005C229D" w:rsidRPr="00AC67F2" w:rsidRDefault="005C229D"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4B3DCBD7" w14:textId="77777777" w:rsidR="005C229D" w:rsidRPr="00AC67F2"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1CC1C316" w14:textId="422DB800" w:rsidR="005C229D" w:rsidRPr="00A00FA0"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tcPr>
          <w:p w14:paraId="5065DD83" w14:textId="6EF8C219" w:rsidR="005C229D" w:rsidRPr="00AC67F2" w:rsidRDefault="00A0534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6EEFBF1B" w14:textId="77777777"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E836AD0" w14:textId="311752D5" w:rsidR="005C229D" w:rsidRPr="00A71811" w:rsidRDefault="00A05341"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Ne postoje ni podaci o broju osuđenica. </w:t>
            </w:r>
          </w:p>
        </w:tc>
      </w:tr>
      <w:tr w:rsidR="005C229D" w:rsidRPr="00AC67F2" w14:paraId="350CA81A"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6D4A34B" w14:textId="77777777" w:rsidR="005C229D" w:rsidRPr="00AC67F2" w:rsidRDefault="005C229D" w:rsidP="002559F4">
            <w:pPr>
              <w:rPr>
                <w:rFonts w:cstheme="minorHAnsi"/>
                <w:lang w:val="sr-Latn-ME"/>
              </w:rPr>
            </w:pPr>
            <w:r>
              <w:rPr>
                <w:rFonts w:cstheme="minorHAnsi"/>
                <w:lang w:val="sr-Latn-ME"/>
              </w:rPr>
              <w:t>2.2</w:t>
            </w:r>
          </w:p>
        </w:tc>
        <w:tc>
          <w:tcPr>
            <w:tcW w:w="3856" w:type="dxa"/>
          </w:tcPr>
          <w:p w14:paraId="56897D10" w14:textId="77777777" w:rsidR="005C229D" w:rsidRPr="00AC67F2"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tcPr>
          <w:p w14:paraId="738FC2B9" w14:textId="2A6CFD1F"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6D2E3355" w14:textId="323747A8" w:rsidR="005C229D" w:rsidRPr="00AC67F2" w:rsidRDefault="00A0534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20743519" w14:textId="77777777"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525C53E" w14:textId="77777777" w:rsidR="005C229D" w:rsidRPr="00A71811"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5C229D" w:rsidRPr="00AC67F2" w14:paraId="4D9C31A5"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4199B959" w14:textId="77777777" w:rsidR="005C229D" w:rsidRDefault="005C229D" w:rsidP="002559F4">
            <w:pPr>
              <w:rPr>
                <w:rFonts w:cstheme="minorHAnsi"/>
                <w:lang w:val="sr-Latn-ME"/>
              </w:rPr>
            </w:pPr>
            <w:r>
              <w:rPr>
                <w:rFonts w:cstheme="minorHAnsi"/>
                <w:lang w:val="sr-Latn-ME"/>
              </w:rPr>
              <w:t>2.3</w:t>
            </w:r>
          </w:p>
        </w:tc>
        <w:tc>
          <w:tcPr>
            <w:tcW w:w="3856" w:type="dxa"/>
          </w:tcPr>
          <w:p w14:paraId="4168653F" w14:textId="77777777" w:rsidR="005C229D"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uočene neke prepreke i rizici za žene i muškarce i osobe drugih rodnih </w:t>
            </w:r>
            <w:r>
              <w:rPr>
                <w:rFonts w:cstheme="minorHAnsi"/>
                <w:lang w:val="sr-Latn-ME"/>
              </w:rPr>
              <w:lastRenderedPageBreak/>
              <w:t>identiteta da ostvare dobrobiti od rezultata javne politike?</w:t>
            </w:r>
          </w:p>
        </w:tc>
        <w:tc>
          <w:tcPr>
            <w:tcW w:w="747" w:type="dxa"/>
          </w:tcPr>
          <w:p w14:paraId="5D00FA87" w14:textId="5DFFCE53"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0997E251" w14:textId="399B3678" w:rsidR="005C229D" w:rsidRPr="00AC67F2" w:rsidRDefault="008A46D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22D1E5AA" w14:textId="77777777"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96472FD" w14:textId="77777777" w:rsidR="005C229D" w:rsidRPr="00A71811"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5C229D" w:rsidRPr="00AC67F2" w14:paraId="4FAE2587"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7C2969B2" w14:textId="77777777" w:rsidR="005C229D" w:rsidRPr="00AC67F2" w:rsidRDefault="005C229D" w:rsidP="002559F4">
            <w:pPr>
              <w:rPr>
                <w:rFonts w:cstheme="minorHAnsi"/>
                <w:lang w:val="sr-Latn-ME"/>
              </w:rPr>
            </w:pPr>
            <w:r>
              <w:rPr>
                <w:rFonts w:cstheme="minorHAnsi"/>
                <w:lang w:val="sr-Latn-ME"/>
              </w:rPr>
              <w:t>2.4</w:t>
            </w:r>
          </w:p>
        </w:tc>
        <w:tc>
          <w:tcPr>
            <w:tcW w:w="3856" w:type="dxa"/>
            <w:shd w:val="clear" w:color="auto" w:fill="auto"/>
          </w:tcPr>
          <w:p w14:paraId="5BC8BAF0" w14:textId="77777777" w:rsidR="005C229D" w:rsidRPr="00AC67F2"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3EB86AF8" w14:textId="4AFB4864" w:rsidR="005C229D" w:rsidRPr="00C26A63"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auto"/>
          </w:tcPr>
          <w:p w14:paraId="43EC8782" w14:textId="251501C4" w:rsidR="005C229D" w:rsidRPr="00AC67F2" w:rsidRDefault="008A46D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641750C7" w14:textId="77777777"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6D82D83A" w14:textId="77777777" w:rsidR="005C229D" w:rsidRPr="00A71811"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5C229D" w:rsidRPr="00AC67F2" w14:paraId="4CFB2426"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6E27AA4" w14:textId="77777777" w:rsidR="005C229D" w:rsidRDefault="005C229D" w:rsidP="002559F4">
            <w:pPr>
              <w:rPr>
                <w:rFonts w:cstheme="minorHAnsi"/>
                <w:lang w:val="sr-Latn-ME"/>
              </w:rPr>
            </w:pPr>
            <w:r>
              <w:rPr>
                <w:rFonts w:cstheme="minorHAnsi"/>
                <w:lang w:val="sr-Latn-ME"/>
              </w:rPr>
              <w:t>2.5</w:t>
            </w:r>
          </w:p>
        </w:tc>
        <w:tc>
          <w:tcPr>
            <w:tcW w:w="3856" w:type="dxa"/>
          </w:tcPr>
          <w:p w14:paraId="1987D42D" w14:textId="77777777" w:rsidR="005C229D" w:rsidRPr="00AC67F2"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0AE379B9" w14:textId="4492A662" w:rsidR="005C229D" w:rsidRPr="00AC67F2" w:rsidRDefault="000958A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53C16A99" w14:textId="4F60831C"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3E2358DB" w14:textId="77777777"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D14AB43" w14:textId="13138EB4" w:rsidR="005C229D" w:rsidRPr="00A71811" w:rsidRDefault="000958A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Postoji mjera „</w:t>
            </w:r>
            <w:r w:rsidR="002F103A" w:rsidRPr="002F103A">
              <w:rPr>
                <w:rFonts w:cstheme="minorHAnsi"/>
                <w:sz w:val="18"/>
                <w:szCs w:val="18"/>
                <w:lang w:val="sr-Latn-ME"/>
              </w:rPr>
              <w:t>Unaprijediti stručne i rekreativne aktivnosti prilagođene potrebama i mogućnostima žena zatvorenika</w:t>
            </w:r>
            <w:r w:rsidR="002F103A">
              <w:rPr>
                <w:rFonts w:cstheme="minorHAnsi"/>
                <w:sz w:val="18"/>
                <w:szCs w:val="18"/>
                <w:lang w:val="sr-Latn-ME"/>
              </w:rPr>
              <w:t xml:space="preserve">“ koja nije povezana sa analizom stanja. </w:t>
            </w:r>
          </w:p>
        </w:tc>
      </w:tr>
      <w:tr w:rsidR="005C229D" w:rsidRPr="00AC67F2" w14:paraId="13889881"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59A6948E" w14:textId="77777777" w:rsidR="005C229D" w:rsidRPr="00AC67F2" w:rsidRDefault="005C229D" w:rsidP="002559F4">
            <w:pPr>
              <w:rPr>
                <w:rFonts w:cstheme="minorHAnsi"/>
                <w:lang w:val="sr-Latn-ME"/>
              </w:rPr>
            </w:pPr>
            <w:r>
              <w:rPr>
                <w:rFonts w:cstheme="minorHAnsi"/>
                <w:lang w:val="sr-Latn-ME"/>
              </w:rPr>
              <w:t>2.6</w:t>
            </w:r>
          </w:p>
        </w:tc>
        <w:tc>
          <w:tcPr>
            <w:tcW w:w="3856" w:type="dxa"/>
            <w:shd w:val="clear" w:color="auto" w:fill="auto"/>
          </w:tcPr>
          <w:p w14:paraId="669DE1C0" w14:textId="77777777" w:rsidR="005C229D" w:rsidRPr="00AC67F2"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auto"/>
          </w:tcPr>
          <w:p w14:paraId="51EA7E9B" w14:textId="6A8E77FB"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2C07E3D1" w14:textId="769DCF8B" w:rsidR="005C229D" w:rsidRPr="00AC67F2" w:rsidRDefault="008A46D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45BB84CB" w14:textId="77777777"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45E23E9B" w14:textId="77777777" w:rsidR="005C229D" w:rsidRPr="00A71811"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5C229D" w:rsidRPr="00AC67F2" w14:paraId="348B5B5E"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A4F3852" w14:textId="77777777" w:rsidR="005C229D" w:rsidRDefault="005C229D" w:rsidP="002559F4">
            <w:pPr>
              <w:rPr>
                <w:rFonts w:cstheme="minorHAnsi"/>
                <w:lang w:val="sr-Latn-ME"/>
              </w:rPr>
            </w:pPr>
            <w:r>
              <w:rPr>
                <w:rFonts w:cstheme="minorHAnsi"/>
                <w:lang w:val="sr-Latn-ME"/>
              </w:rPr>
              <w:t>2.7</w:t>
            </w:r>
          </w:p>
        </w:tc>
        <w:tc>
          <w:tcPr>
            <w:tcW w:w="3856" w:type="dxa"/>
          </w:tcPr>
          <w:p w14:paraId="4C30891D" w14:textId="441FCB15" w:rsidR="005C229D"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7D0909F4" w14:textId="70BBD59B"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5ECFCF79" w14:textId="70FE86FA" w:rsidR="005C229D" w:rsidRPr="00AC67F2" w:rsidRDefault="008A46D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65573C48" w14:textId="77777777"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EB08280" w14:textId="77777777" w:rsidR="005C229D" w:rsidRPr="00A71811"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5C229D" w:rsidRPr="00AC67F2" w14:paraId="694D645A"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13CEA15" w14:textId="7BF1D1BD" w:rsidR="005C229D" w:rsidRPr="00AC67F2" w:rsidRDefault="005C229D"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78ED05A9" w14:textId="77777777" w:rsidR="005C229D"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37FF2306" w14:textId="77777777" w:rsidR="005C229D" w:rsidRPr="005C2773" w:rsidRDefault="005C229D"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51EF761E" w14:textId="0100996E"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6A934E0A" w14:textId="0F0AB694" w:rsidR="005C229D" w:rsidRPr="00AC67F2" w:rsidRDefault="00CC3F7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3025BA1D" w14:textId="77777777"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261B444" w14:textId="08D30EFA" w:rsidR="005C229D" w:rsidRPr="00AC67F2" w:rsidRDefault="00E81970"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3F278B">
              <w:rPr>
                <w:rFonts w:cstheme="minorHAnsi"/>
                <w:sz w:val="18"/>
                <w:szCs w:val="18"/>
                <w:lang w:val="sr-Latn-ME"/>
              </w:rPr>
              <w:t>Strategija uglavnom koristi rodno neutralne izraze, međutim u djelovima gdje to nije moguće ne koristi se rodno senzitivan jezik</w:t>
            </w:r>
            <w:r>
              <w:rPr>
                <w:rFonts w:cstheme="minorHAnsi"/>
                <w:sz w:val="18"/>
                <w:szCs w:val="18"/>
                <w:lang w:val="sr-Latn-ME"/>
              </w:rPr>
              <w:t xml:space="preserve"> („osuđenik“)</w:t>
            </w:r>
          </w:p>
        </w:tc>
      </w:tr>
      <w:tr w:rsidR="005C229D" w:rsidRPr="00AC67F2" w14:paraId="2D64AED1"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590FADC1" w14:textId="77777777" w:rsidR="005C229D" w:rsidRPr="00AC67F2" w:rsidRDefault="005C229D" w:rsidP="002559F4">
            <w:pPr>
              <w:rPr>
                <w:rFonts w:cstheme="minorHAnsi"/>
                <w:lang w:val="sr-Latn-ME" w:eastAsia="en-GB"/>
              </w:rPr>
            </w:pPr>
            <w:r>
              <w:rPr>
                <w:rFonts w:cstheme="minorHAnsi"/>
                <w:lang w:val="sr-Latn-ME"/>
              </w:rPr>
              <w:t>Ukupno</w:t>
            </w:r>
          </w:p>
        </w:tc>
        <w:tc>
          <w:tcPr>
            <w:tcW w:w="747" w:type="dxa"/>
          </w:tcPr>
          <w:p w14:paraId="4989B5E1" w14:textId="77777777"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31360BD" w14:textId="77777777" w:rsidR="005C229D" w:rsidRPr="00527B8F"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597310FE" w14:textId="77777777"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E5FD46A" w14:textId="07083BBF" w:rsidR="005C229D" w:rsidRPr="00E72E03" w:rsidRDefault="002F103A"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1</w:t>
            </w:r>
            <w:r w:rsidR="005C229D" w:rsidRPr="00E72E03">
              <w:rPr>
                <w:rFonts w:cstheme="minorHAnsi"/>
                <w:b/>
                <w:bCs/>
                <w:sz w:val="28"/>
                <w:szCs w:val="28"/>
                <w:lang w:val="sr-Latn-ME"/>
              </w:rPr>
              <w:t>/</w:t>
            </w:r>
            <w:r w:rsidR="00C95F3E">
              <w:rPr>
                <w:rFonts w:cstheme="minorHAnsi"/>
                <w:b/>
                <w:bCs/>
                <w:sz w:val="28"/>
                <w:szCs w:val="28"/>
                <w:lang w:val="sr-Latn-ME"/>
              </w:rPr>
              <w:t>8</w:t>
            </w:r>
          </w:p>
        </w:tc>
      </w:tr>
    </w:tbl>
    <w:p w14:paraId="0A934645" w14:textId="77777777" w:rsidR="005C229D" w:rsidRPr="00AC67F2" w:rsidRDefault="005C229D" w:rsidP="005C229D">
      <w:pPr>
        <w:rPr>
          <w:rFonts w:cstheme="minorHAnsi"/>
          <w:lang w:val="sr-Latn-ME"/>
        </w:rPr>
      </w:pPr>
    </w:p>
    <w:p w14:paraId="4EFB7D56" w14:textId="77777777" w:rsidR="005C229D" w:rsidRPr="00852DD8" w:rsidRDefault="005C229D" w:rsidP="005C229D">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5C229D" w:rsidRPr="00AC67F2" w14:paraId="3B2F30F6"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210435E5" w14:textId="77777777" w:rsidR="005C229D" w:rsidRPr="00AC67F2" w:rsidRDefault="005C229D"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39944A04" w14:textId="77777777" w:rsidR="005C229D" w:rsidRPr="00AC67F2" w:rsidRDefault="005C229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08E83B4C" w14:textId="77777777" w:rsidR="005C229D" w:rsidRPr="00AC67F2" w:rsidRDefault="005C229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50377CCB" w14:textId="77777777" w:rsidR="005C229D" w:rsidRPr="00AC67F2" w:rsidRDefault="005C229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7BBB5BB2" w14:textId="77777777" w:rsidR="005C229D" w:rsidRPr="00AC67F2" w:rsidRDefault="005C229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5DB9C7B4" w14:textId="77777777" w:rsidR="005C229D" w:rsidRPr="00AC67F2" w:rsidRDefault="005C229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5C229D" w:rsidRPr="00AC67F2" w14:paraId="23895C81"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C762EC7" w14:textId="77777777" w:rsidR="005C229D" w:rsidRPr="00AC67F2" w:rsidRDefault="005C229D" w:rsidP="002559F4">
            <w:pPr>
              <w:rPr>
                <w:rFonts w:cstheme="minorHAnsi"/>
                <w:lang w:val="sr-Latn-ME"/>
              </w:rPr>
            </w:pPr>
            <w:r>
              <w:rPr>
                <w:rFonts w:cstheme="minorHAnsi"/>
                <w:lang w:val="sr-Latn-ME"/>
              </w:rPr>
              <w:t>3.1</w:t>
            </w:r>
          </w:p>
        </w:tc>
        <w:tc>
          <w:tcPr>
            <w:tcW w:w="3908" w:type="dxa"/>
          </w:tcPr>
          <w:p w14:paraId="7CED40DC" w14:textId="77777777" w:rsidR="005C229D" w:rsidRPr="00AC67F2"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34DE3D72" w14:textId="2C390F70"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CE80C44" w14:textId="24121082" w:rsidR="005C229D" w:rsidRPr="00AC67F2" w:rsidRDefault="008A46D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07" w:type="dxa"/>
          </w:tcPr>
          <w:p w14:paraId="7D2B5BF9" w14:textId="77777777"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03746668" w14:textId="77777777" w:rsidR="005C229D" w:rsidRPr="009A4E2D"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5C229D" w:rsidRPr="00AC67F2" w14:paraId="5018B881"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67AE8798" w14:textId="77777777" w:rsidR="005C229D" w:rsidRDefault="005C229D" w:rsidP="002559F4">
            <w:pPr>
              <w:rPr>
                <w:rFonts w:cstheme="minorHAnsi"/>
                <w:lang w:val="sr-Latn-ME"/>
              </w:rPr>
            </w:pPr>
            <w:r>
              <w:rPr>
                <w:rFonts w:cstheme="minorHAnsi"/>
                <w:lang w:val="sr-Latn-ME"/>
              </w:rPr>
              <w:t>Ukupno</w:t>
            </w:r>
          </w:p>
        </w:tc>
        <w:tc>
          <w:tcPr>
            <w:tcW w:w="760" w:type="dxa"/>
            <w:shd w:val="clear" w:color="auto" w:fill="auto"/>
          </w:tcPr>
          <w:p w14:paraId="2D94BE0B" w14:textId="77777777" w:rsidR="005C229D" w:rsidRPr="00AC67F2" w:rsidRDefault="005C229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3E4B6E15" w14:textId="77777777" w:rsidR="005C229D" w:rsidRPr="00527B8F"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6ECAFD68" w14:textId="77777777" w:rsidR="005C229D" w:rsidRPr="00AC67F2" w:rsidRDefault="005C22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7C68808E" w14:textId="383735EB" w:rsidR="005C229D" w:rsidRPr="00AC67F2" w:rsidRDefault="002F103A"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0</w:t>
            </w:r>
            <w:r w:rsidR="005C229D">
              <w:rPr>
                <w:rFonts w:cstheme="minorHAnsi"/>
                <w:b/>
                <w:bCs/>
                <w:sz w:val="28"/>
                <w:szCs w:val="28"/>
              </w:rPr>
              <w:t>/1</w:t>
            </w:r>
          </w:p>
        </w:tc>
      </w:tr>
    </w:tbl>
    <w:p w14:paraId="5F6AFC83" w14:textId="77777777" w:rsidR="005C229D" w:rsidRDefault="005C229D" w:rsidP="005C229D">
      <w:pPr>
        <w:rPr>
          <w:rFonts w:cstheme="minorHAnsi"/>
          <w:lang w:val="sr-Latn-ME"/>
        </w:rPr>
      </w:pPr>
    </w:p>
    <w:p w14:paraId="26660AA7" w14:textId="34FCE7C4" w:rsidR="005C229D" w:rsidRPr="00BB46DF" w:rsidRDefault="005C229D" w:rsidP="005C229D">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0000"/>
          <w:sz w:val="32"/>
          <w:szCs w:val="32"/>
          <w:lang w:val="sr-Latn-ME"/>
        </w:rPr>
      </w:pPr>
      <w:r w:rsidRPr="00BB46DF">
        <w:rPr>
          <w:rFonts w:cstheme="minorHAnsi"/>
          <w:color w:val="FF0000"/>
          <w:sz w:val="32"/>
          <w:szCs w:val="32"/>
          <w:lang w:val="sr-Latn-ME"/>
        </w:rPr>
        <w:lastRenderedPageBreak/>
        <w:t>Konačna ocjena: 1 od 1</w:t>
      </w:r>
      <w:r w:rsidR="00BB1E69">
        <w:rPr>
          <w:rFonts w:cstheme="minorHAnsi"/>
          <w:color w:val="FF0000"/>
          <w:sz w:val="32"/>
          <w:szCs w:val="32"/>
          <w:lang w:val="sr-Latn-ME"/>
        </w:rPr>
        <w:t>1</w:t>
      </w:r>
      <w:r w:rsidRPr="00BB46DF">
        <w:rPr>
          <w:rFonts w:cstheme="minorHAnsi"/>
          <w:color w:val="FF0000"/>
          <w:sz w:val="32"/>
          <w:szCs w:val="32"/>
          <w:lang w:val="sr-Latn-ME"/>
        </w:rPr>
        <w:t xml:space="preserve"> ili </w:t>
      </w:r>
      <w:r w:rsidRPr="00BB46DF">
        <w:rPr>
          <w:rFonts w:cstheme="minorHAnsi"/>
          <w:b/>
          <w:bCs/>
          <w:color w:val="FF0000"/>
          <w:sz w:val="32"/>
          <w:szCs w:val="32"/>
          <w:lang w:val="sr-Latn-ME"/>
        </w:rPr>
        <w:t>0.</w:t>
      </w:r>
      <w:r w:rsidR="00BB1E69" w:rsidRPr="00BB46DF">
        <w:rPr>
          <w:rFonts w:cstheme="minorHAnsi"/>
          <w:b/>
          <w:bCs/>
          <w:color w:val="FF0000"/>
          <w:sz w:val="32"/>
          <w:szCs w:val="32"/>
          <w:lang w:val="sr-Latn-ME"/>
        </w:rPr>
        <w:t>0</w:t>
      </w:r>
      <w:r w:rsidR="00BB1E69">
        <w:rPr>
          <w:rFonts w:cstheme="minorHAnsi"/>
          <w:b/>
          <w:bCs/>
          <w:color w:val="FF0000"/>
          <w:sz w:val="32"/>
          <w:szCs w:val="32"/>
          <w:lang w:val="sr-Latn-ME"/>
        </w:rPr>
        <w:t>9</w:t>
      </w:r>
      <w:r w:rsidR="00BB1E69" w:rsidRPr="00BB46DF">
        <w:rPr>
          <w:rFonts w:cstheme="minorHAnsi"/>
          <w:b/>
          <w:bCs/>
          <w:color w:val="FF0000"/>
          <w:sz w:val="32"/>
          <w:szCs w:val="32"/>
          <w:lang w:val="sr-Latn-ME"/>
        </w:rPr>
        <w:t xml:space="preserve"> </w:t>
      </w:r>
      <w:r w:rsidRPr="00BB46DF">
        <w:rPr>
          <w:rFonts w:cstheme="minorHAnsi"/>
          <w:b/>
          <w:bCs/>
          <w:color w:val="FF0000"/>
          <w:sz w:val="32"/>
          <w:szCs w:val="32"/>
          <w:lang w:val="sr-Latn-ME"/>
        </w:rPr>
        <w:t xml:space="preserve">– Strategija </w:t>
      </w:r>
      <w:r w:rsidR="00BB46DF" w:rsidRPr="00BB46DF">
        <w:rPr>
          <w:rFonts w:cstheme="minorHAnsi"/>
          <w:b/>
          <w:bCs/>
          <w:color w:val="FF0000"/>
          <w:sz w:val="32"/>
          <w:szCs w:val="32"/>
          <w:lang w:val="sr-Latn-ME"/>
        </w:rPr>
        <w:t>ni</w:t>
      </w:r>
      <w:r w:rsidRPr="00BB46DF">
        <w:rPr>
          <w:rFonts w:cstheme="minorHAnsi"/>
          <w:b/>
          <w:bCs/>
          <w:color w:val="FF0000"/>
          <w:sz w:val="32"/>
          <w:szCs w:val="32"/>
          <w:lang w:val="sr-Latn-ME"/>
        </w:rPr>
        <w:t>je u</w:t>
      </w:r>
      <w:r w:rsidR="00BB46DF" w:rsidRPr="00BB46DF">
        <w:rPr>
          <w:rFonts w:cstheme="minorHAnsi"/>
          <w:b/>
          <w:bCs/>
          <w:color w:val="FF0000"/>
          <w:sz w:val="32"/>
          <w:szCs w:val="32"/>
          <w:lang w:val="sr-Latn-ME"/>
        </w:rPr>
        <w:t>opšte</w:t>
      </w:r>
      <w:r w:rsidRPr="00BB46DF">
        <w:rPr>
          <w:rFonts w:cstheme="minorHAnsi"/>
          <w:b/>
          <w:bCs/>
          <w:color w:val="FF0000"/>
          <w:sz w:val="32"/>
          <w:szCs w:val="32"/>
          <w:lang w:val="sr-Latn-ME"/>
        </w:rPr>
        <w:t xml:space="preserve"> orodnjena</w:t>
      </w:r>
    </w:p>
    <w:p w14:paraId="0F0B0D1A" w14:textId="77777777" w:rsidR="005C229D" w:rsidRPr="005C229D" w:rsidRDefault="005C229D" w:rsidP="005C229D">
      <w:pPr>
        <w:rPr>
          <w:lang w:val="hr-HR"/>
        </w:rPr>
      </w:pPr>
    </w:p>
    <w:p w14:paraId="76BAA8A5" w14:textId="58B9D916" w:rsidR="00AC6EB8" w:rsidRDefault="009D5CC5" w:rsidP="006B7039">
      <w:pPr>
        <w:pStyle w:val="Heading3"/>
        <w:rPr>
          <w:noProof/>
          <w:lang w:val="hr-HR"/>
        </w:rPr>
      </w:pPr>
      <w:bookmarkStart w:id="17" w:name="_Toc100339539"/>
      <w:r>
        <w:rPr>
          <w:noProof/>
          <w:lang w:val="hr-HR"/>
        </w:rPr>
        <w:t xml:space="preserve">10. </w:t>
      </w:r>
      <w:r w:rsidR="00AC6EB8" w:rsidRPr="00AC6EB8">
        <w:rPr>
          <w:noProof/>
          <w:lang w:val="hr-HR"/>
        </w:rPr>
        <w:t>Strategija razvoja zvanične statistike 2019-2023</w:t>
      </w:r>
      <w:bookmarkEnd w:id="17"/>
    </w:p>
    <w:p w14:paraId="5AA967BB" w14:textId="77777777" w:rsidR="009D5CC5" w:rsidRPr="009D5CC5" w:rsidRDefault="009D5CC5" w:rsidP="009D5CC5"/>
    <w:p w14:paraId="06492DEE" w14:textId="3C2854BC" w:rsidR="006B7039" w:rsidRPr="00EB2118" w:rsidRDefault="00EB2118" w:rsidP="00B45018">
      <w:pPr>
        <w:jc w:val="both"/>
        <w:rPr>
          <w:lang w:val="sr-Latn-ME"/>
        </w:rPr>
      </w:pPr>
      <w:r>
        <w:rPr>
          <w:lang w:val="hr-HR"/>
        </w:rPr>
        <w:t>Ovom Strategijom se utvr</w:t>
      </w:r>
      <w:r>
        <w:rPr>
          <w:lang w:val="sr-Latn-ME"/>
        </w:rPr>
        <w:t xml:space="preserve">đuju razvojni pravci zvanične statistike </w:t>
      </w:r>
      <w:r w:rsidR="00DD3C29">
        <w:rPr>
          <w:lang w:val="sr-Latn-ME"/>
        </w:rPr>
        <w:t xml:space="preserve">za period do 2023. godine. Cilj je </w:t>
      </w:r>
      <w:r w:rsidR="00DD3C29" w:rsidRPr="00DD3C29">
        <w:rPr>
          <w:lang w:val="sr-Latn-ME"/>
        </w:rPr>
        <w:t>da se defišu dugoročni operativni ciljevi razvoja statističkog sistema Crne Gore</w:t>
      </w:r>
      <w:r w:rsidR="00DD3C29">
        <w:rPr>
          <w:lang w:val="sr-Latn-ME"/>
        </w:rPr>
        <w:t xml:space="preserve"> </w:t>
      </w:r>
      <w:r w:rsidR="00DD3C29" w:rsidRPr="00DD3C29">
        <w:rPr>
          <w:lang w:val="sr-Latn-ME"/>
        </w:rPr>
        <w:t>kojim će se svim korisnicima</w:t>
      </w:r>
      <w:r w:rsidR="00C04C8C">
        <w:rPr>
          <w:lang w:val="sr-Latn-ME"/>
        </w:rPr>
        <w:t>/cama</w:t>
      </w:r>
      <w:r w:rsidR="00DD3C29">
        <w:rPr>
          <w:lang w:val="sr-Latn-ME"/>
        </w:rPr>
        <w:t xml:space="preserve"> obezbijediti </w:t>
      </w:r>
      <w:r w:rsidR="00DD3C29" w:rsidRPr="00DD3C29">
        <w:rPr>
          <w:lang w:val="sr-Latn-ME"/>
        </w:rPr>
        <w:t>kvantitativne i reprezentativne informacije o ekonomskom, demografskom, socijalnom i stanju</w:t>
      </w:r>
      <w:r w:rsidR="00B45018">
        <w:rPr>
          <w:lang w:val="sr-Latn-ME"/>
        </w:rPr>
        <w:t xml:space="preserve"> </w:t>
      </w:r>
      <w:r w:rsidR="00DD3C29" w:rsidRPr="00DD3C29">
        <w:rPr>
          <w:lang w:val="sr-Latn-ME"/>
        </w:rPr>
        <w:t>životne sredine u Crnoj Gori, po međunarodno definisanoj metodologiji i najvišim profesionalnim</w:t>
      </w:r>
      <w:r w:rsidR="00B45018">
        <w:rPr>
          <w:lang w:val="sr-Latn-ME"/>
        </w:rPr>
        <w:t xml:space="preserve"> </w:t>
      </w:r>
      <w:r w:rsidR="00DD3C29" w:rsidRPr="00DD3C29">
        <w:rPr>
          <w:lang w:val="sr-Latn-ME"/>
        </w:rPr>
        <w:t>standardima.</w:t>
      </w:r>
    </w:p>
    <w:p w14:paraId="02121AF4" w14:textId="77777777" w:rsidR="006B7039" w:rsidRPr="007D71A2" w:rsidRDefault="006B7039" w:rsidP="006B7039">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6B7039" w:rsidRPr="00AC67F2" w14:paraId="42476075"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0BA0C2B5" w14:textId="77777777" w:rsidR="006B7039" w:rsidRPr="00AC67F2" w:rsidRDefault="006B7039"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315A58D9" w14:textId="77777777" w:rsidR="006B7039" w:rsidRPr="00AC67F2" w:rsidRDefault="006B703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720F450D" w14:textId="77777777" w:rsidR="006B7039" w:rsidRPr="00AC67F2" w:rsidRDefault="006B703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4ED8F893" w14:textId="77777777" w:rsidR="006B7039" w:rsidRPr="009148DB" w:rsidRDefault="006B7039"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74C4F066" w14:textId="77777777" w:rsidR="006B7039" w:rsidRPr="00AC67F2" w:rsidRDefault="006B703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6B7039" w:rsidRPr="00AC67F2" w14:paraId="7DF3E845"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474C3575" w14:textId="77777777" w:rsidR="006B7039" w:rsidRPr="00AC67F2" w:rsidRDefault="006B7039"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51AB91E2" w14:textId="77777777" w:rsidR="006B7039" w:rsidRPr="00DA659B"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3E0876C6" w14:textId="77777777" w:rsidR="006B7039" w:rsidRPr="00AC67F2"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65C16471"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47372D13"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2AC90C91" w14:textId="77777777" w:rsidR="006B7039" w:rsidRPr="00A545D6"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6B7039" w:rsidRPr="00AC67F2" w14:paraId="220DB6EB"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112297DB" w14:textId="77777777" w:rsidR="006B7039" w:rsidRPr="00AC67F2" w:rsidRDefault="006B7039" w:rsidP="002559F4">
            <w:pPr>
              <w:rPr>
                <w:rFonts w:cstheme="minorHAnsi"/>
                <w:lang w:val="sr-Latn-ME"/>
              </w:rPr>
            </w:pPr>
            <w:r>
              <w:rPr>
                <w:rFonts w:cstheme="minorHAnsi"/>
                <w:lang w:val="sr-Latn-ME"/>
              </w:rPr>
              <w:t>1.2</w:t>
            </w:r>
          </w:p>
        </w:tc>
        <w:tc>
          <w:tcPr>
            <w:tcW w:w="2443" w:type="pct"/>
          </w:tcPr>
          <w:p w14:paraId="7728588A" w14:textId="77777777" w:rsidR="006B7039"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61D997DF" w14:textId="77777777" w:rsidR="006B7039" w:rsidRPr="00AC67F2"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73A43C05"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7E9F8F3D"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4A470814" w14:textId="77777777" w:rsidR="006B7039" w:rsidRPr="00A545D6"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U Strategiji se navodi da je bila angažovana ekspertska pomoć, ali nije precizirano da se odnosila na rodnu perspektivu. </w:t>
            </w:r>
          </w:p>
        </w:tc>
      </w:tr>
      <w:tr w:rsidR="006B7039" w:rsidRPr="00AC67F2" w14:paraId="26607C2C"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032F0C13" w14:textId="77777777" w:rsidR="006B7039" w:rsidRPr="00AC67F2" w:rsidRDefault="006B7039" w:rsidP="002559F4">
            <w:pPr>
              <w:rPr>
                <w:rFonts w:cstheme="minorHAnsi"/>
                <w:lang w:val="sr-Latn-ME"/>
              </w:rPr>
            </w:pPr>
            <w:r>
              <w:rPr>
                <w:rFonts w:cstheme="minorHAnsi"/>
                <w:lang w:val="sr-Latn-ME"/>
              </w:rPr>
              <w:t>Ukupno</w:t>
            </w:r>
          </w:p>
        </w:tc>
        <w:tc>
          <w:tcPr>
            <w:tcW w:w="645" w:type="pct"/>
          </w:tcPr>
          <w:p w14:paraId="3EEED8F1" w14:textId="77777777" w:rsidR="006B7039" w:rsidRPr="00AC67F2"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6C057D8D" w14:textId="77777777" w:rsidR="006B7039" w:rsidRPr="00527B8F"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29AE7F90" w14:textId="77777777" w:rsidR="006B7039" w:rsidRPr="008C09CD" w:rsidRDefault="006B7039"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0/2</w:t>
            </w:r>
          </w:p>
        </w:tc>
      </w:tr>
    </w:tbl>
    <w:p w14:paraId="5E887B0D" w14:textId="77777777" w:rsidR="006B7039" w:rsidRPr="00F43A6C" w:rsidRDefault="006B7039" w:rsidP="006B7039">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6B7039" w:rsidRPr="00AC67F2" w14:paraId="71BF7257"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34E57E1C" w14:textId="77777777" w:rsidR="006B7039" w:rsidRPr="00AC67F2" w:rsidRDefault="006B7039"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6323D096" w14:textId="77777777" w:rsidR="006B7039" w:rsidRPr="00AC67F2" w:rsidRDefault="006B703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7005F137" w14:textId="77777777" w:rsidR="006B7039" w:rsidRPr="00AC67F2" w:rsidRDefault="006B703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2F03CC4F" w14:textId="77777777" w:rsidR="006B7039" w:rsidRPr="00AC67F2" w:rsidRDefault="006B703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3FC1B9F5" w14:textId="77777777" w:rsidR="006B7039" w:rsidRPr="00AC67F2" w:rsidRDefault="006B703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0607BBE2" w14:textId="77777777" w:rsidR="006B7039" w:rsidRPr="00AC67F2" w:rsidRDefault="006B703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6B7039" w:rsidRPr="00AC67F2" w14:paraId="2EE81C71"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8925802" w14:textId="77777777" w:rsidR="006B7039" w:rsidRPr="00AC67F2" w:rsidRDefault="006B7039"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01472DDB" w14:textId="77777777" w:rsidR="006B7039" w:rsidRPr="00AC67F2"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22B6D7F8" w14:textId="77777777" w:rsidR="006B7039" w:rsidRPr="00A00FA0"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tcPr>
          <w:p w14:paraId="5B87FB6B"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0AC5114D"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45357576" w14:textId="3FAF3A58" w:rsidR="006B7039" w:rsidRPr="00A71811" w:rsidRDefault="00A210B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Analiza je mogla da uključi podatke o tome koja rodna statistika nedostaje, npr. Gender pay gap.</w:t>
            </w:r>
          </w:p>
        </w:tc>
      </w:tr>
      <w:tr w:rsidR="006B7039" w:rsidRPr="00AC67F2" w14:paraId="795F5382"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997D619" w14:textId="77777777" w:rsidR="006B7039" w:rsidRPr="00AC67F2" w:rsidRDefault="006B7039" w:rsidP="002559F4">
            <w:pPr>
              <w:rPr>
                <w:rFonts w:cstheme="minorHAnsi"/>
                <w:lang w:val="sr-Latn-ME"/>
              </w:rPr>
            </w:pPr>
            <w:r>
              <w:rPr>
                <w:rFonts w:cstheme="minorHAnsi"/>
                <w:lang w:val="sr-Latn-ME"/>
              </w:rPr>
              <w:t>2.2</w:t>
            </w:r>
          </w:p>
        </w:tc>
        <w:tc>
          <w:tcPr>
            <w:tcW w:w="3856" w:type="dxa"/>
          </w:tcPr>
          <w:p w14:paraId="70FD35A6" w14:textId="77777777" w:rsidR="006B7039" w:rsidRPr="00AC67F2"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tcPr>
          <w:p w14:paraId="3D0026D4"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9DE60DE"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7336F3EB"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E388552" w14:textId="77777777" w:rsidR="006B7039" w:rsidRPr="00A71811"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6B7039" w:rsidRPr="00AC67F2" w14:paraId="4431DDAD"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9138F52" w14:textId="77777777" w:rsidR="006B7039" w:rsidRDefault="006B7039" w:rsidP="002559F4">
            <w:pPr>
              <w:rPr>
                <w:rFonts w:cstheme="minorHAnsi"/>
                <w:lang w:val="sr-Latn-ME"/>
              </w:rPr>
            </w:pPr>
            <w:r>
              <w:rPr>
                <w:rFonts w:cstheme="minorHAnsi"/>
                <w:lang w:val="sr-Latn-ME"/>
              </w:rPr>
              <w:lastRenderedPageBreak/>
              <w:t>2.3</w:t>
            </w:r>
          </w:p>
        </w:tc>
        <w:tc>
          <w:tcPr>
            <w:tcW w:w="3856" w:type="dxa"/>
          </w:tcPr>
          <w:p w14:paraId="5E6E289C" w14:textId="77777777" w:rsidR="006B7039"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tcPr>
          <w:p w14:paraId="4318D11F"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2A1B740B"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7A3FA568"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6B977B2" w14:textId="77777777" w:rsidR="006B7039" w:rsidRPr="00A71811"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6B7039" w:rsidRPr="00AC67F2" w14:paraId="73A2E76E"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481212FC" w14:textId="77777777" w:rsidR="006B7039" w:rsidRPr="00AC67F2" w:rsidRDefault="006B7039" w:rsidP="002559F4">
            <w:pPr>
              <w:rPr>
                <w:rFonts w:cstheme="minorHAnsi"/>
                <w:lang w:val="sr-Latn-ME"/>
              </w:rPr>
            </w:pPr>
            <w:r>
              <w:rPr>
                <w:rFonts w:cstheme="minorHAnsi"/>
                <w:lang w:val="sr-Latn-ME"/>
              </w:rPr>
              <w:t>2.4</w:t>
            </w:r>
          </w:p>
        </w:tc>
        <w:tc>
          <w:tcPr>
            <w:tcW w:w="3856" w:type="dxa"/>
            <w:shd w:val="clear" w:color="auto" w:fill="auto"/>
          </w:tcPr>
          <w:p w14:paraId="786F1EEA" w14:textId="77777777" w:rsidR="006B7039" w:rsidRPr="00AC67F2"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5A020140" w14:textId="77777777" w:rsidR="006B7039" w:rsidRPr="00C26A63"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auto"/>
          </w:tcPr>
          <w:p w14:paraId="19F6D309"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2D0AD17E"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1313A4B8" w14:textId="77777777" w:rsidR="006B7039" w:rsidRPr="00A71811"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6B7039" w:rsidRPr="00AC67F2" w14:paraId="7AC8DC94"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4B9556D4" w14:textId="77777777" w:rsidR="006B7039" w:rsidRDefault="006B7039" w:rsidP="002559F4">
            <w:pPr>
              <w:rPr>
                <w:rFonts w:cstheme="minorHAnsi"/>
                <w:lang w:val="sr-Latn-ME"/>
              </w:rPr>
            </w:pPr>
            <w:r>
              <w:rPr>
                <w:rFonts w:cstheme="minorHAnsi"/>
                <w:lang w:val="sr-Latn-ME"/>
              </w:rPr>
              <w:t>2.5</w:t>
            </w:r>
          </w:p>
        </w:tc>
        <w:tc>
          <w:tcPr>
            <w:tcW w:w="3856" w:type="dxa"/>
          </w:tcPr>
          <w:p w14:paraId="3B30E433" w14:textId="77777777" w:rsidR="006B7039" w:rsidRPr="00AC67F2"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5DAF428E" w14:textId="7A2D27CF"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27992D1C" w14:textId="315D393F" w:rsidR="006B7039" w:rsidRPr="00AC67F2" w:rsidRDefault="00A32D2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3A6457C0"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6872CA7" w14:textId="2B405687" w:rsidR="006B7039" w:rsidRPr="00A71811"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6B7039" w:rsidRPr="00AC67F2" w14:paraId="125ECA33" w14:textId="77777777" w:rsidTr="00FE0ACF">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06C318C6" w14:textId="77777777" w:rsidR="006B7039" w:rsidRPr="00FE0ACF" w:rsidRDefault="006B7039" w:rsidP="002559F4">
            <w:pPr>
              <w:rPr>
                <w:rFonts w:cstheme="minorHAnsi"/>
                <w:lang w:val="sr-Latn-ME"/>
              </w:rPr>
            </w:pPr>
            <w:r w:rsidRPr="00FE0ACF">
              <w:rPr>
                <w:rFonts w:cstheme="minorHAnsi"/>
                <w:lang w:val="sr-Latn-ME"/>
              </w:rPr>
              <w:t>2.6</w:t>
            </w:r>
          </w:p>
        </w:tc>
        <w:tc>
          <w:tcPr>
            <w:tcW w:w="3856" w:type="dxa"/>
            <w:shd w:val="clear" w:color="auto" w:fill="auto"/>
          </w:tcPr>
          <w:p w14:paraId="059A12EA" w14:textId="77777777" w:rsidR="006B7039" w:rsidRPr="00AC67F2"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FE0ACF">
              <w:rPr>
                <w:rFonts w:cstheme="minorHAnsi"/>
                <w:lang w:val="sr-Latn-ME"/>
              </w:rPr>
              <w:t>Da li postoji budžet za realizaciju tih mjera?</w:t>
            </w:r>
            <w:r>
              <w:rPr>
                <w:rFonts w:cstheme="minorHAnsi"/>
                <w:lang w:val="sr-Latn-ME"/>
              </w:rPr>
              <w:t xml:space="preserve"> </w:t>
            </w:r>
          </w:p>
        </w:tc>
        <w:tc>
          <w:tcPr>
            <w:tcW w:w="747" w:type="dxa"/>
            <w:shd w:val="clear" w:color="auto" w:fill="auto"/>
          </w:tcPr>
          <w:p w14:paraId="02D44A37"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252FE418" w14:textId="68B43823" w:rsidR="006B7039" w:rsidRPr="00AC67F2" w:rsidRDefault="00FE0ACF"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394E2478"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05D9DF79" w14:textId="77777777" w:rsidR="006B7039" w:rsidRPr="00A71811"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6B7039" w:rsidRPr="00AC67F2" w14:paraId="57A64203"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97FC491" w14:textId="77777777" w:rsidR="006B7039" w:rsidRDefault="006B7039" w:rsidP="002559F4">
            <w:pPr>
              <w:rPr>
                <w:rFonts w:cstheme="minorHAnsi"/>
                <w:lang w:val="sr-Latn-ME"/>
              </w:rPr>
            </w:pPr>
            <w:r>
              <w:rPr>
                <w:rFonts w:cstheme="minorHAnsi"/>
                <w:lang w:val="sr-Latn-ME"/>
              </w:rPr>
              <w:t>2.7</w:t>
            </w:r>
          </w:p>
        </w:tc>
        <w:tc>
          <w:tcPr>
            <w:tcW w:w="3856" w:type="dxa"/>
          </w:tcPr>
          <w:p w14:paraId="15A4D7CE" w14:textId="37F1B20C" w:rsidR="006B7039"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6FF7A73D"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0AD7D237"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14A82F9F"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3379D9D" w14:textId="77777777" w:rsidR="006B7039" w:rsidRPr="00A71811"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6B7039" w:rsidRPr="00AC67F2" w14:paraId="48271E0F"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03F4CDA" w14:textId="655417D4" w:rsidR="006B7039" w:rsidRPr="00AC67F2" w:rsidRDefault="006B7039"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3773FFEB" w14:textId="77777777" w:rsidR="006B7039"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782DA11A" w14:textId="77777777" w:rsidR="006B7039" w:rsidRPr="005C2773" w:rsidRDefault="006B7039"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098A4E45"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19E96F3B"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2B5CECD2"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6F60B95" w14:textId="04876A4C" w:rsidR="006B7039" w:rsidRPr="00AC67F2"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3F278B">
              <w:rPr>
                <w:rFonts w:cstheme="minorHAnsi"/>
                <w:sz w:val="18"/>
                <w:szCs w:val="18"/>
                <w:lang w:val="sr-Latn-ME"/>
              </w:rPr>
              <w:t>Strategija uglavnom koristi rodno neutralne izraze, međutim u djelovima gdje to nije moguće ne koristi se rodno senzitivan jezik</w:t>
            </w:r>
            <w:r>
              <w:rPr>
                <w:rFonts w:cstheme="minorHAnsi"/>
                <w:sz w:val="18"/>
                <w:szCs w:val="18"/>
                <w:lang w:val="sr-Latn-ME"/>
              </w:rPr>
              <w:t xml:space="preserve"> („</w:t>
            </w:r>
            <w:r w:rsidR="00B45018">
              <w:rPr>
                <w:rFonts w:cstheme="minorHAnsi"/>
                <w:sz w:val="18"/>
                <w:szCs w:val="18"/>
                <w:lang w:val="sr-Latn-ME"/>
              </w:rPr>
              <w:t>korisnici</w:t>
            </w:r>
            <w:r>
              <w:rPr>
                <w:rFonts w:cstheme="minorHAnsi"/>
                <w:sz w:val="18"/>
                <w:szCs w:val="18"/>
                <w:lang w:val="sr-Latn-ME"/>
              </w:rPr>
              <w:t>“</w:t>
            </w:r>
            <w:r w:rsidR="007D5448">
              <w:rPr>
                <w:rFonts w:cstheme="minorHAnsi"/>
                <w:sz w:val="18"/>
                <w:szCs w:val="18"/>
                <w:lang w:val="sr-Latn-ME"/>
              </w:rPr>
              <w:t>, „statističari“, „naučnici“...</w:t>
            </w:r>
            <w:r>
              <w:rPr>
                <w:rFonts w:cstheme="minorHAnsi"/>
                <w:sz w:val="18"/>
                <w:szCs w:val="18"/>
                <w:lang w:val="sr-Latn-ME"/>
              </w:rPr>
              <w:t>)</w:t>
            </w:r>
          </w:p>
        </w:tc>
      </w:tr>
      <w:tr w:rsidR="006B7039" w:rsidRPr="00AC67F2" w14:paraId="5BE68DCD"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1FB8F181" w14:textId="77777777" w:rsidR="006B7039" w:rsidRPr="00AC67F2" w:rsidRDefault="006B7039" w:rsidP="002559F4">
            <w:pPr>
              <w:rPr>
                <w:rFonts w:cstheme="minorHAnsi"/>
                <w:lang w:val="sr-Latn-ME" w:eastAsia="en-GB"/>
              </w:rPr>
            </w:pPr>
            <w:r>
              <w:rPr>
                <w:rFonts w:cstheme="minorHAnsi"/>
                <w:lang w:val="sr-Latn-ME"/>
              </w:rPr>
              <w:t>Ukupno</w:t>
            </w:r>
          </w:p>
        </w:tc>
        <w:tc>
          <w:tcPr>
            <w:tcW w:w="747" w:type="dxa"/>
          </w:tcPr>
          <w:p w14:paraId="1515A35B"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7A288417" w14:textId="77777777" w:rsidR="006B7039" w:rsidRPr="00527B8F"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7F6062BC"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FB8B438" w14:textId="3510D1A1" w:rsidR="006B7039" w:rsidRPr="00E72E03" w:rsidRDefault="003638DD"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0</w:t>
            </w:r>
            <w:r w:rsidR="006B7039" w:rsidRPr="00E72E03">
              <w:rPr>
                <w:rFonts w:cstheme="minorHAnsi"/>
                <w:b/>
                <w:bCs/>
                <w:sz w:val="28"/>
                <w:szCs w:val="28"/>
                <w:lang w:val="sr-Latn-ME"/>
              </w:rPr>
              <w:t>/</w:t>
            </w:r>
            <w:r w:rsidR="00FE0ACF">
              <w:rPr>
                <w:rFonts w:cstheme="minorHAnsi"/>
                <w:b/>
                <w:bCs/>
                <w:sz w:val="28"/>
                <w:szCs w:val="28"/>
                <w:lang w:val="sr-Latn-ME"/>
              </w:rPr>
              <w:t>8</w:t>
            </w:r>
          </w:p>
        </w:tc>
      </w:tr>
    </w:tbl>
    <w:p w14:paraId="36DAD9EC" w14:textId="77777777" w:rsidR="006B7039" w:rsidRPr="00AC67F2" w:rsidRDefault="006B7039" w:rsidP="006B7039">
      <w:pPr>
        <w:rPr>
          <w:rFonts w:cstheme="minorHAnsi"/>
          <w:lang w:val="sr-Latn-ME"/>
        </w:rPr>
      </w:pPr>
    </w:p>
    <w:p w14:paraId="04E71485" w14:textId="77777777" w:rsidR="006B7039" w:rsidRPr="00852DD8" w:rsidRDefault="006B7039" w:rsidP="006B7039">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6B7039" w:rsidRPr="00AC67F2" w14:paraId="76C32C63"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300AE75E" w14:textId="77777777" w:rsidR="006B7039" w:rsidRPr="00AC67F2" w:rsidRDefault="006B7039"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2D5ACBB4" w14:textId="77777777" w:rsidR="006B7039" w:rsidRPr="00AC67F2" w:rsidRDefault="006B703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0F4587F8" w14:textId="77777777" w:rsidR="006B7039" w:rsidRPr="00AC67F2" w:rsidRDefault="006B703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797DE4D2" w14:textId="77777777" w:rsidR="006B7039" w:rsidRPr="00AC67F2" w:rsidRDefault="006B703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6DC0412D" w14:textId="77777777" w:rsidR="006B7039" w:rsidRPr="00AC67F2" w:rsidRDefault="006B703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039142FA" w14:textId="77777777" w:rsidR="006B7039" w:rsidRPr="00AC67F2" w:rsidRDefault="006B7039"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6B7039" w:rsidRPr="00AC67F2" w14:paraId="4BD57F0A"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88ABB51" w14:textId="77777777" w:rsidR="006B7039" w:rsidRPr="00AC67F2" w:rsidRDefault="006B7039" w:rsidP="002559F4">
            <w:pPr>
              <w:rPr>
                <w:rFonts w:cstheme="minorHAnsi"/>
                <w:lang w:val="sr-Latn-ME"/>
              </w:rPr>
            </w:pPr>
            <w:r>
              <w:rPr>
                <w:rFonts w:cstheme="minorHAnsi"/>
                <w:lang w:val="sr-Latn-ME"/>
              </w:rPr>
              <w:t>3.1</w:t>
            </w:r>
          </w:p>
        </w:tc>
        <w:tc>
          <w:tcPr>
            <w:tcW w:w="3908" w:type="dxa"/>
          </w:tcPr>
          <w:p w14:paraId="3D40D4E3" w14:textId="77777777" w:rsidR="006B7039" w:rsidRPr="00AC67F2"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7B33E6B9"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11273461"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07" w:type="dxa"/>
          </w:tcPr>
          <w:p w14:paraId="281139BE"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37E0F2F5" w14:textId="77777777" w:rsidR="006B7039" w:rsidRPr="009A4E2D"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6B7039" w:rsidRPr="00AC67F2" w14:paraId="663D8FFD"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58777AE6" w14:textId="77777777" w:rsidR="006B7039" w:rsidRDefault="006B7039" w:rsidP="002559F4">
            <w:pPr>
              <w:rPr>
                <w:rFonts w:cstheme="minorHAnsi"/>
                <w:lang w:val="sr-Latn-ME"/>
              </w:rPr>
            </w:pPr>
            <w:r>
              <w:rPr>
                <w:rFonts w:cstheme="minorHAnsi"/>
                <w:lang w:val="sr-Latn-ME"/>
              </w:rPr>
              <w:t>Ukupno</w:t>
            </w:r>
          </w:p>
        </w:tc>
        <w:tc>
          <w:tcPr>
            <w:tcW w:w="760" w:type="dxa"/>
            <w:shd w:val="clear" w:color="auto" w:fill="auto"/>
          </w:tcPr>
          <w:p w14:paraId="7AB2A257" w14:textId="77777777" w:rsidR="006B7039" w:rsidRPr="00AC67F2" w:rsidRDefault="006B7039"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320AED2D" w14:textId="77777777" w:rsidR="006B7039" w:rsidRPr="00527B8F"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68399DB4" w14:textId="77777777" w:rsidR="006B7039" w:rsidRPr="00AC67F2" w:rsidRDefault="006B703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0563F1BD" w14:textId="77777777" w:rsidR="006B7039" w:rsidRPr="00AC67F2" w:rsidRDefault="006B7039"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0/1</w:t>
            </w:r>
          </w:p>
        </w:tc>
      </w:tr>
    </w:tbl>
    <w:p w14:paraId="62C9BCD1" w14:textId="77777777" w:rsidR="006B7039" w:rsidRDefault="006B7039" w:rsidP="006B7039">
      <w:pPr>
        <w:rPr>
          <w:rFonts w:cstheme="minorHAnsi"/>
          <w:lang w:val="sr-Latn-ME"/>
        </w:rPr>
      </w:pPr>
    </w:p>
    <w:p w14:paraId="705D8AF2" w14:textId="21E0935F" w:rsidR="006B7039" w:rsidRPr="00BB46DF" w:rsidRDefault="006B7039" w:rsidP="006B7039">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0000"/>
          <w:sz w:val="32"/>
          <w:szCs w:val="32"/>
          <w:lang w:val="sr-Latn-ME"/>
        </w:rPr>
      </w:pPr>
      <w:r w:rsidRPr="00BB46DF">
        <w:rPr>
          <w:rFonts w:cstheme="minorHAnsi"/>
          <w:color w:val="FF0000"/>
          <w:sz w:val="32"/>
          <w:szCs w:val="32"/>
          <w:lang w:val="sr-Latn-ME"/>
        </w:rPr>
        <w:t xml:space="preserve">Konačna ocjena: </w:t>
      </w:r>
      <w:r w:rsidR="00286065">
        <w:rPr>
          <w:rFonts w:cstheme="minorHAnsi"/>
          <w:color w:val="FF0000"/>
          <w:sz w:val="32"/>
          <w:szCs w:val="32"/>
          <w:lang w:val="sr-Latn-ME"/>
        </w:rPr>
        <w:t>0</w:t>
      </w:r>
      <w:r w:rsidRPr="00BB46DF">
        <w:rPr>
          <w:rFonts w:cstheme="minorHAnsi"/>
          <w:color w:val="FF0000"/>
          <w:sz w:val="32"/>
          <w:szCs w:val="32"/>
          <w:lang w:val="sr-Latn-ME"/>
        </w:rPr>
        <w:t xml:space="preserve"> od 1</w:t>
      </w:r>
      <w:r w:rsidR="00FE0ACF">
        <w:rPr>
          <w:rFonts w:cstheme="minorHAnsi"/>
          <w:color w:val="FF0000"/>
          <w:sz w:val="32"/>
          <w:szCs w:val="32"/>
          <w:lang w:val="sr-Latn-ME"/>
        </w:rPr>
        <w:t>1</w:t>
      </w:r>
      <w:r w:rsidRPr="00BB46DF">
        <w:rPr>
          <w:rFonts w:cstheme="minorHAnsi"/>
          <w:color w:val="FF0000"/>
          <w:sz w:val="32"/>
          <w:szCs w:val="32"/>
          <w:lang w:val="sr-Latn-ME"/>
        </w:rPr>
        <w:t xml:space="preserve"> ili </w:t>
      </w:r>
      <w:r w:rsidRPr="00BB46DF">
        <w:rPr>
          <w:rFonts w:cstheme="minorHAnsi"/>
          <w:b/>
          <w:bCs/>
          <w:color w:val="FF0000"/>
          <w:sz w:val="32"/>
          <w:szCs w:val="32"/>
          <w:lang w:val="sr-Latn-ME"/>
        </w:rPr>
        <w:t>0.0</w:t>
      </w:r>
      <w:r w:rsidR="00286065">
        <w:rPr>
          <w:rFonts w:cstheme="minorHAnsi"/>
          <w:b/>
          <w:bCs/>
          <w:color w:val="FF0000"/>
          <w:sz w:val="32"/>
          <w:szCs w:val="32"/>
          <w:lang w:val="sr-Latn-ME"/>
        </w:rPr>
        <w:t>0</w:t>
      </w:r>
      <w:r w:rsidRPr="00BB46DF">
        <w:rPr>
          <w:rFonts w:cstheme="minorHAnsi"/>
          <w:b/>
          <w:bCs/>
          <w:color w:val="FF0000"/>
          <w:sz w:val="32"/>
          <w:szCs w:val="32"/>
          <w:lang w:val="sr-Latn-ME"/>
        </w:rPr>
        <w:t xml:space="preserve"> – Strategija nije uopšte orodnjena</w:t>
      </w:r>
    </w:p>
    <w:p w14:paraId="3FD5D0E5" w14:textId="77777777" w:rsidR="007210BD" w:rsidRPr="0053536E" w:rsidRDefault="007210BD" w:rsidP="0053536E"/>
    <w:p w14:paraId="517DF64D" w14:textId="399FE671" w:rsidR="00286065" w:rsidRDefault="009D5CC5" w:rsidP="0099180D">
      <w:pPr>
        <w:pStyle w:val="Heading3"/>
        <w:rPr>
          <w:noProof/>
          <w:lang w:val="hr-HR"/>
        </w:rPr>
      </w:pPr>
      <w:bookmarkStart w:id="18" w:name="_Toc100339540"/>
      <w:r>
        <w:rPr>
          <w:noProof/>
          <w:lang w:val="hr-HR"/>
        </w:rPr>
        <w:lastRenderedPageBreak/>
        <w:t>1</w:t>
      </w:r>
      <w:r w:rsidR="00227611">
        <w:rPr>
          <w:noProof/>
          <w:lang w:val="hr-HR"/>
        </w:rPr>
        <w:t>1</w:t>
      </w:r>
      <w:r>
        <w:rPr>
          <w:noProof/>
          <w:lang w:val="hr-HR"/>
        </w:rPr>
        <w:t xml:space="preserve">. </w:t>
      </w:r>
      <w:r w:rsidR="0099180D" w:rsidRPr="00C41634">
        <w:rPr>
          <w:noProof/>
          <w:lang w:val="hr-HR"/>
        </w:rPr>
        <w:t>Strategija za cjeloživotno preduzetničko učenje 2020-2024</w:t>
      </w:r>
      <w:bookmarkEnd w:id="18"/>
    </w:p>
    <w:p w14:paraId="4B2B3DA7" w14:textId="77777777" w:rsidR="0099180D" w:rsidRDefault="0099180D" w:rsidP="0099180D">
      <w:pPr>
        <w:rPr>
          <w:b/>
          <w:bCs/>
          <w:lang w:val="sr-Latn-ME"/>
        </w:rPr>
      </w:pPr>
    </w:p>
    <w:p w14:paraId="7BDAEAC7" w14:textId="2AFC6092" w:rsidR="00FD09B1" w:rsidRPr="00FD09B1" w:rsidRDefault="00FD09B1" w:rsidP="00FF0114">
      <w:pPr>
        <w:jc w:val="both"/>
        <w:rPr>
          <w:lang w:val="sr-Latn-ME"/>
        </w:rPr>
      </w:pPr>
      <w:r>
        <w:rPr>
          <w:lang w:val="sr-Latn-ME"/>
        </w:rPr>
        <w:t xml:space="preserve">Ovaj dokument bi trebalo da predstavlja </w:t>
      </w:r>
      <w:r w:rsidR="00FF0114">
        <w:rPr>
          <w:lang w:val="sr-Latn-ME"/>
        </w:rPr>
        <w:t>plan promjena u obl</w:t>
      </w:r>
      <w:r w:rsidR="00C04C8C">
        <w:rPr>
          <w:lang w:val="sr-Latn-ME"/>
        </w:rPr>
        <w:t>a</w:t>
      </w:r>
      <w:r w:rsidR="00FF0114">
        <w:rPr>
          <w:lang w:val="sr-Latn-ME"/>
        </w:rPr>
        <w:t xml:space="preserve">sti preduzetničkog učenja kako bi se ono uvelo na svim nivoima obrazovanja, </w:t>
      </w:r>
      <w:r w:rsidR="00033977">
        <w:rPr>
          <w:lang w:val="sr-Latn-ME"/>
        </w:rPr>
        <w:t xml:space="preserve">prilagodilo potrebama konkretnih specifičnih ciljnih grupa, promovisalo i uključilo relevantne partnere. </w:t>
      </w:r>
    </w:p>
    <w:p w14:paraId="6254987D" w14:textId="5836D8E2" w:rsidR="0099180D" w:rsidRPr="007D71A2" w:rsidRDefault="0099180D" w:rsidP="0099180D">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99180D" w:rsidRPr="00AC67F2" w14:paraId="01D940EE"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626AEB25" w14:textId="77777777" w:rsidR="0099180D" w:rsidRPr="00AC67F2" w:rsidRDefault="0099180D"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3ACBCE52" w14:textId="77777777" w:rsidR="0099180D" w:rsidRPr="00AC67F2" w:rsidRDefault="0099180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37B6FE80" w14:textId="77777777" w:rsidR="0099180D" w:rsidRPr="00AC67F2" w:rsidRDefault="0099180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024E3EC2" w14:textId="77777777" w:rsidR="0099180D" w:rsidRPr="009148DB" w:rsidRDefault="0099180D"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0ECA4C2E" w14:textId="77777777" w:rsidR="0099180D" w:rsidRPr="00AC67F2" w:rsidRDefault="0099180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99180D" w:rsidRPr="00AC67F2" w14:paraId="62F9170C"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069CA821" w14:textId="77777777" w:rsidR="0099180D" w:rsidRPr="00AC67F2" w:rsidRDefault="0099180D"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42EAC046" w14:textId="77777777" w:rsidR="0099180D" w:rsidRPr="00DA659B"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42DF166F" w14:textId="77777777" w:rsidR="0099180D" w:rsidRPr="00AC67F2"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036C8927"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75D65510"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3A8A33FC" w14:textId="77777777" w:rsidR="0099180D" w:rsidRPr="00A545D6"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99180D" w:rsidRPr="00AC67F2" w14:paraId="36347A4A"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08F612A9" w14:textId="77777777" w:rsidR="0099180D" w:rsidRPr="00AC67F2" w:rsidRDefault="0099180D" w:rsidP="002559F4">
            <w:pPr>
              <w:rPr>
                <w:rFonts w:cstheme="minorHAnsi"/>
                <w:lang w:val="sr-Latn-ME"/>
              </w:rPr>
            </w:pPr>
            <w:r>
              <w:rPr>
                <w:rFonts w:cstheme="minorHAnsi"/>
                <w:lang w:val="sr-Latn-ME"/>
              </w:rPr>
              <w:t>1.2</w:t>
            </w:r>
          </w:p>
        </w:tc>
        <w:tc>
          <w:tcPr>
            <w:tcW w:w="2443" w:type="pct"/>
          </w:tcPr>
          <w:p w14:paraId="63369510" w14:textId="77777777" w:rsidR="0099180D"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40018571" w14:textId="77777777" w:rsidR="0099180D" w:rsidRPr="00AC67F2"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156918D8"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7BEAD34F"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7AB96A6B" w14:textId="77777777" w:rsidR="0099180D" w:rsidRPr="00A545D6"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U Strategiji se navodi da je bila angažovana ekspertska pomoć, ali nije precizirano da se odnosila na rodnu perspektivu. </w:t>
            </w:r>
          </w:p>
        </w:tc>
      </w:tr>
      <w:tr w:rsidR="0099180D" w:rsidRPr="00AC67F2" w14:paraId="2932F5ED"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1644469F" w14:textId="77777777" w:rsidR="0099180D" w:rsidRPr="00AC67F2" w:rsidRDefault="0099180D" w:rsidP="002559F4">
            <w:pPr>
              <w:rPr>
                <w:rFonts w:cstheme="minorHAnsi"/>
                <w:lang w:val="sr-Latn-ME"/>
              </w:rPr>
            </w:pPr>
            <w:r>
              <w:rPr>
                <w:rFonts w:cstheme="minorHAnsi"/>
                <w:lang w:val="sr-Latn-ME"/>
              </w:rPr>
              <w:t>Ukupno</w:t>
            </w:r>
          </w:p>
        </w:tc>
        <w:tc>
          <w:tcPr>
            <w:tcW w:w="645" w:type="pct"/>
          </w:tcPr>
          <w:p w14:paraId="5455FE27" w14:textId="77777777" w:rsidR="0099180D" w:rsidRPr="00AC67F2"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02040772" w14:textId="77777777" w:rsidR="0099180D" w:rsidRPr="00527B8F"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6F9E5BC1" w14:textId="77777777" w:rsidR="0099180D" w:rsidRPr="008C09CD" w:rsidRDefault="0099180D"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0/2</w:t>
            </w:r>
          </w:p>
        </w:tc>
      </w:tr>
    </w:tbl>
    <w:p w14:paraId="2311446A" w14:textId="77777777" w:rsidR="0099180D" w:rsidRPr="00F43A6C" w:rsidRDefault="0099180D" w:rsidP="0099180D">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99180D" w:rsidRPr="00AC67F2" w14:paraId="32FBE864"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687A5CA3" w14:textId="77777777" w:rsidR="0099180D" w:rsidRPr="00AC67F2" w:rsidRDefault="0099180D"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3940DA04" w14:textId="77777777" w:rsidR="0099180D" w:rsidRPr="00AC67F2" w:rsidRDefault="0099180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07F8AE83" w14:textId="77777777" w:rsidR="0099180D" w:rsidRPr="00AC67F2" w:rsidRDefault="0099180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6A4B9002" w14:textId="77777777" w:rsidR="0099180D" w:rsidRPr="00AC67F2" w:rsidRDefault="0099180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6FE0944F" w14:textId="77777777" w:rsidR="0099180D" w:rsidRPr="00AC67F2" w:rsidRDefault="0099180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15A69702" w14:textId="77777777" w:rsidR="0099180D" w:rsidRPr="00AC67F2" w:rsidRDefault="0099180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99180D" w:rsidRPr="00AC67F2" w14:paraId="384B812E"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50F14CE" w14:textId="77777777" w:rsidR="0099180D" w:rsidRPr="00AC67F2" w:rsidRDefault="0099180D"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2E9DD976" w14:textId="77777777" w:rsidR="0099180D" w:rsidRPr="00AC67F2"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78AC474D" w14:textId="77777777" w:rsidR="0099180D" w:rsidRPr="00A00FA0"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tcPr>
          <w:p w14:paraId="04384119"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7D2613C0"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8D0AB61" w14:textId="496AAC16" w:rsidR="0099180D" w:rsidRPr="00A71811" w:rsidRDefault="003B02A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Pominje se žensko preduzetništvo kao oblast na kojoj treba raditi, ali ne postoje podaci. </w:t>
            </w:r>
          </w:p>
        </w:tc>
      </w:tr>
      <w:tr w:rsidR="0099180D" w:rsidRPr="00AC67F2" w14:paraId="6CD053DC"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43A78C7D" w14:textId="77777777" w:rsidR="0099180D" w:rsidRPr="00AC67F2" w:rsidRDefault="0099180D" w:rsidP="002559F4">
            <w:pPr>
              <w:rPr>
                <w:rFonts w:cstheme="minorHAnsi"/>
                <w:lang w:val="sr-Latn-ME"/>
              </w:rPr>
            </w:pPr>
            <w:r>
              <w:rPr>
                <w:rFonts w:cstheme="minorHAnsi"/>
                <w:lang w:val="sr-Latn-ME"/>
              </w:rPr>
              <w:t>2.2</w:t>
            </w:r>
          </w:p>
        </w:tc>
        <w:tc>
          <w:tcPr>
            <w:tcW w:w="3856" w:type="dxa"/>
          </w:tcPr>
          <w:p w14:paraId="0DC57BE4" w14:textId="77777777" w:rsidR="0099180D" w:rsidRPr="00AC67F2"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tcPr>
          <w:p w14:paraId="6C2EA38E" w14:textId="02FAE508" w:rsidR="0099180D" w:rsidRPr="00AC67F2" w:rsidRDefault="003B02A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54457499" w14:textId="1241D7A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0796EEB9"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4450DA37" w14:textId="12A16FA8" w:rsidR="0099180D" w:rsidRPr="00A71811" w:rsidRDefault="003B02A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Da, u dijelu manje razvijenog </w:t>
            </w:r>
            <w:r w:rsidR="0051590D">
              <w:rPr>
                <w:rFonts w:cstheme="minorHAnsi"/>
                <w:sz w:val="18"/>
                <w:szCs w:val="18"/>
                <w:lang w:val="sr-Latn-ME"/>
              </w:rPr>
              <w:t xml:space="preserve">ženskog preduzetništva. </w:t>
            </w:r>
          </w:p>
        </w:tc>
      </w:tr>
      <w:tr w:rsidR="0099180D" w:rsidRPr="00AC67F2" w14:paraId="699B2DCE"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F2DFDA2" w14:textId="77777777" w:rsidR="0099180D" w:rsidRDefault="0099180D" w:rsidP="002559F4">
            <w:pPr>
              <w:rPr>
                <w:rFonts w:cstheme="minorHAnsi"/>
                <w:lang w:val="sr-Latn-ME"/>
              </w:rPr>
            </w:pPr>
            <w:r>
              <w:rPr>
                <w:rFonts w:cstheme="minorHAnsi"/>
                <w:lang w:val="sr-Latn-ME"/>
              </w:rPr>
              <w:t>2.3</w:t>
            </w:r>
          </w:p>
        </w:tc>
        <w:tc>
          <w:tcPr>
            <w:tcW w:w="3856" w:type="dxa"/>
          </w:tcPr>
          <w:p w14:paraId="7267FA1A" w14:textId="77777777" w:rsidR="0099180D"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tcPr>
          <w:p w14:paraId="19F2B7E0"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0F84CCBE"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74AF499F"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03A8463C" w14:textId="77777777" w:rsidR="0099180D" w:rsidRPr="00A71811"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99180D" w:rsidRPr="00AC67F2" w14:paraId="57720A6B"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01393904" w14:textId="77777777" w:rsidR="0099180D" w:rsidRPr="00AC67F2" w:rsidRDefault="0099180D" w:rsidP="002559F4">
            <w:pPr>
              <w:rPr>
                <w:rFonts w:cstheme="minorHAnsi"/>
                <w:lang w:val="sr-Latn-ME"/>
              </w:rPr>
            </w:pPr>
            <w:r>
              <w:rPr>
                <w:rFonts w:cstheme="minorHAnsi"/>
                <w:lang w:val="sr-Latn-ME"/>
              </w:rPr>
              <w:t>2.4</w:t>
            </w:r>
          </w:p>
        </w:tc>
        <w:tc>
          <w:tcPr>
            <w:tcW w:w="3856" w:type="dxa"/>
            <w:shd w:val="clear" w:color="auto" w:fill="auto"/>
          </w:tcPr>
          <w:p w14:paraId="0B4D07A1" w14:textId="77777777" w:rsidR="0099180D" w:rsidRPr="00AC67F2"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252A4F4F" w14:textId="1A0E9F2B" w:rsidR="0099180D" w:rsidRPr="00C26A63" w:rsidRDefault="00D8609B"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shd w:val="clear" w:color="auto" w:fill="auto"/>
          </w:tcPr>
          <w:p w14:paraId="633141EE" w14:textId="695C6EAC"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73BB40CE"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71B21239" w14:textId="761AFC08" w:rsidR="0099180D" w:rsidRPr="00D8609B" w:rsidRDefault="0084118B"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D8609B">
              <w:rPr>
                <w:rFonts w:cstheme="minorHAnsi"/>
                <w:sz w:val="18"/>
                <w:szCs w:val="18"/>
              </w:rPr>
              <w:t xml:space="preserve">Operativni cilj OC 2.2 - </w:t>
            </w:r>
            <w:r w:rsidR="00D8609B" w:rsidRPr="00D8609B">
              <w:rPr>
                <w:rFonts w:cstheme="minorHAnsi"/>
                <w:sz w:val="18"/>
                <w:szCs w:val="18"/>
              </w:rPr>
              <w:t xml:space="preserve">Unaprijediti vještine i preduzetničke kompetencije za </w:t>
            </w:r>
            <w:r w:rsidR="00D8609B" w:rsidRPr="00D8609B">
              <w:rPr>
                <w:rFonts w:cstheme="minorHAnsi"/>
                <w:sz w:val="18"/>
                <w:szCs w:val="18"/>
              </w:rPr>
              <w:lastRenderedPageBreak/>
              <w:t>različite ciljne grupe (nezaposleni, mladi, žene, odrasli, itd.)</w:t>
            </w:r>
          </w:p>
        </w:tc>
      </w:tr>
      <w:tr w:rsidR="0099180D" w:rsidRPr="00AC67F2" w14:paraId="6EC1FA70"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4D06927F" w14:textId="77777777" w:rsidR="0099180D" w:rsidRDefault="0099180D" w:rsidP="002559F4">
            <w:pPr>
              <w:rPr>
                <w:rFonts w:cstheme="minorHAnsi"/>
                <w:lang w:val="sr-Latn-ME"/>
              </w:rPr>
            </w:pPr>
            <w:r>
              <w:rPr>
                <w:rFonts w:cstheme="minorHAnsi"/>
                <w:lang w:val="sr-Latn-ME"/>
              </w:rPr>
              <w:lastRenderedPageBreak/>
              <w:t>2.5</w:t>
            </w:r>
          </w:p>
        </w:tc>
        <w:tc>
          <w:tcPr>
            <w:tcW w:w="3856" w:type="dxa"/>
          </w:tcPr>
          <w:p w14:paraId="102EF3FF" w14:textId="77777777" w:rsidR="0099180D" w:rsidRPr="00AC67F2"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745339A7" w14:textId="6AEEB0D8" w:rsidR="0099180D" w:rsidRPr="00AC67F2" w:rsidRDefault="005159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37D7A877" w14:textId="7952720F"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6766AD2D"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90E9048" w14:textId="77777777" w:rsidR="0099180D" w:rsidRPr="00A71811"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99180D" w:rsidRPr="00AC67F2" w14:paraId="57E8F9B6" w14:textId="77777777" w:rsidTr="003E7D9D">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22B18430" w14:textId="77777777" w:rsidR="0099180D" w:rsidRPr="00AC67F2" w:rsidRDefault="0099180D" w:rsidP="002559F4">
            <w:pPr>
              <w:rPr>
                <w:rFonts w:cstheme="minorHAnsi"/>
                <w:lang w:val="sr-Latn-ME"/>
              </w:rPr>
            </w:pPr>
            <w:r>
              <w:rPr>
                <w:rFonts w:cstheme="minorHAnsi"/>
                <w:lang w:val="sr-Latn-ME"/>
              </w:rPr>
              <w:t>2.6</w:t>
            </w:r>
          </w:p>
        </w:tc>
        <w:tc>
          <w:tcPr>
            <w:tcW w:w="3856" w:type="dxa"/>
            <w:shd w:val="clear" w:color="auto" w:fill="auto"/>
          </w:tcPr>
          <w:p w14:paraId="0F28F5B0" w14:textId="77777777" w:rsidR="0099180D" w:rsidRPr="00AC67F2"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auto"/>
          </w:tcPr>
          <w:p w14:paraId="31662905" w14:textId="12FC6F2E" w:rsidR="0099180D" w:rsidRPr="00AC67F2" w:rsidRDefault="003E7D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shd w:val="clear" w:color="auto" w:fill="auto"/>
          </w:tcPr>
          <w:p w14:paraId="3740749E"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3EC69608"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6376996E" w14:textId="77777777" w:rsidR="0099180D" w:rsidRPr="00A71811"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99180D" w:rsidRPr="00AC67F2" w14:paraId="05301EEC"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FC09269" w14:textId="77777777" w:rsidR="0099180D" w:rsidRDefault="0099180D" w:rsidP="002559F4">
            <w:pPr>
              <w:rPr>
                <w:rFonts w:cstheme="minorHAnsi"/>
                <w:lang w:val="sr-Latn-ME"/>
              </w:rPr>
            </w:pPr>
            <w:r>
              <w:rPr>
                <w:rFonts w:cstheme="minorHAnsi"/>
                <w:lang w:val="sr-Latn-ME"/>
              </w:rPr>
              <w:t>2.7</w:t>
            </w:r>
          </w:p>
        </w:tc>
        <w:tc>
          <w:tcPr>
            <w:tcW w:w="3856" w:type="dxa"/>
          </w:tcPr>
          <w:p w14:paraId="39BD9113" w14:textId="6A50365D" w:rsidR="0099180D"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387351F5"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3B1BE57E"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383FE32C"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05FAE502" w14:textId="77777777" w:rsidR="0099180D" w:rsidRPr="00A71811"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99180D" w:rsidRPr="00AC67F2" w14:paraId="0CB2DFAA"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21F091F" w14:textId="2C7476C4" w:rsidR="0099180D" w:rsidRPr="00AC67F2" w:rsidRDefault="0099180D"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1BADA562" w14:textId="77777777" w:rsidR="0099180D"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6FAE6023" w14:textId="77777777" w:rsidR="0099180D" w:rsidRPr="005C2773" w:rsidRDefault="0099180D"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0FAB201F"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32FBED0D"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05C1D083"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768DB52" w14:textId="1A96C242" w:rsidR="0099180D" w:rsidRPr="00AC67F2"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3F278B">
              <w:rPr>
                <w:rFonts w:cstheme="minorHAnsi"/>
                <w:sz w:val="18"/>
                <w:szCs w:val="18"/>
                <w:lang w:val="sr-Latn-ME"/>
              </w:rPr>
              <w:t>Strategija uglavnom koristi rodno neutralne izraze, međutim u djelovima gdje to nije moguće ne koristi se rodno senzitivan jezik</w:t>
            </w:r>
            <w:r>
              <w:rPr>
                <w:rFonts w:cstheme="minorHAnsi"/>
                <w:sz w:val="18"/>
                <w:szCs w:val="18"/>
                <w:lang w:val="sr-Latn-ME"/>
              </w:rPr>
              <w:t xml:space="preserve"> („</w:t>
            </w:r>
            <w:r w:rsidR="00DA20FA">
              <w:rPr>
                <w:rFonts w:cstheme="minorHAnsi"/>
                <w:sz w:val="18"/>
                <w:szCs w:val="18"/>
                <w:lang w:val="sr-Latn-ME"/>
              </w:rPr>
              <w:t>radnici</w:t>
            </w:r>
            <w:r>
              <w:rPr>
                <w:rFonts w:cstheme="minorHAnsi"/>
                <w:sz w:val="18"/>
                <w:szCs w:val="18"/>
                <w:lang w:val="sr-Latn-ME"/>
              </w:rPr>
              <w:t>“, „</w:t>
            </w:r>
            <w:r w:rsidR="005B46EB">
              <w:rPr>
                <w:rFonts w:cstheme="minorHAnsi"/>
                <w:sz w:val="18"/>
                <w:szCs w:val="18"/>
                <w:lang w:val="sr-Latn-ME"/>
              </w:rPr>
              <w:t>ispitanici</w:t>
            </w:r>
            <w:r>
              <w:rPr>
                <w:rFonts w:cstheme="minorHAnsi"/>
                <w:sz w:val="18"/>
                <w:szCs w:val="18"/>
                <w:lang w:val="sr-Latn-ME"/>
              </w:rPr>
              <w:t>“, „</w:t>
            </w:r>
            <w:r w:rsidR="005B46EB">
              <w:rPr>
                <w:rFonts w:cstheme="minorHAnsi"/>
                <w:sz w:val="18"/>
                <w:szCs w:val="18"/>
                <w:lang w:val="sr-Latn-ME"/>
              </w:rPr>
              <w:t>učenici</w:t>
            </w:r>
            <w:r>
              <w:rPr>
                <w:rFonts w:cstheme="minorHAnsi"/>
                <w:sz w:val="18"/>
                <w:szCs w:val="18"/>
                <w:lang w:val="sr-Latn-ME"/>
              </w:rPr>
              <w:t>“...)</w:t>
            </w:r>
          </w:p>
        </w:tc>
      </w:tr>
      <w:tr w:rsidR="0099180D" w:rsidRPr="00AC67F2" w14:paraId="27C566CC"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453B2E6F" w14:textId="77777777" w:rsidR="0099180D" w:rsidRPr="00AC67F2" w:rsidRDefault="0099180D" w:rsidP="002559F4">
            <w:pPr>
              <w:rPr>
                <w:rFonts w:cstheme="minorHAnsi"/>
                <w:lang w:val="sr-Latn-ME" w:eastAsia="en-GB"/>
              </w:rPr>
            </w:pPr>
            <w:r>
              <w:rPr>
                <w:rFonts w:cstheme="minorHAnsi"/>
                <w:lang w:val="sr-Latn-ME"/>
              </w:rPr>
              <w:t>Ukupno</w:t>
            </w:r>
          </w:p>
        </w:tc>
        <w:tc>
          <w:tcPr>
            <w:tcW w:w="747" w:type="dxa"/>
          </w:tcPr>
          <w:p w14:paraId="0A714293"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3613CA9C" w14:textId="77777777" w:rsidR="0099180D" w:rsidRPr="00527B8F"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305087E8"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C7AA2D4" w14:textId="0AFD0789" w:rsidR="0099180D" w:rsidRPr="00E72E03" w:rsidRDefault="003E7D9D"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4</w:t>
            </w:r>
            <w:r w:rsidR="0099180D" w:rsidRPr="00E72E03">
              <w:rPr>
                <w:rFonts w:cstheme="minorHAnsi"/>
                <w:b/>
                <w:bCs/>
                <w:sz w:val="28"/>
                <w:szCs w:val="28"/>
                <w:lang w:val="sr-Latn-ME"/>
              </w:rPr>
              <w:t>/</w:t>
            </w:r>
            <w:r w:rsidR="003A3666">
              <w:rPr>
                <w:rFonts w:cstheme="minorHAnsi"/>
                <w:b/>
                <w:bCs/>
                <w:sz w:val="28"/>
                <w:szCs w:val="28"/>
                <w:lang w:val="sr-Latn-ME"/>
              </w:rPr>
              <w:t>8</w:t>
            </w:r>
          </w:p>
        </w:tc>
      </w:tr>
    </w:tbl>
    <w:p w14:paraId="5B057A66" w14:textId="77777777" w:rsidR="0099180D" w:rsidRPr="00AC67F2" w:rsidRDefault="0099180D" w:rsidP="0099180D">
      <w:pPr>
        <w:rPr>
          <w:rFonts w:cstheme="minorHAnsi"/>
          <w:lang w:val="sr-Latn-ME"/>
        </w:rPr>
      </w:pPr>
    </w:p>
    <w:p w14:paraId="7C35702B" w14:textId="77777777" w:rsidR="0099180D" w:rsidRPr="00852DD8" w:rsidRDefault="0099180D" w:rsidP="0099180D">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99180D" w:rsidRPr="00AC67F2" w14:paraId="787023F0"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291D2F03" w14:textId="77777777" w:rsidR="0099180D" w:rsidRPr="00AC67F2" w:rsidRDefault="0099180D"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5FA156A3" w14:textId="77777777" w:rsidR="0099180D" w:rsidRPr="00AC67F2" w:rsidRDefault="0099180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4B858F2B" w14:textId="77777777" w:rsidR="0099180D" w:rsidRPr="00AC67F2" w:rsidRDefault="0099180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5DD24A4C" w14:textId="77777777" w:rsidR="0099180D" w:rsidRPr="00AC67F2" w:rsidRDefault="0099180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6779321A" w14:textId="77777777" w:rsidR="0099180D" w:rsidRPr="00AC67F2" w:rsidRDefault="0099180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2F841040" w14:textId="77777777" w:rsidR="0099180D" w:rsidRPr="00AC67F2" w:rsidRDefault="0099180D"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99180D" w:rsidRPr="00AC67F2" w14:paraId="4BEC0C22"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11FB357" w14:textId="77777777" w:rsidR="0099180D" w:rsidRPr="00AC67F2" w:rsidRDefault="0099180D" w:rsidP="002559F4">
            <w:pPr>
              <w:rPr>
                <w:rFonts w:cstheme="minorHAnsi"/>
                <w:lang w:val="sr-Latn-ME"/>
              </w:rPr>
            </w:pPr>
            <w:r>
              <w:rPr>
                <w:rFonts w:cstheme="minorHAnsi"/>
                <w:lang w:val="sr-Latn-ME"/>
              </w:rPr>
              <w:t>3.1</w:t>
            </w:r>
          </w:p>
        </w:tc>
        <w:tc>
          <w:tcPr>
            <w:tcW w:w="3908" w:type="dxa"/>
          </w:tcPr>
          <w:p w14:paraId="382FBB8A" w14:textId="77777777" w:rsidR="0099180D" w:rsidRPr="00AC67F2"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1A3A7A0C" w14:textId="42C86928" w:rsidR="0099180D" w:rsidRPr="00AC67F2" w:rsidRDefault="003E7D9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5068E64A" w14:textId="33FE6DD6"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tcPr>
          <w:p w14:paraId="63578D1B"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68E4273E" w14:textId="77777777" w:rsidR="003E7D9D" w:rsidRPr="003E7D9D" w:rsidRDefault="003E7D9D" w:rsidP="003E7D9D">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3E7D9D">
              <w:rPr>
                <w:rFonts w:cstheme="minorHAnsi"/>
                <w:sz w:val="18"/>
                <w:szCs w:val="18"/>
                <w:lang w:val="sr-Latn-ME"/>
              </w:rPr>
              <w:t>Unapređen proces</w:t>
            </w:r>
          </w:p>
          <w:p w14:paraId="13C26372" w14:textId="77777777" w:rsidR="003E7D9D" w:rsidRPr="003E7D9D" w:rsidRDefault="003E7D9D" w:rsidP="003E7D9D">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3E7D9D">
              <w:rPr>
                <w:rFonts w:cstheme="minorHAnsi"/>
                <w:sz w:val="18"/>
                <w:szCs w:val="18"/>
                <w:lang w:val="sr-Latn-ME"/>
              </w:rPr>
              <w:t>implementacije</w:t>
            </w:r>
          </w:p>
          <w:p w14:paraId="236DD1CD" w14:textId="77777777" w:rsidR="003E7D9D" w:rsidRPr="003E7D9D" w:rsidRDefault="003E7D9D" w:rsidP="003E7D9D">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3E7D9D">
              <w:rPr>
                <w:rFonts w:cstheme="minorHAnsi"/>
                <w:sz w:val="18"/>
                <w:szCs w:val="18"/>
                <w:lang w:val="sr-Latn-ME"/>
              </w:rPr>
              <w:t>politike podrške</w:t>
            </w:r>
          </w:p>
          <w:p w14:paraId="47166097" w14:textId="77777777" w:rsidR="003E7D9D" w:rsidRPr="003E7D9D" w:rsidRDefault="003E7D9D" w:rsidP="003E7D9D">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3E7D9D">
              <w:rPr>
                <w:rFonts w:cstheme="minorHAnsi"/>
                <w:sz w:val="18"/>
                <w:szCs w:val="18"/>
                <w:lang w:val="sr-Latn-ME"/>
              </w:rPr>
              <w:t>razvoja ženskog</w:t>
            </w:r>
          </w:p>
          <w:p w14:paraId="30CD380D" w14:textId="408466C2" w:rsidR="0099180D" w:rsidRPr="009A4E2D" w:rsidRDefault="003E7D9D" w:rsidP="003E7D9D">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3E7D9D">
              <w:rPr>
                <w:rFonts w:cstheme="minorHAnsi"/>
                <w:sz w:val="18"/>
                <w:szCs w:val="18"/>
                <w:lang w:val="sr-Latn-ME"/>
              </w:rPr>
              <w:t>preduzetništva</w:t>
            </w:r>
          </w:p>
        </w:tc>
      </w:tr>
      <w:tr w:rsidR="0099180D" w:rsidRPr="00AC67F2" w14:paraId="528A9B9B"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399A6425" w14:textId="77777777" w:rsidR="0099180D" w:rsidRDefault="0099180D" w:rsidP="002559F4">
            <w:pPr>
              <w:rPr>
                <w:rFonts w:cstheme="minorHAnsi"/>
                <w:lang w:val="sr-Latn-ME"/>
              </w:rPr>
            </w:pPr>
            <w:r>
              <w:rPr>
                <w:rFonts w:cstheme="minorHAnsi"/>
                <w:lang w:val="sr-Latn-ME"/>
              </w:rPr>
              <w:t>Ukupno</w:t>
            </w:r>
          </w:p>
        </w:tc>
        <w:tc>
          <w:tcPr>
            <w:tcW w:w="760" w:type="dxa"/>
            <w:shd w:val="clear" w:color="auto" w:fill="auto"/>
          </w:tcPr>
          <w:p w14:paraId="7300B994" w14:textId="77777777" w:rsidR="0099180D" w:rsidRPr="00AC67F2" w:rsidRDefault="0099180D"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7DDC504F" w14:textId="77777777" w:rsidR="0099180D" w:rsidRPr="00527B8F"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0801D61F" w14:textId="77777777" w:rsidR="0099180D" w:rsidRPr="00AC67F2" w:rsidRDefault="0099180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49801AA2" w14:textId="5EFD136D" w:rsidR="0099180D" w:rsidRPr="00AC67F2" w:rsidRDefault="003E7D9D"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1</w:t>
            </w:r>
            <w:r w:rsidR="0099180D">
              <w:rPr>
                <w:rFonts w:cstheme="minorHAnsi"/>
                <w:b/>
                <w:bCs/>
                <w:sz w:val="28"/>
                <w:szCs w:val="28"/>
              </w:rPr>
              <w:t>/1</w:t>
            </w:r>
          </w:p>
        </w:tc>
      </w:tr>
    </w:tbl>
    <w:p w14:paraId="2A807296" w14:textId="77777777" w:rsidR="0099180D" w:rsidRDefault="0099180D" w:rsidP="0099180D">
      <w:pPr>
        <w:rPr>
          <w:rFonts w:cstheme="minorHAnsi"/>
          <w:lang w:val="sr-Latn-ME"/>
        </w:rPr>
      </w:pPr>
    </w:p>
    <w:p w14:paraId="1CB89FD6" w14:textId="0DD42426" w:rsidR="0099180D" w:rsidRPr="00857D04" w:rsidRDefault="0099180D" w:rsidP="0099180D">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C000"/>
          <w:sz w:val="32"/>
          <w:szCs w:val="32"/>
          <w:lang w:val="sr-Latn-ME"/>
        </w:rPr>
      </w:pPr>
      <w:r w:rsidRPr="00857D04">
        <w:rPr>
          <w:rFonts w:cstheme="minorHAnsi"/>
          <w:color w:val="FFC000"/>
          <w:sz w:val="32"/>
          <w:szCs w:val="32"/>
          <w:lang w:val="sr-Latn-ME"/>
        </w:rPr>
        <w:t xml:space="preserve">Konačna ocjena: </w:t>
      </w:r>
      <w:r w:rsidR="003E7D9D" w:rsidRPr="00857D04">
        <w:rPr>
          <w:rFonts w:cstheme="minorHAnsi"/>
          <w:color w:val="FFC000"/>
          <w:sz w:val="32"/>
          <w:szCs w:val="32"/>
          <w:lang w:val="sr-Latn-ME"/>
        </w:rPr>
        <w:t>5</w:t>
      </w:r>
      <w:r w:rsidRPr="00857D04">
        <w:rPr>
          <w:rFonts w:cstheme="minorHAnsi"/>
          <w:color w:val="FFC000"/>
          <w:sz w:val="32"/>
          <w:szCs w:val="32"/>
          <w:lang w:val="sr-Latn-ME"/>
        </w:rPr>
        <w:t xml:space="preserve"> od 1</w:t>
      </w:r>
      <w:r w:rsidR="00F543E4">
        <w:rPr>
          <w:rFonts w:cstheme="minorHAnsi"/>
          <w:color w:val="FFC000"/>
          <w:sz w:val="32"/>
          <w:szCs w:val="32"/>
          <w:lang w:val="sr-Latn-ME"/>
        </w:rPr>
        <w:t>1</w:t>
      </w:r>
      <w:r w:rsidRPr="00857D04">
        <w:rPr>
          <w:rFonts w:cstheme="minorHAnsi"/>
          <w:color w:val="FFC000"/>
          <w:sz w:val="32"/>
          <w:szCs w:val="32"/>
          <w:lang w:val="sr-Latn-ME"/>
        </w:rPr>
        <w:t xml:space="preserve"> ili </w:t>
      </w:r>
      <w:r w:rsidRPr="00857D04">
        <w:rPr>
          <w:rFonts w:cstheme="minorHAnsi"/>
          <w:b/>
          <w:bCs/>
          <w:color w:val="FFC000"/>
          <w:sz w:val="32"/>
          <w:szCs w:val="32"/>
          <w:lang w:val="sr-Latn-ME"/>
        </w:rPr>
        <w:t>0.</w:t>
      </w:r>
      <w:r w:rsidR="00857D04" w:rsidRPr="00857D04">
        <w:rPr>
          <w:rFonts w:cstheme="minorHAnsi"/>
          <w:b/>
          <w:bCs/>
          <w:color w:val="FFC000"/>
          <w:sz w:val="32"/>
          <w:szCs w:val="32"/>
          <w:lang w:val="sr-Latn-ME"/>
        </w:rPr>
        <w:t>4</w:t>
      </w:r>
      <w:r w:rsidR="0081081D">
        <w:rPr>
          <w:rFonts w:cstheme="minorHAnsi"/>
          <w:b/>
          <w:bCs/>
          <w:color w:val="FFC000"/>
          <w:sz w:val="32"/>
          <w:szCs w:val="32"/>
          <w:lang w:val="sr-Latn-ME"/>
        </w:rPr>
        <w:t>5</w:t>
      </w:r>
      <w:r w:rsidRPr="00857D04">
        <w:rPr>
          <w:rFonts w:cstheme="minorHAnsi"/>
          <w:b/>
          <w:bCs/>
          <w:color w:val="FFC000"/>
          <w:sz w:val="32"/>
          <w:szCs w:val="32"/>
          <w:lang w:val="sr-Latn-ME"/>
        </w:rPr>
        <w:t xml:space="preserve"> – Strategija </w:t>
      </w:r>
      <w:r w:rsidR="00857D04" w:rsidRPr="00857D04">
        <w:rPr>
          <w:rFonts w:cstheme="minorHAnsi"/>
          <w:b/>
          <w:bCs/>
          <w:color w:val="FFC000"/>
          <w:sz w:val="32"/>
          <w:szCs w:val="32"/>
          <w:lang w:val="sr-Latn-ME"/>
        </w:rPr>
        <w:t>uglavnom nije</w:t>
      </w:r>
      <w:r w:rsidRPr="00857D04">
        <w:rPr>
          <w:rFonts w:cstheme="minorHAnsi"/>
          <w:b/>
          <w:bCs/>
          <w:color w:val="FFC000"/>
          <w:sz w:val="32"/>
          <w:szCs w:val="32"/>
          <w:lang w:val="sr-Latn-ME"/>
        </w:rPr>
        <w:t xml:space="preserve"> orodnjena</w:t>
      </w:r>
    </w:p>
    <w:p w14:paraId="23EE3569" w14:textId="77777777" w:rsidR="0099180D" w:rsidRPr="0099180D" w:rsidRDefault="0099180D" w:rsidP="0099180D">
      <w:pPr>
        <w:rPr>
          <w:lang w:val="hr-HR"/>
        </w:rPr>
      </w:pPr>
    </w:p>
    <w:p w14:paraId="2AC84042" w14:textId="77777777" w:rsidR="00227611" w:rsidRDefault="00227611" w:rsidP="00A44541">
      <w:pPr>
        <w:pStyle w:val="Heading3"/>
        <w:rPr>
          <w:noProof/>
          <w:lang w:val="hr-HR"/>
        </w:rPr>
      </w:pPr>
    </w:p>
    <w:p w14:paraId="08BBBAF6" w14:textId="77777777" w:rsidR="007210BD" w:rsidRPr="0053536E" w:rsidRDefault="007210BD" w:rsidP="0053536E"/>
    <w:p w14:paraId="1C9D2E2A" w14:textId="47A54802" w:rsidR="00AC6EB8" w:rsidRDefault="00227611" w:rsidP="00A44541">
      <w:pPr>
        <w:pStyle w:val="Heading3"/>
        <w:rPr>
          <w:noProof/>
          <w:lang w:val="hr-HR"/>
        </w:rPr>
      </w:pPr>
      <w:bookmarkStart w:id="19" w:name="_Toc100339541"/>
      <w:r>
        <w:rPr>
          <w:noProof/>
          <w:lang w:val="hr-HR"/>
        </w:rPr>
        <w:lastRenderedPageBreak/>
        <w:t>12</w:t>
      </w:r>
      <w:r w:rsidR="009D5CC5">
        <w:rPr>
          <w:noProof/>
          <w:lang w:val="hr-HR"/>
        </w:rPr>
        <w:t xml:space="preserve">. </w:t>
      </w:r>
      <w:r w:rsidR="00AC6EB8" w:rsidRPr="00AC6EB8">
        <w:rPr>
          <w:noProof/>
          <w:lang w:val="hr-HR"/>
        </w:rPr>
        <w:t>Strategija razvoja mikro, malih i srednjih preduzeća u Crnoj Gori 2018-2022</w:t>
      </w:r>
      <w:r w:rsidR="00A44541">
        <w:rPr>
          <w:noProof/>
          <w:lang w:val="hr-HR"/>
        </w:rPr>
        <w:t>.</w:t>
      </w:r>
      <w:bookmarkEnd w:id="19"/>
    </w:p>
    <w:p w14:paraId="7A2D72AC" w14:textId="77777777" w:rsidR="00451D82" w:rsidRDefault="00451D82" w:rsidP="00451D82">
      <w:pPr>
        <w:rPr>
          <w:b/>
          <w:bCs/>
          <w:lang w:val="sr-Latn-ME"/>
        </w:rPr>
      </w:pPr>
    </w:p>
    <w:p w14:paraId="3C951B1C" w14:textId="77777777" w:rsidR="00451D82" w:rsidRPr="007D71A2" w:rsidRDefault="00451D82" w:rsidP="00451D82">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451D82" w:rsidRPr="00AC67F2" w14:paraId="2A71DFDC"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3F3DC6EE" w14:textId="77777777" w:rsidR="00451D82" w:rsidRPr="00AC67F2" w:rsidRDefault="00451D82"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4005766C" w14:textId="77777777" w:rsidR="00451D82" w:rsidRPr="00AC67F2" w:rsidRDefault="00451D8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2C9CDE88" w14:textId="77777777" w:rsidR="00451D82" w:rsidRPr="00AC67F2" w:rsidRDefault="00451D8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1911E452" w14:textId="77777777" w:rsidR="00451D82" w:rsidRPr="009148DB" w:rsidRDefault="00451D82"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5E70DA41" w14:textId="77777777" w:rsidR="00451D82" w:rsidRPr="00AC67F2" w:rsidRDefault="00451D8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451D82" w:rsidRPr="00AC67F2" w14:paraId="6BBF77ED"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6DA5B224" w14:textId="77777777" w:rsidR="00451D82" w:rsidRPr="00AC67F2" w:rsidRDefault="00451D82"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08B00A44" w14:textId="77777777" w:rsidR="00451D82" w:rsidRPr="00DA659B"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6486777E" w14:textId="77777777" w:rsidR="00451D82" w:rsidRPr="00AC67F2"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15A2FDBC"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28ECCA6C"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1F1E62C2" w14:textId="77777777" w:rsidR="00451D82" w:rsidRPr="00A545D6"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451D82" w:rsidRPr="00AC67F2" w14:paraId="383CA609"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2B68BBEE" w14:textId="77777777" w:rsidR="00451D82" w:rsidRPr="00AC67F2" w:rsidRDefault="00451D82" w:rsidP="002559F4">
            <w:pPr>
              <w:rPr>
                <w:rFonts w:cstheme="minorHAnsi"/>
                <w:lang w:val="sr-Latn-ME"/>
              </w:rPr>
            </w:pPr>
            <w:r>
              <w:rPr>
                <w:rFonts w:cstheme="minorHAnsi"/>
                <w:lang w:val="sr-Latn-ME"/>
              </w:rPr>
              <w:t>1.2</w:t>
            </w:r>
          </w:p>
        </w:tc>
        <w:tc>
          <w:tcPr>
            <w:tcW w:w="2443" w:type="pct"/>
          </w:tcPr>
          <w:p w14:paraId="6BFE649D" w14:textId="77777777" w:rsidR="00451D82"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1966BBFF" w14:textId="77777777" w:rsidR="00451D82" w:rsidRPr="00AC67F2"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1546DAEA"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5A48FC1A"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3CFC5B05" w14:textId="77777777" w:rsidR="00451D82" w:rsidRPr="00A545D6"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U Strategiji se navodi da je bila angažovana ekspertska pomoć, ali nije precizirano da se odnosila na rodnu perspektivu. </w:t>
            </w:r>
          </w:p>
        </w:tc>
      </w:tr>
      <w:tr w:rsidR="00451D82" w:rsidRPr="00AC67F2" w14:paraId="5D9452CF"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09BA6B3C" w14:textId="77777777" w:rsidR="00451D82" w:rsidRPr="00AC67F2" w:rsidRDefault="00451D82" w:rsidP="002559F4">
            <w:pPr>
              <w:rPr>
                <w:rFonts w:cstheme="minorHAnsi"/>
                <w:lang w:val="sr-Latn-ME"/>
              </w:rPr>
            </w:pPr>
            <w:r>
              <w:rPr>
                <w:rFonts w:cstheme="minorHAnsi"/>
                <w:lang w:val="sr-Latn-ME"/>
              </w:rPr>
              <w:t>Ukupno</w:t>
            </w:r>
          </w:p>
        </w:tc>
        <w:tc>
          <w:tcPr>
            <w:tcW w:w="645" w:type="pct"/>
          </w:tcPr>
          <w:p w14:paraId="4FB0869B" w14:textId="77777777" w:rsidR="00451D82" w:rsidRPr="00AC67F2"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4228CFC9" w14:textId="77777777" w:rsidR="00451D82" w:rsidRPr="00527B8F"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32B825F1" w14:textId="77777777" w:rsidR="00451D82" w:rsidRPr="008C09CD" w:rsidRDefault="00451D82"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0/2</w:t>
            </w:r>
          </w:p>
        </w:tc>
      </w:tr>
    </w:tbl>
    <w:p w14:paraId="1E39BB40" w14:textId="77777777" w:rsidR="00451D82" w:rsidRPr="00F43A6C" w:rsidRDefault="00451D82" w:rsidP="00451D82">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451D82" w:rsidRPr="00AC67F2" w14:paraId="7EB64589"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27D136E1" w14:textId="77777777" w:rsidR="00451D82" w:rsidRPr="00AC67F2" w:rsidRDefault="00451D82"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20332B29" w14:textId="77777777" w:rsidR="00451D82" w:rsidRPr="00AC67F2" w:rsidRDefault="00451D8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660B7A11" w14:textId="77777777" w:rsidR="00451D82" w:rsidRPr="00AC67F2" w:rsidRDefault="00451D8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6156C487" w14:textId="77777777" w:rsidR="00451D82" w:rsidRPr="00AC67F2" w:rsidRDefault="00451D8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58BE4D87" w14:textId="77777777" w:rsidR="00451D82" w:rsidRPr="00AC67F2" w:rsidRDefault="00451D8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17B10FC2" w14:textId="77777777" w:rsidR="00451D82" w:rsidRPr="00AC67F2" w:rsidRDefault="00451D8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451D82" w:rsidRPr="00AC67F2" w14:paraId="6224C6B8"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196A496" w14:textId="77777777" w:rsidR="00451D82" w:rsidRPr="00AC67F2" w:rsidRDefault="00451D82"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7B34E63B" w14:textId="77777777" w:rsidR="00451D82" w:rsidRPr="00AC67F2"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37715A2C" w14:textId="35058B8D" w:rsidR="00451D82" w:rsidRPr="00A00FA0" w:rsidRDefault="00AC5875"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tcPr>
          <w:p w14:paraId="129D23D4" w14:textId="1AC5E59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31742753"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015748B" w14:textId="04B29C3B" w:rsidR="00451D82" w:rsidRPr="00A71811" w:rsidRDefault="00572494"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Postoji jedan podatak – da je % </w:t>
            </w:r>
            <w:r w:rsidR="002D1701">
              <w:rPr>
                <w:rFonts w:cstheme="minorHAnsi"/>
                <w:sz w:val="18"/>
                <w:szCs w:val="18"/>
                <w:lang w:val="sr-Latn-ME"/>
              </w:rPr>
              <w:t>učešća žena vlasnica preduzeća u ukupnom broju MMSP porastao za 5pp (sa 17 na 22%)</w:t>
            </w:r>
          </w:p>
        </w:tc>
      </w:tr>
      <w:tr w:rsidR="00451D82" w:rsidRPr="00AC67F2" w14:paraId="33F2FF79"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7E872F6" w14:textId="77777777" w:rsidR="00451D82" w:rsidRPr="00AC67F2" w:rsidRDefault="00451D82" w:rsidP="002559F4">
            <w:pPr>
              <w:rPr>
                <w:rFonts w:cstheme="minorHAnsi"/>
                <w:lang w:val="sr-Latn-ME"/>
              </w:rPr>
            </w:pPr>
            <w:r>
              <w:rPr>
                <w:rFonts w:cstheme="minorHAnsi"/>
                <w:lang w:val="sr-Latn-ME"/>
              </w:rPr>
              <w:t>2.2</w:t>
            </w:r>
          </w:p>
        </w:tc>
        <w:tc>
          <w:tcPr>
            <w:tcW w:w="3856" w:type="dxa"/>
          </w:tcPr>
          <w:p w14:paraId="6B8F1358" w14:textId="77777777" w:rsidR="00451D82" w:rsidRPr="00AC67F2"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tcPr>
          <w:p w14:paraId="6AE5F7D9" w14:textId="404B6960" w:rsidR="00451D82" w:rsidRPr="00AC67F2" w:rsidRDefault="00B2734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13623ACB" w14:textId="444FB123"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3A763412"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3B86476" w14:textId="50B3B05B" w:rsidR="00451D82" w:rsidRPr="00A71811" w:rsidRDefault="00451D82" w:rsidP="000E6502">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451D82" w:rsidRPr="00AC67F2" w14:paraId="15F7647A"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C3FA16C" w14:textId="77777777" w:rsidR="00451D82" w:rsidRDefault="00451D82" w:rsidP="002559F4">
            <w:pPr>
              <w:rPr>
                <w:rFonts w:cstheme="minorHAnsi"/>
                <w:lang w:val="sr-Latn-ME"/>
              </w:rPr>
            </w:pPr>
            <w:r>
              <w:rPr>
                <w:rFonts w:cstheme="minorHAnsi"/>
                <w:lang w:val="sr-Latn-ME"/>
              </w:rPr>
              <w:t>2.3</w:t>
            </w:r>
          </w:p>
        </w:tc>
        <w:tc>
          <w:tcPr>
            <w:tcW w:w="3856" w:type="dxa"/>
          </w:tcPr>
          <w:p w14:paraId="00206542" w14:textId="77777777" w:rsidR="00451D82"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tcPr>
          <w:p w14:paraId="75D95137" w14:textId="42929FB6" w:rsidR="00451D82" w:rsidRPr="00AC67F2" w:rsidRDefault="00027C0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2D0DACAF" w14:textId="292D1BDC"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00A687A0"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0FADB4A2" w14:textId="77777777" w:rsidR="00451D82" w:rsidRPr="00A71811"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451D82" w:rsidRPr="00AC67F2" w14:paraId="769DDD62"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4ED64F15" w14:textId="77777777" w:rsidR="00451D82" w:rsidRPr="00AC67F2" w:rsidRDefault="00451D82" w:rsidP="002559F4">
            <w:pPr>
              <w:rPr>
                <w:rFonts w:cstheme="minorHAnsi"/>
                <w:lang w:val="sr-Latn-ME"/>
              </w:rPr>
            </w:pPr>
            <w:r>
              <w:rPr>
                <w:rFonts w:cstheme="minorHAnsi"/>
                <w:lang w:val="sr-Latn-ME"/>
              </w:rPr>
              <w:t>2.4</w:t>
            </w:r>
          </w:p>
        </w:tc>
        <w:tc>
          <w:tcPr>
            <w:tcW w:w="3856" w:type="dxa"/>
            <w:shd w:val="clear" w:color="auto" w:fill="auto"/>
          </w:tcPr>
          <w:p w14:paraId="0EA4C803" w14:textId="77777777" w:rsidR="00451D82" w:rsidRPr="00AC67F2"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6299E21F" w14:textId="2E67E079" w:rsidR="00451D82" w:rsidRPr="00C26A63" w:rsidRDefault="00F10924"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Pr>
                <w:rFonts w:cstheme="minorHAnsi"/>
                <w:b/>
                <w:bCs/>
                <w:lang w:val="sr-Latn-ME"/>
              </w:rPr>
              <w:t>0.5</w:t>
            </w:r>
          </w:p>
        </w:tc>
        <w:tc>
          <w:tcPr>
            <w:tcW w:w="1263" w:type="dxa"/>
            <w:shd w:val="clear" w:color="auto" w:fill="auto"/>
          </w:tcPr>
          <w:p w14:paraId="4484A098" w14:textId="693B6711"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2F11BF30"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56E0515A" w14:textId="50F941C8" w:rsidR="00451D82" w:rsidRPr="00D8609B" w:rsidRDefault="004D2D5F"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rPr>
              <w:t xml:space="preserve">Postoje ciljevi i mjere, ali se ne naslanjaju na podatke već na </w:t>
            </w:r>
            <w:r w:rsidR="00F10924">
              <w:rPr>
                <w:rFonts w:cstheme="minorHAnsi"/>
                <w:sz w:val="18"/>
                <w:szCs w:val="18"/>
              </w:rPr>
              <w:t>opise</w:t>
            </w:r>
            <w:r w:rsidR="006D510D">
              <w:rPr>
                <w:rFonts w:cstheme="minorHAnsi"/>
                <w:sz w:val="18"/>
                <w:szCs w:val="18"/>
              </w:rPr>
              <w:t xml:space="preserve"> (SC 5)</w:t>
            </w:r>
          </w:p>
        </w:tc>
      </w:tr>
      <w:tr w:rsidR="00451D82" w:rsidRPr="00AC67F2" w14:paraId="588535E9"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142E3D3" w14:textId="77777777" w:rsidR="00451D82" w:rsidRDefault="00451D82" w:rsidP="002559F4">
            <w:pPr>
              <w:rPr>
                <w:rFonts w:cstheme="minorHAnsi"/>
                <w:lang w:val="sr-Latn-ME"/>
              </w:rPr>
            </w:pPr>
            <w:r>
              <w:rPr>
                <w:rFonts w:cstheme="minorHAnsi"/>
                <w:lang w:val="sr-Latn-ME"/>
              </w:rPr>
              <w:lastRenderedPageBreak/>
              <w:t>2.5</w:t>
            </w:r>
          </w:p>
        </w:tc>
        <w:tc>
          <w:tcPr>
            <w:tcW w:w="3856" w:type="dxa"/>
          </w:tcPr>
          <w:p w14:paraId="1E2AECCC" w14:textId="77777777" w:rsidR="00451D82" w:rsidRPr="00AC67F2"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6FCB0B19"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5B75B8BD"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4E3D11D6"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7E21D28" w14:textId="77777777" w:rsidR="00451D82" w:rsidRPr="00A71811"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451D82" w:rsidRPr="00AC67F2" w14:paraId="1EA18004"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09721632" w14:textId="77777777" w:rsidR="00451D82" w:rsidRPr="00AC67F2" w:rsidRDefault="00451D82" w:rsidP="002559F4">
            <w:pPr>
              <w:rPr>
                <w:rFonts w:cstheme="minorHAnsi"/>
                <w:lang w:val="sr-Latn-ME"/>
              </w:rPr>
            </w:pPr>
            <w:r>
              <w:rPr>
                <w:rFonts w:cstheme="minorHAnsi"/>
                <w:lang w:val="sr-Latn-ME"/>
              </w:rPr>
              <w:t>2.6</w:t>
            </w:r>
          </w:p>
        </w:tc>
        <w:tc>
          <w:tcPr>
            <w:tcW w:w="3856" w:type="dxa"/>
            <w:shd w:val="clear" w:color="auto" w:fill="auto"/>
          </w:tcPr>
          <w:p w14:paraId="78CA3AE0" w14:textId="77777777" w:rsidR="00451D82" w:rsidRPr="00AC67F2"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auto"/>
          </w:tcPr>
          <w:p w14:paraId="0141A4DB"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shd w:val="clear" w:color="auto" w:fill="auto"/>
          </w:tcPr>
          <w:p w14:paraId="4E5E143D"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0A3B4839"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1F4E6C67" w14:textId="77777777" w:rsidR="00451D82" w:rsidRPr="00A71811"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451D82" w:rsidRPr="00AC67F2" w14:paraId="62063133"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4B8CFB4" w14:textId="77777777" w:rsidR="00451D82" w:rsidRDefault="00451D82" w:rsidP="002559F4">
            <w:pPr>
              <w:rPr>
                <w:rFonts w:cstheme="minorHAnsi"/>
                <w:lang w:val="sr-Latn-ME"/>
              </w:rPr>
            </w:pPr>
            <w:r>
              <w:rPr>
                <w:rFonts w:cstheme="minorHAnsi"/>
                <w:lang w:val="sr-Latn-ME"/>
              </w:rPr>
              <w:t>2.7</w:t>
            </w:r>
          </w:p>
        </w:tc>
        <w:tc>
          <w:tcPr>
            <w:tcW w:w="3856" w:type="dxa"/>
          </w:tcPr>
          <w:p w14:paraId="3104F359" w14:textId="6BCA118C" w:rsidR="00451D82"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25F877B3"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814C3C0"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5FA67FA7"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17C20E2" w14:textId="77777777" w:rsidR="00451D82" w:rsidRPr="00A71811"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451D82" w:rsidRPr="00AC67F2" w14:paraId="7C685583"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29A6D16" w14:textId="1E7B6CD8" w:rsidR="00451D82" w:rsidRPr="00AC67F2" w:rsidRDefault="00451D82"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1957ACA0" w14:textId="77777777" w:rsidR="00451D82"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5386427A" w14:textId="77777777" w:rsidR="00451D82" w:rsidRPr="005C2773" w:rsidRDefault="00451D82"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60B11FAE"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06193C7E"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11325EEE"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47089EE" w14:textId="59A5AA7C" w:rsidR="00451D82" w:rsidRPr="00AC67F2"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3F278B">
              <w:rPr>
                <w:rFonts w:cstheme="minorHAnsi"/>
                <w:sz w:val="18"/>
                <w:szCs w:val="18"/>
                <w:lang w:val="sr-Latn-ME"/>
              </w:rPr>
              <w:t>Strategija uglavnom koristi rodno neutralne izraze, međutim u djelovima gdje to nije moguće ne koristi se rodno senzitivan jezik</w:t>
            </w:r>
            <w:r>
              <w:rPr>
                <w:rFonts w:cstheme="minorHAnsi"/>
                <w:sz w:val="18"/>
                <w:szCs w:val="18"/>
                <w:lang w:val="sr-Latn-ME"/>
              </w:rPr>
              <w:t xml:space="preserve"> („</w:t>
            </w:r>
            <w:r w:rsidR="00B82217">
              <w:rPr>
                <w:rFonts w:cstheme="minorHAnsi"/>
                <w:sz w:val="18"/>
                <w:szCs w:val="18"/>
                <w:lang w:val="sr-Latn-ME"/>
              </w:rPr>
              <w:t>članovi</w:t>
            </w:r>
            <w:r>
              <w:rPr>
                <w:rFonts w:cstheme="minorHAnsi"/>
                <w:sz w:val="18"/>
                <w:szCs w:val="18"/>
                <w:lang w:val="sr-Latn-ME"/>
              </w:rPr>
              <w:t>“, „</w:t>
            </w:r>
            <w:r w:rsidR="00B82217">
              <w:rPr>
                <w:rFonts w:cstheme="minorHAnsi"/>
                <w:sz w:val="18"/>
                <w:szCs w:val="18"/>
                <w:lang w:val="sr-Latn-ME"/>
              </w:rPr>
              <w:t>predstavnici</w:t>
            </w:r>
            <w:r>
              <w:rPr>
                <w:rFonts w:cstheme="minorHAnsi"/>
                <w:sz w:val="18"/>
                <w:szCs w:val="18"/>
                <w:lang w:val="sr-Latn-ME"/>
              </w:rPr>
              <w:t>“...)</w:t>
            </w:r>
          </w:p>
        </w:tc>
      </w:tr>
      <w:tr w:rsidR="00451D82" w:rsidRPr="00AC67F2" w14:paraId="6368F14F"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49A56B90" w14:textId="77777777" w:rsidR="00451D82" w:rsidRPr="00AC67F2" w:rsidRDefault="00451D82" w:rsidP="002559F4">
            <w:pPr>
              <w:rPr>
                <w:rFonts w:cstheme="minorHAnsi"/>
                <w:lang w:val="sr-Latn-ME" w:eastAsia="en-GB"/>
              </w:rPr>
            </w:pPr>
            <w:r>
              <w:rPr>
                <w:rFonts w:cstheme="minorHAnsi"/>
                <w:lang w:val="sr-Latn-ME"/>
              </w:rPr>
              <w:t>Ukupno</w:t>
            </w:r>
          </w:p>
        </w:tc>
        <w:tc>
          <w:tcPr>
            <w:tcW w:w="747" w:type="dxa"/>
          </w:tcPr>
          <w:p w14:paraId="6A1C5F95"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5D8BC306" w14:textId="77777777" w:rsidR="00451D82" w:rsidRPr="00527B8F"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55C5AC99"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B7B473F" w14:textId="000B664D" w:rsidR="00451D82" w:rsidRPr="00E72E03" w:rsidRDefault="00027C0A"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5</w:t>
            </w:r>
            <w:r w:rsidR="00B27349">
              <w:rPr>
                <w:rFonts w:cstheme="minorHAnsi"/>
                <w:b/>
                <w:bCs/>
                <w:sz w:val="28"/>
                <w:szCs w:val="28"/>
                <w:lang w:val="sr-Latn-ME"/>
              </w:rPr>
              <w:t>.5</w:t>
            </w:r>
            <w:r w:rsidR="00451D82" w:rsidRPr="00E72E03">
              <w:rPr>
                <w:rFonts w:cstheme="minorHAnsi"/>
                <w:b/>
                <w:bCs/>
                <w:sz w:val="28"/>
                <w:szCs w:val="28"/>
                <w:lang w:val="sr-Latn-ME"/>
              </w:rPr>
              <w:t>/</w:t>
            </w:r>
            <w:r w:rsidR="003A3666">
              <w:rPr>
                <w:rFonts w:cstheme="minorHAnsi"/>
                <w:b/>
                <w:bCs/>
                <w:sz w:val="28"/>
                <w:szCs w:val="28"/>
                <w:lang w:val="sr-Latn-ME"/>
              </w:rPr>
              <w:t>8</w:t>
            </w:r>
          </w:p>
        </w:tc>
      </w:tr>
    </w:tbl>
    <w:p w14:paraId="4BFE5118" w14:textId="77777777" w:rsidR="00451D82" w:rsidRPr="00AC67F2" w:rsidRDefault="00451D82" w:rsidP="00451D82">
      <w:pPr>
        <w:rPr>
          <w:rFonts w:cstheme="minorHAnsi"/>
          <w:lang w:val="sr-Latn-ME"/>
        </w:rPr>
      </w:pPr>
    </w:p>
    <w:p w14:paraId="7679E70C" w14:textId="77777777" w:rsidR="00451D82" w:rsidRPr="00852DD8" w:rsidRDefault="00451D82" w:rsidP="00451D82">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451D82" w:rsidRPr="00AC67F2" w14:paraId="45F71768"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3DA1B5B0" w14:textId="77777777" w:rsidR="00451D82" w:rsidRPr="00AC67F2" w:rsidRDefault="00451D82"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7FC4045D" w14:textId="77777777" w:rsidR="00451D82" w:rsidRPr="00AC67F2" w:rsidRDefault="00451D8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1DE8656A" w14:textId="77777777" w:rsidR="00451D82" w:rsidRPr="00AC67F2" w:rsidRDefault="00451D8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77875046" w14:textId="77777777" w:rsidR="00451D82" w:rsidRPr="00AC67F2" w:rsidRDefault="00451D8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1D1F732F" w14:textId="77777777" w:rsidR="00451D82" w:rsidRPr="00AC67F2" w:rsidRDefault="00451D8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5A929F53" w14:textId="77777777" w:rsidR="00451D82" w:rsidRPr="00AC67F2" w:rsidRDefault="00451D8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451D82" w:rsidRPr="00AC67F2" w14:paraId="2A40952A"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349CBF8" w14:textId="77777777" w:rsidR="00451D82" w:rsidRPr="00AC67F2" w:rsidRDefault="00451D82" w:rsidP="002559F4">
            <w:pPr>
              <w:rPr>
                <w:rFonts w:cstheme="minorHAnsi"/>
                <w:lang w:val="sr-Latn-ME"/>
              </w:rPr>
            </w:pPr>
            <w:r>
              <w:rPr>
                <w:rFonts w:cstheme="minorHAnsi"/>
                <w:lang w:val="sr-Latn-ME"/>
              </w:rPr>
              <w:t>3.1</w:t>
            </w:r>
          </w:p>
        </w:tc>
        <w:tc>
          <w:tcPr>
            <w:tcW w:w="3908" w:type="dxa"/>
          </w:tcPr>
          <w:p w14:paraId="3122C51B" w14:textId="77777777" w:rsidR="00451D82" w:rsidRPr="00AC67F2"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1DF078BF"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2D550C5B"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tcPr>
          <w:p w14:paraId="32C7D826"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6154FEA6" w14:textId="56A7E412" w:rsidR="0011170F" w:rsidRPr="0011170F" w:rsidRDefault="0011170F" w:rsidP="0011170F">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Ne postoje podaci</w:t>
            </w:r>
            <w:r w:rsidR="00BB795C">
              <w:rPr>
                <w:rFonts w:cstheme="minorHAnsi"/>
                <w:sz w:val="18"/>
                <w:szCs w:val="18"/>
                <w:lang w:val="sr-Latn-ME"/>
              </w:rPr>
              <w:t xml:space="preserve"> za outcome nivou</w:t>
            </w:r>
            <w:r>
              <w:rPr>
                <w:rFonts w:cstheme="minorHAnsi"/>
                <w:sz w:val="18"/>
                <w:szCs w:val="18"/>
                <w:lang w:val="sr-Latn-ME"/>
              </w:rPr>
              <w:t xml:space="preserve"> ali je planirano uvođenje - </w:t>
            </w:r>
            <w:r w:rsidRPr="0011170F">
              <w:rPr>
                <w:rFonts w:cstheme="minorHAnsi"/>
                <w:sz w:val="18"/>
                <w:szCs w:val="18"/>
                <w:lang w:val="sr-Latn-ME"/>
              </w:rPr>
              <w:t>Ukupna preduzetnička aktivnost u</w:t>
            </w:r>
          </w:p>
          <w:p w14:paraId="21FE0CDF" w14:textId="79780ACD" w:rsidR="00451D82" w:rsidRPr="009A4E2D" w:rsidRDefault="0011170F" w:rsidP="0011170F">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11170F">
              <w:rPr>
                <w:rFonts w:cstheme="minorHAnsi"/>
                <w:sz w:val="18"/>
                <w:szCs w:val="18"/>
                <w:lang w:val="sr-Latn-ME"/>
              </w:rPr>
              <w:t>ranoj fazi radne populacije žena</w:t>
            </w:r>
            <w:r w:rsidRPr="0011170F">
              <w:rPr>
                <w:rFonts w:cstheme="minorHAnsi"/>
                <w:sz w:val="18"/>
                <w:szCs w:val="18"/>
                <w:lang w:val="sr-Latn-ME"/>
              </w:rPr>
              <w:cr/>
            </w:r>
            <w:r w:rsidR="00BB795C">
              <w:rPr>
                <w:rFonts w:cstheme="minorHAnsi"/>
                <w:sz w:val="18"/>
                <w:szCs w:val="18"/>
                <w:lang w:val="sr-Latn-ME"/>
              </w:rPr>
              <w:t xml:space="preserve">. Postoje podaci i indikatori na output nivou. </w:t>
            </w:r>
          </w:p>
        </w:tc>
      </w:tr>
      <w:tr w:rsidR="00451D82" w:rsidRPr="00AC67F2" w14:paraId="1773A550"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0AA7310C" w14:textId="77777777" w:rsidR="00451D82" w:rsidRDefault="00451D82" w:rsidP="002559F4">
            <w:pPr>
              <w:rPr>
                <w:rFonts w:cstheme="minorHAnsi"/>
                <w:lang w:val="sr-Latn-ME"/>
              </w:rPr>
            </w:pPr>
            <w:r>
              <w:rPr>
                <w:rFonts w:cstheme="minorHAnsi"/>
                <w:lang w:val="sr-Latn-ME"/>
              </w:rPr>
              <w:t>Ukupno</w:t>
            </w:r>
          </w:p>
        </w:tc>
        <w:tc>
          <w:tcPr>
            <w:tcW w:w="760" w:type="dxa"/>
            <w:shd w:val="clear" w:color="auto" w:fill="auto"/>
          </w:tcPr>
          <w:p w14:paraId="4B114318" w14:textId="77777777" w:rsidR="00451D82" w:rsidRPr="00AC67F2" w:rsidRDefault="00451D8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7047D039" w14:textId="77777777" w:rsidR="00451D82" w:rsidRPr="00527B8F"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0E0C191D" w14:textId="77777777" w:rsidR="00451D82" w:rsidRPr="00AC67F2" w:rsidRDefault="00451D8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012C3180" w14:textId="77777777" w:rsidR="00451D82" w:rsidRPr="00AC67F2" w:rsidRDefault="00451D82"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1/1</w:t>
            </w:r>
          </w:p>
        </w:tc>
      </w:tr>
    </w:tbl>
    <w:p w14:paraId="4A99AF2D" w14:textId="77777777" w:rsidR="00451D82" w:rsidRDefault="00451D82" w:rsidP="00451D82">
      <w:pPr>
        <w:rPr>
          <w:rFonts w:cstheme="minorHAnsi"/>
          <w:lang w:val="sr-Latn-ME"/>
        </w:rPr>
      </w:pPr>
    </w:p>
    <w:p w14:paraId="04E230C6" w14:textId="1832D85A" w:rsidR="00451D82" w:rsidRPr="00027C0A" w:rsidRDefault="00451D82" w:rsidP="00451D82">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92D050"/>
          <w:sz w:val="32"/>
          <w:szCs w:val="32"/>
          <w:lang w:val="sr-Latn-ME"/>
        </w:rPr>
      </w:pPr>
      <w:r w:rsidRPr="00027C0A">
        <w:rPr>
          <w:rFonts w:cstheme="minorHAnsi"/>
          <w:color w:val="92D050"/>
          <w:sz w:val="32"/>
          <w:szCs w:val="32"/>
          <w:lang w:val="sr-Latn-ME"/>
        </w:rPr>
        <w:t xml:space="preserve">Konačna ocjena: </w:t>
      </w:r>
      <w:r w:rsidR="00027C0A" w:rsidRPr="00027C0A">
        <w:rPr>
          <w:rFonts w:cstheme="minorHAnsi"/>
          <w:color w:val="92D050"/>
          <w:sz w:val="32"/>
          <w:szCs w:val="32"/>
          <w:lang w:val="sr-Latn-ME"/>
        </w:rPr>
        <w:t>6.5</w:t>
      </w:r>
      <w:r w:rsidRPr="00027C0A">
        <w:rPr>
          <w:rFonts w:cstheme="minorHAnsi"/>
          <w:color w:val="92D050"/>
          <w:sz w:val="32"/>
          <w:szCs w:val="32"/>
          <w:lang w:val="sr-Latn-ME"/>
        </w:rPr>
        <w:t xml:space="preserve"> od 1</w:t>
      </w:r>
      <w:r w:rsidR="0001617B">
        <w:rPr>
          <w:rFonts w:cstheme="minorHAnsi"/>
          <w:color w:val="92D050"/>
          <w:sz w:val="32"/>
          <w:szCs w:val="32"/>
          <w:lang w:val="sr-Latn-ME"/>
        </w:rPr>
        <w:t>1</w:t>
      </w:r>
      <w:r w:rsidRPr="00027C0A">
        <w:rPr>
          <w:rFonts w:cstheme="minorHAnsi"/>
          <w:color w:val="92D050"/>
          <w:sz w:val="32"/>
          <w:szCs w:val="32"/>
          <w:lang w:val="sr-Latn-ME"/>
        </w:rPr>
        <w:t xml:space="preserve"> ili </w:t>
      </w:r>
      <w:r w:rsidRPr="00027C0A">
        <w:rPr>
          <w:rFonts w:cstheme="minorHAnsi"/>
          <w:b/>
          <w:bCs/>
          <w:color w:val="92D050"/>
          <w:sz w:val="32"/>
          <w:szCs w:val="32"/>
          <w:lang w:val="sr-Latn-ME"/>
        </w:rPr>
        <w:t>0.</w:t>
      </w:r>
      <w:r w:rsidR="00027C0A" w:rsidRPr="00027C0A">
        <w:rPr>
          <w:rFonts w:cstheme="minorHAnsi"/>
          <w:b/>
          <w:bCs/>
          <w:color w:val="92D050"/>
          <w:sz w:val="32"/>
          <w:szCs w:val="32"/>
          <w:lang w:val="sr-Latn-ME"/>
        </w:rPr>
        <w:t>5</w:t>
      </w:r>
      <w:r w:rsidR="0001617B">
        <w:rPr>
          <w:rFonts w:cstheme="minorHAnsi"/>
          <w:b/>
          <w:bCs/>
          <w:color w:val="92D050"/>
          <w:sz w:val="32"/>
          <w:szCs w:val="32"/>
          <w:lang w:val="sr-Latn-ME"/>
        </w:rPr>
        <w:t>9</w:t>
      </w:r>
      <w:r w:rsidRPr="00027C0A">
        <w:rPr>
          <w:rFonts w:cstheme="minorHAnsi"/>
          <w:b/>
          <w:bCs/>
          <w:color w:val="92D050"/>
          <w:sz w:val="32"/>
          <w:szCs w:val="32"/>
          <w:lang w:val="sr-Latn-ME"/>
        </w:rPr>
        <w:t xml:space="preserve"> – Strategija </w:t>
      </w:r>
      <w:r w:rsidR="00027C0A" w:rsidRPr="00027C0A">
        <w:rPr>
          <w:rFonts w:cstheme="minorHAnsi"/>
          <w:b/>
          <w:bCs/>
          <w:color w:val="92D050"/>
          <w:sz w:val="32"/>
          <w:szCs w:val="32"/>
          <w:lang w:val="sr-Latn-ME"/>
        </w:rPr>
        <w:t xml:space="preserve">je </w:t>
      </w:r>
      <w:r w:rsidRPr="00027C0A">
        <w:rPr>
          <w:rFonts w:cstheme="minorHAnsi"/>
          <w:b/>
          <w:bCs/>
          <w:color w:val="92D050"/>
          <w:sz w:val="32"/>
          <w:szCs w:val="32"/>
          <w:lang w:val="sr-Latn-ME"/>
        </w:rPr>
        <w:t xml:space="preserve">uglavnom </w:t>
      </w:r>
      <w:r w:rsidR="00027C0A" w:rsidRPr="00027C0A">
        <w:rPr>
          <w:rFonts w:cstheme="minorHAnsi"/>
          <w:b/>
          <w:bCs/>
          <w:color w:val="92D050"/>
          <w:sz w:val="32"/>
          <w:szCs w:val="32"/>
          <w:lang w:val="sr-Latn-ME"/>
        </w:rPr>
        <w:t>orodnjena</w:t>
      </w:r>
    </w:p>
    <w:p w14:paraId="65E31ED3" w14:textId="77777777" w:rsidR="009B12B1" w:rsidRDefault="009B12B1" w:rsidP="00A44541">
      <w:pPr>
        <w:rPr>
          <w:lang w:val="hr-HR"/>
        </w:rPr>
      </w:pPr>
    </w:p>
    <w:p w14:paraId="250013B6" w14:textId="77777777" w:rsidR="007210BD" w:rsidRDefault="007210BD" w:rsidP="00A44541">
      <w:pPr>
        <w:rPr>
          <w:lang w:val="hr-HR"/>
        </w:rPr>
      </w:pPr>
    </w:p>
    <w:p w14:paraId="2F8BB881" w14:textId="77777777" w:rsidR="007210BD" w:rsidRPr="00A44541" w:rsidRDefault="007210BD" w:rsidP="00A44541">
      <w:pPr>
        <w:rPr>
          <w:lang w:val="hr-HR"/>
        </w:rPr>
      </w:pPr>
    </w:p>
    <w:p w14:paraId="198C9EC6" w14:textId="7BC1489A" w:rsidR="00AC6EB8" w:rsidRDefault="00227611" w:rsidP="00072DD2">
      <w:pPr>
        <w:pStyle w:val="Heading3"/>
        <w:rPr>
          <w:noProof/>
          <w:lang w:val="hr-HR"/>
        </w:rPr>
      </w:pPr>
      <w:bookmarkStart w:id="20" w:name="_Toc100339542"/>
      <w:r>
        <w:rPr>
          <w:noProof/>
          <w:lang w:val="hr-HR"/>
        </w:rPr>
        <w:lastRenderedPageBreak/>
        <w:t>13</w:t>
      </w:r>
      <w:r w:rsidR="009D5CC5">
        <w:rPr>
          <w:noProof/>
          <w:lang w:val="hr-HR"/>
        </w:rPr>
        <w:t xml:space="preserve">. </w:t>
      </w:r>
      <w:r w:rsidR="00AC6EB8" w:rsidRPr="00AC6EB8">
        <w:rPr>
          <w:noProof/>
          <w:lang w:val="hr-HR"/>
        </w:rPr>
        <w:t>Strategija zaštite i unaprjeđenja mentalnog zdravlja u Crnoj Gori 2019-2023</w:t>
      </w:r>
      <w:r w:rsidR="00072DD2">
        <w:rPr>
          <w:noProof/>
          <w:lang w:val="hr-HR"/>
        </w:rPr>
        <w:t>.</w:t>
      </w:r>
      <w:bookmarkEnd w:id="20"/>
    </w:p>
    <w:p w14:paraId="13B1BFAC" w14:textId="77777777" w:rsidR="008C5905" w:rsidRDefault="008C5905" w:rsidP="00194F32">
      <w:pPr>
        <w:jc w:val="both"/>
        <w:rPr>
          <w:lang w:val="hr-HR"/>
        </w:rPr>
      </w:pPr>
    </w:p>
    <w:p w14:paraId="733E8BBA" w14:textId="587821B3" w:rsidR="00F616C4" w:rsidRDefault="00F616C4" w:rsidP="00194F32">
      <w:pPr>
        <w:jc w:val="both"/>
        <w:rPr>
          <w:lang w:val="hr-HR"/>
        </w:rPr>
      </w:pPr>
      <w:r>
        <w:rPr>
          <w:lang w:val="hr-HR"/>
        </w:rPr>
        <w:t>Ova strategija za cilj ima unapređenje mentalnog zdravlja populacije i smanjenje tereta mentalnih oboljenja u populaciji</w:t>
      </w:r>
      <w:r w:rsidR="00194F32">
        <w:rPr>
          <w:lang w:val="hr-HR"/>
        </w:rPr>
        <w:t xml:space="preserve">, pri čemu se posebna pažnja posvećuje rizičnim i vulnerabilnim grupama. </w:t>
      </w:r>
    </w:p>
    <w:p w14:paraId="15B57793" w14:textId="77777777" w:rsidR="00194F32" w:rsidRPr="00F616C4" w:rsidRDefault="00194F32" w:rsidP="00194F32">
      <w:pPr>
        <w:jc w:val="both"/>
        <w:rPr>
          <w:lang w:val="hr-HR"/>
        </w:rPr>
      </w:pPr>
    </w:p>
    <w:p w14:paraId="11403C4E" w14:textId="77777777" w:rsidR="006923B2" w:rsidRPr="007D71A2" w:rsidRDefault="006923B2" w:rsidP="006923B2">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6923B2" w:rsidRPr="00AC67F2" w14:paraId="7385DAEB"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68563F8B" w14:textId="77777777" w:rsidR="006923B2" w:rsidRPr="00AC67F2" w:rsidRDefault="006923B2"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4FD0B513" w14:textId="77777777" w:rsidR="006923B2" w:rsidRPr="00AC67F2" w:rsidRDefault="006923B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14BF843B" w14:textId="77777777" w:rsidR="006923B2" w:rsidRPr="00AC67F2" w:rsidRDefault="006923B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1240753F" w14:textId="77777777" w:rsidR="006923B2" w:rsidRPr="009148DB" w:rsidRDefault="006923B2"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4DDEB300" w14:textId="77777777" w:rsidR="006923B2" w:rsidRPr="00AC67F2" w:rsidRDefault="006923B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6923B2" w:rsidRPr="00AC67F2" w14:paraId="23FEB565"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712C53FE" w14:textId="77777777" w:rsidR="006923B2" w:rsidRPr="00AC67F2" w:rsidRDefault="006923B2"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4C9F2365" w14:textId="77777777" w:rsidR="006923B2" w:rsidRPr="00DA659B"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101DB7BB" w14:textId="77777777" w:rsidR="006923B2" w:rsidRPr="00AC67F2"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5F1E32D6"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24911489"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6CCD889C" w14:textId="77777777" w:rsidR="006923B2" w:rsidRPr="00A545D6"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6923B2" w:rsidRPr="00AC67F2" w14:paraId="0D8AE6DF"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7D81ACBE" w14:textId="77777777" w:rsidR="006923B2" w:rsidRPr="00AC67F2" w:rsidRDefault="006923B2" w:rsidP="002559F4">
            <w:pPr>
              <w:rPr>
                <w:rFonts w:cstheme="minorHAnsi"/>
                <w:lang w:val="sr-Latn-ME"/>
              </w:rPr>
            </w:pPr>
            <w:r>
              <w:rPr>
                <w:rFonts w:cstheme="minorHAnsi"/>
                <w:lang w:val="sr-Latn-ME"/>
              </w:rPr>
              <w:t>1.2</w:t>
            </w:r>
          </w:p>
        </w:tc>
        <w:tc>
          <w:tcPr>
            <w:tcW w:w="2443" w:type="pct"/>
          </w:tcPr>
          <w:p w14:paraId="72CCF90B" w14:textId="77777777" w:rsidR="006923B2"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3C7B1D4C" w14:textId="77777777" w:rsidR="006923B2" w:rsidRPr="00AC67F2"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5A1FC1A7"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0F5503BB"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4B7CCB2A" w14:textId="77777777" w:rsidR="006923B2" w:rsidRPr="00A545D6"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U Strategiji se navodi da je bila angažovana ekspertska pomoć, ali nije precizirano da se odnosila na rodnu perspektivu. </w:t>
            </w:r>
          </w:p>
        </w:tc>
      </w:tr>
      <w:tr w:rsidR="006923B2" w:rsidRPr="00AC67F2" w14:paraId="3F3927B0"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24C7BFF9" w14:textId="77777777" w:rsidR="006923B2" w:rsidRPr="00AC67F2" w:rsidRDefault="006923B2" w:rsidP="002559F4">
            <w:pPr>
              <w:rPr>
                <w:rFonts w:cstheme="minorHAnsi"/>
                <w:lang w:val="sr-Latn-ME"/>
              </w:rPr>
            </w:pPr>
            <w:r>
              <w:rPr>
                <w:rFonts w:cstheme="minorHAnsi"/>
                <w:lang w:val="sr-Latn-ME"/>
              </w:rPr>
              <w:t>Ukupno</w:t>
            </w:r>
          </w:p>
        </w:tc>
        <w:tc>
          <w:tcPr>
            <w:tcW w:w="645" w:type="pct"/>
          </w:tcPr>
          <w:p w14:paraId="1E1C6776" w14:textId="77777777" w:rsidR="006923B2" w:rsidRPr="00AC67F2"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42B9CF97" w14:textId="77777777" w:rsidR="006923B2" w:rsidRPr="00527B8F"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6D5DB6C2" w14:textId="77777777" w:rsidR="006923B2" w:rsidRPr="008C09CD" w:rsidRDefault="006923B2"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0/2</w:t>
            </w:r>
          </w:p>
        </w:tc>
      </w:tr>
    </w:tbl>
    <w:p w14:paraId="0EB4647B" w14:textId="77777777" w:rsidR="006923B2" w:rsidRPr="00F43A6C" w:rsidRDefault="006923B2" w:rsidP="006923B2">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6923B2" w:rsidRPr="00AC67F2" w14:paraId="50172709"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397F787C" w14:textId="77777777" w:rsidR="006923B2" w:rsidRPr="00AC67F2" w:rsidRDefault="006923B2"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6A3DF08E" w14:textId="77777777" w:rsidR="006923B2" w:rsidRPr="00AC67F2" w:rsidRDefault="006923B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65426AAD" w14:textId="77777777" w:rsidR="006923B2" w:rsidRPr="00AC67F2" w:rsidRDefault="006923B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400348B0" w14:textId="77777777" w:rsidR="006923B2" w:rsidRPr="00AC67F2" w:rsidRDefault="006923B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5908599C" w14:textId="77777777" w:rsidR="006923B2" w:rsidRPr="00AC67F2" w:rsidRDefault="006923B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30628F10" w14:textId="77777777" w:rsidR="006923B2" w:rsidRPr="00AC67F2" w:rsidRDefault="006923B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6923B2" w:rsidRPr="00AC67F2" w14:paraId="347B2B06"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3417663" w14:textId="77777777" w:rsidR="006923B2" w:rsidRPr="00AC67F2" w:rsidRDefault="006923B2"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21677FF2" w14:textId="77777777" w:rsidR="006923B2" w:rsidRPr="00AC67F2"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1AA42170" w14:textId="77777777" w:rsidR="006923B2" w:rsidRPr="00A00FA0"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tcPr>
          <w:p w14:paraId="25A373D8"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0A9FFB1E"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671529D" w14:textId="759D7D8C" w:rsidR="006923B2" w:rsidRPr="00A71811" w:rsidRDefault="00B1604F"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Cjelokupna analiza vodi računa o disagregaciji podataka. </w:t>
            </w:r>
          </w:p>
        </w:tc>
      </w:tr>
      <w:tr w:rsidR="006923B2" w:rsidRPr="00AC67F2" w14:paraId="7392D6C6"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742E64C9" w14:textId="77777777" w:rsidR="006923B2" w:rsidRPr="00AC67F2" w:rsidRDefault="006923B2" w:rsidP="002559F4">
            <w:pPr>
              <w:rPr>
                <w:rFonts w:cstheme="minorHAnsi"/>
                <w:lang w:val="sr-Latn-ME"/>
              </w:rPr>
            </w:pPr>
            <w:r>
              <w:rPr>
                <w:rFonts w:cstheme="minorHAnsi"/>
                <w:lang w:val="sr-Latn-ME"/>
              </w:rPr>
              <w:t>2.2</w:t>
            </w:r>
          </w:p>
        </w:tc>
        <w:tc>
          <w:tcPr>
            <w:tcW w:w="3856" w:type="dxa"/>
            <w:shd w:val="clear" w:color="auto" w:fill="D9D9D9" w:themeFill="background1" w:themeFillShade="D9"/>
          </w:tcPr>
          <w:p w14:paraId="32DD6A88" w14:textId="77777777" w:rsidR="006923B2" w:rsidRPr="00AC67F2"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shd w:val="clear" w:color="auto" w:fill="D9D9D9" w:themeFill="background1" w:themeFillShade="D9"/>
          </w:tcPr>
          <w:p w14:paraId="734CB274" w14:textId="720564BB"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6066FE2E"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6A32163B"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D9D9D9" w:themeFill="background1" w:themeFillShade="D9"/>
          </w:tcPr>
          <w:p w14:paraId="1E8BC860" w14:textId="24B6EE6C" w:rsidR="006923B2" w:rsidRPr="00A71811" w:rsidRDefault="00235E40"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Vrlo specifična strategija u kojoj je teško dovesti u vezu pol i </w:t>
            </w:r>
            <w:r w:rsidR="009E1B15">
              <w:rPr>
                <w:rFonts w:cstheme="minorHAnsi"/>
                <w:sz w:val="18"/>
                <w:szCs w:val="18"/>
                <w:lang w:val="sr-Latn-ME"/>
              </w:rPr>
              <w:t xml:space="preserve">šire </w:t>
            </w:r>
            <w:r>
              <w:rPr>
                <w:rFonts w:cstheme="minorHAnsi"/>
                <w:sz w:val="18"/>
                <w:szCs w:val="18"/>
                <w:lang w:val="sr-Latn-ME"/>
              </w:rPr>
              <w:t xml:space="preserve">posljedice mentalnih bolesti osim u smislu drugačije prevalence. </w:t>
            </w:r>
          </w:p>
        </w:tc>
      </w:tr>
      <w:tr w:rsidR="006923B2" w:rsidRPr="00AC67F2" w14:paraId="4AADC5B8"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63466A35" w14:textId="77777777" w:rsidR="006923B2" w:rsidRDefault="006923B2" w:rsidP="002559F4">
            <w:pPr>
              <w:rPr>
                <w:rFonts w:cstheme="minorHAnsi"/>
                <w:lang w:val="sr-Latn-ME"/>
              </w:rPr>
            </w:pPr>
            <w:r>
              <w:rPr>
                <w:rFonts w:cstheme="minorHAnsi"/>
                <w:lang w:val="sr-Latn-ME"/>
              </w:rPr>
              <w:t>2.3</w:t>
            </w:r>
          </w:p>
        </w:tc>
        <w:tc>
          <w:tcPr>
            <w:tcW w:w="3856" w:type="dxa"/>
            <w:shd w:val="clear" w:color="auto" w:fill="D9D9D9" w:themeFill="background1" w:themeFillShade="D9"/>
          </w:tcPr>
          <w:p w14:paraId="1F654BE5" w14:textId="77777777" w:rsidR="006923B2"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shd w:val="clear" w:color="auto" w:fill="D9D9D9" w:themeFill="background1" w:themeFillShade="D9"/>
          </w:tcPr>
          <w:p w14:paraId="0C1D6577" w14:textId="7FDD7C20"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5ECA2E77"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0D6579D4"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D9D9D9" w:themeFill="background1" w:themeFillShade="D9"/>
          </w:tcPr>
          <w:p w14:paraId="08FF7164" w14:textId="3F5F3996" w:rsidR="006923B2" w:rsidRPr="00A71811" w:rsidRDefault="005C6FA1"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Prepreke nisu polno i rodno determinisane. </w:t>
            </w:r>
          </w:p>
        </w:tc>
      </w:tr>
      <w:tr w:rsidR="006923B2" w:rsidRPr="00AC67F2" w14:paraId="60BD9E27"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07870D1F" w14:textId="77777777" w:rsidR="006923B2" w:rsidRPr="00AC67F2" w:rsidRDefault="006923B2" w:rsidP="002559F4">
            <w:pPr>
              <w:rPr>
                <w:rFonts w:cstheme="minorHAnsi"/>
                <w:lang w:val="sr-Latn-ME"/>
              </w:rPr>
            </w:pPr>
            <w:r>
              <w:rPr>
                <w:rFonts w:cstheme="minorHAnsi"/>
                <w:lang w:val="sr-Latn-ME"/>
              </w:rPr>
              <w:lastRenderedPageBreak/>
              <w:t>2.4</w:t>
            </w:r>
          </w:p>
        </w:tc>
        <w:tc>
          <w:tcPr>
            <w:tcW w:w="3856" w:type="dxa"/>
            <w:shd w:val="clear" w:color="auto" w:fill="auto"/>
          </w:tcPr>
          <w:p w14:paraId="630F199A" w14:textId="77777777" w:rsidR="006923B2" w:rsidRPr="00AC67F2"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555623C0" w14:textId="73051184" w:rsidR="006923B2" w:rsidRPr="00C26A63"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auto"/>
          </w:tcPr>
          <w:p w14:paraId="64A671C9" w14:textId="35705CEC" w:rsidR="006923B2" w:rsidRPr="00AC67F2" w:rsidRDefault="00693BF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60682195"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15DD2ABF" w14:textId="32A99257" w:rsidR="006923B2" w:rsidRPr="00D8609B"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6923B2" w:rsidRPr="00AC67F2" w14:paraId="67CBC2E4"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56923EB" w14:textId="77777777" w:rsidR="006923B2" w:rsidRDefault="006923B2" w:rsidP="002559F4">
            <w:pPr>
              <w:rPr>
                <w:rFonts w:cstheme="minorHAnsi"/>
                <w:lang w:val="sr-Latn-ME"/>
              </w:rPr>
            </w:pPr>
            <w:r>
              <w:rPr>
                <w:rFonts w:cstheme="minorHAnsi"/>
                <w:lang w:val="sr-Latn-ME"/>
              </w:rPr>
              <w:t>2.5</w:t>
            </w:r>
          </w:p>
        </w:tc>
        <w:tc>
          <w:tcPr>
            <w:tcW w:w="3856" w:type="dxa"/>
          </w:tcPr>
          <w:p w14:paraId="0D93E1D7" w14:textId="77777777" w:rsidR="006923B2" w:rsidRPr="00AC67F2"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7D4BA50E" w14:textId="3A929B2F"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5A0813E1" w14:textId="25583F61" w:rsidR="006923B2" w:rsidRPr="00AC67F2" w:rsidRDefault="00962F8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02EF7A14"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82B14DA" w14:textId="77777777" w:rsidR="006923B2" w:rsidRPr="00A71811"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6923B2" w:rsidRPr="00AC67F2" w14:paraId="450E7DDE"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0F00918D" w14:textId="77777777" w:rsidR="006923B2" w:rsidRPr="00AC67F2" w:rsidRDefault="006923B2" w:rsidP="002559F4">
            <w:pPr>
              <w:rPr>
                <w:rFonts w:cstheme="minorHAnsi"/>
                <w:lang w:val="sr-Latn-ME"/>
              </w:rPr>
            </w:pPr>
            <w:r>
              <w:rPr>
                <w:rFonts w:cstheme="minorHAnsi"/>
                <w:lang w:val="sr-Latn-ME"/>
              </w:rPr>
              <w:t>2.6</w:t>
            </w:r>
          </w:p>
        </w:tc>
        <w:tc>
          <w:tcPr>
            <w:tcW w:w="3856" w:type="dxa"/>
            <w:shd w:val="clear" w:color="auto" w:fill="D9D9D9" w:themeFill="background1" w:themeFillShade="D9"/>
          </w:tcPr>
          <w:p w14:paraId="23DC9734" w14:textId="77777777" w:rsidR="006923B2" w:rsidRPr="00AC67F2"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D9D9D9" w:themeFill="background1" w:themeFillShade="D9"/>
          </w:tcPr>
          <w:p w14:paraId="60A17C95" w14:textId="52AC1A6D"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2E35400A"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4BE6864A"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D9D9D9" w:themeFill="background1" w:themeFillShade="D9"/>
          </w:tcPr>
          <w:p w14:paraId="65BAA9BC" w14:textId="4532142E" w:rsidR="006923B2" w:rsidRPr="00A71811" w:rsidRDefault="003F5011"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Ne postoje mjere. </w:t>
            </w:r>
          </w:p>
        </w:tc>
      </w:tr>
      <w:tr w:rsidR="006923B2" w:rsidRPr="00AC67F2" w14:paraId="2F6E9F7D"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7FF8F0E" w14:textId="77777777" w:rsidR="006923B2" w:rsidRDefault="006923B2" w:rsidP="002559F4">
            <w:pPr>
              <w:rPr>
                <w:rFonts w:cstheme="minorHAnsi"/>
                <w:lang w:val="sr-Latn-ME"/>
              </w:rPr>
            </w:pPr>
            <w:r>
              <w:rPr>
                <w:rFonts w:cstheme="minorHAnsi"/>
                <w:lang w:val="sr-Latn-ME"/>
              </w:rPr>
              <w:t>2.7</w:t>
            </w:r>
          </w:p>
        </w:tc>
        <w:tc>
          <w:tcPr>
            <w:tcW w:w="3856" w:type="dxa"/>
          </w:tcPr>
          <w:p w14:paraId="021FEB06" w14:textId="01287C33" w:rsidR="006923B2"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1D87FDFA"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05272D87"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4B0A4605"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42D0D93" w14:textId="77777777" w:rsidR="006923B2" w:rsidRPr="00A71811"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6923B2" w:rsidRPr="00AC67F2" w14:paraId="5FB2EB43"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41E94525" w14:textId="71A2B0DC" w:rsidR="006923B2" w:rsidRPr="00AC67F2" w:rsidRDefault="006923B2"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2D0E61E7" w14:textId="77777777" w:rsidR="006923B2"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1BCE9D02" w14:textId="77777777" w:rsidR="006923B2" w:rsidRPr="005C2773" w:rsidRDefault="006923B2"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606A1125"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602093DA"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5CD5031C"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2E53F1B" w14:textId="1F23AEDC" w:rsidR="006923B2" w:rsidRPr="00AC67F2"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3F278B">
              <w:rPr>
                <w:rFonts w:cstheme="minorHAnsi"/>
                <w:sz w:val="18"/>
                <w:szCs w:val="18"/>
                <w:lang w:val="sr-Latn-ME"/>
              </w:rPr>
              <w:t>Strategija uglavnom koristi rodno neutralne izraze, međutim u djelovima gdje to nije moguće ne koristi se rodno senzitivan jezik</w:t>
            </w:r>
            <w:r>
              <w:rPr>
                <w:rFonts w:cstheme="minorHAnsi"/>
                <w:sz w:val="18"/>
                <w:szCs w:val="18"/>
                <w:lang w:val="sr-Latn-ME"/>
              </w:rPr>
              <w:t xml:space="preserve"> („</w:t>
            </w:r>
            <w:r w:rsidR="00B742F5">
              <w:rPr>
                <w:rFonts w:cstheme="minorHAnsi"/>
                <w:sz w:val="18"/>
                <w:szCs w:val="18"/>
                <w:lang w:val="sr-Latn-ME"/>
              </w:rPr>
              <w:t>stanovnici</w:t>
            </w:r>
            <w:r>
              <w:rPr>
                <w:rFonts w:cstheme="minorHAnsi"/>
                <w:sz w:val="18"/>
                <w:szCs w:val="18"/>
                <w:lang w:val="sr-Latn-ME"/>
              </w:rPr>
              <w:t>“</w:t>
            </w:r>
            <w:r w:rsidR="009E1B15">
              <w:rPr>
                <w:rFonts w:cstheme="minorHAnsi"/>
                <w:sz w:val="18"/>
                <w:szCs w:val="18"/>
                <w:lang w:val="sr-Latn-ME"/>
              </w:rPr>
              <w:t>, „pacijenti“</w:t>
            </w:r>
            <w:r>
              <w:rPr>
                <w:rFonts w:cstheme="minorHAnsi"/>
                <w:sz w:val="18"/>
                <w:szCs w:val="18"/>
                <w:lang w:val="sr-Latn-ME"/>
              </w:rPr>
              <w:t>)</w:t>
            </w:r>
          </w:p>
        </w:tc>
      </w:tr>
      <w:tr w:rsidR="006923B2" w:rsidRPr="00AC67F2" w14:paraId="23AFD47C"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6DF85E4D" w14:textId="77777777" w:rsidR="006923B2" w:rsidRPr="00AC67F2" w:rsidRDefault="006923B2" w:rsidP="002559F4">
            <w:pPr>
              <w:rPr>
                <w:rFonts w:cstheme="minorHAnsi"/>
                <w:lang w:val="sr-Latn-ME" w:eastAsia="en-GB"/>
              </w:rPr>
            </w:pPr>
            <w:r>
              <w:rPr>
                <w:rFonts w:cstheme="minorHAnsi"/>
                <w:lang w:val="sr-Latn-ME"/>
              </w:rPr>
              <w:t>Ukupno</w:t>
            </w:r>
          </w:p>
        </w:tc>
        <w:tc>
          <w:tcPr>
            <w:tcW w:w="747" w:type="dxa"/>
          </w:tcPr>
          <w:p w14:paraId="6C469E90"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6C3DFE69" w14:textId="77777777" w:rsidR="006923B2" w:rsidRPr="00527B8F"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2155E4FA"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73E14C6" w14:textId="0E0EE0CC" w:rsidR="006923B2" w:rsidRPr="00E72E03" w:rsidRDefault="003F5011"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1</w:t>
            </w:r>
            <w:r w:rsidR="006923B2" w:rsidRPr="00E72E03">
              <w:rPr>
                <w:rFonts w:cstheme="minorHAnsi"/>
                <w:b/>
                <w:bCs/>
                <w:sz w:val="28"/>
                <w:szCs w:val="28"/>
                <w:lang w:val="sr-Latn-ME"/>
              </w:rPr>
              <w:t>/</w:t>
            </w:r>
            <w:r>
              <w:rPr>
                <w:rFonts w:cstheme="minorHAnsi"/>
                <w:b/>
                <w:bCs/>
                <w:sz w:val="28"/>
                <w:szCs w:val="28"/>
                <w:lang w:val="sr-Latn-ME"/>
              </w:rPr>
              <w:t>5</w:t>
            </w:r>
          </w:p>
        </w:tc>
      </w:tr>
    </w:tbl>
    <w:p w14:paraId="2B7769E5" w14:textId="77777777" w:rsidR="006923B2" w:rsidRPr="00AC67F2" w:rsidRDefault="006923B2" w:rsidP="006923B2">
      <w:pPr>
        <w:rPr>
          <w:rFonts w:cstheme="minorHAnsi"/>
          <w:lang w:val="sr-Latn-ME"/>
        </w:rPr>
      </w:pPr>
    </w:p>
    <w:p w14:paraId="1F264FA8" w14:textId="77777777" w:rsidR="006923B2" w:rsidRPr="00852DD8" w:rsidRDefault="006923B2" w:rsidP="006923B2">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6923B2" w:rsidRPr="00AC67F2" w14:paraId="0F78D573"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1BCAB53A" w14:textId="77777777" w:rsidR="006923B2" w:rsidRPr="00AC67F2" w:rsidRDefault="006923B2"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4A9739B4" w14:textId="77777777" w:rsidR="006923B2" w:rsidRPr="00AC67F2" w:rsidRDefault="006923B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268D7ABF" w14:textId="77777777" w:rsidR="006923B2" w:rsidRPr="00AC67F2" w:rsidRDefault="006923B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1CAAA863" w14:textId="77777777" w:rsidR="006923B2" w:rsidRPr="00AC67F2" w:rsidRDefault="006923B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5A0A9DE1" w14:textId="77777777" w:rsidR="006923B2" w:rsidRPr="00AC67F2" w:rsidRDefault="006923B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64579841" w14:textId="77777777" w:rsidR="006923B2" w:rsidRPr="00AC67F2" w:rsidRDefault="006923B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6923B2" w:rsidRPr="00AC67F2" w14:paraId="5200862B"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9A15C78" w14:textId="77777777" w:rsidR="006923B2" w:rsidRPr="00AC67F2" w:rsidRDefault="006923B2" w:rsidP="002559F4">
            <w:pPr>
              <w:rPr>
                <w:rFonts w:cstheme="minorHAnsi"/>
                <w:lang w:val="sr-Latn-ME"/>
              </w:rPr>
            </w:pPr>
            <w:r>
              <w:rPr>
                <w:rFonts w:cstheme="minorHAnsi"/>
                <w:lang w:val="sr-Latn-ME"/>
              </w:rPr>
              <w:t>3.1</w:t>
            </w:r>
          </w:p>
        </w:tc>
        <w:tc>
          <w:tcPr>
            <w:tcW w:w="3908" w:type="dxa"/>
          </w:tcPr>
          <w:p w14:paraId="2E652A35" w14:textId="77777777" w:rsidR="006923B2" w:rsidRPr="00AC67F2"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7A10F915"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7830A5EB"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tcPr>
          <w:p w14:paraId="7D5A1BFB"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180D519C" w14:textId="384ADA13" w:rsidR="006923B2" w:rsidRPr="009A4E2D" w:rsidRDefault="00951C93"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Predviđeni su indikatori praćenja u odnosu na pol kako bi se sistem mogao alarmirati u slučaju promjene balansa. </w:t>
            </w:r>
            <w:r w:rsidR="006923B2">
              <w:rPr>
                <w:rFonts w:cstheme="minorHAnsi"/>
                <w:sz w:val="18"/>
                <w:szCs w:val="18"/>
                <w:lang w:val="sr-Latn-ME"/>
              </w:rPr>
              <w:t xml:space="preserve"> </w:t>
            </w:r>
          </w:p>
        </w:tc>
      </w:tr>
      <w:tr w:rsidR="006923B2" w:rsidRPr="00AC67F2" w14:paraId="2E008F0C"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7927F7CF" w14:textId="77777777" w:rsidR="006923B2" w:rsidRDefault="006923B2" w:rsidP="002559F4">
            <w:pPr>
              <w:rPr>
                <w:rFonts w:cstheme="minorHAnsi"/>
                <w:lang w:val="sr-Latn-ME"/>
              </w:rPr>
            </w:pPr>
            <w:r>
              <w:rPr>
                <w:rFonts w:cstheme="minorHAnsi"/>
                <w:lang w:val="sr-Latn-ME"/>
              </w:rPr>
              <w:t>Ukupno</w:t>
            </w:r>
          </w:p>
        </w:tc>
        <w:tc>
          <w:tcPr>
            <w:tcW w:w="760" w:type="dxa"/>
            <w:shd w:val="clear" w:color="auto" w:fill="auto"/>
          </w:tcPr>
          <w:p w14:paraId="0D5AB863" w14:textId="77777777" w:rsidR="006923B2" w:rsidRPr="00AC67F2" w:rsidRDefault="006923B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6C606EED" w14:textId="77777777" w:rsidR="006923B2" w:rsidRPr="00527B8F"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4A8C6672" w14:textId="77777777" w:rsidR="006923B2" w:rsidRPr="00AC67F2" w:rsidRDefault="006923B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0742F012" w14:textId="77777777" w:rsidR="006923B2" w:rsidRPr="00AC67F2" w:rsidRDefault="006923B2"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1/1</w:t>
            </w:r>
          </w:p>
        </w:tc>
      </w:tr>
    </w:tbl>
    <w:p w14:paraId="667C9526" w14:textId="77777777" w:rsidR="006923B2" w:rsidRDefault="006923B2" w:rsidP="006923B2">
      <w:pPr>
        <w:rPr>
          <w:rFonts w:cstheme="minorHAnsi"/>
          <w:lang w:val="sr-Latn-ME"/>
        </w:rPr>
      </w:pPr>
    </w:p>
    <w:p w14:paraId="5472D22F" w14:textId="3AF1E6D8" w:rsidR="006923B2" w:rsidRPr="000B4580" w:rsidRDefault="006923B2" w:rsidP="006923B2">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0000"/>
          <w:sz w:val="32"/>
          <w:szCs w:val="32"/>
          <w:lang w:val="sr-Latn-ME"/>
        </w:rPr>
      </w:pPr>
      <w:r w:rsidRPr="000B4580">
        <w:rPr>
          <w:rFonts w:cstheme="minorHAnsi"/>
          <w:color w:val="FF0000"/>
          <w:sz w:val="32"/>
          <w:szCs w:val="32"/>
          <w:lang w:val="sr-Latn-ME"/>
        </w:rPr>
        <w:t xml:space="preserve">Konačna ocjena: </w:t>
      </w:r>
      <w:r w:rsidR="003F5011" w:rsidRPr="000B4580">
        <w:rPr>
          <w:rFonts w:cstheme="minorHAnsi"/>
          <w:color w:val="FF0000"/>
          <w:sz w:val="32"/>
          <w:szCs w:val="32"/>
          <w:lang w:val="sr-Latn-ME"/>
        </w:rPr>
        <w:t>2</w:t>
      </w:r>
      <w:r w:rsidRPr="000B4580">
        <w:rPr>
          <w:rFonts w:cstheme="minorHAnsi"/>
          <w:color w:val="FF0000"/>
          <w:sz w:val="32"/>
          <w:szCs w:val="32"/>
          <w:lang w:val="sr-Latn-ME"/>
        </w:rPr>
        <w:t xml:space="preserve"> od </w:t>
      </w:r>
      <w:r w:rsidR="003F5011" w:rsidRPr="000B4580">
        <w:rPr>
          <w:rFonts w:cstheme="minorHAnsi"/>
          <w:color w:val="FF0000"/>
          <w:sz w:val="32"/>
          <w:szCs w:val="32"/>
          <w:lang w:val="sr-Latn-ME"/>
        </w:rPr>
        <w:t>8</w:t>
      </w:r>
      <w:r w:rsidRPr="000B4580">
        <w:rPr>
          <w:rFonts w:cstheme="minorHAnsi"/>
          <w:color w:val="FF0000"/>
          <w:sz w:val="32"/>
          <w:szCs w:val="32"/>
          <w:lang w:val="sr-Latn-ME"/>
        </w:rPr>
        <w:t xml:space="preserve"> ili </w:t>
      </w:r>
      <w:r w:rsidRPr="000B4580">
        <w:rPr>
          <w:rFonts w:cstheme="minorHAnsi"/>
          <w:b/>
          <w:bCs/>
          <w:color w:val="FF0000"/>
          <w:sz w:val="32"/>
          <w:szCs w:val="32"/>
          <w:lang w:val="sr-Latn-ME"/>
        </w:rPr>
        <w:t>0.</w:t>
      </w:r>
      <w:r w:rsidR="000B4580" w:rsidRPr="000B4580">
        <w:rPr>
          <w:rFonts w:cstheme="minorHAnsi"/>
          <w:b/>
          <w:bCs/>
          <w:color w:val="FF0000"/>
          <w:sz w:val="32"/>
          <w:szCs w:val="32"/>
          <w:lang w:val="sr-Latn-ME"/>
        </w:rPr>
        <w:t>25</w:t>
      </w:r>
      <w:r w:rsidRPr="000B4580">
        <w:rPr>
          <w:rFonts w:cstheme="minorHAnsi"/>
          <w:b/>
          <w:bCs/>
          <w:color w:val="FF0000"/>
          <w:sz w:val="32"/>
          <w:szCs w:val="32"/>
          <w:lang w:val="sr-Latn-ME"/>
        </w:rPr>
        <w:t xml:space="preserve"> – </w:t>
      </w:r>
      <w:r w:rsidR="000B4580" w:rsidRPr="000B4580">
        <w:rPr>
          <w:rFonts w:cstheme="minorHAnsi"/>
          <w:b/>
          <w:bCs/>
          <w:color w:val="FF0000"/>
          <w:sz w:val="32"/>
          <w:szCs w:val="32"/>
          <w:lang w:val="sr-Latn-ME"/>
        </w:rPr>
        <w:t>Strategija uopšte nije orodnjena.</w:t>
      </w:r>
    </w:p>
    <w:p w14:paraId="22D7B637" w14:textId="77777777" w:rsidR="009B12B1" w:rsidRPr="00072DD2" w:rsidRDefault="009B12B1" w:rsidP="00072DD2">
      <w:pPr>
        <w:rPr>
          <w:lang w:val="hr-HR"/>
        </w:rPr>
      </w:pPr>
    </w:p>
    <w:p w14:paraId="45C421FC" w14:textId="77777777" w:rsidR="00227611" w:rsidRDefault="00227611" w:rsidP="009B12B1">
      <w:pPr>
        <w:pStyle w:val="Heading3"/>
        <w:rPr>
          <w:noProof/>
          <w:lang w:val="hr-HR"/>
        </w:rPr>
      </w:pPr>
    </w:p>
    <w:p w14:paraId="05B9AC7F" w14:textId="66181AAC" w:rsidR="00AC6EB8" w:rsidRDefault="00227611" w:rsidP="009B12B1">
      <w:pPr>
        <w:pStyle w:val="Heading3"/>
        <w:rPr>
          <w:noProof/>
          <w:lang w:val="hr-HR"/>
        </w:rPr>
      </w:pPr>
      <w:bookmarkStart w:id="21" w:name="_Toc100339543"/>
      <w:r>
        <w:rPr>
          <w:noProof/>
          <w:lang w:val="hr-HR"/>
        </w:rPr>
        <w:t>14</w:t>
      </w:r>
      <w:r w:rsidR="009D5CC5">
        <w:rPr>
          <w:noProof/>
          <w:lang w:val="hr-HR"/>
        </w:rPr>
        <w:t xml:space="preserve">. </w:t>
      </w:r>
      <w:r w:rsidR="00AC6EB8" w:rsidRPr="00AC6EB8">
        <w:rPr>
          <w:noProof/>
          <w:lang w:val="hr-HR"/>
        </w:rPr>
        <w:t>Strategijski pregled odbrane Crne Gore 2018-2023.</w:t>
      </w:r>
      <w:bookmarkEnd w:id="21"/>
    </w:p>
    <w:p w14:paraId="2C16C477" w14:textId="77777777" w:rsidR="00CE2F8E" w:rsidRPr="00CE2F8E" w:rsidRDefault="00CE2F8E" w:rsidP="00CE2F8E">
      <w:pPr>
        <w:rPr>
          <w:lang w:val="hr-HR"/>
        </w:rPr>
      </w:pPr>
    </w:p>
    <w:p w14:paraId="52D192BA" w14:textId="0116A487" w:rsidR="00E103E6" w:rsidRPr="00E103E6" w:rsidRDefault="008F0772" w:rsidP="008F0772">
      <w:pPr>
        <w:jc w:val="both"/>
        <w:rPr>
          <w:lang w:val="hr-HR"/>
        </w:rPr>
      </w:pPr>
      <w:r w:rsidRPr="008F0772">
        <w:rPr>
          <w:lang w:val="hr-HR"/>
        </w:rPr>
        <w:t>Strategijski pregled odbrane Crne Gore je polazni planski dokument kojim se daju pregled vojnih sposobnosti, opšte smjernice za nastavak reforme u oblasti odbrane, kao i osnove za unaprjeđivanje odbrambenih sposobnosti radi izvršavanja misija i zadataka Vojske Crne Gore</w:t>
      </w:r>
      <w:r>
        <w:rPr>
          <w:lang w:val="hr-HR"/>
        </w:rPr>
        <w:t>.</w:t>
      </w:r>
    </w:p>
    <w:p w14:paraId="54C31C3B" w14:textId="77777777" w:rsidR="009B12B1" w:rsidRPr="007D71A2" w:rsidRDefault="009B12B1" w:rsidP="009B12B1">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9B12B1" w:rsidRPr="00AC67F2" w14:paraId="0B725BD7"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5C1EF3AD" w14:textId="77777777" w:rsidR="009B12B1" w:rsidRPr="00AC67F2" w:rsidRDefault="009B12B1"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2A77116F" w14:textId="77777777" w:rsidR="009B12B1" w:rsidRPr="00AC67F2" w:rsidRDefault="009B12B1"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34E4A425" w14:textId="77777777" w:rsidR="009B12B1" w:rsidRPr="00AC67F2" w:rsidRDefault="009B12B1"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4279EA98" w14:textId="77777777" w:rsidR="009B12B1" w:rsidRPr="009148DB" w:rsidRDefault="009B12B1"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5A29AA2D" w14:textId="77777777" w:rsidR="009B12B1" w:rsidRPr="00AC67F2" w:rsidRDefault="009B12B1"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9B12B1" w:rsidRPr="00AC67F2" w14:paraId="561D9FCC"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3D39F244" w14:textId="77777777" w:rsidR="009B12B1" w:rsidRPr="00AC67F2" w:rsidRDefault="009B12B1"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730FE627" w14:textId="77777777" w:rsidR="009B12B1" w:rsidRPr="00DA659B"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43FD6300" w14:textId="77777777" w:rsidR="009B12B1" w:rsidRPr="00AC67F2"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6ACBC227"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25E43321"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3E8A2E43" w14:textId="77777777" w:rsidR="009B12B1" w:rsidRPr="00A545D6"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9B12B1" w:rsidRPr="00AC67F2" w14:paraId="7F8C8E48"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49883EAF" w14:textId="77777777" w:rsidR="009B12B1" w:rsidRPr="00AC67F2" w:rsidRDefault="009B12B1" w:rsidP="002559F4">
            <w:pPr>
              <w:rPr>
                <w:rFonts w:cstheme="minorHAnsi"/>
                <w:lang w:val="sr-Latn-ME"/>
              </w:rPr>
            </w:pPr>
            <w:r>
              <w:rPr>
                <w:rFonts w:cstheme="minorHAnsi"/>
                <w:lang w:val="sr-Latn-ME"/>
              </w:rPr>
              <w:t>1.2</w:t>
            </w:r>
          </w:p>
        </w:tc>
        <w:tc>
          <w:tcPr>
            <w:tcW w:w="2443" w:type="pct"/>
          </w:tcPr>
          <w:p w14:paraId="0AD996CB" w14:textId="77777777" w:rsidR="009B12B1"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587AADB4" w14:textId="77777777" w:rsidR="009B12B1" w:rsidRPr="00AC67F2"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7566C8ED"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03371394"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72F6C265" w14:textId="77777777" w:rsidR="009B12B1" w:rsidRPr="00A545D6"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U Strategiji se navodi da je bila angažovana ekspertska pomoć, ali nije precizirano da se odnosila na rodnu perspektivu. </w:t>
            </w:r>
          </w:p>
        </w:tc>
      </w:tr>
      <w:tr w:rsidR="009B12B1" w:rsidRPr="00AC67F2" w14:paraId="5551D81B"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4E3B5F29" w14:textId="77777777" w:rsidR="009B12B1" w:rsidRPr="00AC67F2" w:rsidRDefault="009B12B1" w:rsidP="002559F4">
            <w:pPr>
              <w:rPr>
                <w:rFonts w:cstheme="minorHAnsi"/>
                <w:lang w:val="sr-Latn-ME"/>
              </w:rPr>
            </w:pPr>
            <w:r>
              <w:rPr>
                <w:rFonts w:cstheme="minorHAnsi"/>
                <w:lang w:val="sr-Latn-ME"/>
              </w:rPr>
              <w:t>Ukupno</w:t>
            </w:r>
          </w:p>
        </w:tc>
        <w:tc>
          <w:tcPr>
            <w:tcW w:w="645" w:type="pct"/>
          </w:tcPr>
          <w:p w14:paraId="56BE7D3D" w14:textId="77777777" w:rsidR="009B12B1" w:rsidRPr="00AC67F2"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64D762BA" w14:textId="77777777" w:rsidR="009B12B1" w:rsidRPr="00527B8F"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35F3640B" w14:textId="77777777" w:rsidR="009B12B1" w:rsidRPr="008C09CD" w:rsidRDefault="009B12B1"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0/2</w:t>
            </w:r>
          </w:p>
        </w:tc>
      </w:tr>
    </w:tbl>
    <w:p w14:paraId="3FDC630B" w14:textId="77777777" w:rsidR="009B12B1" w:rsidRPr="00F43A6C" w:rsidRDefault="009B12B1" w:rsidP="009B12B1">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9B12B1" w:rsidRPr="00AC67F2" w14:paraId="1D52B890"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04D071AB" w14:textId="77777777" w:rsidR="009B12B1" w:rsidRPr="00AC67F2" w:rsidRDefault="009B12B1"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4BA56A56" w14:textId="77777777" w:rsidR="009B12B1" w:rsidRPr="00AC67F2" w:rsidRDefault="009B12B1"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23ED4E72" w14:textId="77777777" w:rsidR="009B12B1" w:rsidRPr="00AC67F2" w:rsidRDefault="009B12B1"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61E71FCA" w14:textId="77777777" w:rsidR="009B12B1" w:rsidRPr="00AC67F2" w:rsidRDefault="009B12B1"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7ABB60F2" w14:textId="77777777" w:rsidR="009B12B1" w:rsidRPr="00AC67F2" w:rsidRDefault="009B12B1"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01831895" w14:textId="77777777" w:rsidR="009B12B1" w:rsidRPr="00AC67F2" w:rsidRDefault="009B12B1"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9B12B1" w:rsidRPr="00AC67F2" w14:paraId="06908198"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97F3B24" w14:textId="77777777" w:rsidR="009B12B1" w:rsidRPr="00AC67F2" w:rsidRDefault="009B12B1"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710C9659" w14:textId="77777777" w:rsidR="009B12B1" w:rsidRPr="00AC67F2"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0AF0DAB8" w14:textId="228F2F71" w:rsidR="009B12B1" w:rsidRPr="00A00FA0" w:rsidRDefault="00D56CC9"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tcPr>
          <w:p w14:paraId="550382CF"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02BE215C"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31277F3" w14:textId="329D5B0E" w:rsidR="009B12B1" w:rsidRPr="00A71811" w:rsidRDefault="00706E3F"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U Strategiji se navodi da je udio žena u sastavu Vojske 9.88%</w:t>
            </w:r>
            <w:r w:rsidR="009B12B1">
              <w:rPr>
                <w:rFonts w:cstheme="minorHAnsi"/>
                <w:sz w:val="18"/>
                <w:szCs w:val="18"/>
                <w:lang w:val="sr-Latn-ME"/>
              </w:rPr>
              <w:t xml:space="preserve"> </w:t>
            </w:r>
          </w:p>
        </w:tc>
      </w:tr>
      <w:tr w:rsidR="009B12B1" w:rsidRPr="00AC67F2" w14:paraId="258D6E1E" w14:textId="77777777" w:rsidTr="00800B4F">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70C8664E" w14:textId="77777777" w:rsidR="009B12B1" w:rsidRPr="00AC67F2" w:rsidRDefault="009B12B1" w:rsidP="002559F4">
            <w:pPr>
              <w:rPr>
                <w:rFonts w:cstheme="minorHAnsi"/>
                <w:lang w:val="sr-Latn-ME"/>
              </w:rPr>
            </w:pPr>
            <w:r>
              <w:rPr>
                <w:rFonts w:cstheme="minorHAnsi"/>
                <w:lang w:val="sr-Latn-ME"/>
              </w:rPr>
              <w:t>2.2</w:t>
            </w:r>
          </w:p>
        </w:tc>
        <w:tc>
          <w:tcPr>
            <w:tcW w:w="3856" w:type="dxa"/>
            <w:shd w:val="clear" w:color="auto" w:fill="auto"/>
          </w:tcPr>
          <w:p w14:paraId="5309A01E" w14:textId="77777777" w:rsidR="009B12B1" w:rsidRPr="00AC67F2"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shd w:val="clear" w:color="auto" w:fill="auto"/>
          </w:tcPr>
          <w:p w14:paraId="33507A63"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3173F97D" w14:textId="6A1BD991" w:rsidR="009B12B1" w:rsidRPr="00AC67F2" w:rsidRDefault="00D56CC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4936FBDD"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5D6923C0" w14:textId="11C20A04" w:rsidR="009B12B1" w:rsidRPr="00A71811" w:rsidRDefault="00800B4F"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Strategija ne komentariš</w:t>
            </w:r>
            <w:r w:rsidR="00D56CC9">
              <w:rPr>
                <w:rFonts w:cstheme="minorHAnsi"/>
                <w:sz w:val="18"/>
                <w:szCs w:val="18"/>
                <w:lang w:val="sr-Latn-ME"/>
              </w:rPr>
              <w:t>e ovo pitanje</w:t>
            </w:r>
            <w:r w:rsidR="009B12B1">
              <w:rPr>
                <w:rFonts w:cstheme="minorHAnsi"/>
                <w:sz w:val="18"/>
                <w:szCs w:val="18"/>
                <w:lang w:val="sr-Latn-ME"/>
              </w:rPr>
              <w:t xml:space="preserve"> </w:t>
            </w:r>
          </w:p>
        </w:tc>
      </w:tr>
      <w:tr w:rsidR="009B12B1" w:rsidRPr="00AC67F2" w14:paraId="0CDA0519" w14:textId="77777777" w:rsidTr="00800B4F">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3DC647EB" w14:textId="77777777" w:rsidR="009B12B1" w:rsidRDefault="009B12B1" w:rsidP="002559F4">
            <w:pPr>
              <w:rPr>
                <w:rFonts w:cstheme="minorHAnsi"/>
                <w:lang w:val="sr-Latn-ME"/>
              </w:rPr>
            </w:pPr>
            <w:r>
              <w:rPr>
                <w:rFonts w:cstheme="minorHAnsi"/>
                <w:lang w:val="sr-Latn-ME"/>
              </w:rPr>
              <w:t>2.3</w:t>
            </w:r>
          </w:p>
        </w:tc>
        <w:tc>
          <w:tcPr>
            <w:tcW w:w="3856" w:type="dxa"/>
            <w:shd w:val="clear" w:color="auto" w:fill="auto"/>
          </w:tcPr>
          <w:p w14:paraId="7AC1E619" w14:textId="77777777" w:rsidR="009B12B1"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shd w:val="clear" w:color="auto" w:fill="auto"/>
          </w:tcPr>
          <w:p w14:paraId="7BA54437"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0E36EAFE" w14:textId="5FA0B447" w:rsidR="009B12B1" w:rsidRPr="00AC67F2" w:rsidRDefault="00D56CC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6BE1D33C"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51719124" w14:textId="49766F82" w:rsidR="009B12B1" w:rsidRPr="00A71811"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9B12B1" w:rsidRPr="00AC67F2" w14:paraId="44B6C296"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23023C97" w14:textId="77777777" w:rsidR="009B12B1" w:rsidRPr="00AC67F2" w:rsidRDefault="009B12B1" w:rsidP="002559F4">
            <w:pPr>
              <w:rPr>
                <w:rFonts w:cstheme="minorHAnsi"/>
                <w:lang w:val="sr-Latn-ME"/>
              </w:rPr>
            </w:pPr>
            <w:r>
              <w:rPr>
                <w:rFonts w:cstheme="minorHAnsi"/>
                <w:lang w:val="sr-Latn-ME"/>
              </w:rPr>
              <w:t>2.4</w:t>
            </w:r>
          </w:p>
        </w:tc>
        <w:tc>
          <w:tcPr>
            <w:tcW w:w="3856" w:type="dxa"/>
            <w:shd w:val="clear" w:color="auto" w:fill="auto"/>
          </w:tcPr>
          <w:p w14:paraId="27DB42A6" w14:textId="77777777" w:rsidR="009B12B1" w:rsidRPr="00AC67F2"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2198B352" w14:textId="31257CCD" w:rsidR="009B12B1" w:rsidRPr="00C26A63" w:rsidRDefault="00D56CC9"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shd w:val="clear" w:color="auto" w:fill="auto"/>
          </w:tcPr>
          <w:p w14:paraId="7A242288" w14:textId="2337DCFC"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574DC220"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5D1D363E" w14:textId="66EC0CCE" w:rsidR="009B12B1" w:rsidRPr="00D8609B" w:rsidRDefault="00D56CC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Jedan od ciljeva je nastavak regrutacije žena. </w:t>
            </w:r>
          </w:p>
        </w:tc>
      </w:tr>
      <w:tr w:rsidR="009B12B1" w:rsidRPr="00AC67F2" w14:paraId="5797D8CE"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253DB12" w14:textId="77777777" w:rsidR="009B12B1" w:rsidRDefault="009B12B1" w:rsidP="002559F4">
            <w:pPr>
              <w:rPr>
                <w:rFonts w:cstheme="minorHAnsi"/>
                <w:lang w:val="sr-Latn-ME"/>
              </w:rPr>
            </w:pPr>
            <w:r>
              <w:rPr>
                <w:rFonts w:cstheme="minorHAnsi"/>
                <w:lang w:val="sr-Latn-ME"/>
              </w:rPr>
              <w:lastRenderedPageBreak/>
              <w:t>2.5</w:t>
            </w:r>
          </w:p>
        </w:tc>
        <w:tc>
          <w:tcPr>
            <w:tcW w:w="3856" w:type="dxa"/>
          </w:tcPr>
          <w:p w14:paraId="56080E90" w14:textId="77777777" w:rsidR="009B12B1" w:rsidRPr="00AC67F2"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0E23A007"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07BEEDBC"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42B2F9D2"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726D3CA" w14:textId="00CB9197" w:rsidR="009B12B1" w:rsidRPr="00A71811" w:rsidRDefault="00D56CC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Strategija ne sadrži jasno definisane mjere. </w:t>
            </w:r>
          </w:p>
        </w:tc>
      </w:tr>
      <w:tr w:rsidR="009B12B1" w:rsidRPr="00AC67F2" w14:paraId="5E2BB395"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77652A4E" w14:textId="77777777" w:rsidR="009B12B1" w:rsidRPr="00AC67F2" w:rsidRDefault="009B12B1" w:rsidP="002559F4">
            <w:pPr>
              <w:rPr>
                <w:rFonts w:cstheme="minorHAnsi"/>
                <w:lang w:val="sr-Latn-ME"/>
              </w:rPr>
            </w:pPr>
            <w:r>
              <w:rPr>
                <w:rFonts w:cstheme="minorHAnsi"/>
                <w:lang w:val="sr-Latn-ME"/>
              </w:rPr>
              <w:t>2.6</w:t>
            </w:r>
          </w:p>
        </w:tc>
        <w:tc>
          <w:tcPr>
            <w:tcW w:w="3856" w:type="dxa"/>
            <w:shd w:val="clear" w:color="auto" w:fill="D9D9D9" w:themeFill="background1" w:themeFillShade="D9"/>
          </w:tcPr>
          <w:p w14:paraId="7F14D982" w14:textId="77777777" w:rsidR="009B12B1" w:rsidRPr="00AC67F2"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D9D9D9" w:themeFill="background1" w:themeFillShade="D9"/>
          </w:tcPr>
          <w:p w14:paraId="5DE95513"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5B7195B0"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2F886E56"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D9D9D9" w:themeFill="background1" w:themeFillShade="D9"/>
          </w:tcPr>
          <w:p w14:paraId="1FFD9437" w14:textId="7FC6030D" w:rsidR="009B12B1" w:rsidRPr="00A71811"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Ne postoje</w:t>
            </w:r>
            <w:r w:rsidR="00D56CC9">
              <w:rPr>
                <w:rFonts w:cstheme="minorHAnsi"/>
                <w:sz w:val="18"/>
                <w:szCs w:val="18"/>
                <w:lang w:val="sr-Latn-ME"/>
              </w:rPr>
              <w:t xml:space="preserve"> precizno definisane</w:t>
            </w:r>
            <w:r>
              <w:rPr>
                <w:rFonts w:cstheme="minorHAnsi"/>
                <w:sz w:val="18"/>
                <w:szCs w:val="18"/>
                <w:lang w:val="sr-Latn-ME"/>
              </w:rPr>
              <w:t xml:space="preserve"> mjere</w:t>
            </w:r>
            <w:r w:rsidR="00D56CC9">
              <w:rPr>
                <w:rFonts w:cstheme="minorHAnsi"/>
                <w:sz w:val="18"/>
                <w:szCs w:val="18"/>
                <w:lang w:val="sr-Latn-ME"/>
              </w:rPr>
              <w:t>.</w:t>
            </w:r>
          </w:p>
        </w:tc>
      </w:tr>
      <w:tr w:rsidR="009B12B1" w:rsidRPr="00AC67F2" w14:paraId="36C99821"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4D953E69" w14:textId="77777777" w:rsidR="009B12B1" w:rsidRDefault="009B12B1" w:rsidP="002559F4">
            <w:pPr>
              <w:rPr>
                <w:rFonts w:cstheme="minorHAnsi"/>
                <w:lang w:val="sr-Latn-ME"/>
              </w:rPr>
            </w:pPr>
            <w:r>
              <w:rPr>
                <w:rFonts w:cstheme="minorHAnsi"/>
                <w:lang w:val="sr-Latn-ME"/>
              </w:rPr>
              <w:t>2.7</w:t>
            </w:r>
          </w:p>
        </w:tc>
        <w:tc>
          <w:tcPr>
            <w:tcW w:w="3856" w:type="dxa"/>
          </w:tcPr>
          <w:p w14:paraId="71880F78" w14:textId="49011314" w:rsidR="009B12B1"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0BC659D2"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53707E11"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1DA13588"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4C8F76B3" w14:textId="77777777" w:rsidR="009B12B1" w:rsidRPr="00A71811"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9B12B1" w:rsidRPr="00AC67F2" w14:paraId="2162E081"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EDE016D" w14:textId="0967E2A8" w:rsidR="009B12B1" w:rsidRPr="00AC67F2" w:rsidRDefault="009B12B1"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55E9B1D3" w14:textId="77777777" w:rsidR="009B12B1"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0157D5FB" w14:textId="77777777" w:rsidR="009B12B1" w:rsidRPr="005C2773" w:rsidRDefault="009B12B1"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21B8A7FF"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411A2C0"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739D7F2B"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C248DDA" w14:textId="4EDEA107" w:rsidR="009B12B1" w:rsidRPr="00AC67F2"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3F278B">
              <w:rPr>
                <w:rFonts w:cstheme="minorHAnsi"/>
                <w:sz w:val="18"/>
                <w:szCs w:val="18"/>
                <w:lang w:val="sr-Latn-ME"/>
              </w:rPr>
              <w:t xml:space="preserve">Strategija uglavnom koristi rodno neutralne izraze, međutim u djelovima gdje to nije moguće ne koristi se rodno </w:t>
            </w:r>
            <w:r w:rsidR="003761F5">
              <w:rPr>
                <w:rFonts w:cstheme="minorHAnsi"/>
                <w:sz w:val="18"/>
                <w:szCs w:val="18"/>
                <w:lang w:val="sr-Latn-ME"/>
              </w:rPr>
              <w:t>ne</w:t>
            </w:r>
            <w:r w:rsidRPr="003F278B">
              <w:rPr>
                <w:rFonts w:cstheme="minorHAnsi"/>
                <w:sz w:val="18"/>
                <w:szCs w:val="18"/>
                <w:lang w:val="sr-Latn-ME"/>
              </w:rPr>
              <w:t>senzitivan jezik</w:t>
            </w:r>
            <w:r>
              <w:rPr>
                <w:rFonts w:cstheme="minorHAnsi"/>
                <w:sz w:val="18"/>
                <w:szCs w:val="18"/>
                <w:lang w:val="sr-Latn-ME"/>
              </w:rPr>
              <w:t xml:space="preserve"> („</w:t>
            </w:r>
            <w:r w:rsidR="001010B6">
              <w:rPr>
                <w:rFonts w:cstheme="minorHAnsi"/>
                <w:sz w:val="18"/>
                <w:szCs w:val="18"/>
                <w:lang w:val="sr-Latn-ME"/>
              </w:rPr>
              <w:t>pripadnici</w:t>
            </w:r>
            <w:r>
              <w:rPr>
                <w:rFonts w:cstheme="minorHAnsi"/>
                <w:sz w:val="18"/>
                <w:szCs w:val="18"/>
                <w:lang w:val="sr-Latn-ME"/>
              </w:rPr>
              <w:t>“</w:t>
            </w:r>
            <w:r w:rsidR="00706E3F">
              <w:rPr>
                <w:rFonts w:cstheme="minorHAnsi"/>
                <w:sz w:val="18"/>
                <w:szCs w:val="18"/>
                <w:lang w:val="sr-Latn-ME"/>
              </w:rPr>
              <w:t>)</w:t>
            </w:r>
          </w:p>
        </w:tc>
      </w:tr>
      <w:tr w:rsidR="009B12B1" w:rsidRPr="00AC67F2" w14:paraId="013B7116"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694B7586" w14:textId="77777777" w:rsidR="009B12B1" w:rsidRPr="00AC67F2" w:rsidRDefault="009B12B1" w:rsidP="002559F4">
            <w:pPr>
              <w:rPr>
                <w:rFonts w:cstheme="minorHAnsi"/>
                <w:lang w:val="sr-Latn-ME" w:eastAsia="en-GB"/>
              </w:rPr>
            </w:pPr>
            <w:r>
              <w:rPr>
                <w:rFonts w:cstheme="minorHAnsi"/>
                <w:lang w:val="sr-Latn-ME"/>
              </w:rPr>
              <w:t>Ukupno</w:t>
            </w:r>
          </w:p>
        </w:tc>
        <w:tc>
          <w:tcPr>
            <w:tcW w:w="747" w:type="dxa"/>
          </w:tcPr>
          <w:p w14:paraId="0EE88C85"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0A6380F1" w14:textId="77777777" w:rsidR="009B12B1" w:rsidRPr="00527B8F"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265660FD"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AD38FAB" w14:textId="716F0EE3" w:rsidR="009B12B1" w:rsidRPr="00E72E03" w:rsidRDefault="00DC49E9"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2</w:t>
            </w:r>
            <w:r w:rsidR="009B12B1" w:rsidRPr="00E72E03">
              <w:rPr>
                <w:rFonts w:cstheme="minorHAnsi"/>
                <w:b/>
                <w:bCs/>
                <w:sz w:val="28"/>
                <w:szCs w:val="28"/>
                <w:lang w:val="sr-Latn-ME"/>
              </w:rPr>
              <w:t>/</w:t>
            </w:r>
            <w:r w:rsidR="00C43B40">
              <w:rPr>
                <w:rFonts w:cstheme="minorHAnsi"/>
                <w:b/>
                <w:bCs/>
                <w:sz w:val="28"/>
                <w:szCs w:val="28"/>
                <w:lang w:val="sr-Latn-ME"/>
              </w:rPr>
              <w:t>7</w:t>
            </w:r>
          </w:p>
        </w:tc>
      </w:tr>
    </w:tbl>
    <w:p w14:paraId="606E03ED" w14:textId="77777777" w:rsidR="009B12B1" w:rsidRPr="00AC67F2" w:rsidRDefault="009B12B1" w:rsidP="009B12B1">
      <w:pPr>
        <w:rPr>
          <w:rFonts w:cstheme="minorHAnsi"/>
          <w:lang w:val="sr-Latn-ME"/>
        </w:rPr>
      </w:pPr>
    </w:p>
    <w:p w14:paraId="77997802" w14:textId="77777777" w:rsidR="009B12B1" w:rsidRPr="00852DD8" w:rsidRDefault="009B12B1" w:rsidP="009B12B1">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9B12B1" w:rsidRPr="00AC67F2" w14:paraId="01865E94"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559DD305" w14:textId="77777777" w:rsidR="009B12B1" w:rsidRPr="00AC67F2" w:rsidRDefault="009B12B1"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22B54F0B" w14:textId="77777777" w:rsidR="009B12B1" w:rsidRPr="00AC67F2" w:rsidRDefault="009B12B1"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20A625E0" w14:textId="77777777" w:rsidR="009B12B1" w:rsidRPr="00AC67F2" w:rsidRDefault="009B12B1"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2107C3CA" w14:textId="77777777" w:rsidR="009B12B1" w:rsidRPr="00AC67F2" w:rsidRDefault="009B12B1"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41EEE5D0" w14:textId="77777777" w:rsidR="009B12B1" w:rsidRPr="00AC67F2" w:rsidRDefault="009B12B1"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04F336B5" w14:textId="77777777" w:rsidR="009B12B1" w:rsidRPr="00AC67F2" w:rsidRDefault="009B12B1"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9B12B1" w:rsidRPr="00AC67F2" w14:paraId="4777689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AE6F64F" w14:textId="77777777" w:rsidR="009B12B1" w:rsidRPr="00AC67F2" w:rsidRDefault="009B12B1" w:rsidP="002559F4">
            <w:pPr>
              <w:rPr>
                <w:rFonts w:cstheme="minorHAnsi"/>
                <w:lang w:val="sr-Latn-ME"/>
              </w:rPr>
            </w:pPr>
            <w:r>
              <w:rPr>
                <w:rFonts w:cstheme="minorHAnsi"/>
                <w:lang w:val="sr-Latn-ME"/>
              </w:rPr>
              <w:t>3.1</w:t>
            </w:r>
          </w:p>
        </w:tc>
        <w:tc>
          <w:tcPr>
            <w:tcW w:w="3908" w:type="dxa"/>
          </w:tcPr>
          <w:p w14:paraId="2984046D" w14:textId="77777777" w:rsidR="009B12B1" w:rsidRPr="00AC67F2"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48AA92C4" w14:textId="6BF979F3"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52CD3E22" w14:textId="5CC84A20" w:rsidR="009B12B1" w:rsidRPr="00AC67F2" w:rsidRDefault="00DC49E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07" w:type="dxa"/>
          </w:tcPr>
          <w:p w14:paraId="26D5871A"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68ACC7BC" w14:textId="7FD8B88B" w:rsidR="009B12B1" w:rsidRPr="009A4E2D" w:rsidRDefault="00DC49E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Strategija ne sadrži indikatore za praćenje. </w:t>
            </w:r>
            <w:r w:rsidR="009B12B1">
              <w:rPr>
                <w:rFonts w:cstheme="minorHAnsi"/>
                <w:sz w:val="18"/>
                <w:szCs w:val="18"/>
                <w:lang w:val="sr-Latn-ME"/>
              </w:rPr>
              <w:t xml:space="preserve">  </w:t>
            </w:r>
          </w:p>
        </w:tc>
      </w:tr>
      <w:tr w:rsidR="009B12B1" w:rsidRPr="00AC67F2" w14:paraId="1FF45503"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4AF434E8" w14:textId="77777777" w:rsidR="009B12B1" w:rsidRDefault="009B12B1" w:rsidP="002559F4">
            <w:pPr>
              <w:rPr>
                <w:rFonts w:cstheme="minorHAnsi"/>
                <w:lang w:val="sr-Latn-ME"/>
              </w:rPr>
            </w:pPr>
            <w:r>
              <w:rPr>
                <w:rFonts w:cstheme="minorHAnsi"/>
                <w:lang w:val="sr-Latn-ME"/>
              </w:rPr>
              <w:t>Ukupno</w:t>
            </w:r>
          </w:p>
        </w:tc>
        <w:tc>
          <w:tcPr>
            <w:tcW w:w="760" w:type="dxa"/>
            <w:shd w:val="clear" w:color="auto" w:fill="auto"/>
          </w:tcPr>
          <w:p w14:paraId="159E9023" w14:textId="77777777" w:rsidR="009B12B1" w:rsidRPr="00AC67F2" w:rsidRDefault="009B12B1"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7F0C38BF" w14:textId="77777777" w:rsidR="009B12B1" w:rsidRPr="00527B8F"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12E9F3C5" w14:textId="77777777" w:rsidR="009B12B1" w:rsidRPr="00AC67F2" w:rsidRDefault="009B12B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34399420" w14:textId="1BF79425" w:rsidR="009B12B1" w:rsidRPr="00AC67F2" w:rsidRDefault="00DC49E9"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0</w:t>
            </w:r>
            <w:r w:rsidR="009B12B1">
              <w:rPr>
                <w:rFonts w:cstheme="minorHAnsi"/>
                <w:b/>
                <w:bCs/>
                <w:sz w:val="28"/>
                <w:szCs w:val="28"/>
              </w:rPr>
              <w:t>/1</w:t>
            </w:r>
          </w:p>
        </w:tc>
      </w:tr>
    </w:tbl>
    <w:p w14:paraId="7B6E0F34" w14:textId="77777777" w:rsidR="009B12B1" w:rsidRDefault="009B12B1" w:rsidP="009B12B1">
      <w:pPr>
        <w:rPr>
          <w:rFonts w:cstheme="minorHAnsi"/>
          <w:lang w:val="sr-Latn-ME"/>
        </w:rPr>
      </w:pPr>
    </w:p>
    <w:p w14:paraId="484A4A28" w14:textId="70B7B95A" w:rsidR="009B12B1" w:rsidRPr="000B4580" w:rsidRDefault="009B12B1" w:rsidP="009B12B1">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0000"/>
          <w:sz w:val="32"/>
          <w:szCs w:val="32"/>
          <w:lang w:val="sr-Latn-ME"/>
        </w:rPr>
      </w:pPr>
      <w:r w:rsidRPr="000B4580">
        <w:rPr>
          <w:rFonts w:cstheme="minorHAnsi"/>
          <w:color w:val="FF0000"/>
          <w:sz w:val="32"/>
          <w:szCs w:val="32"/>
          <w:lang w:val="sr-Latn-ME"/>
        </w:rPr>
        <w:t>Konačna ocjena: 2 od</w:t>
      </w:r>
      <w:r w:rsidR="00DC49E9">
        <w:rPr>
          <w:rFonts w:cstheme="minorHAnsi"/>
          <w:color w:val="FF0000"/>
          <w:sz w:val="32"/>
          <w:szCs w:val="32"/>
          <w:lang w:val="sr-Latn-ME"/>
        </w:rPr>
        <w:t xml:space="preserve"> 1</w:t>
      </w:r>
      <w:r w:rsidR="00C43B40">
        <w:rPr>
          <w:rFonts w:cstheme="minorHAnsi"/>
          <w:color w:val="FF0000"/>
          <w:sz w:val="32"/>
          <w:szCs w:val="32"/>
          <w:lang w:val="sr-Latn-ME"/>
        </w:rPr>
        <w:t>0</w:t>
      </w:r>
      <w:r w:rsidRPr="000B4580">
        <w:rPr>
          <w:rFonts w:cstheme="minorHAnsi"/>
          <w:color w:val="FF0000"/>
          <w:sz w:val="32"/>
          <w:szCs w:val="32"/>
          <w:lang w:val="sr-Latn-ME"/>
        </w:rPr>
        <w:t xml:space="preserve"> ili </w:t>
      </w:r>
      <w:r w:rsidRPr="000B4580">
        <w:rPr>
          <w:rFonts w:cstheme="minorHAnsi"/>
          <w:b/>
          <w:bCs/>
          <w:color w:val="FF0000"/>
          <w:sz w:val="32"/>
          <w:szCs w:val="32"/>
          <w:lang w:val="sr-Latn-ME"/>
        </w:rPr>
        <w:t>0.</w:t>
      </w:r>
      <w:r w:rsidR="00C43B40">
        <w:rPr>
          <w:rFonts w:cstheme="minorHAnsi"/>
          <w:b/>
          <w:bCs/>
          <w:color w:val="FF0000"/>
          <w:sz w:val="32"/>
          <w:szCs w:val="32"/>
          <w:lang w:val="sr-Latn-ME"/>
        </w:rPr>
        <w:t>2</w:t>
      </w:r>
      <w:r w:rsidRPr="000B4580">
        <w:rPr>
          <w:rFonts w:cstheme="minorHAnsi"/>
          <w:b/>
          <w:bCs/>
          <w:color w:val="FF0000"/>
          <w:sz w:val="32"/>
          <w:szCs w:val="32"/>
          <w:lang w:val="sr-Latn-ME"/>
        </w:rPr>
        <w:t xml:space="preserve"> – Strategija uopšte nije orodnjena.</w:t>
      </w:r>
    </w:p>
    <w:p w14:paraId="6ED0617D" w14:textId="77777777" w:rsidR="009B12B1" w:rsidRPr="009B12B1" w:rsidRDefault="009B12B1" w:rsidP="009B12B1">
      <w:pPr>
        <w:rPr>
          <w:lang w:val="hr-HR"/>
        </w:rPr>
      </w:pPr>
    </w:p>
    <w:p w14:paraId="3F1B4028" w14:textId="30B7AA31" w:rsidR="00AC6EB8" w:rsidRDefault="00227611" w:rsidP="009F403C">
      <w:pPr>
        <w:pStyle w:val="Heading3"/>
        <w:rPr>
          <w:noProof/>
          <w:lang w:val="hr-HR"/>
        </w:rPr>
      </w:pPr>
      <w:bookmarkStart w:id="22" w:name="_Toc100339544"/>
      <w:r>
        <w:rPr>
          <w:noProof/>
          <w:lang w:val="hr-HR"/>
        </w:rPr>
        <w:t>15</w:t>
      </w:r>
      <w:r w:rsidR="009D5CC5">
        <w:rPr>
          <w:noProof/>
          <w:lang w:val="hr-HR"/>
        </w:rPr>
        <w:t xml:space="preserve">. </w:t>
      </w:r>
      <w:r w:rsidR="00AC6EB8" w:rsidRPr="00AC6EB8">
        <w:rPr>
          <w:noProof/>
          <w:lang w:val="hr-HR"/>
        </w:rPr>
        <w:t>Akcioni plan za primjenu Rezolucije Savjeta bezbjednosti UN 1325 - Žene, mir i bezbjednost u Crnoj Gori 2019-2022.</w:t>
      </w:r>
      <w:bookmarkEnd w:id="22"/>
    </w:p>
    <w:p w14:paraId="14B50771" w14:textId="77777777" w:rsidR="009D5CC5" w:rsidRPr="009D5CC5" w:rsidRDefault="009D5CC5" w:rsidP="009D5CC5"/>
    <w:p w14:paraId="1636E69E" w14:textId="03195F44" w:rsidR="00364159" w:rsidRDefault="00364159" w:rsidP="000D4F0E">
      <w:pPr>
        <w:jc w:val="both"/>
        <w:rPr>
          <w:lang w:val="hr-HR"/>
        </w:rPr>
      </w:pPr>
      <w:r>
        <w:rPr>
          <w:lang w:val="hr-HR"/>
        </w:rPr>
        <w:t>Ovaj Akcioni plan integriše pitanja rodne ravnopravnosti u procese reforme sistema odbrane na svim nivoima na kojima se donose odluke</w:t>
      </w:r>
      <w:r w:rsidR="003F4805">
        <w:rPr>
          <w:lang w:val="hr-HR"/>
        </w:rPr>
        <w:t>, kreira i sprovodi politika s ciljem da se razrade tri ključna područja za primjenu Rezolucije Savjeta Bezbjednosti 1325</w:t>
      </w:r>
      <w:r w:rsidR="000D4F0E">
        <w:rPr>
          <w:lang w:val="hr-HR"/>
        </w:rPr>
        <w:t xml:space="preserve"> i njoj pratećih rezolucija, prevashodno u povećanju učešća žena u odlučivanju i </w:t>
      </w:r>
      <w:r w:rsidR="003D016A">
        <w:rPr>
          <w:lang w:val="hr-HR"/>
        </w:rPr>
        <w:t xml:space="preserve">u </w:t>
      </w:r>
      <w:r w:rsidR="000D4F0E">
        <w:rPr>
          <w:lang w:val="hr-HR"/>
        </w:rPr>
        <w:t xml:space="preserve">mirovnim procesima, zaštita žena i djevojaka u konfliktim zonama i integracija rodne perspektive i rodnog obrazovanja u mirovne operacije. </w:t>
      </w:r>
    </w:p>
    <w:p w14:paraId="3B0F689F" w14:textId="77777777" w:rsidR="00C2011C" w:rsidRPr="007D71A2" w:rsidRDefault="00C2011C" w:rsidP="00C2011C">
      <w:pPr>
        <w:rPr>
          <w:b/>
          <w:bCs/>
          <w:lang w:val="sr-Latn-ME"/>
        </w:rPr>
      </w:pPr>
      <w:r w:rsidRPr="007D71A2">
        <w:rPr>
          <w:b/>
          <w:bCs/>
          <w:lang w:val="sr-Latn-ME"/>
        </w:rPr>
        <w:lastRenderedPageBreak/>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C2011C" w:rsidRPr="00AC67F2" w14:paraId="4EBC7831"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592D70F4" w14:textId="77777777" w:rsidR="00C2011C" w:rsidRPr="00AC67F2" w:rsidRDefault="00C2011C"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3F532EA3" w14:textId="77777777" w:rsidR="00C2011C" w:rsidRPr="00AC67F2" w:rsidRDefault="00C201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7530EF90" w14:textId="77777777" w:rsidR="00C2011C" w:rsidRPr="00AC67F2" w:rsidRDefault="00C201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71636B09" w14:textId="77777777" w:rsidR="00C2011C" w:rsidRPr="009148DB" w:rsidRDefault="00C2011C"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0E0E1EB3" w14:textId="77777777" w:rsidR="00C2011C" w:rsidRPr="00AC67F2" w:rsidRDefault="00C201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C2011C" w:rsidRPr="00AC67F2" w14:paraId="1BEE42FF"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2F5BCE5D" w14:textId="77777777" w:rsidR="00C2011C" w:rsidRPr="00AC67F2" w:rsidRDefault="00C2011C"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7008821A" w14:textId="77777777" w:rsidR="00C2011C" w:rsidRPr="00DA659B"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117401C1" w14:textId="77777777" w:rsidR="00C2011C" w:rsidRPr="00AC67F2"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2A740894"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4079E9D6"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200C88F1" w14:textId="77777777" w:rsidR="00C2011C" w:rsidRPr="00A545D6"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C2011C" w:rsidRPr="00AC67F2" w14:paraId="49B8DAC1"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1E8CE204" w14:textId="77777777" w:rsidR="00C2011C" w:rsidRPr="00AC67F2" w:rsidRDefault="00C2011C" w:rsidP="002559F4">
            <w:pPr>
              <w:rPr>
                <w:rFonts w:cstheme="minorHAnsi"/>
                <w:lang w:val="sr-Latn-ME"/>
              </w:rPr>
            </w:pPr>
            <w:r>
              <w:rPr>
                <w:rFonts w:cstheme="minorHAnsi"/>
                <w:lang w:val="sr-Latn-ME"/>
              </w:rPr>
              <w:t>1.2</w:t>
            </w:r>
          </w:p>
        </w:tc>
        <w:tc>
          <w:tcPr>
            <w:tcW w:w="2443" w:type="pct"/>
          </w:tcPr>
          <w:p w14:paraId="1DC781D5" w14:textId="77777777" w:rsidR="00C2011C"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09CC7BB5" w14:textId="77777777" w:rsidR="00C2011C" w:rsidRPr="00AC67F2"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04B2927E"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51AAA70A"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1AD71E79" w14:textId="77777777" w:rsidR="00C2011C" w:rsidRPr="00A545D6"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U Strategiji se navodi da je bila angažovana ekspertska pomoć, ali nije precizirano da se odnosila na rodnu perspektivu. </w:t>
            </w:r>
          </w:p>
        </w:tc>
      </w:tr>
      <w:tr w:rsidR="00C2011C" w:rsidRPr="00AC67F2" w14:paraId="12723DA9"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53ACECF0" w14:textId="77777777" w:rsidR="00C2011C" w:rsidRPr="00AC67F2" w:rsidRDefault="00C2011C" w:rsidP="002559F4">
            <w:pPr>
              <w:rPr>
                <w:rFonts w:cstheme="minorHAnsi"/>
                <w:lang w:val="sr-Latn-ME"/>
              </w:rPr>
            </w:pPr>
            <w:r>
              <w:rPr>
                <w:rFonts w:cstheme="minorHAnsi"/>
                <w:lang w:val="sr-Latn-ME"/>
              </w:rPr>
              <w:t>Ukupno</w:t>
            </w:r>
          </w:p>
        </w:tc>
        <w:tc>
          <w:tcPr>
            <w:tcW w:w="645" w:type="pct"/>
          </w:tcPr>
          <w:p w14:paraId="2C0A9053" w14:textId="77777777" w:rsidR="00C2011C" w:rsidRPr="00AC67F2"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2C4F9187" w14:textId="77777777" w:rsidR="00C2011C" w:rsidRPr="00527B8F"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038EA590" w14:textId="77777777" w:rsidR="00C2011C" w:rsidRPr="008C09CD" w:rsidRDefault="00C2011C"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0/2</w:t>
            </w:r>
          </w:p>
        </w:tc>
      </w:tr>
    </w:tbl>
    <w:p w14:paraId="43B446A6" w14:textId="77777777" w:rsidR="00C2011C" w:rsidRPr="00F43A6C" w:rsidRDefault="00C2011C" w:rsidP="00C2011C">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C2011C" w:rsidRPr="00AC67F2" w14:paraId="523C1BD7"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7607285E" w14:textId="77777777" w:rsidR="00C2011C" w:rsidRPr="00AC67F2" w:rsidRDefault="00C2011C"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0BA484BB" w14:textId="77777777" w:rsidR="00C2011C" w:rsidRPr="00AC67F2" w:rsidRDefault="00C201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4184A0AC" w14:textId="77777777" w:rsidR="00C2011C" w:rsidRPr="00AC67F2" w:rsidRDefault="00C201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1814BCCE" w14:textId="77777777" w:rsidR="00C2011C" w:rsidRPr="00AC67F2" w:rsidRDefault="00C201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6E9BE7E6" w14:textId="77777777" w:rsidR="00C2011C" w:rsidRPr="00AC67F2" w:rsidRDefault="00C201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6E1C642E" w14:textId="77777777" w:rsidR="00C2011C" w:rsidRPr="00AC67F2" w:rsidRDefault="00C201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C2011C" w:rsidRPr="00AC67F2" w14:paraId="54C69876"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704ECEE" w14:textId="77777777" w:rsidR="00C2011C" w:rsidRPr="00AC67F2" w:rsidRDefault="00C2011C"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430260E5" w14:textId="77777777" w:rsidR="00C2011C" w:rsidRPr="00AC67F2"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4D4C0363" w14:textId="77777777" w:rsidR="00C2011C" w:rsidRPr="00A00FA0"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tcPr>
          <w:p w14:paraId="782AD0C4"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1D97ED4F"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877BE26" w14:textId="471E8EC1" w:rsidR="00C2011C" w:rsidRPr="00A71811" w:rsidRDefault="00B52BA3"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Analiza stanja uključuje rodno disagregirane podatke. </w:t>
            </w:r>
            <w:r w:rsidR="00C2011C">
              <w:rPr>
                <w:rFonts w:cstheme="minorHAnsi"/>
                <w:sz w:val="18"/>
                <w:szCs w:val="18"/>
                <w:lang w:val="sr-Latn-ME"/>
              </w:rPr>
              <w:t xml:space="preserve"> </w:t>
            </w:r>
          </w:p>
        </w:tc>
      </w:tr>
      <w:tr w:rsidR="00C2011C" w:rsidRPr="00AC67F2" w14:paraId="033E82F3"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61D3CCD8" w14:textId="77777777" w:rsidR="00C2011C" w:rsidRPr="00AC67F2" w:rsidRDefault="00C2011C" w:rsidP="002559F4">
            <w:pPr>
              <w:rPr>
                <w:rFonts w:cstheme="minorHAnsi"/>
                <w:lang w:val="sr-Latn-ME"/>
              </w:rPr>
            </w:pPr>
            <w:r>
              <w:rPr>
                <w:rFonts w:cstheme="minorHAnsi"/>
                <w:lang w:val="sr-Latn-ME"/>
              </w:rPr>
              <w:t>2.2</w:t>
            </w:r>
          </w:p>
        </w:tc>
        <w:tc>
          <w:tcPr>
            <w:tcW w:w="3856" w:type="dxa"/>
            <w:shd w:val="clear" w:color="auto" w:fill="auto"/>
          </w:tcPr>
          <w:p w14:paraId="15665C7A" w14:textId="77777777" w:rsidR="00C2011C" w:rsidRPr="00AC67F2"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shd w:val="clear" w:color="auto" w:fill="auto"/>
          </w:tcPr>
          <w:p w14:paraId="12F67E47" w14:textId="5F89FC6B" w:rsidR="00C2011C" w:rsidRPr="00AC67F2" w:rsidRDefault="007B6E2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shd w:val="clear" w:color="auto" w:fill="auto"/>
          </w:tcPr>
          <w:p w14:paraId="155727FD" w14:textId="3A0150EA"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4BA5BF3F"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30A69F6A" w14:textId="67B50055" w:rsidR="00C2011C" w:rsidRPr="00A71811" w:rsidRDefault="007B6E2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Strategija uočava nejednakosti koje </w:t>
            </w:r>
            <w:r w:rsidR="00746FC4">
              <w:rPr>
                <w:rFonts w:cstheme="minorHAnsi"/>
                <w:sz w:val="18"/>
                <w:szCs w:val="18"/>
                <w:lang w:val="sr-Latn-ME"/>
              </w:rPr>
              <w:t>proizilaze iz rodnog disbalansa, posebno u sferi političkih i ekonomskih prava</w:t>
            </w:r>
            <w:r w:rsidR="00E00B8F">
              <w:rPr>
                <w:rFonts w:cstheme="minorHAnsi"/>
                <w:sz w:val="18"/>
                <w:szCs w:val="18"/>
                <w:lang w:val="sr-Latn-ME"/>
              </w:rPr>
              <w:t xml:space="preserve">, a koje nastaju zbog neučešća žena na pozicijama donošenja odluka. </w:t>
            </w:r>
          </w:p>
        </w:tc>
      </w:tr>
      <w:tr w:rsidR="00C2011C" w:rsidRPr="00AC67F2" w14:paraId="4C428364"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103244CD" w14:textId="77777777" w:rsidR="00C2011C" w:rsidRDefault="00C2011C" w:rsidP="002559F4">
            <w:pPr>
              <w:rPr>
                <w:rFonts w:cstheme="minorHAnsi"/>
                <w:lang w:val="sr-Latn-ME"/>
              </w:rPr>
            </w:pPr>
            <w:r>
              <w:rPr>
                <w:rFonts w:cstheme="minorHAnsi"/>
                <w:lang w:val="sr-Latn-ME"/>
              </w:rPr>
              <w:t>2.3</w:t>
            </w:r>
          </w:p>
        </w:tc>
        <w:tc>
          <w:tcPr>
            <w:tcW w:w="3856" w:type="dxa"/>
            <w:shd w:val="clear" w:color="auto" w:fill="auto"/>
          </w:tcPr>
          <w:p w14:paraId="73861981" w14:textId="77777777" w:rsidR="00C2011C"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shd w:val="clear" w:color="auto" w:fill="auto"/>
          </w:tcPr>
          <w:p w14:paraId="7A8D6112" w14:textId="64DAADAA" w:rsidR="00C2011C" w:rsidRPr="00AC67F2" w:rsidRDefault="00255E1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shd w:val="clear" w:color="auto" w:fill="auto"/>
          </w:tcPr>
          <w:p w14:paraId="1CD1EF72" w14:textId="08EC1B29"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3CDB9E4A"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5054475C" w14:textId="77777777" w:rsidR="00C2011C" w:rsidRPr="00A71811"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C2011C" w:rsidRPr="00AC67F2" w14:paraId="272E624B"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2EB76D8B" w14:textId="77777777" w:rsidR="00C2011C" w:rsidRPr="00AC67F2" w:rsidRDefault="00C2011C" w:rsidP="002559F4">
            <w:pPr>
              <w:rPr>
                <w:rFonts w:cstheme="minorHAnsi"/>
                <w:lang w:val="sr-Latn-ME"/>
              </w:rPr>
            </w:pPr>
            <w:r>
              <w:rPr>
                <w:rFonts w:cstheme="minorHAnsi"/>
                <w:lang w:val="sr-Latn-ME"/>
              </w:rPr>
              <w:t>2.4</w:t>
            </w:r>
          </w:p>
        </w:tc>
        <w:tc>
          <w:tcPr>
            <w:tcW w:w="3856" w:type="dxa"/>
            <w:shd w:val="clear" w:color="auto" w:fill="auto"/>
          </w:tcPr>
          <w:p w14:paraId="4DF23BA5" w14:textId="77777777" w:rsidR="00C2011C" w:rsidRPr="00AC67F2"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60E71416" w14:textId="77777777" w:rsidR="00C2011C" w:rsidRPr="00C26A63"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shd w:val="clear" w:color="auto" w:fill="auto"/>
          </w:tcPr>
          <w:p w14:paraId="1BFA8675"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7504F0A5"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5990E858" w14:textId="68D02B40" w:rsidR="00C2011C" w:rsidRPr="00D8609B"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C2011C" w:rsidRPr="00AC67F2" w14:paraId="6BFA1F35"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97DA76C" w14:textId="77777777" w:rsidR="00C2011C" w:rsidRDefault="00C2011C" w:rsidP="002559F4">
            <w:pPr>
              <w:rPr>
                <w:rFonts w:cstheme="minorHAnsi"/>
                <w:lang w:val="sr-Latn-ME"/>
              </w:rPr>
            </w:pPr>
            <w:r>
              <w:rPr>
                <w:rFonts w:cstheme="minorHAnsi"/>
                <w:lang w:val="sr-Latn-ME"/>
              </w:rPr>
              <w:lastRenderedPageBreak/>
              <w:t>2.5</w:t>
            </w:r>
          </w:p>
        </w:tc>
        <w:tc>
          <w:tcPr>
            <w:tcW w:w="3856" w:type="dxa"/>
          </w:tcPr>
          <w:p w14:paraId="248C9B59" w14:textId="77777777" w:rsidR="00C2011C" w:rsidRPr="00AC67F2"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41307941" w14:textId="33D0808F" w:rsidR="00C2011C" w:rsidRPr="00AC67F2" w:rsidRDefault="00D7021E"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7BA876DF" w14:textId="402057AE"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08E53510"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C315797" w14:textId="60E0B953" w:rsidR="00C2011C" w:rsidRPr="00A71811"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C2011C" w:rsidRPr="00AC67F2" w14:paraId="48F3C684" w14:textId="77777777" w:rsidTr="00AD4892">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758C2EE9" w14:textId="77777777" w:rsidR="00C2011C" w:rsidRPr="00AC67F2" w:rsidRDefault="00C2011C" w:rsidP="002559F4">
            <w:pPr>
              <w:rPr>
                <w:rFonts w:cstheme="minorHAnsi"/>
                <w:lang w:val="sr-Latn-ME"/>
              </w:rPr>
            </w:pPr>
            <w:r>
              <w:rPr>
                <w:rFonts w:cstheme="minorHAnsi"/>
                <w:lang w:val="sr-Latn-ME"/>
              </w:rPr>
              <w:t>2.6</w:t>
            </w:r>
          </w:p>
        </w:tc>
        <w:tc>
          <w:tcPr>
            <w:tcW w:w="3856" w:type="dxa"/>
            <w:shd w:val="clear" w:color="auto" w:fill="auto"/>
          </w:tcPr>
          <w:p w14:paraId="1DF087D3" w14:textId="77777777" w:rsidR="00C2011C" w:rsidRPr="00AC67F2"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auto"/>
          </w:tcPr>
          <w:p w14:paraId="2F9761C6" w14:textId="4AFA6373" w:rsidR="00C2011C" w:rsidRPr="00AC67F2" w:rsidRDefault="00AD489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shd w:val="clear" w:color="auto" w:fill="auto"/>
          </w:tcPr>
          <w:p w14:paraId="5D8EC4A4"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491AAE01"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1F9241D2" w14:textId="6234E2A3" w:rsidR="00C2011C" w:rsidRPr="00A71811" w:rsidRDefault="00AD489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Strategija sadrži napomenu da treba planirati budget u okviru redovnog finansiranja za realizaciju mjera. </w:t>
            </w:r>
          </w:p>
        </w:tc>
      </w:tr>
      <w:tr w:rsidR="00C2011C" w:rsidRPr="00AC67F2" w14:paraId="795447AE"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4B139CC1" w14:textId="77777777" w:rsidR="00C2011C" w:rsidRDefault="00C2011C" w:rsidP="002559F4">
            <w:pPr>
              <w:rPr>
                <w:rFonts w:cstheme="minorHAnsi"/>
                <w:lang w:val="sr-Latn-ME"/>
              </w:rPr>
            </w:pPr>
            <w:r>
              <w:rPr>
                <w:rFonts w:cstheme="minorHAnsi"/>
                <w:lang w:val="sr-Latn-ME"/>
              </w:rPr>
              <w:t>2.7</w:t>
            </w:r>
          </w:p>
        </w:tc>
        <w:tc>
          <w:tcPr>
            <w:tcW w:w="3856" w:type="dxa"/>
          </w:tcPr>
          <w:p w14:paraId="4A717A0B" w14:textId="1159AADE" w:rsidR="00C2011C"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7E63E157" w14:textId="7A1A5673" w:rsidR="00C2011C" w:rsidRPr="00AC67F2" w:rsidRDefault="004118AF"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58C8D5A4" w14:textId="4497440C"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2BB8EB57"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0293E9F" w14:textId="77777777" w:rsidR="00C2011C" w:rsidRPr="00A71811"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C2011C" w:rsidRPr="00AC67F2" w14:paraId="2578272C"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14ECA09" w14:textId="534EA708" w:rsidR="00C2011C" w:rsidRPr="00AC67F2" w:rsidRDefault="00C2011C"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36A97D6F" w14:textId="77777777" w:rsidR="00C2011C"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1F3DCDB7" w14:textId="77777777" w:rsidR="00C2011C" w:rsidRPr="005C2773" w:rsidRDefault="00C2011C"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21099669" w14:textId="469866E2" w:rsidR="00C2011C" w:rsidRPr="00AC67F2" w:rsidRDefault="004118AF"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07DC0514" w14:textId="664A2C75"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1EBB75F5"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8A8F97E" w14:textId="186D59C9" w:rsidR="00C2011C" w:rsidRPr="00AC67F2" w:rsidRDefault="00E82B11"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E82B11">
              <w:rPr>
                <w:rFonts w:cstheme="minorHAnsi"/>
                <w:sz w:val="18"/>
                <w:szCs w:val="18"/>
                <w:lang w:val="sr-Latn-ME"/>
              </w:rPr>
              <w:t xml:space="preserve">Strategija koristi rodno senzitivan jezik. </w:t>
            </w:r>
          </w:p>
        </w:tc>
      </w:tr>
      <w:tr w:rsidR="00C2011C" w:rsidRPr="00AC67F2" w14:paraId="4569C41E"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0D839901" w14:textId="77777777" w:rsidR="00C2011C" w:rsidRPr="00AC67F2" w:rsidRDefault="00C2011C" w:rsidP="002559F4">
            <w:pPr>
              <w:rPr>
                <w:rFonts w:cstheme="minorHAnsi"/>
                <w:lang w:val="sr-Latn-ME" w:eastAsia="en-GB"/>
              </w:rPr>
            </w:pPr>
            <w:r>
              <w:rPr>
                <w:rFonts w:cstheme="minorHAnsi"/>
                <w:lang w:val="sr-Latn-ME"/>
              </w:rPr>
              <w:t>Ukupno</w:t>
            </w:r>
          </w:p>
        </w:tc>
        <w:tc>
          <w:tcPr>
            <w:tcW w:w="747" w:type="dxa"/>
          </w:tcPr>
          <w:p w14:paraId="0C9182EC"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5585D1E" w14:textId="77777777" w:rsidR="00C2011C" w:rsidRPr="00527B8F"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69F92961"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6B55425" w14:textId="1AB2CE0F" w:rsidR="00C2011C" w:rsidRPr="00E72E03" w:rsidRDefault="000B0954"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8</w:t>
            </w:r>
            <w:r w:rsidR="00C2011C" w:rsidRPr="00E72E03">
              <w:rPr>
                <w:rFonts w:cstheme="minorHAnsi"/>
                <w:b/>
                <w:bCs/>
                <w:sz w:val="28"/>
                <w:szCs w:val="28"/>
                <w:lang w:val="sr-Latn-ME"/>
              </w:rPr>
              <w:t>/</w:t>
            </w:r>
            <w:r>
              <w:rPr>
                <w:rFonts w:cstheme="minorHAnsi"/>
                <w:b/>
                <w:bCs/>
                <w:sz w:val="28"/>
                <w:szCs w:val="28"/>
                <w:lang w:val="sr-Latn-ME"/>
              </w:rPr>
              <w:t>8</w:t>
            </w:r>
          </w:p>
        </w:tc>
      </w:tr>
    </w:tbl>
    <w:p w14:paraId="059580FA" w14:textId="77777777" w:rsidR="00C2011C" w:rsidRPr="00AC67F2" w:rsidRDefault="00C2011C" w:rsidP="00C2011C">
      <w:pPr>
        <w:rPr>
          <w:rFonts w:cstheme="minorHAnsi"/>
          <w:lang w:val="sr-Latn-ME"/>
        </w:rPr>
      </w:pPr>
    </w:p>
    <w:p w14:paraId="5381B4A3" w14:textId="77777777" w:rsidR="00C2011C" w:rsidRPr="00852DD8" w:rsidRDefault="00C2011C" w:rsidP="00C2011C">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C2011C" w:rsidRPr="00AC67F2" w14:paraId="6DDA3AEB"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31FBA56F" w14:textId="77777777" w:rsidR="00C2011C" w:rsidRPr="00AC67F2" w:rsidRDefault="00C2011C"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1E067376" w14:textId="77777777" w:rsidR="00C2011C" w:rsidRPr="00AC67F2" w:rsidRDefault="00C201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78882B10" w14:textId="77777777" w:rsidR="00C2011C" w:rsidRPr="00AC67F2" w:rsidRDefault="00C201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1AE903AB" w14:textId="77777777" w:rsidR="00C2011C" w:rsidRPr="00AC67F2" w:rsidRDefault="00C201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783E7E86" w14:textId="77777777" w:rsidR="00C2011C" w:rsidRPr="00AC67F2" w:rsidRDefault="00C201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1088DEDB" w14:textId="77777777" w:rsidR="00C2011C" w:rsidRPr="00AC67F2" w:rsidRDefault="00C2011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C2011C" w:rsidRPr="00AC67F2" w14:paraId="5F6535A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8132E86" w14:textId="77777777" w:rsidR="00C2011C" w:rsidRPr="00AC67F2" w:rsidRDefault="00C2011C" w:rsidP="002559F4">
            <w:pPr>
              <w:rPr>
                <w:rFonts w:cstheme="minorHAnsi"/>
                <w:lang w:val="sr-Latn-ME"/>
              </w:rPr>
            </w:pPr>
            <w:r>
              <w:rPr>
                <w:rFonts w:cstheme="minorHAnsi"/>
                <w:lang w:val="sr-Latn-ME"/>
              </w:rPr>
              <w:t>3.1</w:t>
            </w:r>
          </w:p>
        </w:tc>
        <w:tc>
          <w:tcPr>
            <w:tcW w:w="3908" w:type="dxa"/>
          </w:tcPr>
          <w:p w14:paraId="42ECACE9" w14:textId="77777777" w:rsidR="00C2011C" w:rsidRPr="00AC67F2"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0CB24582" w14:textId="0EFE39A8" w:rsidR="00C2011C" w:rsidRPr="00AC67F2" w:rsidRDefault="004118AF"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2E213E0E" w14:textId="3EB05D75"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tcPr>
          <w:p w14:paraId="4C5670E8"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2B365B9C" w14:textId="0278AB0D" w:rsidR="00C2011C" w:rsidRPr="009A4E2D"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C2011C" w:rsidRPr="00AC67F2" w14:paraId="7505BD1B"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48C83A88" w14:textId="77777777" w:rsidR="00C2011C" w:rsidRDefault="00C2011C" w:rsidP="002559F4">
            <w:pPr>
              <w:rPr>
                <w:rFonts w:cstheme="minorHAnsi"/>
                <w:lang w:val="sr-Latn-ME"/>
              </w:rPr>
            </w:pPr>
            <w:r>
              <w:rPr>
                <w:rFonts w:cstheme="minorHAnsi"/>
                <w:lang w:val="sr-Latn-ME"/>
              </w:rPr>
              <w:t>Ukupno</w:t>
            </w:r>
          </w:p>
        </w:tc>
        <w:tc>
          <w:tcPr>
            <w:tcW w:w="760" w:type="dxa"/>
            <w:shd w:val="clear" w:color="auto" w:fill="auto"/>
          </w:tcPr>
          <w:p w14:paraId="447A5EB4" w14:textId="77777777" w:rsidR="00C2011C" w:rsidRPr="00AC67F2" w:rsidRDefault="00C2011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258FFD6D" w14:textId="77777777" w:rsidR="00C2011C" w:rsidRPr="00527B8F"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1FFA16DE" w14:textId="77777777" w:rsidR="00C2011C" w:rsidRPr="00AC67F2" w:rsidRDefault="00C201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584BF513" w14:textId="16958E16" w:rsidR="00C2011C" w:rsidRPr="00AC67F2" w:rsidRDefault="004118AF"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1</w:t>
            </w:r>
            <w:r w:rsidR="00C2011C">
              <w:rPr>
                <w:rFonts w:cstheme="minorHAnsi"/>
                <w:b/>
                <w:bCs/>
                <w:sz w:val="28"/>
                <w:szCs w:val="28"/>
              </w:rPr>
              <w:t>/1</w:t>
            </w:r>
          </w:p>
        </w:tc>
      </w:tr>
    </w:tbl>
    <w:p w14:paraId="7834A187" w14:textId="77777777" w:rsidR="00C2011C" w:rsidRDefault="00C2011C" w:rsidP="00C2011C">
      <w:pPr>
        <w:rPr>
          <w:rFonts w:cstheme="minorHAnsi"/>
          <w:lang w:val="sr-Latn-ME"/>
        </w:rPr>
      </w:pPr>
    </w:p>
    <w:p w14:paraId="1625A777" w14:textId="4D96F71F" w:rsidR="00C2011C" w:rsidRPr="006546E3" w:rsidRDefault="00C2011C" w:rsidP="00C2011C">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00B050"/>
          <w:sz w:val="32"/>
          <w:szCs w:val="32"/>
          <w:lang w:val="sr-Latn-ME"/>
        </w:rPr>
      </w:pPr>
      <w:r w:rsidRPr="006546E3">
        <w:rPr>
          <w:rFonts w:cstheme="minorHAnsi"/>
          <w:color w:val="00B050"/>
          <w:sz w:val="32"/>
          <w:szCs w:val="32"/>
          <w:lang w:val="sr-Latn-ME"/>
        </w:rPr>
        <w:t xml:space="preserve">Konačna ocjena: </w:t>
      </w:r>
      <w:r w:rsidR="004118AF" w:rsidRPr="006546E3">
        <w:rPr>
          <w:rFonts w:cstheme="minorHAnsi"/>
          <w:color w:val="00B050"/>
          <w:sz w:val="32"/>
          <w:szCs w:val="32"/>
          <w:lang w:val="sr-Latn-ME"/>
        </w:rPr>
        <w:t>1</w:t>
      </w:r>
      <w:r w:rsidR="000B0954">
        <w:rPr>
          <w:rFonts w:cstheme="minorHAnsi"/>
          <w:color w:val="00B050"/>
          <w:sz w:val="32"/>
          <w:szCs w:val="32"/>
          <w:lang w:val="sr-Latn-ME"/>
        </w:rPr>
        <w:t>1</w:t>
      </w:r>
      <w:r w:rsidRPr="006546E3">
        <w:rPr>
          <w:rFonts w:cstheme="minorHAnsi"/>
          <w:color w:val="00B050"/>
          <w:sz w:val="32"/>
          <w:szCs w:val="32"/>
          <w:lang w:val="sr-Latn-ME"/>
        </w:rPr>
        <w:t xml:space="preserve"> od 1</w:t>
      </w:r>
      <w:r w:rsidR="000B0954">
        <w:rPr>
          <w:rFonts w:cstheme="minorHAnsi"/>
          <w:color w:val="00B050"/>
          <w:sz w:val="32"/>
          <w:szCs w:val="32"/>
          <w:lang w:val="sr-Latn-ME"/>
        </w:rPr>
        <w:t>1</w:t>
      </w:r>
      <w:r w:rsidRPr="006546E3">
        <w:rPr>
          <w:rFonts w:cstheme="minorHAnsi"/>
          <w:color w:val="00B050"/>
          <w:sz w:val="32"/>
          <w:szCs w:val="32"/>
          <w:lang w:val="sr-Latn-ME"/>
        </w:rPr>
        <w:t xml:space="preserve"> ili </w:t>
      </w:r>
      <w:r w:rsidR="000B0954">
        <w:rPr>
          <w:rFonts w:cstheme="minorHAnsi"/>
          <w:b/>
          <w:bCs/>
          <w:color w:val="00B050"/>
          <w:sz w:val="32"/>
          <w:szCs w:val="32"/>
          <w:lang w:val="sr-Latn-ME"/>
        </w:rPr>
        <w:t>1</w:t>
      </w:r>
      <w:r w:rsidRPr="006546E3">
        <w:rPr>
          <w:rFonts w:cstheme="minorHAnsi"/>
          <w:b/>
          <w:bCs/>
          <w:color w:val="00B050"/>
          <w:sz w:val="32"/>
          <w:szCs w:val="32"/>
          <w:lang w:val="sr-Latn-ME"/>
        </w:rPr>
        <w:t xml:space="preserve"> – Strategija </w:t>
      </w:r>
      <w:r w:rsidR="006546E3" w:rsidRPr="006546E3">
        <w:rPr>
          <w:rFonts w:cstheme="minorHAnsi"/>
          <w:b/>
          <w:bCs/>
          <w:color w:val="00B050"/>
          <w:sz w:val="32"/>
          <w:szCs w:val="32"/>
          <w:lang w:val="sr-Latn-ME"/>
        </w:rPr>
        <w:t xml:space="preserve">je u potpunosti </w:t>
      </w:r>
      <w:r w:rsidRPr="006546E3">
        <w:rPr>
          <w:rFonts w:cstheme="minorHAnsi"/>
          <w:b/>
          <w:bCs/>
          <w:color w:val="00B050"/>
          <w:sz w:val="32"/>
          <w:szCs w:val="32"/>
          <w:lang w:val="sr-Latn-ME"/>
        </w:rPr>
        <w:t>orodnjena.</w:t>
      </w:r>
    </w:p>
    <w:p w14:paraId="7C4FA4EF" w14:textId="77777777" w:rsidR="009D5CC5" w:rsidRDefault="009D5CC5" w:rsidP="00FC2839">
      <w:pPr>
        <w:pStyle w:val="Heading3"/>
        <w:rPr>
          <w:noProof/>
          <w:lang w:val="hr-HR"/>
        </w:rPr>
      </w:pPr>
    </w:p>
    <w:p w14:paraId="137904F8" w14:textId="1DF67D95" w:rsidR="00AC6EB8" w:rsidRDefault="00227611" w:rsidP="00FC2839">
      <w:pPr>
        <w:pStyle w:val="Heading3"/>
        <w:rPr>
          <w:noProof/>
          <w:lang w:val="hr-HR"/>
        </w:rPr>
      </w:pPr>
      <w:bookmarkStart w:id="23" w:name="_Toc100339545"/>
      <w:r>
        <w:rPr>
          <w:noProof/>
          <w:lang w:val="hr-HR"/>
        </w:rPr>
        <w:t>16</w:t>
      </w:r>
      <w:r w:rsidR="009D5CC5">
        <w:rPr>
          <w:noProof/>
          <w:lang w:val="hr-HR"/>
        </w:rPr>
        <w:t xml:space="preserve">. </w:t>
      </w:r>
      <w:r w:rsidR="00AC6EB8" w:rsidRPr="00AC6EB8">
        <w:rPr>
          <w:noProof/>
          <w:lang w:val="hr-HR"/>
        </w:rPr>
        <w:t>Strategije saradnje sa dijasporom-iseljenicima za period 2020-2023.</w:t>
      </w:r>
      <w:bookmarkEnd w:id="23"/>
    </w:p>
    <w:p w14:paraId="3214155B" w14:textId="77777777" w:rsidR="00166CAC" w:rsidRPr="00166CAC" w:rsidRDefault="00166CAC" w:rsidP="00166CAC">
      <w:pPr>
        <w:rPr>
          <w:lang w:val="hr-HR"/>
        </w:rPr>
      </w:pPr>
    </w:p>
    <w:p w14:paraId="0BB8A1DF" w14:textId="6E7375B7" w:rsidR="00FC2839" w:rsidRDefault="00166CAC" w:rsidP="00EC166A">
      <w:pPr>
        <w:jc w:val="both"/>
        <w:rPr>
          <w:lang w:val="hr-HR"/>
        </w:rPr>
      </w:pPr>
      <w:r>
        <w:rPr>
          <w:lang w:val="hr-HR"/>
        </w:rPr>
        <w:t xml:space="preserve">Ova Strategija predviđa modalitete saradnje sa dijasporom u periodu do 2023. godine. </w:t>
      </w:r>
      <w:r w:rsidR="001011AF">
        <w:rPr>
          <w:lang w:val="hr-HR"/>
        </w:rPr>
        <w:t xml:space="preserve">Njome </w:t>
      </w:r>
      <w:r w:rsidR="001011AF" w:rsidRPr="001011AF">
        <w:rPr>
          <w:lang w:val="hr-HR"/>
        </w:rPr>
        <w:t>se definišu prioritetni ciljevi, nosioci</w:t>
      </w:r>
      <w:r w:rsidR="00EC166A">
        <w:rPr>
          <w:lang w:val="hr-HR"/>
        </w:rPr>
        <w:t xml:space="preserve"> i nositeljke</w:t>
      </w:r>
      <w:r w:rsidR="001011AF" w:rsidRPr="001011AF">
        <w:rPr>
          <w:lang w:val="hr-HR"/>
        </w:rPr>
        <w:t xml:space="preserve"> poslova i aktivnosti koje u treba da stvore neophodne pretpostavke za sistemsko i kvalitetno unapređenje saradnje sa iseljenicima</w:t>
      </w:r>
      <w:r w:rsidR="00EC166A">
        <w:rPr>
          <w:lang w:val="hr-HR"/>
        </w:rPr>
        <w:t xml:space="preserve"> i iseljenicama</w:t>
      </w:r>
      <w:r w:rsidR="001011AF" w:rsidRPr="001011AF">
        <w:rPr>
          <w:lang w:val="hr-HR"/>
        </w:rPr>
        <w:t>, koja će biti i podsticaj za traženj</w:t>
      </w:r>
      <w:r w:rsidR="00EC166A">
        <w:rPr>
          <w:lang w:val="hr-HR"/>
        </w:rPr>
        <w:t>e</w:t>
      </w:r>
      <w:r w:rsidR="001011AF" w:rsidRPr="001011AF">
        <w:rPr>
          <w:lang w:val="hr-HR"/>
        </w:rPr>
        <w:t xml:space="preserve"> boljih formi organizovanja i komunikacija sa maticom, pokrenuti njen kraeativni potencijal na </w:t>
      </w:r>
      <w:r w:rsidR="001011AF" w:rsidRPr="001011AF">
        <w:rPr>
          <w:lang w:val="hr-HR"/>
        </w:rPr>
        <w:lastRenderedPageBreak/>
        <w:t>projektima od obostranog interesa, otvarati prostor da lakše artikulišu svoje potrebe i bude faktor unutrašnjeg razvoja Crne Gore i njene afirmacije na međunarodnom planu.</w:t>
      </w:r>
    </w:p>
    <w:p w14:paraId="15B5106B" w14:textId="77777777" w:rsidR="009C25D2" w:rsidRPr="007D71A2" w:rsidRDefault="009C25D2" w:rsidP="009C25D2">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9C25D2" w:rsidRPr="00AC67F2" w14:paraId="5390D926"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5E43988F" w14:textId="77777777" w:rsidR="009C25D2" w:rsidRPr="00AC67F2" w:rsidRDefault="009C25D2"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62408EEC" w14:textId="77777777" w:rsidR="009C25D2" w:rsidRPr="00AC67F2" w:rsidRDefault="009C25D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61B7DFEE" w14:textId="77777777" w:rsidR="009C25D2" w:rsidRPr="00AC67F2" w:rsidRDefault="009C25D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66169263" w14:textId="77777777" w:rsidR="009C25D2" w:rsidRPr="009148DB" w:rsidRDefault="009C25D2"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0AFAD382" w14:textId="77777777" w:rsidR="009C25D2" w:rsidRPr="00AC67F2" w:rsidRDefault="009C25D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9C25D2" w:rsidRPr="00AC67F2" w14:paraId="18362B02"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76E7661C" w14:textId="77777777" w:rsidR="009C25D2" w:rsidRPr="00AC67F2" w:rsidRDefault="009C25D2"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2645422D" w14:textId="77777777" w:rsidR="009C25D2" w:rsidRPr="00DA659B"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4A087185" w14:textId="77777777" w:rsidR="009C25D2" w:rsidRPr="00AC67F2"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40F7C57F"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7C606C3B"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1A24FE22" w14:textId="77777777" w:rsidR="009C25D2" w:rsidRPr="00A545D6"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9C25D2" w:rsidRPr="00AC67F2" w14:paraId="75D2A5D3"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711C983B" w14:textId="77777777" w:rsidR="009C25D2" w:rsidRPr="00AC67F2" w:rsidRDefault="009C25D2" w:rsidP="002559F4">
            <w:pPr>
              <w:rPr>
                <w:rFonts w:cstheme="minorHAnsi"/>
                <w:lang w:val="sr-Latn-ME"/>
              </w:rPr>
            </w:pPr>
            <w:r>
              <w:rPr>
                <w:rFonts w:cstheme="minorHAnsi"/>
                <w:lang w:val="sr-Latn-ME"/>
              </w:rPr>
              <w:t>1.2</w:t>
            </w:r>
          </w:p>
        </w:tc>
        <w:tc>
          <w:tcPr>
            <w:tcW w:w="2443" w:type="pct"/>
          </w:tcPr>
          <w:p w14:paraId="71090B96" w14:textId="77777777" w:rsidR="009C25D2"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030E78F3" w14:textId="77777777" w:rsidR="009C25D2" w:rsidRPr="00AC67F2"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5D42B4B4"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631B4099"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278A0AF2" w14:textId="77777777" w:rsidR="009C25D2" w:rsidRPr="00A545D6"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U Strategiji se navodi da je bila angažovana ekspertska pomoć, ali nije precizirano da se odnosila na rodnu perspektivu. </w:t>
            </w:r>
          </w:p>
        </w:tc>
      </w:tr>
      <w:tr w:rsidR="009C25D2" w:rsidRPr="00AC67F2" w14:paraId="3240C921"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2D308D89" w14:textId="77777777" w:rsidR="009C25D2" w:rsidRPr="00AC67F2" w:rsidRDefault="009C25D2" w:rsidP="002559F4">
            <w:pPr>
              <w:rPr>
                <w:rFonts w:cstheme="minorHAnsi"/>
                <w:lang w:val="sr-Latn-ME"/>
              </w:rPr>
            </w:pPr>
            <w:r>
              <w:rPr>
                <w:rFonts w:cstheme="minorHAnsi"/>
                <w:lang w:val="sr-Latn-ME"/>
              </w:rPr>
              <w:t>Ukupno</w:t>
            </w:r>
          </w:p>
        </w:tc>
        <w:tc>
          <w:tcPr>
            <w:tcW w:w="645" w:type="pct"/>
          </w:tcPr>
          <w:p w14:paraId="3AB27A3D" w14:textId="77777777" w:rsidR="009C25D2" w:rsidRPr="00AC67F2"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6C085C36" w14:textId="77777777" w:rsidR="009C25D2" w:rsidRPr="00527B8F"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17C66C98" w14:textId="77777777" w:rsidR="009C25D2" w:rsidRPr="008C09CD" w:rsidRDefault="009C25D2"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0/2</w:t>
            </w:r>
          </w:p>
        </w:tc>
      </w:tr>
    </w:tbl>
    <w:p w14:paraId="7A70BC85" w14:textId="77777777" w:rsidR="009C25D2" w:rsidRPr="00F43A6C" w:rsidRDefault="009C25D2" w:rsidP="009C25D2">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39"/>
        <w:gridCol w:w="745"/>
        <w:gridCol w:w="1263"/>
        <w:gridCol w:w="1392"/>
        <w:gridCol w:w="1613"/>
      </w:tblGrid>
      <w:tr w:rsidR="009C25D2" w:rsidRPr="00AC67F2" w14:paraId="5B4FF9D6"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51FD29BC" w14:textId="77777777" w:rsidR="009C25D2" w:rsidRPr="00AC67F2" w:rsidRDefault="009C25D2"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7836EF07" w14:textId="77777777" w:rsidR="009C25D2" w:rsidRPr="00AC67F2" w:rsidRDefault="009C25D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6E7CE8A9" w14:textId="77777777" w:rsidR="009C25D2" w:rsidRPr="00AC67F2" w:rsidRDefault="009C25D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48F684D2" w14:textId="77777777" w:rsidR="009C25D2" w:rsidRPr="00AC67F2" w:rsidRDefault="009C25D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345235A5" w14:textId="77777777" w:rsidR="009C25D2" w:rsidRPr="00AC67F2" w:rsidRDefault="009C25D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50E0CE1C" w14:textId="77777777" w:rsidR="009C25D2" w:rsidRPr="00AC67F2" w:rsidRDefault="009C25D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9C25D2" w:rsidRPr="00AC67F2" w14:paraId="38357233"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63075A3" w14:textId="77777777" w:rsidR="009C25D2" w:rsidRPr="00AC67F2" w:rsidRDefault="009C25D2"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2C1DC176" w14:textId="77777777" w:rsidR="009C25D2" w:rsidRPr="00AC67F2"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0C939E24" w14:textId="534A803D" w:rsidR="009C25D2" w:rsidRPr="00A00FA0"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tcPr>
          <w:p w14:paraId="16268F7E" w14:textId="6C26771A" w:rsidR="009C25D2" w:rsidRPr="00AC67F2" w:rsidRDefault="00AB0C0B"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605B8207"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1983BA8" w14:textId="3F4DA6C4" w:rsidR="009C25D2" w:rsidRPr="00A71811" w:rsidRDefault="007B3820"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Ne postoji, na primjer podatak koliko je iseljeničkih knjižica izdato muškarcima, a koliko ženama. </w:t>
            </w:r>
          </w:p>
        </w:tc>
      </w:tr>
      <w:tr w:rsidR="009C25D2" w:rsidRPr="00AC67F2" w14:paraId="3E329078"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756AE405" w14:textId="77777777" w:rsidR="009C25D2" w:rsidRPr="00AC67F2" w:rsidRDefault="009C25D2" w:rsidP="002559F4">
            <w:pPr>
              <w:rPr>
                <w:rFonts w:cstheme="minorHAnsi"/>
                <w:lang w:val="sr-Latn-ME"/>
              </w:rPr>
            </w:pPr>
            <w:r>
              <w:rPr>
                <w:rFonts w:cstheme="minorHAnsi"/>
                <w:lang w:val="sr-Latn-ME"/>
              </w:rPr>
              <w:t>2.2</w:t>
            </w:r>
          </w:p>
        </w:tc>
        <w:tc>
          <w:tcPr>
            <w:tcW w:w="3856" w:type="dxa"/>
            <w:shd w:val="clear" w:color="auto" w:fill="auto"/>
          </w:tcPr>
          <w:p w14:paraId="20BA7753" w14:textId="77777777" w:rsidR="009C25D2" w:rsidRPr="00AC67F2"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shd w:val="clear" w:color="auto" w:fill="auto"/>
          </w:tcPr>
          <w:p w14:paraId="2C806706" w14:textId="49C1F6C6"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54FD09AD" w14:textId="3124E44B" w:rsidR="009C25D2" w:rsidRPr="00AC67F2" w:rsidRDefault="00AB0C0B"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0A690A0B"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7AB2F374" w14:textId="6F56ED55" w:rsidR="009C25D2" w:rsidRPr="00A71811"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9C25D2" w:rsidRPr="00AC67F2" w14:paraId="7D1AB74E"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34DD11A7" w14:textId="77777777" w:rsidR="009C25D2" w:rsidRDefault="009C25D2" w:rsidP="002559F4">
            <w:pPr>
              <w:rPr>
                <w:rFonts w:cstheme="minorHAnsi"/>
                <w:lang w:val="sr-Latn-ME"/>
              </w:rPr>
            </w:pPr>
            <w:r>
              <w:rPr>
                <w:rFonts w:cstheme="minorHAnsi"/>
                <w:lang w:val="sr-Latn-ME"/>
              </w:rPr>
              <w:t>2.3</w:t>
            </w:r>
          </w:p>
        </w:tc>
        <w:tc>
          <w:tcPr>
            <w:tcW w:w="3856" w:type="dxa"/>
            <w:shd w:val="clear" w:color="auto" w:fill="auto"/>
          </w:tcPr>
          <w:p w14:paraId="1FFB0724" w14:textId="77777777" w:rsidR="009C25D2"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shd w:val="clear" w:color="auto" w:fill="auto"/>
          </w:tcPr>
          <w:p w14:paraId="7C4DB0E3" w14:textId="2C7BCDB9"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4B87F93D" w14:textId="24900A06" w:rsidR="009C25D2" w:rsidRPr="00AC67F2" w:rsidRDefault="00331D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3A716DE8"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2C922178" w14:textId="77777777" w:rsidR="009C25D2" w:rsidRPr="00A71811"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9C25D2" w:rsidRPr="00AC67F2" w14:paraId="3E692B59"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04F72CD1" w14:textId="77777777" w:rsidR="009C25D2" w:rsidRPr="00AC67F2" w:rsidRDefault="009C25D2" w:rsidP="002559F4">
            <w:pPr>
              <w:rPr>
                <w:rFonts w:cstheme="minorHAnsi"/>
                <w:lang w:val="sr-Latn-ME"/>
              </w:rPr>
            </w:pPr>
            <w:r>
              <w:rPr>
                <w:rFonts w:cstheme="minorHAnsi"/>
                <w:lang w:val="sr-Latn-ME"/>
              </w:rPr>
              <w:t>2.4</w:t>
            </w:r>
          </w:p>
        </w:tc>
        <w:tc>
          <w:tcPr>
            <w:tcW w:w="3856" w:type="dxa"/>
            <w:shd w:val="clear" w:color="auto" w:fill="auto"/>
          </w:tcPr>
          <w:p w14:paraId="197EFC9C" w14:textId="77777777" w:rsidR="009C25D2" w:rsidRPr="00AC67F2"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37ADA65E" w14:textId="3B3E625C" w:rsidR="009C25D2" w:rsidRPr="00C26A63"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auto"/>
          </w:tcPr>
          <w:p w14:paraId="1BD438BF" w14:textId="6350419B" w:rsidR="009C25D2" w:rsidRPr="00AC67F2" w:rsidRDefault="00331D0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3791ADA3"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6ABF0D2B" w14:textId="77777777" w:rsidR="009C25D2" w:rsidRPr="00D8609B"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9C25D2" w:rsidRPr="00AC67F2" w14:paraId="0B425BF6"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3B0D16B" w14:textId="77777777" w:rsidR="009C25D2" w:rsidRDefault="009C25D2" w:rsidP="002559F4">
            <w:pPr>
              <w:rPr>
                <w:rFonts w:cstheme="minorHAnsi"/>
                <w:lang w:val="sr-Latn-ME"/>
              </w:rPr>
            </w:pPr>
            <w:r>
              <w:rPr>
                <w:rFonts w:cstheme="minorHAnsi"/>
                <w:lang w:val="sr-Latn-ME"/>
              </w:rPr>
              <w:lastRenderedPageBreak/>
              <w:t>2.5</w:t>
            </w:r>
          </w:p>
        </w:tc>
        <w:tc>
          <w:tcPr>
            <w:tcW w:w="3856" w:type="dxa"/>
          </w:tcPr>
          <w:p w14:paraId="115ED8C8" w14:textId="77777777" w:rsidR="009C25D2" w:rsidRPr="00AC67F2"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7EAF1B23"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1EB10D8B"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096162D8"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37394ED" w14:textId="77777777" w:rsidR="00E0372F" w:rsidRPr="00E0372F" w:rsidRDefault="009D0ECC" w:rsidP="00E0372F">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Postoji mjera </w:t>
            </w:r>
            <w:r w:rsidR="00A0670F">
              <w:rPr>
                <w:rFonts w:cstheme="minorHAnsi"/>
                <w:sz w:val="18"/>
                <w:szCs w:val="18"/>
                <w:lang w:val="sr-Latn-ME"/>
              </w:rPr>
              <w:t xml:space="preserve">5.2.1 Istraživanje o položaju žena u dijaspori, ali ona nije povezana sa nekim prethodno identifikovanim problemom. </w:t>
            </w:r>
            <w:r w:rsidR="00E0372F">
              <w:rPr>
                <w:rFonts w:cstheme="minorHAnsi"/>
                <w:sz w:val="18"/>
                <w:szCs w:val="18"/>
                <w:lang w:val="sr-Latn-ME"/>
              </w:rPr>
              <w:t>U opisu problema se kaže „</w:t>
            </w:r>
            <w:r w:rsidR="00E0372F" w:rsidRPr="00E0372F">
              <w:rPr>
                <w:rFonts w:cstheme="minorHAnsi"/>
                <w:sz w:val="18"/>
                <w:szCs w:val="18"/>
                <w:lang w:val="sr-Latn-ME"/>
              </w:rPr>
              <w:t xml:space="preserve">U oblasti ravnopravnosti polova, mogu se realizovati istraživanja položaja naših žena u </w:t>
            </w:r>
          </w:p>
          <w:p w14:paraId="74251F63" w14:textId="77777777" w:rsidR="00E0372F" w:rsidRPr="00E0372F" w:rsidRDefault="00E0372F" w:rsidP="00E0372F">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E0372F">
              <w:rPr>
                <w:rFonts w:cstheme="minorHAnsi"/>
                <w:sz w:val="18"/>
                <w:szCs w:val="18"/>
                <w:lang w:val="sr-Latn-ME"/>
              </w:rPr>
              <w:t xml:space="preserve">dijaspori, ili taj položaj uporediti sa položajem žena u Crnoj Gori. Takođe, može se </w:t>
            </w:r>
          </w:p>
          <w:p w14:paraId="4F320A41" w14:textId="77777777" w:rsidR="00E0372F" w:rsidRPr="00E0372F" w:rsidRDefault="00E0372F" w:rsidP="00E0372F">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E0372F">
              <w:rPr>
                <w:rFonts w:cstheme="minorHAnsi"/>
                <w:sz w:val="18"/>
                <w:szCs w:val="18"/>
                <w:lang w:val="sr-Latn-ME"/>
              </w:rPr>
              <w:t xml:space="preserve">organizovati istraživanje/anketa o crnogorskim ženama u dijaspori vezano za </w:t>
            </w:r>
          </w:p>
          <w:p w14:paraId="4DC05207" w14:textId="77777777" w:rsidR="00E0372F" w:rsidRPr="00E0372F" w:rsidRDefault="00E0372F" w:rsidP="00E0372F">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E0372F">
              <w:rPr>
                <w:rFonts w:cstheme="minorHAnsi"/>
                <w:sz w:val="18"/>
                <w:szCs w:val="18"/>
                <w:lang w:val="sr-Latn-ME"/>
              </w:rPr>
              <w:t xml:space="preserve">demografske varijable – npr. iz kojih krajeva Crne Gore žene odlaze kuda, iz kojeg </w:t>
            </w:r>
          </w:p>
          <w:p w14:paraId="6617BE64" w14:textId="77777777" w:rsidR="00E0372F" w:rsidRPr="00E0372F" w:rsidRDefault="00E0372F" w:rsidP="00E0372F">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E0372F">
              <w:rPr>
                <w:rFonts w:cstheme="minorHAnsi"/>
                <w:sz w:val="18"/>
                <w:szCs w:val="18"/>
                <w:lang w:val="sr-Latn-ME"/>
              </w:rPr>
              <w:t xml:space="preserve">razloga, kojim poslovima se bave u dijaspori, itd. Treba ažurirati bazu podataka o </w:t>
            </w:r>
          </w:p>
          <w:p w14:paraId="7819A7AC" w14:textId="3EE31B7D" w:rsidR="009C25D2" w:rsidRPr="00A71811" w:rsidRDefault="00E0372F" w:rsidP="00E0372F">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E0372F">
              <w:rPr>
                <w:rFonts w:cstheme="minorHAnsi"/>
                <w:sz w:val="18"/>
                <w:szCs w:val="18"/>
                <w:lang w:val="sr-Latn-ME"/>
              </w:rPr>
              <w:t>uspješnim ženama u dijaspori.</w:t>
            </w:r>
            <w:r>
              <w:rPr>
                <w:rFonts w:cstheme="minorHAnsi"/>
                <w:sz w:val="18"/>
                <w:szCs w:val="18"/>
                <w:lang w:val="sr-Latn-ME"/>
              </w:rPr>
              <w:t xml:space="preserve">“ Ipak, nije objašnjeno </w:t>
            </w:r>
            <w:r w:rsidR="00C934A3">
              <w:rPr>
                <w:rFonts w:cstheme="minorHAnsi"/>
                <w:sz w:val="18"/>
                <w:szCs w:val="18"/>
                <w:lang w:val="sr-Latn-ME"/>
              </w:rPr>
              <w:t xml:space="preserve">u čemu se sastoji problem. </w:t>
            </w:r>
          </w:p>
        </w:tc>
      </w:tr>
      <w:tr w:rsidR="00E0372F" w:rsidRPr="00AC67F2" w14:paraId="42CBAD4C"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0BCEA431" w14:textId="77777777" w:rsidR="009C25D2" w:rsidRPr="00AC67F2" w:rsidRDefault="009C25D2" w:rsidP="002559F4">
            <w:pPr>
              <w:rPr>
                <w:rFonts w:cstheme="minorHAnsi"/>
                <w:lang w:val="sr-Latn-ME"/>
              </w:rPr>
            </w:pPr>
            <w:r>
              <w:rPr>
                <w:rFonts w:cstheme="minorHAnsi"/>
                <w:lang w:val="sr-Latn-ME"/>
              </w:rPr>
              <w:t>2.6</w:t>
            </w:r>
          </w:p>
        </w:tc>
        <w:tc>
          <w:tcPr>
            <w:tcW w:w="3856" w:type="dxa"/>
            <w:shd w:val="clear" w:color="auto" w:fill="auto"/>
          </w:tcPr>
          <w:p w14:paraId="117DABA5" w14:textId="77777777" w:rsidR="009C25D2" w:rsidRPr="00AC67F2"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auto"/>
          </w:tcPr>
          <w:p w14:paraId="1D2E8321"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shd w:val="clear" w:color="auto" w:fill="auto"/>
          </w:tcPr>
          <w:p w14:paraId="1C694695"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0DC58172"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6D03B88B" w14:textId="2BB73CEB" w:rsidR="009C25D2" w:rsidRPr="00A71811"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 </w:t>
            </w:r>
            <w:r w:rsidR="00130140">
              <w:rPr>
                <w:rFonts w:cstheme="minorHAnsi"/>
                <w:sz w:val="18"/>
                <w:szCs w:val="18"/>
                <w:lang w:val="sr-Latn-ME"/>
              </w:rPr>
              <w:t xml:space="preserve">Finansiranje je planirano iz redovnih budžetskih sredstava. </w:t>
            </w:r>
          </w:p>
        </w:tc>
      </w:tr>
      <w:tr w:rsidR="009C25D2" w:rsidRPr="00AC67F2" w14:paraId="0A4F0CD6"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AC41FBE" w14:textId="77777777" w:rsidR="009C25D2" w:rsidRDefault="009C25D2" w:rsidP="002559F4">
            <w:pPr>
              <w:rPr>
                <w:rFonts w:cstheme="minorHAnsi"/>
                <w:lang w:val="sr-Latn-ME"/>
              </w:rPr>
            </w:pPr>
            <w:r>
              <w:rPr>
                <w:rFonts w:cstheme="minorHAnsi"/>
                <w:lang w:val="sr-Latn-ME"/>
              </w:rPr>
              <w:t>2.7</w:t>
            </w:r>
          </w:p>
        </w:tc>
        <w:tc>
          <w:tcPr>
            <w:tcW w:w="3856" w:type="dxa"/>
          </w:tcPr>
          <w:p w14:paraId="71027B69" w14:textId="776B990D" w:rsidR="009C25D2" w:rsidRDefault="00C87714"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07455E9D" w14:textId="78475FCF"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0B4B5D11" w14:textId="62F094F5" w:rsidR="009C25D2" w:rsidRPr="00AC67F2" w:rsidRDefault="00D30AE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653E1935"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A5A03C3" w14:textId="15E6217E" w:rsidR="009C25D2" w:rsidRPr="00A71811" w:rsidRDefault="00D30AE7"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Među partnerima-partnerkama nisu prepoznate organizacije koje se bave rodnom ravnopravnošću.</w:t>
            </w:r>
          </w:p>
        </w:tc>
      </w:tr>
      <w:tr w:rsidR="009C25D2" w:rsidRPr="00AC67F2" w14:paraId="275FD319"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5AC1BAD" w14:textId="33934DBC" w:rsidR="009C25D2" w:rsidRPr="00AC67F2" w:rsidRDefault="009C25D2"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06AE7C97" w14:textId="77777777" w:rsidR="009C25D2"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6EEE5DEE" w14:textId="77777777" w:rsidR="009C25D2" w:rsidRPr="005C2773" w:rsidRDefault="009C25D2"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 xml:space="preserve">(Napomena: ukoliko u dokumentu, umjesto rodno senzitivnog jezika, postoji samo formulacija "svi izrazi u muškom rodu odnose se i </w:t>
            </w:r>
            <w:r w:rsidRPr="005C2773">
              <w:rPr>
                <w:rFonts w:cstheme="minorHAnsi"/>
                <w:color w:val="4472C4" w:themeColor="accent1"/>
                <w:sz w:val="18"/>
                <w:szCs w:val="18"/>
                <w:lang w:val="sr-Latn-ME" w:eastAsia="en-GB"/>
              </w:rPr>
              <w:lastRenderedPageBreak/>
              <w:t>na ženski rod", takav dokument se smatra rodno nesenzitivnim)</w:t>
            </w:r>
          </w:p>
        </w:tc>
        <w:tc>
          <w:tcPr>
            <w:tcW w:w="747" w:type="dxa"/>
          </w:tcPr>
          <w:p w14:paraId="499672B0"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lastRenderedPageBreak/>
              <w:t>√</w:t>
            </w:r>
          </w:p>
        </w:tc>
        <w:tc>
          <w:tcPr>
            <w:tcW w:w="1263" w:type="dxa"/>
          </w:tcPr>
          <w:p w14:paraId="2BBAB443"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34A23E84"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B41C3BE" w14:textId="1E4E9338" w:rsidR="00303D4B" w:rsidRPr="00303D4B" w:rsidRDefault="003761F5" w:rsidP="00303D4B">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574452">
              <w:rPr>
                <w:rFonts w:cstheme="minorHAnsi"/>
                <w:sz w:val="18"/>
                <w:szCs w:val="18"/>
                <w:lang w:val="sr-Latn-ME"/>
              </w:rPr>
              <w:t xml:space="preserve">Strategija koristi uglavnom rodno neutralne izraze, a tamo gdje to nije moguće ne koristi se rodno </w:t>
            </w:r>
            <w:r w:rsidRPr="00574452">
              <w:rPr>
                <w:rFonts w:cstheme="minorHAnsi"/>
                <w:sz w:val="18"/>
                <w:szCs w:val="18"/>
                <w:lang w:val="sr-Latn-ME"/>
              </w:rPr>
              <w:lastRenderedPageBreak/>
              <w:t>senzitivan jezik („Crnogorci“, „iseljenici“)</w:t>
            </w:r>
            <w:r w:rsidR="00E508F1">
              <w:rPr>
                <w:rFonts w:cstheme="minorHAnsi"/>
                <w:sz w:val="18"/>
                <w:szCs w:val="18"/>
                <w:lang w:val="sr-Latn-ME"/>
              </w:rPr>
              <w:t>. Strategija sadrži napomenu „</w:t>
            </w:r>
            <w:r w:rsidR="00303D4B" w:rsidRPr="00303D4B">
              <w:rPr>
                <w:rFonts w:cstheme="minorHAnsi"/>
                <w:sz w:val="18"/>
                <w:szCs w:val="18"/>
                <w:lang w:val="sr-Latn-ME"/>
              </w:rPr>
              <w:t xml:space="preserve">Izrazi koji se u ovoj Strategiji koriste za fizička lica u muškom rodu podrazumijevaju iste </w:t>
            </w:r>
          </w:p>
          <w:p w14:paraId="4F450F11" w14:textId="504F7FEE" w:rsidR="009C25D2" w:rsidRPr="00574452" w:rsidRDefault="00303D4B" w:rsidP="00303D4B">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303D4B">
              <w:rPr>
                <w:rFonts w:cstheme="minorHAnsi"/>
                <w:sz w:val="18"/>
                <w:szCs w:val="18"/>
                <w:lang w:val="sr-Latn-ME"/>
              </w:rPr>
              <w:t>izraze u ženskom rodu</w:t>
            </w:r>
            <w:r>
              <w:rPr>
                <w:rFonts w:cstheme="minorHAnsi"/>
                <w:sz w:val="18"/>
                <w:szCs w:val="18"/>
                <w:lang w:val="sr-Latn-ME"/>
              </w:rPr>
              <w:t xml:space="preserve">“ koja nije dovoljna. </w:t>
            </w:r>
          </w:p>
        </w:tc>
      </w:tr>
      <w:tr w:rsidR="009C25D2" w:rsidRPr="00AC67F2" w14:paraId="46759753"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22322A58" w14:textId="77777777" w:rsidR="009C25D2" w:rsidRPr="00AC67F2" w:rsidRDefault="009C25D2" w:rsidP="002559F4">
            <w:pPr>
              <w:rPr>
                <w:rFonts w:cstheme="minorHAnsi"/>
                <w:lang w:val="sr-Latn-ME" w:eastAsia="en-GB"/>
              </w:rPr>
            </w:pPr>
            <w:r>
              <w:rPr>
                <w:rFonts w:cstheme="minorHAnsi"/>
                <w:lang w:val="sr-Latn-ME"/>
              </w:rPr>
              <w:lastRenderedPageBreak/>
              <w:t>Ukupno</w:t>
            </w:r>
          </w:p>
        </w:tc>
        <w:tc>
          <w:tcPr>
            <w:tcW w:w="747" w:type="dxa"/>
          </w:tcPr>
          <w:p w14:paraId="798F37A6"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0656D8AA" w14:textId="77777777" w:rsidR="009C25D2" w:rsidRPr="00527B8F"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4CC2A0E3"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1A307F8" w14:textId="3519E73C" w:rsidR="009C25D2" w:rsidRPr="00E72E03" w:rsidRDefault="002F1EA1"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3</w:t>
            </w:r>
            <w:r w:rsidR="009C25D2" w:rsidRPr="00E72E03">
              <w:rPr>
                <w:rFonts w:cstheme="minorHAnsi"/>
                <w:b/>
                <w:bCs/>
                <w:sz w:val="28"/>
                <w:szCs w:val="28"/>
                <w:lang w:val="sr-Latn-ME"/>
              </w:rPr>
              <w:t>/</w:t>
            </w:r>
            <w:r w:rsidR="00A75F87">
              <w:rPr>
                <w:rFonts w:cstheme="minorHAnsi"/>
                <w:b/>
                <w:bCs/>
                <w:sz w:val="28"/>
                <w:szCs w:val="28"/>
                <w:lang w:val="sr-Latn-ME"/>
              </w:rPr>
              <w:t>8</w:t>
            </w:r>
          </w:p>
        </w:tc>
      </w:tr>
    </w:tbl>
    <w:p w14:paraId="283B2A03" w14:textId="77777777" w:rsidR="009C25D2" w:rsidRPr="00AC67F2" w:rsidRDefault="009C25D2" w:rsidP="009C25D2">
      <w:pPr>
        <w:rPr>
          <w:rFonts w:cstheme="minorHAnsi"/>
          <w:lang w:val="sr-Latn-ME"/>
        </w:rPr>
      </w:pPr>
    </w:p>
    <w:p w14:paraId="00C78D49" w14:textId="77777777" w:rsidR="009C25D2" w:rsidRPr="00852DD8" w:rsidRDefault="009C25D2" w:rsidP="009C25D2">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9C25D2" w:rsidRPr="00AC67F2" w14:paraId="5D21A675"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0283D4FB" w14:textId="77777777" w:rsidR="009C25D2" w:rsidRPr="00AC67F2" w:rsidRDefault="009C25D2"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168E6227" w14:textId="77777777" w:rsidR="009C25D2" w:rsidRPr="00AC67F2" w:rsidRDefault="009C25D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6F581D49" w14:textId="77777777" w:rsidR="009C25D2" w:rsidRPr="00AC67F2" w:rsidRDefault="009C25D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22686408" w14:textId="77777777" w:rsidR="009C25D2" w:rsidRPr="00AC67F2" w:rsidRDefault="009C25D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19D2555C" w14:textId="77777777" w:rsidR="009C25D2" w:rsidRPr="00AC67F2" w:rsidRDefault="009C25D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352164B8" w14:textId="77777777" w:rsidR="009C25D2" w:rsidRPr="00AC67F2" w:rsidRDefault="009C25D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9C25D2" w:rsidRPr="00AC67F2" w14:paraId="2DDD800C"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EFBB882" w14:textId="77777777" w:rsidR="009C25D2" w:rsidRPr="00AC67F2" w:rsidRDefault="009C25D2" w:rsidP="002559F4">
            <w:pPr>
              <w:rPr>
                <w:rFonts w:cstheme="minorHAnsi"/>
                <w:lang w:val="sr-Latn-ME"/>
              </w:rPr>
            </w:pPr>
            <w:r>
              <w:rPr>
                <w:rFonts w:cstheme="minorHAnsi"/>
                <w:lang w:val="sr-Latn-ME"/>
              </w:rPr>
              <w:t>3.1</w:t>
            </w:r>
          </w:p>
        </w:tc>
        <w:tc>
          <w:tcPr>
            <w:tcW w:w="3908" w:type="dxa"/>
          </w:tcPr>
          <w:p w14:paraId="49E2438B" w14:textId="77777777" w:rsidR="009C25D2" w:rsidRPr="00AC67F2"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08461021"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02E5734C"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tcPr>
          <w:p w14:paraId="3784CBA7"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7C85A37A" w14:textId="64036219" w:rsidR="009C25D2" w:rsidRPr="009A4E2D" w:rsidRDefault="00980BF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Plan navodi da treba kreirati evidencionu osnovu o ženama iseljenicama koja u sebi uključuje </w:t>
            </w:r>
            <w:r w:rsidR="002F1EA1">
              <w:rPr>
                <w:rFonts w:cstheme="minorHAnsi"/>
                <w:sz w:val="18"/>
                <w:szCs w:val="18"/>
                <w:lang w:val="sr-Latn-ME"/>
              </w:rPr>
              <w:t>demografske pokazatelje do 2021. godine</w:t>
            </w:r>
          </w:p>
        </w:tc>
      </w:tr>
      <w:tr w:rsidR="009C25D2" w:rsidRPr="00AC67F2" w14:paraId="150D233B"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25862899" w14:textId="77777777" w:rsidR="009C25D2" w:rsidRDefault="009C25D2" w:rsidP="002559F4">
            <w:pPr>
              <w:rPr>
                <w:rFonts w:cstheme="minorHAnsi"/>
                <w:lang w:val="sr-Latn-ME"/>
              </w:rPr>
            </w:pPr>
            <w:r>
              <w:rPr>
                <w:rFonts w:cstheme="minorHAnsi"/>
                <w:lang w:val="sr-Latn-ME"/>
              </w:rPr>
              <w:t>Ukupno</w:t>
            </w:r>
          </w:p>
        </w:tc>
        <w:tc>
          <w:tcPr>
            <w:tcW w:w="760" w:type="dxa"/>
            <w:shd w:val="clear" w:color="auto" w:fill="auto"/>
          </w:tcPr>
          <w:p w14:paraId="26D04010" w14:textId="77777777" w:rsidR="009C25D2" w:rsidRPr="00AC67F2" w:rsidRDefault="009C25D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1E366E6C" w14:textId="77777777" w:rsidR="009C25D2" w:rsidRPr="00527B8F"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2936D916" w14:textId="77777777" w:rsidR="009C25D2" w:rsidRPr="00AC67F2" w:rsidRDefault="009C25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3832EF25" w14:textId="77777777" w:rsidR="009C25D2" w:rsidRPr="00AC67F2" w:rsidRDefault="009C25D2"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1/1</w:t>
            </w:r>
          </w:p>
        </w:tc>
      </w:tr>
    </w:tbl>
    <w:p w14:paraId="340D382B" w14:textId="77777777" w:rsidR="009C25D2" w:rsidRDefault="009C25D2" w:rsidP="009C25D2">
      <w:pPr>
        <w:rPr>
          <w:rFonts w:cstheme="minorHAnsi"/>
          <w:lang w:val="sr-Latn-ME"/>
        </w:rPr>
      </w:pPr>
    </w:p>
    <w:p w14:paraId="7A30AA20" w14:textId="58F9C33B" w:rsidR="009C25D2" w:rsidRPr="00E62002" w:rsidRDefault="009C25D2" w:rsidP="009C25D2">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C000"/>
          <w:sz w:val="32"/>
          <w:szCs w:val="32"/>
          <w:lang w:val="sr-Latn-ME"/>
        </w:rPr>
      </w:pPr>
      <w:r w:rsidRPr="00E62002">
        <w:rPr>
          <w:rFonts w:cstheme="minorHAnsi"/>
          <w:color w:val="FFC000"/>
          <w:sz w:val="32"/>
          <w:szCs w:val="32"/>
          <w:lang w:val="sr-Latn-ME"/>
        </w:rPr>
        <w:t xml:space="preserve">Konačna ocjena: </w:t>
      </w:r>
      <w:r w:rsidR="002F1EA1" w:rsidRPr="00E62002">
        <w:rPr>
          <w:rFonts w:cstheme="minorHAnsi"/>
          <w:color w:val="FFC000"/>
          <w:sz w:val="32"/>
          <w:szCs w:val="32"/>
          <w:lang w:val="sr-Latn-ME"/>
        </w:rPr>
        <w:t>4</w:t>
      </w:r>
      <w:r w:rsidRPr="00E62002">
        <w:rPr>
          <w:rFonts w:cstheme="minorHAnsi"/>
          <w:color w:val="FFC000"/>
          <w:sz w:val="32"/>
          <w:szCs w:val="32"/>
          <w:lang w:val="sr-Latn-ME"/>
        </w:rPr>
        <w:t xml:space="preserve"> od 1</w:t>
      </w:r>
      <w:r w:rsidR="00A75F87">
        <w:rPr>
          <w:rFonts w:cstheme="minorHAnsi"/>
          <w:color w:val="FFC000"/>
          <w:sz w:val="32"/>
          <w:szCs w:val="32"/>
          <w:lang w:val="sr-Latn-ME"/>
        </w:rPr>
        <w:t>1</w:t>
      </w:r>
      <w:r w:rsidRPr="00E62002">
        <w:rPr>
          <w:rFonts w:cstheme="minorHAnsi"/>
          <w:color w:val="FFC000"/>
          <w:sz w:val="32"/>
          <w:szCs w:val="32"/>
          <w:lang w:val="sr-Latn-ME"/>
        </w:rPr>
        <w:t xml:space="preserve"> ili </w:t>
      </w:r>
      <w:r w:rsidRPr="00E62002">
        <w:rPr>
          <w:rFonts w:cstheme="minorHAnsi"/>
          <w:b/>
          <w:bCs/>
          <w:color w:val="FFC000"/>
          <w:sz w:val="32"/>
          <w:szCs w:val="32"/>
          <w:lang w:val="sr-Latn-ME"/>
        </w:rPr>
        <w:t>0.</w:t>
      </w:r>
      <w:r w:rsidR="00707BBA" w:rsidRPr="00E62002">
        <w:rPr>
          <w:rFonts w:cstheme="minorHAnsi"/>
          <w:b/>
          <w:bCs/>
          <w:color w:val="FFC000"/>
          <w:sz w:val="32"/>
          <w:szCs w:val="32"/>
          <w:lang w:val="sr-Latn-ME"/>
        </w:rPr>
        <w:t>3</w:t>
      </w:r>
      <w:r w:rsidR="00A75F87">
        <w:rPr>
          <w:rFonts w:cstheme="minorHAnsi"/>
          <w:b/>
          <w:bCs/>
          <w:color w:val="FFC000"/>
          <w:sz w:val="32"/>
          <w:szCs w:val="32"/>
          <w:lang w:val="sr-Latn-ME"/>
        </w:rPr>
        <w:t>6</w:t>
      </w:r>
      <w:r w:rsidRPr="00E62002">
        <w:rPr>
          <w:rFonts w:cstheme="minorHAnsi"/>
          <w:b/>
          <w:bCs/>
          <w:color w:val="FFC000"/>
          <w:sz w:val="32"/>
          <w:szCs w:val="32"/>
          <w:lang w:val="sr-Latn-ME"/>
        </w:rPr>
        <w:t xml:space="preserve"> – Strategija </w:t>
      </w:r>
      <w:r w:rsidR="00E62002" w:rsidRPr="00E62002">
        <w:rPr>
          <w:rFonts w:cstheme="minorHAnsi"/>
          <w:b/>
          <w:bCs/>
          <w:color w:val="FFC000"/>
          <w:sz w:val="32"/>
          <w:szCs w:val="32"/>
          <w:lang w:val="sr-Latn-ME"/>
        </w:rPr>
        <w:t>uglavnom nije</w:t>
      </w:r>
      <w:r w:rsidRPr="00E62002">
        <w:rPr>
          <w:rFonts w:cstheme="minorHAnsi"/>
          <w:b/>
          <w:bCs/>
          <w:color w:val="FFC000"/>
          <w:sz w:val="32"/>
          <w:szCs w:val="32"/>
          <w:lang w:val="sr-Latn-ME"/>
        </w:rPr>
        <w:t xml:space="preserve"> orodnjena.</w:t>
      </w:r>
    </w:p>
    <w:p w14:paraId="16DC1F9A" w14:textId="77777777" w:rsidR="009C25D2" w:rsidRPr="00FC2839" w:rsidRDefault="009C25D2" w:rsidP="00FC2839">
      <w:pPr>
        <w:rPr>
          <w:lang w:val="hr-HR"/>
        </w:rPr>
      </w:pPr>
    </w:p>
    <w:p w14:paraId="7F8AB0C7" w14:textId="6FEC22A1" w:rsidR="00AC6EB8" w:rsidRDefault="00227611" w:rsidP="0094176E">
      <w:pPr>
        <w:pStyle w:val="Heading3"/>
        <w:rPr>
          <w:lang w:val="sr-Latn-ME"/>
        </w:rPr>
      </w:pPr>
      <w:bookmarkStart w:id="24" w:name="_Toc100339546"/>
      <w:r>
        <w:rPr>
          <w:lang w:val="sr-Latn-ME"/>
        </w:rPr>
        <w:t>17</w:t>
      </w:r>
      <w:r w:rsidR="009D5CC5">
        <w:rPr>
          <w:lang w:val="sr-Latn-ME"/>
        </w:rPr>
        <w:t xml:space="preserve">. </w:t>
      </w:r>
      <w:r w:rsidR="00AC6EB8" w:rsidRPr="00AC6EB8">
        <w:rPr>
          <w:lang w:val="sr-Latn-ME"/>
        </w:rPr>
        <w:t>Program adaptiranja zdravstvenog sistema na klimatske promjene u Crnoj Gori za period 2020-2022. godine</w:t>
      </w:r>
      <w:bookmarkEnd w:id="24"/>
    </w:p>
    <w:p w14:paraId="3CB7231A" w14:textId="77777777" w:rsidR="00A62F50" w:rsidRDefault="00A62F50" w:rsidP="00A62F50">
      <w:pPr>
        <w:rPr>
          <w:lang w:val="sr-Latn-ME"/>
        </w:rPr>
      </w:pPr>
    </w:p>
    <w:p w14:paraId="670F43E2" w14:textId="7EB96A40" w:rsidR="00A62F50" w:rsidRPr="00A62F50" w:rsidRDefault="00A62F50" w:rsidP="006B52B0">
      <w:pPr>
        <w:jc w:val="both"/>
        <w:rPr>
          <w:lang w:val="sr-Latn-ME"/>
        </w:rPr>
      </w:pPr>
      <w:r>
        <w:rPr>
          <w:lang w:val="sr-Latn-ME"/>
        </w:rPr>
        <w:t xml:space="preserve">Ova Strategija se bavi pitanjem direktnih i indirektnih uticaja dolazećih rizika od klimatskih promjena na zdravlje ljudi koji će u skoroj budućnosti postati neki od najvažnijih rizika sa kojima će se stanovništvo suočavati. </w:t>
      </w:r>
    </w:p>
    <w:p w14:paraId="25EAD131" w14:textId="77777777" w:rsidR="00683A07" w:rsidRPr="007D71A2" w:rsidRDefault="00683A07" w:rsidP="00683A07">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683A07" w:rsidRPr="00AC67F2" w14:paraId="5FDDDF9A"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3C681546" w14:textId="77777777" w:rsidR="00683A07" w:rsidRPr="00AC67F2" w:rsidRDefault="00683A07"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0004FB6C" w14:textId="77777777" w:rsidR="00683A07" w:rsidRPr="00AC67F2" w:rsidRDefault="00683A07"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5A2DFB4E" w14:textId="77777777" w:rsidR="00683A07" w:rsidRPr="00AC67F2" w:rsidRDefault="00683A07"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310ECB76" w14:textId="77777777" w:rsidR="00683A07" w:rsidRPr="009148DB" w:rsidRDefault="00683A07"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 xml:space="preserve">Plan ne sadrži </w:t>
            </w:r>
            <w:r>
              <w:rPr>
                <w:rFonts w:cstheme="minorHAnsi"/>
                <w:lang w:val="sr-Latn-ME"/>
              </w:rPr>
              <w:lastRenderedPageBreak/>
              <w:t>informaciju na ovu temu</w:t>
            </w:r>
          </w:p>
        </w:tc>
        <w:tc>
          <w:tcPr>
            <w:tcW w:w="953" w:type="pct"/>
            <w:shd w:val="clear" w:color="auto" w:fill="B4C6E7" w:themeFill="accent1" w:themeFillTint="66"/>
          </w:tcPr>
          <w:p w14:paraId="1FA03354" w14:textId="77777777" w:rsidR="00683A07" w:rsidRPr="00AC67F2" w:rsidRDefault="00683A07"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lastRenderedPageBreak/>
              <w:t>Komentar</w:t>
            </w:r>
          </w:p>
        </w:tc>
      </w:tr>
      <w:tr w:rsidR="00683A07" w:rsidRPr="00AC67F2" w14:paraId="04916C40"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5DD7F8BA" w14:textId="77777777" w:rsidR="00683A07" w:rsidRPr="00AC67F2" w:rsidRDefault="00683A07"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416DD2FC" w14:textId="77777777" w:rsidR="00683A07" w:rsidRPr="00DA659B"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2D43D81A" w14:textId="77777777" w:rsidR="00683A07" w:rsidRPr="00AC67F2"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1EC62D06"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33B9EEE9"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7F0F2F2A" w14:textId="77777777" w:rsidR="00683A07" w:rsidRPr="00A545D6"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683A07" w:rsidRPr="00AC67F2" w14:paraId="255C6118"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59F28ED1" w14:textId="77777777" w:rsidR="00683A07" w:rsidRPr="00AC67F2" w:rsidRDefault="00683A07" w:rsidP="002559F4">
            <w:pPr>
              <w:rPr>
                <w:rFonts w:cstheme="minorHAnsi"/>
                <w:lang w:val="sr-Latn-ME"/>
              </w:rPr>
            </w:pPr>
            <w:r>
              <w:rPr>
                <w:rFonts w:cstheme="minorHAnsi"/>
                <w:lang w:val="sr-Latn-ME"/>
              </w:rPr>
              <w:t>1.2</w:t>
            </w:r>
          </w:p>
        </w:tc>
        <w:tc>
          <w:tcPr>
            <w:tcW w:w="2443" w:type="pct"/>
          </w:tcPr>
          <w:p w14:paraId="495DD146" w14:textId="77777777" w:rsidR="00683A07"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2F32531B" w14:textId="77777777" w:rsidR="00683A07" w:rsidRPr="00AC67F2"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38AB0322"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13A3FE67"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15638119" w14:textId="77777777" w:rsidR="00683A07" w:rsidRPr="00A545D6"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U Strategiji se navodi da je bila angažovana ekspertska pomoć, ali nije precizirano da se odnosila na rodnu perspektivu. </w:t>
            </w:r>
          </w:p>
        </w:tc>
      </w:tr>
      <w:tr w:rsidR="00683A07" w:rsidRPr="00AC67F2" w14:paraId="4DE9C893"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6405945B" w14:textId="77777777" w:rsidR="00683A07" w:rsidRPr="00AC67F2" w:rsidRDefault="00683A07" w:rsidP="002559F4">
            <w:pPr>
              <w:rPr>
                <w:rFonts w:cstheme="minorHAnsi"/>
                <w:lang w:val="sr-Latn-ME"/>
              </w:rPr>
            </w:pPr>
            <w:r>
              <w:rPr>
                <w:rFonts w:cstheme="minorHAnsi"/>
                <w:lang w:val="sr-Latn-ME"/>
              </w:rPr>
              <w:t>Ukupno</w:t>
            </w:r>
          </w:p>
        </w:tc>
        <w:tc>
          <w:tcPr>
            <w:tcW w:w="645" w:type="pct"/>
          </w:tcPr>
          <w:p w14:paraId="45196191" w14:textId="77777777" w:rsidR="00683A07" w:rsidRPr="00AC67F2"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79C0D0D6" w14:textId="77777777" w:rsidR="00683A07" w:rsidRPr="00527B8F"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7518A7C9" w14:textId="77777777" w:rsidR="00683A07" w:rsidRPr="008C09CD" w:rsidRDefault="00683A07"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0/2</w:t>
            </w:r>
          </w:p>
        </w:tc>
      </w:tr>
    </w:tbl>
    <w:p w14:paraId="1CC0814D" w14:textId="77777777" w:rsidR="00683A07" w:rsidRPr="00F43A6C" w:rsidRDefault="00683A07" w:rsidP="00683A07">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683A07" w:rsidRPr="00AC67F2" w14:paraId="5D3A14D8"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202D2EE8" w14:textId="77777777" w:rsidR="00683A07" w:rsidRPr="00AC67F2" w:rsidRDefault="00683A07"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006D3C26" w14:textId="77777777" w:rsidR="00683A07" w:rsidRPr="00AC67F2" w:rsidRDefault="00683A07"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79A92451" w14:textId="77777777" w:rsidR="00683A07" w:rsidRPr="00AC67F2" w:rsidRDefault="00683A07"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68E31F33" w14:textId="77777777" w:rsidR="00683A07" w:rsidRPr="00AC67F2" w:rsidRDefault="00683A07"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6C30E2EF" w14:textId="77777777" w:rsidR="00683A07" w:rsidRPr="00AC67F2" w:rsidRDefault="00683A07"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2A7ECAE2" w14:textId="77777777" w:rsidR="00683A07" w:rsidRPr="00AC67F2" w:rsidRDefault="00683A07"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683A07" w:rsidRPr="00AC67F2" w14:paraId="0F0BBE7C"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83E8D05" w14:textId="77777777" w:rsidR="00683A07" w:rsidRPr="00AC67F2" w:rsidRDefault="00683A07"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32B4B788" w14:textId="77777777" w:rsidR="00683A07" w:rsidRPr="00AC67F2"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59F1B785" w14:textId="77777777" w:rsidR="00683A07" w:rsidRPr="00A00FA0"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tcPr>
          <w:p w14:paraId="291A3E5D"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6ED72F7A"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0455647" w14:textId="50B3A0C6" w:rsidR="00683A07" w:rsidRPr="00A71811"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683A07" w:rsidRPr="00AC67F2" w14:paraId="1C213AC6"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5097429C" w14:textId="77777777" w:rsidR="00683A07" w:rsidRPr="00AC67F2" w:rsidRDefault="00683A07" w:rsidP="002559F4">
            <w:pPr>
              <w:rPr>
                <w:rFonts w:cstheme="minorHAnsi"/>
                <w:lang w:val="sr-Latn-ME"/>
              </w:rPr>
            </w:pPr>
            <w:r>
              <w:rPr>
                <w:rFonts w:cstheme="minorHAnsi"/>
                <w:lang w:val="sr-Latn-ME"/>
              </w:rPr>
              <w:t>2.2</w:t>
            </w:r>
          </w:p>
        </w:tc>
        <w:tc>
          <w:tcPr>
            <w:tcW w:w="3856" w:type="dxa"/>
            <w:shd w:val="clear" w:color="auto" w:fill="auto"/>
          </w:tcPr>
          <w:p w14:paraId="55E330EA" w14:textId="77777777" w:rsidR="00683A07" w:rsidRPr="00AC67F2"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shd w:val="clear" w:color="auto" w:fill="auto"/>
          </w:tcPr>
          <w:p w14:paraId="07D85D79" w14:textId="731B31F1" w:rsidR="00683A07" w:rsidRPr="00AC67F2" w:rsidRDefault="00CE2D9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shd w:val="clear" w:color="auto" w:fill="auto"/>
          </w:tcPr>
          <w:p w14:paraId="1286A3FB" w14:textId="2BAEFC8B"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524D906D"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04AA80F0" w14:textId="4C82C833" w:rsidR="00683A07" w:rsidRPr="00A71811" w:rsidRDefault="00CE2D9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Trudnice spadaju među najranjivije kategorije koje su pogođene klimatskim promjenama.</w:t>
            </w:r>
          </w:p>
        </w:tc>
      </w:tr>
      <w:tr w:rsidR="00683A07" w:rsidRPr="00AC67F2" w14:paraId="7DFD5DD1"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41D891A0" w14:textId="77777777" w:rsidR="00683A07" w:rsidRDefault="00683A07" w:rsidP="002559F4">
            <w:pPr>
              <w:rPr>
                <w:rFonts w:cstheme="minorHAnsi"/>
                <w:lang w:val="sr-Latn-ME"/>
              </w:rPr>
            </w:pPr>
            <w:r>
              <w:rPr>
                <w:rFonts w:cstheme="minorHAnsi"/>
                <w:lang w:val="sr-Latn-ME"/>
              </w:rPr>
              <w:t>2.3</w:t>
            </w:r>
          </w:p>
        </w:tc>
        <w:tc>
          <w:tcPr>
            <w:tcW w:w="3856" w:type="dxa"/>
            <w:shd w:val="clear" w:color="auto" w:fill="auto"/>
          </w:tcPr>
          <w:p w14:paraId="2C577CD8" w14:textId="77777777" w:rsidR="00683A07"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shd w:val="clear" w:color="auto" w:fill="auto"/>
          </w:tcPr>
          <w:p w14:paraId="335D3C84" w14:textId="629F8996"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1AE769D3" w14:textId="1D6E1E0E" w:rsidR="00683A07" w:rsidRPr="00AC67F2" w:rsidRDefault="00312E2E"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3AD37D46"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5E79B40E" w14:textId="2F89976C" w:rsidR="00683A07" w:rsidRPr="00A71811"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683A07" w:rsidRPr="00AC67F2" w14:paraId="5A1AF3F4"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7C0507DE" w14:textId="77777777" w:rsidR="00683A07" w:rsidRPr="00AC67F2" w:rsidRDefault="00683A07" w:rsidP="002559F4">
            <w:pPr>
              <w:rPr>
                <w:rFonts w:cstheme="minorHAnsi"/>
                <w:lang w:val="sr-Latn-ME"/>
              </w:rPr>
            </w:pPr>
            <w:r>
              <w:rPr>
                <w:rFonts w:cstheme="minorHAnsi"/>
                <w:lang w:val="sr-Latn-ME"/>
              </w:rPr>
              <w:t>2.4</w:t>
            </w:r>
          </w:p>
        </w:tc>
        <w:tc>
          <w:tcPr>
            <w:tcW w:w="3856" w:type="dxa"/>
            <w:shd w:val="clear" w:color="auto" w:fill="auto"/>
          </w:tcPr>
          <w:p w14:paraId="680BD40B" w14:textId="77777777" w:rsidR="00683A07" w:rsidRPr="00AC67F2"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28D2A8B4" w14:textId="77777777" w:rsidR="00683A07" w:rsidRPr="00C26A63"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auto"/>
          </w:tcPr>
          <w:p w14:paraId="349EBAC9"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4870901A"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2155228B" w14:textId="77777777" w:rsidR="00683A07" w:rsidRPr="00D8609B"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683A07" w:rsidRPr="00AC67F2" w14:paraId="63D59BFE"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70DC017" w14:textId="77777777" w:rsidR="00683A07" w:rsidRDefault="00683A07" w:rsidP="002559F4">
            <w:pPr>
              <w:rPr>
                <w:rFonts w:cstheme="minorHAnsi"/>
                <w:lang w:val="sr-Latn-ME"/>
              </w:rPr>
            </w:pPr>
            <w:r>
              <w:rPr>
                <w:rFonts w:cstheme="minorHAnsi"/>
                <w:lang w:val="sr-Latn-ME"/>
              </w:rPr>
              <w:t>2.5</w:t>
            </w:r>
          </w:p>
        </w:tc>
        <w:tc>
          <w:tcPr>
            <w:tcW w:w="3856" w:type="dxa"/>
          </w:tcPr>
          <w:p w14:paraId="458F1423" w14:textId="77777777" w:rsidR="00683A07" w:rsidRPr="00AC67F2"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1D045E21" w14:textId="19F4DF0A"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B9BE28B" w14:textId="621D306A" w:rsidR="00683A07" w:rsidRPr="00AC67F2" w:rsidRDefault="00312E2E"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364EBE12"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ADDA37C" w14:textId="1AACC326" w:rsidR="00683A07" w:rsidRPr="00A71811"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 </w:t>
            </w:r>
          </w:p>
        </w:tc>
      </w:tr>
      <w:tr w:rsidR="00683A07" w:rsidRPr="00AC67F2" w14:paraId="1112AC2E" w14:textId="77777777" w:rsidTr="00312E2E">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14CE5836" w14:textId="77777777" w:rsidR="00683A07" w:rsidRPr="00AC67F2" w:rsidRDefault="00683A07" w:rsidP="002559F4">
            <w:pPr>
              <w:rPr>
                <w:rFonts w:cstheme="minorHAnsi"/>
                <w:lang w:val="sr-Latn-ME"/>
              </w:rPr>
            </w:pPr>
            <w:r>
              <w:rPr>
                <w:rFonts w:cstheme="minorHAnsi"/>
                <w:lang w:val="sr-Latn-ME"/>
              </w:rPr>
              <w:t>2.6</w:t>
            </w:r>
          </w:p>
        </w:tc>
        <w:tc>
          <w:tcPr>
            <w:tcW w:w="3856" w:type="dxa"/>
            <w:shd w:val="clear" w:color="auto" w:fill="D9D9D9" w:themeFill="background1" w:themeFillShade="D9"/>
          </w:tcPr>
          <w:p w14:paraId="4B1AC989" w14:textId="77777777" w:rsidR="00683A07" w:rsidRPr="00AC67F2"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D9D9D9" w:themeFill="background1" w:themeFillShade="D9"/>
          </w:tcPr>
          <w:p w14:paraId="5DB27644" w14:textId="70C74040"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22700551"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3E88BC82"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D9D9D9" w:themeFill="background1" w:themeFillShade="D9"/>
          </w:tcPr>
          <w:p w14:paraId="1EB49707" w14:textId="75C891D9" w:rsidR="00683A07" w:rsidRPr="00A71811" w:rsidRDefault="00312E2E"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Ne postoje mjere, pa ne postoji ni budžet. </w:t>
            </w:r>
          </w:p>
        </w:tc>
      </w:tr>
      <w:tr w:rsidR="00683A07" w:rsidRPr="00AC67F2" w14:paraId="72D31F34"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46422E0" w14:textId="77777777" w:rsidR="00683A07" w:rsidRDefault="00683A07" w:rsidP="002559F4">
            <w:pPr>
              <w:rPr>
                <w:rFonts w:cstheme="minorHAnsi"/>
                <w:lang w:val="sr-Latn-ME"/>
              </w:rPr>
            </w:pPr>
            <w:r>
              <w:rPr>
                <w:rFonts w:cstheme="minorHAnsi"/>
                <w:lang w:val="sr-Latn-ME"/>
              </w:rPr>
              <w:t>2.7</w:t>
            </w:r>
          </w:p>
        </w:tc>
        <w:tc>
          <w:tcPr>
            <w:tcW w:w="3856" w:type="dxa"/>
          </w:tcPr>
          <w:p w14:paraId="609AADC3" w14:textId="77777777" w:rsidR="00683A07"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2908E922"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55E48847"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3B4CFE36"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3C11F1C" w14:textId="2A90394E" w:rsidR="00683A07" w:rsidRPr="00A71811"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683A07" w:rsidRPr="00AC67F2" w14:paraId="2ACF19D5"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8610A46" w14:textId="00C39E9B" w:rsidR="00683A07" w:rsidRPr="00AC67F2" w:rsidRDefault="00683A07" w:rsidP="002559F4">
            <w:pPr>
              <w:rPr>
                <w:rFonts w:cstheme="minorHAnsi"/>
                <w:lang w:val="sr-Latn-ME"/>
              </w:rPr>
            </w:pPr>
            <w:r>
              <w:rPr>
                <w:rFonts w:cstheme="minorHAnsi"/>
                <w:lang w:val="sr-Latn-ME"/>
              </w:rPr>
              <w:lastRenderedPageBreak/>
              <w:t>2.</w:t>
            </w:r>
            <w:r w:rsidR="00685411">
              <w:rPr>
                <w:rFonts w:cstheme="minorHAnsi"/>
                <w:lang w:val="sr-Latn-ME"/>
              </w:rPr>
              <w:t>8</w:t>
            </w:r>
          </w:p>
        </w:tc>
        <w:tc>
          <w:tcPr>
            <w:tcW w:w="3856" w:type="dxa"/>
          </w:tcPr>
          <w:p w14:paraId="2DD3E6FD" w14:textId="77777777" w:rsidR="00683A07"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35513D4B" w14:textId="77777777" w:rsidR="00683A07" w:rsidRPr="005C2773" w:rsidRDefault="00683A07"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08A947BB" w14:textId="3B6AA198"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61319079" w14:textId="04C62196" w:rsidR="00683A07" w:rsidRPr="00AC67F2" w:rsidRDefault="00312E2E"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45804CFF"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616A0B6" w14:textId="52D991AE" w:rsidR="0000037D" w:rsidRDefault="00683A07" w:rsidP="0000037D">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574452">
              <w:rPr>
                <w:rFonts w:cstheme="minorHAnsi"/>
                <w:sz w:val="18"/>
                <w:szCs w:val="18"/>
                <w:lang w:val="sr-Latn-ME"/>
              </w:rPr>
              <w:t>Strategija koristi uglavnom rodno neutralne izraze, a tamo gdje to nije moguće ne koristi se rodno senzitivan jezik („</w:t>
            </w:r>
            <w:r w:rsidR="0000037D">
              <w:rPr>
                <w:rFonts w:cstheme="minorHAnsi"/>
                <w:sz w:val="18"/>
                <w:szCs w:val="18"/>
                <w:lang w:val="sr-Latn-ME"/>
              </w:rPr>
              <w:t>stanovnici</w:t>
            </w:r>
            <w:r w:rsidRPr="00574452">
              <w:rPr>
                <w:rFonts w:cstheme="minorHAnsi"/>
                <w:sz w:val="18"/>
                <w:szCs w:val="18"/>
                <w:lang w:val="sr-Latn-ME"/>
              </w:rPr>
              <w:t>“</w:t>
            </w:r>
            <w:r w:rsidR="00E607D8">
              <w:rPr>
                <w:rFonts w:cstheme="minorHAnsi"/>
                <w:sz w:val="18"/>
                <w:szCs w:val="18"/>
                <w:lang w:val="sr-Latn-ME"/>
              </w:rPr>
              <w:t>, „pacijenti“</w:t>
            </w:r>
            <w:r w:rsidR="0000037D">
              <w:rPr>
                <w:rFonts w:cstheme="minorHAnsi"/>
                <w:sz w:val="18"/>
                <w:szCs w:val="18"/>
                <w:lang w:val="sr-Latn-ME"/>
              </w:rPr>
              <w:t>).</w:t>
            </w:r>
          </w:p>
          <w:p w14:paraId="0D204A4D" w14:textId="25F282BB" w:rsidR="00683A07" w:rsidRPr="00574452"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 </w:t>
            </w:r>
          </w:p>
        </w:tc>
      </w:tr>
      <w:tr w:rsidR="00683A07" w:rsidRPr="00AC67F2" w14:paraId="0F453EE5"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661EBA26" w14:textId="77777777" w:rsidR="00683A07" w:rsidRPr="00AC67F2" w:rsidRDefault="00683A07" w:rsidP="002559F4">
            <w:pPr>
              <w:rPr>
                <w:rFonts w:cstheme="minorHAnsi"/>
                <w:lang w:val="sr-Latn-ME" w:eastAsia="en-GB"/>
              </w:rPr>
            </w:pPr>
            <w:r>
              <w:rPr>
                <w:rFonts w:cstheme="minorHAnsi"/>
                <w:lang w:val="sr-Latn-ME"/>
              </w:rPr>
              <w:t>Ukupno</w:t>
            </w:r>
          </w:p>
        </w:tc>
        <w:tc>
          <w:tcPr>
            <w:tcW w:w="747" w:type="dxa"/>
          </w:tcPr>
          <w:p w14:paraId="43D81F5E"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553831A3" w14:textId="77777777" w:rsidR="00683A07" w:rsidRPr="00527B8F"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67D527E8"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768EC7C" w14:textId="6BA8508F" w:rsidR="00683A07" w:rsidRPr="00E72E03" w:rsidRDefault="00312E2E"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1</w:t>
            </w:r>
            <w:r w:rsidR="00683A07" w:rsidRPr="00E72E03">
              <w:rPr>
                <w:rFonts w:cstheme="minorHAnsi"/>
                <w:b/>
                <w:bCs/>
                <w:sz w:val="28"/>
                <w:szCs w:val="28"/>
                <w:lang w:val="sr-Latn-ME"/>
              </w:rPr>
              <w:t>/</w:t>
            </w:r>
            <w:r w:rsidR="00B97EB3">
              <w:rPr>
                <w:rFonts w:cstheme="minorHAnsi"/>
                <w:b/>
                <w:bCs/>
                <w:sz w:val="28"/>
                <w:szCs w:val="28"/>
                <w:lang w:val="sr-Latn-ME"/>
              </w:rPr>
              <w:t>7</w:t>
            </w:r>
          </w:p>
        </w:tc>
      </w:tr>
    </w:tbl>
    <w:p w14:paraId="6E8A95C1" w14:textId="77777777" w:rsidR="00683A07" w:rsidRPr="00AC67F2" w:rsidRDefault="00683A07" w:rsidP="00683A07">
      <w:pPr>
        <w:rPr>
          <w:rFonts w:cstheme="minorHAnsi"/>
          <w:lang w:val="sr-Latn-ME"/>
        </w:rPr>
      </w:pPr>
    </w:p>
    <w:p w14:paraId="55A000A7" w14:textId="77777777" w:rsidR="00683A07" w:rsidRPr="00852DD8" w:rsidRDefault="00683A07" w:rsidP="00683A07">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683A07" w:rsidRPr="00AC67F2" w14:paraId="60C64761"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7645E41A" w14:textId="77777777" w:rsidR="00683A07" w:rsidRPr="00AC67F2" w:rsidRDefault="00683A07"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724CA6B0" w14:textId="77777777" w:rsidR="00683A07" w:rsidRPr="00AC67F2" w:rsidRDefault="00683A07"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01A3A7DA" w14:textId="77777777" w:rsidR="00683A07" w:rsidRPr="00AC67F2" w:rsidRDefault="00683A07"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7E6AF7AF" w14:textId="77777777" w:rsidR="00683A07" w:rsidRPr="00AC67F2" w:rsidRDefault="00683A07"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68ACFC32" w14:textId="77777777" w:rsidR="00683A07" w:rsidRPr="00AC67F2" w:rsidRDefault="00683A07"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4F53E6B3" w14:textId="77777777" w:rsidR="00683A07" w:rsidRPr="00AC67F2" w:rsidRDefault="00683A07"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683A07" w:rsidRPr="00AC67F2" w14:paraId="6A9751C6"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1AD32B9" w14:textId="77777777" w:rsidR="00683A07" w:rsidRPr="00AC67F2" w:rsidRDefault="00683A07" w:rsidP="002559F4">
            <w:pPr>
              <w:rPr>
                <w:rFonts w:cstheme="minorHAnsi"/>
                <w:lang w:val="sr-Latn-ME"/>
              </w:rPr>
            </w:pPr>
            <w:r>
              <w:rPr>
                <w:rFonts w:cstheme="minorHAnsi"/>
                <w:lang w:val="sr-Latn-ME"/>
              </w:rPr>
              <w:t>3.1</w:t>
            </w:r>
          </w:p>
        </w:tc>
        <w:tc>
          <w:tcPr>
            <w:tcW w:w="3908" w:type="dxa"/>
          </w:tcPr>
          <w:p w14:paraId="5C7FBEEB" w14:textId="77777777" w:rsidR="00683A07" w:rsidRPr="00AC67F2"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2BCC23CD" w14:textId="43F4F676"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51862E90" w14:textId="279FD600" w:rsidR="00683A07" w:rsidRPr="00AC67F2" w:rsidRDefault="00312E2E"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07" w:type="dxa"/>
          </w:tcPr>
          <w:p w14:paraId="23B521E8"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76E281B7" w14:textId="39E17C44" w:rsidR="00683A07" w:rsidRPr="009A4E2D"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683A07" w:rsidRPr="00AC67F2" w14:paraId="7189BDEC"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4A29025A" w14:textId="77777777" w:rsidR="00683A07" w:rsidRDefault="00683A07" w:rsidP="002559F4">
            <w:pPr>
              <w:rPr>
                <w:rFonts w:cstheme="minorHAnsi"/>
                <w:lang w:val="sr-Latn-ME"/>
              </w:rPr>
            </w:pPr>
            <w:r>
              <w:rPr>
                <w:rFonts w:cstheme="minorHAnsi"/>
                <w:lang w:val="sr-Latn-ME"/>
              </w:rPr>
              <w:t>Ukupno</w:t>
            </w:r>
          </w:p>
        </w:tc>
        <w:tc>
          <w:tcPr>
            <w:tcW w:w="760" w:type="dxa"/>
            <w:shd w:val="clear" w:color="auto" w:fill="auto"/>
          </w:tcPr>
          <w:p w14:paraId="224C2657" w14:textId="77777777" w:rsidR="00683A07" w:rsidRPr="00AC67F2" w:rsidRDefault="00683A07"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5E67A3CE" w14:textId="77777777" w:rsidR="00683A07" w:rsidRPr="00527B8F"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49040B9F" w14:textId="77777777" w:rsidR="00683A07" w:rsidRPr="00AC67F2" w:rsidRDefault="00683A07"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3B3EC148" w14:textId="2CC32E70" w:rsidR="00683A07" w:rsidRPr="00AC67F2" w:rsidRDefault="00312E2E"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0</w:t>
            </w:r>
            <w:r w:rsidR="00683A07">
              <w:rPr>
                <w:rFonts w:cstheme="minorHAnsi"/>
                <w:b/>
                <w:bCs/>
                <w:sz w:val="28"/>
                <w:szCs w:val="28"/>
              </w:rPr>
              <w:t>/1</w:t>
            </w:r>
          </w:p>
        </w:tc>
      </w:tr>
    </w:tbl>
    <w:p w14:paraId="4C47ED9C" w14:textId="77777777" w:rsidR="00683A07" w:rsidRDefault="00683A07" w:rsidP="00683A07">
      <w:pPr>
        <w:rPr>
          <w:rFonts w:cstheme="minorHAnsi"/>
          <w:lang w:val="sr-Latn-ME"/>
        </w:rPr>
      </w:pPr>
    </w:p>
    <w:p w14:paraId="7E7362A5" w14:textId="0CFCFD02" w:rsidR="00683A07" w:rsidRPr="00ED3ED7" w:rsidRDefault="00683A07" w:rsidP="00683A07">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0000"/>
          <w:sz w:val="32"/>
          <w:szCs w:val="32"/>
          <w:lang w:val="sr-Latn-ME"/>
        </w:rPr>
      </w:pPr>
      <w:r w:rsidRPr="00ED3ED7">
        <w:rPr>
          <w:rFonts w:cstheme="minorHAnsi"/>
          <w:color w:val="FF0000"/>
          <w:sz w:val="32"/>
          <w:szCs w:val="32"/>
          <w:lang w:val="sr-Latn-ME"/>
        </w:rPr>
        <w:t xml:space="preserve">Konačna ocjena: </w:t>
      </w:r>
      <w:r w:rsidR="00312E2E" w:rsidRPr="00ED3ED7">
        <w:rPr>
          <w:rFonts w:cstheme="minorHAnsi"/>
          <w:color w:val="FF0000"/>
          <w:sz w:val="32"/>
          <w:szCs w:val="32"/>
          <w:lang w:val="sr-Latn-ME"/>
        </w:rPr>
        <w:t>1</w:t>
      </w:r>
      <w:r w:rsidRPr="00ED3ED7">
        <w:rPr>
          <w:rFonts w:cstheme="minorHAnsi"/>
          <w:color w:val="FF0000"/>
          <w:sz w:val="32"/>
          <w:szCs w:val="32"/>
          <w:lang w:val="sr-Latn-ME"/>
        </w:rPr>
        <w:t xml:space="preserve"> od 1</w:t>
      </w:r>
      <w:r w:rsidR="00B97EB3">
        <w:rPr>
          <w:rFonts w:cstheme="minorHAnsi"/>
          <w:color w:val="FF0000"/>
          <w:sz w:val="32"/>
          <w:szCs w:val="32"/>
          <w:lang w:val="sr-Latn-ME"/>
        </w:rPr>
        <w:t>0</w:t>
      </w:r>
      <w:r w:rsidRPr="00ED3ED7">
        <w:rPr>
          <w:rFonts w:cstheme="minorHAnsi"/>
          <w:color w:val="FF0000"/>
          <w:sz w:val="32"/>
          <w:szCs w:val="32"/>
          <w:lang w:val="sr-Latn-ME"/>
        </w:rPr>
        <w:t xml:space="preserve"> ili </w:t>
      </w:r>
      <w:r w:rsidRPr="00ED3ED7">
        <w:rPr>
          <w:rFonts w:cstheme="minorHAnsi"/>
          <w:b/>
          <w:bCs/>
          <w:color w:val="FF0000"/>
          <w:sz w:val="32"/>
          <w:szCs w:val="32"/>
          <w:lang w:val="sr-Latn-ME"/>
        </w:rPr>
        <w:t>0.</w:t>
      </w:r>
      <w:r w:rsidR="00B97EB3">
        <w:rPr>
          <w:rFonts w:cstheme="minorHAnsi"/>
          <w:b/>
          <w:bCs/>
          <w:color w:val="FF0000"/>
          <w:sz w:val="32"/>
          <w:szCs w:val="32"/>
          <w:lang w:val="sr-Latn-ME"/>
        </w:rPr>
        <w:t>1</w:t>
      </w:r>
      <w:r w:rsidRPr="00ED3ED7">
        <w:rPr>
          <w:rFonts w:cstheme="minorHAnsi"/>
          <w:b/>
          <w:bCs/>
          <w:color w:val="FF0000"/>
          <w:sz w:val="32"/>
          <w:szCs w:val="32"/>
          <w:lang w:val="sr-Latn-ME"/>
        </w:rPr>
        <w:t xml:space="preserve"> – Strategija </w:t>
      </w:r>
      <w:r w:rsidR="00ED3ED7" w:rsidRPr="00ED3ED7">
        <w:rPr>
          <w:rFonts w:cstheme="minorHAnsi"/>
          <w:b/>
          <w:bCs/>
          <w:color w:val="FF0000"/>
          <w:sz w:val="32"/>
          <w:szCs w:val="32"/>
          <w:lang w:val="sr-Latn-ME"/>
        </w:rPr>
        <w:t xml:space="preserve">uopšte nije </w:t>
      </w:r>
      <w:r w:rsidRPr="00ED3ED7">
        <w:rPr>
          <w:rFonts w:cstheme="minorHAnsi"/>
          <w:b/>
          <w:bCs/>
          <w:color w:val="FF0000"/>
          <w:sz w:val="32"/>
          <w:szCs w:val="32"/>
          <w:lang w:val="sr-Latn-ME"/>
        </w:rPr>
        <w:t>orodnjena.</w:t>
      </w:r>
    </w:p>
    <w:p w14:paraId="7E83B09A" w14:textId="77777777" w:rsidR="0094176E" w:rsidRPr="0094176E" w:rsidRDefault="0094176E" w:rsidP="0094176E">
      <w:pPr>
        <w:rPr>
          <w:lang w:val="sr-Latn-ME"/>
        </w:rPr>
      </w:pPr>
    </w:p>
    <w:p w14:paraId="06ACC8F1" w14:textId="0D82EE73" w:rsidR="00AC6EB8" w:rsidRDefault="00227611" w:rsidP="000A741C">
      <w:pPr>
        <w:pStyle w:val="Heading3"/>
        <w:rPr>
          <w:lang w:val="sr-Latn-ME"/>
        </w:rPr>
      </w:pPr>
      <w:bookmarkStart w:id="25" w:name="_Toc100339547"/>
      <w:r>
        <w:rPr>
          <w:lang w:val="sr-Latn-ME"/>
        </w:rPr>
        <w:t>18</w:t>
      </w:r>
      <w:r w:rsidR="009D5CC5">
        <w:rPr>
          <w:lang w:val="sr-Latn-ME"/>
        </w:rPr>
        <w:t xml:space="preserve">. </w:t>
      </w:r>
      <w:r w:rsidR="00AC6EB8" w:rsidRPr="00AC6EB8">
        <w:rPr>
          <w:lang w:val="sr-Latn-ME"/>
        </w:rPr>
        <w:t>Nacionalna strategija za uvođenje, distribuciju i primjenu COVID-19 vakcina</w:t>
      </w:r>
      <w:bookmarkEnd w:id="25"/>
    </w:p>
    <w:p w14:paraId="1A8D5041" w14:textId="77777777" w:rsidR="00043D8C" w:rsidRDefault="00043D8C" w:rsidP="00043D8C">
      <w:pPr>
        <w:rPr>
          <w:lang w:val="sr-Latn-ME"/>
        </w:rPr>
      </w:pPr>
    </w:p>
    <w:p w14:paraId="4620F91B" w14:textId="6B8B1AF6" w:rsidR="00043D8C" w:rsidRPr="00A62F50" w:rsidRDefault="00BB3FEE" w:rsidP="00B65FBA">
      <w:pPr>
        <w:jc w:val="both"/>
        <w:rPr>
          <w:lang w:val="sr-Latn-ME"/>
        </w:rPr>
      </w:pPr>
      <w:r>
        <w:rPr>
          <w:lang w:val="sr-Latn-ME"/>
        </w:rPr>
        <w:t>Ovaj dokument se bavi planiranjem distribucije, primjene i praćenja upotrebe vakcina protiv COVID-19</w:t>
      </w:r>
      <w:r w:rsidR="00B65FBA">
        <w:rPr>
          <w:lang w:val="sr-Latn-ME"/>
        </w:rPr>
        <w:t xml:space="preserve"> u skladu sa nacionalnom politikom odgovora na pandemiju. </w:t>
      </w:r>
    </w:p>
    <w:p w14:paraId="7A015600" w14:textId="77777777" w:rsidR="00043D8C" w:rsidRPr="007D71A2" w:rsidRDefault="00043D8C" w:rsidP="00043D8C">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043D8C" w:rsidRPr="00AC67F2" w14:paraId="40D618C0"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204D2BFF" w14:textId="77777777" w:rsidR="00043D8C" w:rsidRPr="00AC67F2" w:rsidRDefault="00043D8C"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4B9DA1FD" w14:textId="77777777" w:rsidR="00043D8C" w:rsidRPr="00AC67F2" w:rsidRDefault="00043D8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795C4445" w14:textId="77777777" w:rsidR="00043D8C" w:rsidRPr="00AC67F2" w:rsidRDefault="00043D8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63B3F157" w14:textId="77777777" w:rsidR="00043D8C" w:rsidRPr="009148DB" w:rsidRDefault="00043D8C"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093E9490" w14:textId="77777777" w:rsidR="00043D8C" w:rsidRPr="00AC67F2" w:rsidRDefault="00043D8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043D8C" w:rsidRPr="00AC67F2" w14:paraId="3EFEE548"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70805FAE" w14:textId="77777777" w:rsidR="00043D8C" w:rsidRPr="00AC67F2" w:rsidRDefault="00043D8C"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07E37F90" w14:textId="77777777" w:rsidR="00043D8C" w:rsidRPr="00DA659B"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3DA179C6" w14:textId="77777777" w:rsidR="00043D8C" w:rsidRPr="00AC67F2"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76C97F30"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2B21419C"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35DECA2D" w14:textId="77777777" w:rsidR="00043D8C" w:rsidRPr="00A545D6"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043D8C" w:rsidRPr="00AC67F2" w14:paraId="31465E00"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53AED931" w14:textId="77777777" w:rsidR="00043D8C" w:rsidRPr="00AC67F2" w:rsidRDefault="00043D8C" w:rsidP="002559F4">
            <w:pPr>
              <w:rPr>
                <w:rFonts w:cstheme="minorHAnsi"/>
                <w:lang w:val="sr-Latn-ME"/>
              </w:rPr>
            </w:pPr>
            <w:r>
              <w:rPr>
                <w:rFonts w:cstheme="minorHAnsi"/>
                <w:lang w:val="sr-Latn-ME"/>
              </w:rPr>
              <w:lastRenderedPageBreak/>
              <w:t>1.2</w:t>
            </w:r>
          </w:p>
        </w:tc>
        <w:tc>
          <w:tcPr>
            <w:tcW w:w="2443" w:type="pct"/>
          </w:tcPr>
          <w:p w14:paraId="75CF0510" w14:textId="77777777" w:rsidR="00043D8C"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220235F8" w14:textId="77777777" w:rsidR="00043D8C" w:rsidRPr="00AC67F2"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49DD2803"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4454C86A"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039975BC" w14:textId="77777777" w:rsidR="00043D8C" w:rsidRPr="00A545D6"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U Strategiji se navodi da je bila angažovana ekspertska pomoć, ali nije precizirano da se odnosila na rodnu perspektivu. </w:t>
            </w:r>
          </w:p>
        </w:tc>
      </w:tr>
      <w:tr w:rsidR="00043D8C" w:rsidRPr="00AC67F2" w14:paraId="406148C5"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73910262" w14:textId="77777777" w:rsidR="00043D8C" w:rsidRPr="00AC67F2" w:rsidRDefault="00043D8C" w:rsidP="002559F4">
            <w:pPr>
              <w:rPr>
                <w:rFonts w:cstheme="minorHAnsi"/>
                <w:lang w:val="sr-Latn-ME"/>
              </w:rPr>
            </w:pPr>
            <w:r>
              <w:rPr>
                <w:rFonts w:cstheme="minorHAnsi"/>
                <w:lang w:val="sr-Latn-ME"/>
              </w:rPr>
              <w:t>Ukupno</w:t>
            </w:r>
          </w:p>
        </w:tc>
        <w:tc>
          <w:tcPr>
            <w:tcW w:w="645" w:type="pct"/>
          </w:tcPr>
          <w:p w14:paraId="1D156862" w14:textId="77777777" w:rsidR="00043D8C" w:rsidRPr="00AC67F2"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595237F7" w14:textId="77777777" w:rsidR="00043D8C" w:rsidRPr="00527B8F"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4239D9B2" w14:textId="77777777" w:rsidR="00043D8C" w:rsidRPr="008C09CD" w:rsidRDefault="00043D8C"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0/2</w:t>
            </w:r>
          </w:p>
        </w:tc>
      </w:tr>
    </w:tbl>
    <w:p w14:paraId="6F3195DD" w14:textId="77777777" w:rsidR="00043D8C" w:rsidRPr="00F43A6C" w:rsidRDefault="00043D8C" w:rsidP="00043D8C">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043D8C" w:rsidRPr="00AC67F2" w14:paraId="7D010200"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5C4F397E" w14:textId="77777777" w:rsidR="00043D8C" w:rsidRPr="00AC67F2" w:rsidRDefault="00043D8C"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665D7A80" w14:textId="77777777" w:rsidR="00043D8C" w:rsidRPr="00AC67F2" w:rsidRDefault="00043D8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2B3177A3" w14:textId="77777777" w:rsidR="00043D8C" w:rsidRPr="00AC67F2" w:rsidRDefault="00043D8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23C77AB7" w14:textId="77777777" w:rsidR="00043D8C" w:rsidRPr="00AC67F2" w:rsidRDefault="00043D8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36BB716F" w14:textId="77777777" w:rsidR="00043D8C" w:rsidRPr="00AC67F2" w:rsidRDefault="00043D8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4FFB7695" w14:textId="77777777" w:rsidR="00043D8C" w:rsidRPr="00AC67F2" w:rsidRDefault="00043D8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043D8C" w:rsidRPr="00AC67F2" w14:paraId="6AF91CE2"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AB6ABF8" w14:textId="77777777" w:rsidR="00043D8C" w:rsidRPr="00AC67F2" w:rsidRDefault="00043D8C"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3CF00736" w14:textId="77777777" w:rsidR="00043D8C" w:rsidRPr="00AC67F2"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5F516C58" w14:textId="77777777" w:rsidR="00043D8C" w:rsidRPr="00A00FA0"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tcPr>
          <w:p w14:paraId="51B661FB"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5CD9B73E"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757B64B" w14:textId="77777777" w:rsidR="00043D8C" w:rsidRPr="00A71811"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043D8C" w:rsidRPr="00AC67F2" w14:paraId="33033E53"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71D5E86F" w14:textId="77777777" w:rsidR="00043D8C" w:rsidRPr="00AC67F2" w:rsidRDefault="00043D8C" w:rsidP="002559F4">
            <w:pPr>
              <w:rPr>
                <w:rFonts w:cstheme="minorHAnsi"/>
                <w:lang w:val="sr-Latn-ME"/>
              </w:rPr>
            </w:pPr>
            <w:r>
              <w:rPr>
                <w:rFonts w:cstheme="minorHAnsi"/>
                <w:lang w:val="sr-Latn-ME"/>
              </w:rPr>
              <w:t>2.2</w:t>
            </w:r>
          </w:p>
        </w:tc>
        <w:tc>
          <w:tcPr>
            <w:tcW w:w="3856" w:type="dxa"/>
            <w:shd w:val="clear" w:color="auto" w:fill="auto"/>
          </w:tcPr>
          <w:p w14:paraId="3642DE8A" w14:textId="77777777" w:rsidR="00043D8C" w:rsidRPr="00AC67F2"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shd w:val="clear" w:color="auto" w:fill="auto"/>
          </w:tcPr>
          <w:p w14:paraId="3E60237B" w14:textId="70CF1A4D"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093E0D3D" w14:textId="5430EA44" w:rsidR="00043D8C" w:rsidRPr="00AC67F2" w:rsidRDefault="0063194F"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2C8E91B0"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7477CD13" w14:textId="73981AED" w:rsidR="00043D8C" w:rsidRPr="00A71811"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043D8C" w:rsidRPr="00AC67F2" w14:paraId="02F6AB14"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1E7AC9B3" w14:textId="77777777" w:rsidR="00043D8C" w:rsidRDefault="00043D8C" w:rsidP="002559F4">
            <w:pPr>
              <w:rPr>
                <w:rFonts w:cstheme="minorHAnsi"/>
                <w:lang w:val="sr-Latn-ME"/>
              </w:rPr>
            </w:pPr>
            <w:r>
              <w:rPr>
                <w:rFonts w:cstheme="minorHAnsi"/>
                <w:lang w:val="sr-Latn-ME"/>
              </w:rPr>
              <w:t>2.3</w:t>
            </w:r>
          </w:p>
        </w:tc>
        <w:tc>
          <w:tcPr>
            <w:tcW w:w="3856" w:type="dxa"/>
            <w:shd w:val="clear" w:color="auto" w:fill="auto"/>
          </w:tcPr>
          <w:p w14:paraId="67989FCE" w14:textId="77777777" w:rsidR="00043D8C"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shd w:val="clear" w:color="auto" w:fill="auto"/>
          </w:tcPr>
          <w:p w14:paraId="6537A27C"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22616A88"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0E40A413"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60E31703" w14:textId="77777777" w:rsidR="00043D8C" w:rsidRPr="00A71811"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043D8C" w:rsidRPr="00AC67F2" w14:paraId="0E730B22"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4C0DE1B3" w14:textId="77777777" w:rsidR="00043D8C" w:rsidRPr="00AC67F2" w:rsidRDefault="00043D8C" w:rsidP="002559F4">
            <w:pPr>
              <w:rPr>
                <w:rFonts w:cstheme="minorHAnsi"/>
                <w:lang w:val="sr-Latn-ME"/>
              </w:rPr>
            </w:pPr>
            <w:r>
              <w:rPr>
                <w:rFonts w:cstheme="minorHAnsi"/>
                <w:lang w:val="sr-Latn-ME"/>
              </w:rPr>
              <w:t>2.4</w:t>
            </w:r>
          </w:p>
        </w:tc>
        <w:tc>
          <w:tcPr>
            <w:tcW w:w="3856" w:type="dxa"/>
            <w:shd w:val="clear" w:color="auto" w:fill="auto"/>
          </w:tcPr>
          <w:p w14:paraId="4B987C27" w14:textId="77777777" w:rsidR="00043D8C" w:rsidRPr="00AC67F2"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33DFB2C5" w14:textId="77777777" w:rsidR="00043D8C" w:rsidRPr="00C26A63"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auto"/>
          </w:tcPr>
          <w:p w14:paraId="27D9F7CD"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70042AD8"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6AEC8339" w14:textId="77777777" w:rsidR="00043D8C" w:rsidRPr="00D8609B"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043D8C" w:rsidRPr="00AC67F2" w14:paraId="18A1A671"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E7EE0B4" w14:textId="77777777" w:rsidR="00043D8C" w:rsidRDefault="00043D8C" w:rsidP="002559F4">
            <w:pPr>
              <w:rPr>
                <w:rFonts w:cstheme="minorHAnsi"/>
                <w:lang w:val="sr-Latn-ME"/>
              </w:rPr>
            </w:pPr>
            <w:r>
              <w:rPr>
                <w:rFonts w:cstheme="minorHAnsi"/>
                <w:lang w:val="sr-Latn-ME"/>
              </w:rPr>
              <w:t>2.5</w:t>
            </w:r>
          </w:p>
        </w:tc>
        <w:tc>
          <w:tcPr>
            <w:tcW w:w="3856" w:type="dxa"/>
          </w:tcPr>
          <w:p w14:paraId="147F52ED" w14:textId="77777777" w:rsidR="00043D8C" w:rsidRPr="00AC67F2"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739D198C"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6CEA0CB0"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69F5AD74"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10C1C2D" w14:textId="77777777" w:rsidR="00043D8C" w:rsidRPr="00A71811"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 </w:t>
            </w:r>
          </w:p>
        </w:tc>
      </w:tr>
      <w:tr w:rsidR="00043D8C" w:rsidRPr="00AC67F2" w14:paraId="2B70EADF"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0C7B0A75" w14:textId="77777777" w:rsidR="00043D8C" w:rsidRPr="00AC67F2" w:rsidRDefault="00043D8C" w:rsidP="002559F4">
            <w:pPr>
              <w:rPr>
                <w:rFonts w:cstheme="minorHAnsi"/>
                <w:lang w:val="sr-Latn-ME"/>
              </w:rPr>
            </w:pPr>
            <w:r>
              <w:rPr>
                <w:rFonts w:cstheme="minorHAnsi"/>
                <w:lang w:val="sr-Latn-ME"/>
              </w:rPr>
              <w:t>2.6</w:t>
            </w:r>
          </w:p>
        </w:tc>
        <w:tc>
          <w:tcPr>
            <w:tcW w:w="3856" w:type="dxa"/>
            <w:shd w:val="clear" w:color="auto" w:fill="D9D9D9" w:themeFill="background1" w:themeFillShade="D9"/>
          </w:tcPr>
          <w:p w14:paraId="674CCFF7" w14:textId="77777777" w:rsidR="00043D8C" w:rsidRPr="00AC67F2"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D9D9D9" w:themeFill="background1" w:themeFillShade="D9"/>
          </w:tcPr>
          <w:p w14:paraId="08D3300B"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28E6CC65"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393C1396"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D9D9D9" w:themeFill="background1" w:themeFillShade="D9"/>
          </w:tcPr>
          <w:p w14:paraId="50C8339D" w14:textId="77777777" w:rsidR="00043D8C" w:rsidRPr="00A71811"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Ne postoje mjere, pa ne postoji ni budžet. </w:t>
            </w:r>
          </w:p>
        </w:tc>
      </w:tr>
      <w:tr w:rsidR="00043D8C" w:rsidRPr="00AC67F2" w14:paraId="4C3A1772"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5EF48E0" w14:textId="77777777" w:rsidR="00043D8C" w:rsidRDefault="00043D8C" w:rsidP="002559F4">
            <w:pPr>
              <w:rPr>
                <w:rFonts w:cstheme="minorHAnsi"/>
                <w:lang w:val="sr-Latn-ME"/>
              </w:rPr>
            </w:pPr>
            <w:r>
              <w:rPr>
                <w:rFonts w:cstheme="minorHAnsi"/>
                <w:lang w:val="sr-Latn-ME"/>
              </w:rPr>
              <w:t>2.7</w:t>
            </w:r>
          </w:p>
        </w:tc>
        <w:tc>
          <w:tcPr>
            <w:tcW w:w="3856" w:type="dxa"/>
          </w:tcPr>
          <w:p w14:paraId="67CB8760" w14:textId="77777777" w:rsidR="00043D8C"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06154B17"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79EE6354"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496593A3"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8DDB373" w14:textId="77777777" w:rsidR="00043D8C" w:rsidRPr="00A71811"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043D8C" w:rsidRPr="00AC67F2" w14:paraId="1C8AE0F8"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BA253FE" w14:textId="6082F9C3" w:rsidR="00043D8C" w:rsidRPr="00AC67F2" w:rsidRDefault="00043D8C"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4D7D2079" w14:textId="77777777" w:rsidR="00043D8C"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54539CB2" w14:textId="77777777" w:rsidR="00043D8C" w:rsidRPr="005C2773" w:rsidRDefault="00043D8C"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26AF313B"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2A0072BC"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6E3E6904"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B4FACAC" w14:textId="2A3B2930" w:rsidR="00043D8C"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574452">
              <w:rPr>
                <w:rFonts w:cstheme="minorHAnsi"/>
                <w:sz w:val="18"/>
                <w:szCs w:val="18"/>
                <w:lang w:val="sr-Latn-ME"/>
              </w:rPr>
              <w:t>Strategija koristi uglavnom rodno neutralne izraze, a tamo gdje to nije moguće ne koristi se rodno senzitivan jezik („</w:t>
            </w:r>
            <w:r w:rsidR="00B9126E">
              <w:rPr>
                <w:rFonts w:cstheme="minorHAnsi"/>
                <w:sz w:val="18"/>
                <w:szCs w:val="18"/>
                <w:lang w:val="sr-Latn-ME"/>
              </w:rPr>
              <w:t>ispitanici</w:t>
            </w:r>
            <w:r w:rsidRPr="00574452">
              <w:rPr>
                <w:rFonts w:cstheme="minorHAnsi"/>
                <w:sz w:val="18"/>
                <w:szCs w:val="18"/>
                <w:lang w:val="sr-Latn-ME"/>
              </w:rPr>
              <w:t>“</w:t>
            </w:r>
            <w:r w:rsidR="00B9453C">
              <w:rPr>
                <w:rFonts w:cstheme="minorHAnsi"/>
                <w:sz w:val="18"/>
                <w:szCs w:val="18"/>
                <w:lang w:val="sr-Latn-ME"/>
              </w:rPr>
              <w:t>, „predsjednik grupe“</w:t>
            </w:r>
            <w:r w:rsidR="00BA1367">
              <w:rPr>
                <w:rFonts w:cstheme="minorHAnsi"/>
                <w:sz w:val="18"/>
                <w:szCs w:val="18"/>
                <w:lang w:val="sr-Latn-ME"/>
              </w:rPr>
              <w:t>, „radnik“</w:t>
            </w:r>
            <w:r w:rsidR="00B9126E">
              <w:rPr>
                <w:rFonts w:cstheme="minorHAnsi"/>
                <w:sz w:val="18"/>
                <w:szCs w:val="18"/>
                <w:lang w:val="sr-Latn-ME"/>
              </w:rPr>
              <w:t>)</w:t>
            </w:r>
            <w:r>
              <w:rPr>
                <w:rFonts w:cstheme="minorHAnsi"/>
                <w:sz w:val="18"/>
                <w:szCs w:val="18"/>
                <w:lang w:val="sr-Latn-ME"/>
              </w:rPr>
              <w:t>.</w:t>
            </w:r>
          </w:p>
          <w:p w14:paraId="6AA023D0" w14:textId="77777777" w:rsidR="00043D8C" w:rsidRPr="00574452"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 </w:t>
            </w:r>
          </w:p>
        </w:tc>
      </w:tr>
      <w:tr w:rsidR="00043D8C" w:rsidRPr="00AC67F2" w14:paraId="438469AE"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16E54DFB" w14:textId="77777777" w:rsidR="00043D8C" w:rsidRPr="00AC67F2" w:rsidRDefault="00043D8C" w:rsidP="002559F4">
            <w:pPr>
              <w:rPr>
                <w:rFonts w:cstheme="minorHAnsi"/>
                <w:lang w:val="sr-Latn-ME" w:eastAsia="en-GB"/>
              </w:rPr>
            </w:pPr>
            <w:r>
              <w:rPr>
                <w:rFonts w:cstheme="minorHAnsi"/>
                <w:lang w:val="sr-Latn-ME"/>
              </w:rPr>
              <w:t>Ukupno</w:t>
            </w:r>
          </w:p>
        </w:tc>
        <w:tc>
          <w:tcPr>
            <w:tcW w:w="747" w:type="dxa"/>
          </w:tcPr>
          <w:p w14:paraId="75ED5F63"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2E714490" w14:textId="77777777" w:rsidR="00043D8C" w:rsidRPr="00527B8F"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4A601BDB"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4198EB4" w14:textId="1BB484FC" w:rsidR="00043D8C" w:rsidRPr="00E72E03" w:rsidRDefault="0063194F"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0</w:t>
            </w:r>
            <w:r w:rsidR="00043D8C" w:rsidRPr="00E72E03">
              <w:rPr>
                <w:rFonts w:cstheme="minorHAnsi"/>
                <w:b/>
                <w:bCs/>
                <w:sz w:val="28"/>
                <w:szCs w:val="28"/>
                <w:lang w:val="sr-Latn-ME"/>
              </w:rPr>
              <w:t>/</w:t>
            </w:r>
            <w:r w:rsidR="00F15888">
              <w:rPr>
                <w:rFonts w:cstheme="minorHAnsi"/>
                <w:b/>
                <w:bCs/>
                <w:sz w:val="28"/>
                <w:szCs w:val="28"/>
                <w:lang w:val="sr-Latn-ME"/>
              </w:rPr>
              <w:t>7</w:t>
            </w:r>
          </w:p>
        </w:tc>
      </w:tr>
    </w:tbl>
    <w:p w14:paraId="49D70D54" w14:textId="77777777" w:rsidR="00043D8C" w:rsidRPr="00AC67F2" w:rsidRDefault="00043D8C" w:rsidP="00043D8C">
      <w:pPr>
        <w:rPr>
          <w:rFonts w:cstheme="minorHAnsi"/>
          <w:lang w:val="sr-Latn-ME"/>
        </w:rPr>
      </w:pPr>
    </w:p>
    <w:p w14:paraId="5A27368A" w14:textId="77777777" w:rsidR="00043D8C" w:rsidRPr="00852DD8" w:rsidRDefault="00043D8C" w:rsidP="00043D8C">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043D8C" w:rsidRPr="00AC67F2" w14:paraId="30364914"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2D6442F8" w14:textId="77777777" w:rsidR="00043D8C" w:rsidRPr="00AC67F2" w:rsidRDefault="00043D8C"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7A6A0114" w14:textId="77777777" w:rsidR="00043D8C" w:rsidRPr="00AC67F2" w:rsidRDefault="00043D8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4FB84610" w14:textId="77777777" w:rsidR="00043D8C" w:rsidRPr="00AC67F2" w:rsidRDefault="00043D8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6B64BFEF" w14:textId="77777777" w:rsidR="00043D8C" w:rsidRPr="00AC67F2" w:rsidRDefault="00043D8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132411CA" w14:textId="77777777" w:rsidR="00043D8C" w:rsidRPr="00AC67F2" w:rsidRDefault="00043D8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69CB1D77" w14:textId="77777777" w:rsidR="00043D8C" w:rsidRPr="00AC67F2" w:rsidRDefault="00043D8C"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043D8C" w:rsidRPr="00AC67F2" w14:paraId="0396AA6E"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D9E5EDB" w14:textId="77777777" w:rsidR="00043D8C" w:rsidRPr="00AC67F2" w:rsidRDefault="00043D8C" w:rsidP="002559F4">
            <w:pPr>
              <w:rPr>
                <w:rFonts w:cstheme="minorHAnsi"/>
                <w:lang w:val="sr-Latn-ME"/>
              </w:rPr>
            </w:pPr>
            <w:r>
              <w:rPr>
                <w:rFonts w:cstheme="minorHAnsi"/>
                <w:lang w:val="sr-Latn-ME"/>
              </w:rPr>
              <w:t>3.1</w:t>
            </w:r>
          </w:p>
        </w:tc>
        <w:tc>
          <w:tcPr>
            <w:tcW w:w="3908" w:type="dxa"/>
          </w:tcPr>
          <w:p w14:paraId="2FA9C230" w14:textId="77777777" w:rsidR="00043D8C" w:rsidRPr="00AC67F2"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1E8B81FB" w14:textId="022E6315" w:rsidR="00043D8C" w:rsidRPr="00AC67F2" w:rsidRDefault="000A741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lang w:val="sr-Latn-ME"/>
              </w:rPr>
              <w:t>0.5</w:t>
            </w:r>
          </w:p>
        </w:tc>
        <w:tc>
          <w:tcPr>
            <w:tcW w:w="1263" w:type="dxa"/>
          </w:tcPr>
          <w:p w14:paraId="69064C27" w14:textId="17001553"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tcPr>
          <w:p w14:paraId="31A4696F"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0B6D8512" w14:textId="5FDB7234" w:rsidR="00043D8C" w:rsidRPr="009A4E2D" w:rsidRDefault="000A741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Predviđa se da je neophodno kad god je moguće obuhvat i utrošak vakcina pratiti po nekoliko parametara od kojih je jedan pol. </w:t>
            </w:r>
          </w:p>
        </w:tc>
      </w:tr>
      <w:tr w:rsidR="00043D8C" w:rsidRPr="00AC67F2" w14:paraId="79B40DAF"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4614FBDA" w14:textId="77777777" w:rsidR="00043D8C" w:rsidRDefault="00043D8C" w:rsidP="002559F4">
            <w:pPr>
              <w:rPr>
                <w:rFonts w:cstheme="minorHAnsi"/>
                <w:lang w:val="sr-Latn-ME"/>
              </w:rPr>
            </w:pPr>
            <w:r>
              <w:rPr>
                <w:rFonts w:cstheme="minorHAnsi"/>
                <w:lang w:val="sr-Latn-ME"/>
              </w:rPr>
              <w:t>Ukupno</w:t>
            </w:r>
          </w:p>
        </w:tc>
        <w:tc>
          <w:tcPr>
            <w:tcW w:w="760" w:type="dxa"/>
            <w:shd w:val="clear" w:color="auto" w:fill="auto"/>
          </w:tcPr>
          <w:p w14:paraId="2E0EB562" w14:textId="77777777" w:rsidR="00043D8C" w:rsidRPr="00AC67F2" w:rsidRDefault="00043D8C"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05514C9E" w14:textId="77777777" w:rsidR="00043D8C" w:rsidRPr="00527B8F"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1AF4FEFA" w14:textId="77777777" w:rsidR="00043D8C" w:rsidRPr="00AC67F2" w:rsidRDefault="00043D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43E66B6D" w14:textId="77777777" w:rsidR="00043D8C" w:rsidRPr="00AC67F2" w:rsidRDefault="00043D8C"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0/1</w:t>
            </w:r>
          </w:p>
        </w:tc>
      </w:tr>
    </w:tbl>
    <w:p w14:paraId="0B7DF1A8" w14:textId="77777777" w:rsidR="00043D8C" w:rsidRDefault="00043D8C" w:rsidP="00043D8C">
      <w:pPr>
        <w:rPr>
          <w:rFonts w:cstheme="minorHAnsi"/>
          <w:lang w:val="sr-Latn-ME"/>
        </w:rPr>
      </w:pPr>
    </w:p>
    <w:p w14:paraId="79AC6FE7" w14:textId="7DA9A66C" w:rsidR="00043D8C" w:rsidRPr="00ED3ED7" w:rsidRDefault="00043D8C" w:rsidP="00043D8C">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0000"/>
          <w:sz w:val="32"/>
          <w:szCs w:val="32"/>
          <w:lang w:val="sr-Latn-ME"/>
        </w:rPr>
      </w:pPr>
      <w:r w:rsidRPr="00ED3ED7">
        <w:rPr>
          <w:rFonts w:cstheme="minorHAnsi"/>
          <w:color w:val="FF0000"/>
          <w:sz w:val="32"/>
          <w:szCs w:val="32"/>
          <w:lang w:val="sr-Latn-ME"/>
        </w:rPr>
        <w:t xml:space="preserve">Konačna ocjena: </w:t>
      </w:r>
      <w:r w:rsidR="0063194F">
        <w:rPr>
          <w:rFonts w:cstheme="minorHAnsi"/>
          <w:color w:val="FF0000"/>
          <w:sz w:val="32"/>
          <w:szCs w:val="32"/>
          <w:lang w:val="sr-Latn-ME"/>
        </w:rPr>
        <w:t>0</w:t>
      </w:r>
      <w:r w:rsidR="00296CB2">
        <w:rPr>
          <w:rFonts w:cstheme="minorHAnsi"/>
          <w:color w:val="FF0000"/>
          <w:sz w:val="32"/>
          <w:szCs w:val="32"/>
          <w:lang w:val="sr-Latn-ME"/>
        </w:rPr>
        <w:t>.5</w:t>
      </w:r>
      <w:r w:rsidRPr="00ED3ED7">
        <w:rPr>
          <w:rFonts w:cstheme="minorHAnsi"/>
          <w:color w:val="FF0000"/>
          <w:sz w:val="32"/>
          <w:szCs w:val="32"/>
          <w:lang w:val="sr-Latn-ME"/>
        </w:rPr>
        <w:t xml:space="preserve"> od 1</w:t>
      </w:r>
      <w:r w:rsidR="00F15888">
        <w:rPr>
          <w:rFonts w:cstheme="minorHAnsi"/>
          <w:color w:val="FF0000"/>
          <w:sz w:val="32"/>
          <w:szCs w:val="32"/>
          <w:lang w:val="sr-Latn-ME"/>
        </w:rPr>
        <w:t>0</w:t>
      </w:r>
      <w:r w:rsidRPr="00ED3ED7">
        <w:rPr>
          <w:rFonts w:cstheme="minorHAnsi"/>
          <w:color w:val="FF0000"/>
          <w:sz w:val="32"/>
          <w:szCs w:val="32"/>
          <w:lang w:val="sr-Latn-ME"/>
        </w:rPr>
        <w:t xml:space="preserve"> ili </w:t>
      </w:r>
      <w:r w:rsidRPr="00ED3ED7">
        <w:rPr>
          <w:rFonts w:cstheme="minorHAnsi"/>
          <w:b/>
          <w:bCs/>
          <w:color w:val="FF0000"/>
          <w:sz w:val="32"/>
          <w:szCs w:val="32"/>
          <w:lang w:val="sr-Latn-ME"/>
        </w:rPr>
        <w:t>0.0</w:t>
      </w:r>
      <w:r w:rsidR="00F15888">
        <w:rPr>
          <w:rFonts w:cstheme="minorHAnsi"/>
          <w:b/>
          <w:bCs/>
          <w:color w:val="FF0000"/>
          <w:sz w:val="32"/>
          <w:szCs w:val="32"/>
          <w:lang w:val="sr-Latn-ME"/>
        </w:rPr>
        <w:t>5</w:t>
      </w:r>
      <w:r w:rsidRPr="00ED3ED7">
        <w:rPr>
          <w:rFonts w:cstheme="minorHAnsi"/>
          <w:b/>
          <w:bCs/>
          <w:color w:val="FF0000"/>
          <w:sz w:val="32"/>
          <w:szCs w:val="32"/>
          <w:lang w:val="sr-Latn-ME"/>
        </w:rPr>
        <w:t xml:space="preserve"> – Strategija uopšte nije orodnjena.</w:t>
      </w:r>
    </w:p>
    <w:p w14:paraId="52D2419E" w14:textId="77777777" w:rsidR="009D5CC5" w:rsidRDefault="009D5CC5" w:rsidP="00075BFA">
      <w:pPr>
        <w:pStyle w:val="Heading3"/>
        <w:rPr>
          <w:lang w:val="sr-Latn-ME"/>
        </w:rPr>
      </w:pPr>
    </w:p>
    <w:p w14:paraId="427C780E" w14:textId="3CEDAC0E" w:rsidR="00AC6EB8" w:rsidRDefault="00227611" w:rsidP="00075BFA">
      <w:pPr>
        <w:pStyle w:val="Heading3"/>
        <w:rPr>
          <w:lang w:val="sr-Latn-ME"/>
        </w:rPr>
      </w:pPr>
      <w:bookmarkStart w:id="26" w:name="_Toc100339548"/>
      <w:r>
        <w:rPr>
          <w:lang w:val="sr-Latn-ME"/>
        </w:rPr>
        <w:t>19</w:t>
      </w:r>
      <w:r w:rsidR="009D5CC5">
        <w:rPr>
          <w:lang w:val="sr-Latn-ME"/>
        </w:rPr>
        <w:t xml:space="preserve">. </w:t>
      </w:r>
      <w:r w:rsidR="00AC6EB8" w:rsidRPr="00AC6EB8">
        <w:rPr>
          <w:lang w:val="sr-Latn-ME"/>
        </w:rPr>
        <w:t>Program ekonomskih reformi za Crnu Goru 2021-2023. godinu</w:t>
      </w:r>
      <w:bookmarkEnd w:id="26"/>
    </w:p>
    <w:p w14:paraId="4BBDFE51" w14:textId="77777777" w:rsidR="009D5CC5" w:rsidRPr="009D5CC5" w:rsidRDefault="009D5CC5" w:rsidP="009D5CC5"/>
    <w:p w14:paraId="549CFA8D" w14:textId="5A05C78C" w:rsidR="00075BFA" w:rsidRPr="00A62F50" w:rsidRDefault="00ED7A59" w:rsidP="0026562E">
      <w:pPr>
        <w:jc w:val="both"/>
        <w:rPr>
          <w:lang w:val="sr-Latn-ME"/>
        </w:rPr>
      </w:pPr>
      <w:r>
        <w:rPr>
          <w:lang w:val="sr-Latn-ME"/>
        </w:rPr>
        <w:t>Nakon što je u decembru 2020. godine formirana nova Vlada</w:t>
      </w:r>
      <w:r w:rsidR="00FF38A7">
        <w:rPr>
          <w:lang w:val="sr-Latn-ME"/>
        </w:rPr>
        <w:t xml:space="preserve">, donešen je Program tzv. tranzicionog karaktera. </w:t>
      </w:r>
      <w:r w:rsidR="0026562E">
        <w:rPr>
          <w:lang w:val="sr-Latn-ME"/>
        </w:rPr>
        <w:t xml:space="preserve">Program se zasniva </w:t>
      </w:r>
      <w:r w:rsidR="0026562E" w:rsidRPr="0026562E">
        <w:rPr>
          <w:lang w:val="sr-Latn-ME"/>
        </w:rPr>
        <w:t>na sedam stubova razvoja i to: zelenoj ekonomiji, digitalnoj transformaciji, regionalnoj saradnji i povezanosti, unapređenju konkurentnosti, socijalnoj zaštiti, društvu jednakih šansi i dobrom upravljanju. Imajući u vidu navedeno, sedam stubova predstavlja razvojnu politiku Vlade, oslonjenu na proces EU integracija. U ovom kontekstu se kao strateški razvojni cilj Crne Gore definiše: pametan, održiv i inkluzivan ekonomski rast, koji će doprinijeti smanjenju razvojnog jaza zemlje u odnosu na prosjek EU, oporavku i većoj konkurentnosti privrede, kao i povećanju kvaliteta života svih njenih građana</w:t>
      </w:r>
      <w:r w:rsidR="003D016A">
        <w:rPr>
          <w:lang w:val="sr-Latn-ME"/>
        </w:rPr>
        <w:t xml:space="preserve"> i </w:t>
      </w:r>
      <w:r w:rsidR="003D016A" w:rsidRPr="0026562E">
        <w:rPr>
          <w:lang w:val="sr-Latn-ME"/>
        </w:rPr>
        <w:t>građan</w:t>
      </w:r>
      <w:r w:rsidR="003D016A">
        <w:rPr>
          <w:lang w:val="sr-Latn-ME"/>
        </w:rPr>
        <w:t>ki</w:t>
      </w:r>
      <w:r w:rsidR="0026562E" w:rsidRPr="0026562E">
        <w:rPr>
          <w:lang w:val="sr-Latn-ME"/>
        </w:rPr>
        <w:t>.</w:t>
      </w:r>
    </w:p>
    <w:p w14:paraId="2544DD2C" w14:textId="77777777" w:rsidR="00075BFA" w:rsidRPr="007D71A2" w:rsidRDefault="00075BFA" w:rsidP="00075BFA">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075BFA" w:rsidRPr="00AC67F2" w14:paraId="5DE57017"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5DE5B4AE" w14:textId="77777777" w:rsidR="00075BFA" w:rsidRPr="00AC67F2" w:rsidRDefault="00075BFA"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50514CEE" w14:textId="77777777" w:rsidR="00075BFA" w:rsidRPr="00AC67F2" w:rsidRDefault="00075BF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5A011882" w14:textId="77777777" w:rsidR="00075BFA" w:rsidRPr="00AC67F2" w:rsidRDefault="00075BF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77160917" w14:textId="77777777" w:rsidR="00075BFA" w:rsidRPr="009148DB" w:rsidRDefault="00075BFA"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2367BDB4" w14:textId="77777777" w:rsidR="00075BFA" w:rsidRPr="00AC67F2" w:rsidRDefault="00075BF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075BFA" w:rsidRPr="00AC67F2" w14:paraId="6FAE25C6"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460A0A0E" w14:textId="77777777" w:rsidR="00075BFA" w:rsidRPr="00AC67F2" w:rsidRDefault="00075BFA"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0A30A3EA" w14:textId="77777777" w:rsidR="00075BFA" w:rsidRPr="00DA659B"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070CFFE8" w14:textId="77777777" w:rsidR="00075BFA" w:rsidRPr="00AC67F2"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18C22E17"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6C6EF4C8"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77B180FB" w14:textId="77777777" w:rsidR="00075BFA" w:rsidRPr="00A545D6"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075BFA" w:rsidRPr="00AC67F2" w14:paraId="6520CE0C"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06EC223B" w14:textId="77777777" w:rsidR="00075BFA" w:rsidRPr="00AC67F2" w:rsidRDefault="00075BFA" w:rsidP="002559F4">
            <w:pPr>
              <w:rPr>
                <w:rFonts w:cstheme="minorHAnsi"/>
                <w:lang w:val="sr-Latn-ME"/>
              </w:rPr>
            </w:pPr>
            <w:r>
              <w:rPr>
                <w:rFonts w:cstheme="minorHAnsi"/>
                <w:lang w:val="sr-Latn-ME"/>
              </w:rPr>
              <w:t>1.2</w:t>
            </w:r>
          </w:p>
        </w:tc>
        <w:tc>
          <w:tcPr>
            <w:tcW w:w="2443" w:type="pct"/>
          </w:tcPr>
          <w:p w14:paraId="2BE9EA4E" w14:textId="77777777" w:rsidR="00075BFA"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47CE8701" w14:textId="77777777" w:rsidR="00075BFA" w:rsidRPr="00AC67F2"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lastRenderedPageBreak/>
              <w:t>(npr. kroz konsultovanje ili učešće eksperata/kinja za rodnu problematiku ili organizacija koje se bave ovom tematikom)</w:t>
            </w:r>
          </w:p>
        </w:tc>
        <w:tc>
          <w:tcPr>
            <w:tcW w:w="645" w:type="pct"/>
          </w:tcPr>
          <w:p w14:paraId="591E14F1" w14:textId="7845F666" w:rsidR="00075BFA" w:rsidRPr="00AC67F2" w:rsidRDefault="006F7313"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lastRenderedPageBreak/>
              <w:t>√</w:t>
            </w:r>
          </w:p>
        </w:tc>
        <w:tc>
          <w:tcPr>
            <w:tcW w:w="675" w:type="pct"/>
          </w:tcPr>
          <w:p w14:paraId="72164ABF" w14:textId="7FC9B58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953" w:type="pct"/>
          </w:tcPr>
          <w:p w14:paraId="5C3E827D" w14:textId="0F7527C4" w:rsidR="00075BFA" w:rsidRPr="00A545D6" w:rsidRDefault="00956F6F"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Predstavnici </w:t>
            </w:r>
            <w:r w:rsidRPr="00956F6F">
              <w:rPr>
                <w:rFonts w:cstheme="minorHAnsi"/>
                <w:sz w:val="18"/>
                <w:szCs w:val="18"/>
                <w:lang w:val="sr-Latn-ME"/>
              </w:rPr>
              <w:t>UNICEFA</w:t>
            </w:r>
            <w:r>
              <w:rPr>
                <w:rFonts w:cstheme="minorHAnsi"/>
                <w:sz w:val="18"/>
                <w:szCs w:val="18"/>
                <w:lang w:val="sr-Latn-ME"/>
              </w:rPr>
              <w:t xml:space="preserve"> su </w:t>
            </w:r>
            <w:r>
              <w:rPr>
                <w:rFonts w:cstheme="minorHAnsi"/>
                <w:sz w:val="18"/>
                <w:szCs w:val="18"/>
                <w:lang w:val="sr-Latn-ME"/>
              </w:rPr>
              <w:lastRenderedPageBreak/>
              <w:t>doprinijeli u fazi javne rasprav</w:t>
            </w:r>
            <w:r w:rsidR="00E6754E">
              <w:rPr>
                <w:rFonts w:cstheme="minorHAnsi"/>
                <w:sz w:val="18"/>
                <w:szCs w:val="18"/>
                <w:lang w:val="sr-Latn-ME"/>
              </w:rPr>
              <w:t>e</w:t>
            </w:r>
            <w:r>
              <w:rPr>
                <w:rFonts w:cstheme="minorHAnsi"/>
                <w:sz w:val="18"/>
                <w:szCs w:val="18"/>
                <w:lang w:val="sr-Latn-ME"/>
              </w:rPr>
              <w:t xml:space="preserve">. </w:t>
            </w:r>
            <w:r w:rsidR="00075BFA">
              <w:rPr>
                <w:rFonts w:cstheme="minorHAnsi"/>
                <w:sz w:val="18"/>
                <w:szCs w:val="18"/>
                <w:lang w:val="sr-Latn-ME"/>
              </w:rPr>
              <w:t xml:space="preserve"> </w:t>
            </w:r>
          </w:p>
        </w:tc>
      </w:tr>
      <w:tr w:rsidR="00075BFA" w:rsidRPr="00AC67F2" w14:paraId="2C0AA4C1"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368D9DFE" w14:textId="77777777" w:rsidR="00075BFA" w:rsidRPr="00AC67F2" w:rsidRDefault="00075BFA" w:rsidP="002559F4">
            <w:pPr>
              <w:rPr>
                <w:rFonts w:cstheme="minorHAnsi"/>
                <w:lang w:val="sr-Latn-ME"/>
              </w:rPr>
            </w:pPr>
            <w:r>
              <w:rPr>
                <w:rFonts w:cstheme="minorHAnsi"/>
                <w:lang w:val="sr-Latn-ME"/>
              </w:rPr>
              <w:lastRenderedPageBreak/>
              <w:t>Ukupno</w:t>
            </w:r>
          </w:p>
        </w:tc>
        <w:tc>
          <w:tcPr>
            <w:tcW w:w="645" w:type="pct"/>
          </w:tcPr>
          <w:p w14:paraId="71F2E7DF" w14:textId="77777777" w:rsidR="00075BFA" w:rsidRPr="00AC67F2"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0EB6449C" w14:textId="77777777" w:rsidR="00075BFA" w:rsidRPr="00527B8F"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0172CC0C" w14:textId="744EF1F2" w:rsidR="00075BFA" w:rsidRPr="008C09CD" w:rsidRDefault="00E6754E"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1</w:t>
            </w:r>
            <w:r w:rsidR="00075BFA">
              <w:rPr>
                <w:rFonts w:cstheme="minorHAnsi"/>
                <w:b/>
                <w:bCs/>
                <w:sz w:val="28"/>
                <w:szCs w:val="28"/>
              </w:rPr>
              <w:t>/2</w:t>
            </w:r>
          </w:p>
        </w:tc>
      </w:tr>
    </w:tbl>
    <w:p w14:paraId="2F5F4307" w14:textId="77777777" w:rsidR="00075BFA" w:rsidRPr="00F43A6C" w:rsidRDefault="00075BFA" w:rsidP="00075BFA">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075BFA" w:rsidRPr="00AC67F2" w14:paraId="58F6F2FE"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749B2A63" w14:textId="77777777" w:rsidR="00075BFA" w:rsidRPr="00AC67F2" w:rsidRDefault="00075BFA"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7FB5FB0E" w14:textId="77777777" w:rsidR="00075BFA" w:rsidRPr="00AC67F2" w:rsidRDefault="00075BF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036D3DA7" w14:textId="77777777" w:rsidR="00075BFA" w:rsidRPr="00AC67F2" w:rsidRDefault="00075BF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10E2E2FF" w14:textId="77777777" w:rsidR="00075BFA" w:rsidRPr="00AC67F2" w:rsidRDefault="00075BF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6B2B145F" w14:textId="77777777" w:rsidR="00075BFA" w:rsidRPr="00AC67F2" w:rsidRDefault="00075BF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6EB96224" w14:textId="77777777" w:rsidR="00075BFA" w:rsidRPr="00AC67F2" w:rsidRDefault="00075BF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075BFA" w:rsidRPr="00AC67F2" w14:paraId="70044F13"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4D4D41E" w14:textId="77777777" w:rsidR="00075BFA" w:rsidRPr="00AC67F2" w:rsidRDefault="00075BFA"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43DA2E35" w14:textId="77777777" w:rsidR="00075BFA" w:rsidRPr="00AC67F2"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242B80A5" w14:textId="2E48EDE1" w:rsidR="00075BFA" w:rsidRPr="00A00FA0" w:rsidRDefault="005E3641"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Pr>
                <w:rFonts w:cstheme="minorHAnsi"/>
                <w:b/>
                <w:bCs/>
                <w:lang w:val="sr-Latn-ME"/>
              </w:rPr>
              <w:t>0.5</w:t>
            </w:r>
          </w:p>
        </w:tc>
        <w:tc>
          <w:tcPr>
            <w:tcW w:w="1263" w:type="dxa"/>
          </w:tcPr>
          <w:p w14:paraId="33F3082B" w14:textId="2729558C"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0D8D2561"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B46F3E9" w14:textId="77777777" w:rsidR="00075BFA" w:rsidRDefault="009D0A55"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Strategija </w:t>
            </w:r>
            <w:r w:rsidR="00FD1815">
              <w:rPr>
                <w:rFonts w:cstheme="minorHAnsi"/>
                <w:sz w:val="18"/>
                <w:szCs w:val="18"/>
                <w:lang w:val="sr-Latn-ME"/>
              </w:rPr>
              <w:t>uglavnom</w:t>
            </w:r>
            <w:r>
              <w:rPr>
                <w:rFonts w:cstheme="minorHAnsi"/>
                <w:sz w:val="18"/>
                <w:szCs w:val="18"/>
                <w:lang w:val="sr-Latn-ME"/>
              </w:rPr>
              <w:t xml:space="preserve"> ne koristi rodno disagregirane podatke, čak ni u dijelu strukturnih reformi koji se bavi inkluzivnim rastom. </w:t>
            </w:r>
          </w:p>
          <w:p w14:paraId="7ADF9FD9" w14:textId="3C9562FD" w:rsidR="00FD1815" w:rsidRPr="00A71811" w:rsidRDefault="00FD1815"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Podaci su disagregirani u dijelu mjera koje se odnose na zapošljavanje. </w:t>
            </w:r>
          </w:p>
        </w:tc>
      </w:tr>
      <w:tr w:rsidR="00075BFA" w:rsidRPr="00AC67F2" w14:paraId="2BE2365A"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705A86DB" w14:textId="77777777" w:rsidR="00075BFA" w:rsidRPr="00AC67F2" w:rsidRDefault="00075BFA" w:rsidP="002559F4">
            <w:pPr>
              <w:rPr>
                <w:rFonts w:cstheme="minorHAnsi"/>
                <w:lang w:val="sr-Latn-ME"/>
              </w:rPr>
            </w:pPr>
            <w:r>
              <w:rPr>
                <w:rFonts w:cstheme="minorHAnsi"/>
                <w:lang w:val="sr-Latn-ME"/>
              </w:rPr>
              <w:t>2.2</w:t>
            </w:r>
          </w:p>
        </w:tc>
        <w:tc>
          <w:tcPr>
            <w:tcW w:w="3856" w:type="dxa"/>
            <w:shd w:val="clear" w:color="auto" w:fill="auto"/>
          </w:tcPr>
          <w:p w14:paraId="5BF4829B" w14:textId="77777777" w:rsidR="00075BFA" w:rsidRPr="00AC67F2"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shd w:val="clear" w:color="auto" w:fill="auto"/>
          </w:tcPr>
          <w:p w14:paraId="4E4368AC" w14:textId="42FAB4C6" w:rsidR="00075BFA" w:rsidRPr="00AC67F2" w:rsidRDefault="00E6754E"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shd w:val="clear" w:color="auto" w:fill="auto"/>
          </w:tcPr>
          <w:p w14:paraId="0B136BB3" w14:textId="29C34354"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03176402"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33645A1F" w14:textId="77777777" w:rsidR="00075BFA" w:rsidRPr="00A71811"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075BFA" w:rsidRPr="00AC67F2" w14:paraId="17D0F294"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204BD212" w14:textId="77777777" w:rsidR="00075BFA" w:rsidRDefault="00075BFA" w:rsidP="002559F4">
            <w:pPr>
              <w:rPr>
                <w:rFonts w:cstheme="minorHAnsi"/>
                <w:lang w:val="sr-Latn-ME"/>
              </w:rPr>
            </w:pPr>
            <w:r>
              <w:rPr>
                <w:rFonts w:cstheme="minorHAnsi"/>
                <w:lang w:val="sr-Latn-ME"/>
              </w:rPr>
              <w:t>2.3</w:t>
            </w:r>
          </w:p>
        </w:tc>
        <w:tc>
          <w:tcPr>
            <w:tcW w:w="3856" w:type="dxa"/>
            <w:shd w:val="clear" w:color="auto" w:fill="auto"/>
          </w:tcPr>
          <w:p w14:paraId="17C6B8EF" w14:textId="77777777" w:rsidR="00075BFA"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shd w:val="clear" w:color="auto" w:fill="auto"/>
          </w:tcPr>
          <w:p w14:paraId="3DB16BBC"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5A7EED01"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525713CF"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719FBADF" w14:textId="77777777" w:rsidR="00075BFA" w:rsidRPr="00A71811"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075BFA" w:rsidRPr="00AC67F2" w14:paraId="6BA894C5"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45F6CB17" w14:textId="77777777" w:rsidR="00075BFA" w:rsidRPr="00AC67F2" w:rsidRDefault="00075BFA" w:rsidP="002559F4">
            <w:pPr>
              <w:rPr>
                <w:rFonts w:cstheme="minorHAnsi"/>
                <w:lang w:val="sr-Latn-ME"/>
              </w:rPr>
            </w:pPr>
            <w:r>
              <w:rPr>
                <w:rFonts w:cstheme="minorHAnsi"/>
                <w:lang w:val="sr-Latn-ME"/>
              </w:rPr>
              <w:t>2.4</w:t>
            </w:r>
          </w:p>
        </w:tc>
        <w:tc>
          <w:tcPr>
            <w:tcW w:w="3856" w:type="dxa"/>
            <w:shd w:val="clear" w:color="auto" w:fill="auto"/>
          </w:tcPr>
          <w:p w14:paraId="27DA1B75" w14:textId="77777777" w:rsidR="00075BFA" w:rsidRPr="00AC67F2"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755C12C5" w14:textId="77777777" w:rsidR="00075BFA" w:rsidRPr="00C26A63"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auto"/>
          </w:tcPr>
          <w:p w14:paraId="68490367"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54147FBA"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3174DF55" w14:textId="77777777" w:rsidR="00075BFA" w:rsidRPr="00D8609B"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075BFA" w:rsidRPr="00AC67F2" w14:paraId="3029FC93"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D60420D" w14:textId="77777777" w:rsidR="00075BFA" w:rsidRDefault="00075BFA" w:rsidP="002559F4">
            <w:pPr>
              <w:rPr>
                <w:rFonts w:cstheme="minorHAnsi"/>
                <w:lang w:val="sr-Latn-ME"/>
              </w:rPr>
            </w:pPr>
            <w:r>
              <w:rPr>
                <w:rFonts w:cstheme="minorHAnsi"/>
                <w:lang w:val="sr-Latn-ME"/>
              </w:rPr>
              <w:t>2.5</w:t>
            </w:r>
          </w:p>
        </w:tc>
        <w:tc>
          <w:tcPr>
            <w:tcW w:w="3856" w:type="dxa"/>
          </w:tcPr>
          <w:p w14:paraId="30D2C98F" w14:textId="77777777" w:rsidR="00075BFA" w:rsidRPr="00AC67F2"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218B4ED0" w14:textId="7537ECF1" w:rsidR="00075BFA" w:rsidRPr="00CC0043" w:rsidRDefault="00CC0043"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CC0043">
              <w:rPr>
                <w:rFonts w:cstheme="minorHAnsi"/>
                <w:b/>
                <w:bCs/>
                <w:lang w:val="sr-Latn-ME"/>
              </w:rPr>
              <w:t>0.5</w:t>
            </w:r>
          </w:p>
        </w:tc>
        <w:tc>
          <w:tcPr>
            <w:tcW w:w="1263" w:type="dxa"/>
          </w:tcPr>
          <w:p w14:paraId="785B4F8F" w14:textId="3B98DD3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62082486"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5B32740" w14:textId="3D54CEAB" w:rsidR="00406C8E" w:rsidRPr="00406C8E" w:rsidRDefault="00CC0043" w:rsidP="00406C8E">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U okviru mjere </w:t>
            </w:r>
            <w:r w:rsidR="00406C8E">
              <w:rPr>
                <w:rFonts w:cstheme="minorHAnsi"/>
                <w:sz w:val="18"/>
                <w:szCs w:val="18"/>
                <w:lang w:val="sr-Latn-ME"/>
              </w:rPr>
              <w:t>12</w:t>
            </w:r>
            <w:r w:rsidR="00406C8E">
              <w:t xml:space="preserve"> </w:t>
            </w:r>
            <w:r w:rsidR="00406C8E" w:rsidRPr="00406C8E">
              <w:rPr>
                <w:rFonts w:cstheme="minorHAnsi"/>
                <w:sz w:val="18"/>
                <w:szCs w:val="18"/>
                <w:lang w:val="sr-Latn-ME"/>
              </w:rPr>
              <w:t xml:space="preserve">Unapređenje zakonodavnog i institucionalnog okvira za razvoj </w:t>
            </w:r>
          </w:p>
          <w:p w14:paraId="23322906" w14:textId="77777777" w:rsidR="00075BFA" w:rsidRDefault="00406C8E" w:rsidP="00406C8E">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406C8E">
              <w:rPr>
                <w:rFonts w:cstheme="minorHAnsi"/>
                <w:sz w:val="18"/>
                <w:szCs w:val="18"/>
                <w:lang w:val="sr-Latn-ME"/>
              </w:rPr>
              <w:t>istraživanja i inovacija i digitalna transformacija sektora</w:t>
            </w:r>
            <w:r>
              <w:rPr>
                <w:rFonts w:cstheme="minorHAnsi"/>
                <w:sz w:val="18"/>
                <w:szCs w:val="18"/>
                <w:lang w:val="sr-Latn-ME"/>
              </w:rPr>
              <w:t xml:space="preserve"> navedeno je da će sprovođenje legislativne reforme u oblasti nauke i inova</w:t>
            </w:r>
            <w:r w:rsidR="0016395F">
              <w:rPr>
                <w:rFonts w:cstheme="minorHAnsi"/>
                <w:sz w:val="18"/>
                <w:szCs w:val="18"/>
                <w:lang w:val="sr-Latn-ME"/>
              </w:rPr>
              <w:t xml:space="preserve">cija imati uticaj na </w:t>
            </w:r>
            <w:r w:rsidR="0016395F">
              <w:rPr>
                <w:rFonts w:cstheme="minorHAnsi"/>
                <w:sz w:val="18"/>
                <w:szCs w:val="18"/>
                <w:lang w:val="sr-Latn-ME"/>
              </w:rPr>
              <w:lastRenderedPageBreak/>
              <w:t xml:space="preserve">„socijalne ishode“ kao što je rodna jednakost i da će se obratiti posebna šanja da se žene uključe u programe obrazovanja i obuke radi smanjenja postojećeg jaza između polova u „ovoj struci“. Ne navodi se koliki je to jaz, kakve će konkretno aktivnosti biti preduzete i </w:t>
            </w:r>
            <w:r w:rsidR="004A3869">
              <w:rPr>
                <w:rFonts w:cstheme="minorHAnsi"/>
                <w:sz w:val="18"/>
                <w:szCs w:val="18"/>
                <w:lang w:val="sr-Latn-ME"/>
              </w:rPr>
              <w:t xml:space="preserve">koliko smanjenje jaza se očekuje. </w:t>
            </w:r>
          </w:p>
          <w:p w14:paraId="6D6E0105" w14:textId="62D1F872" w:rsidR="002A658E" w:rsidRPr="00A71811" w:rsidRDefault="002A658E" w:rsidP="00406C8E">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Slično i kod mjere 13.</w:t>
            </w:r>
          </w:p>
        </w:tc>
      </w:tr>
      <w:tr w:rsidR="00075BFA" w:rsidRPr="00AC67F2" w14:paraId="1FCB6EB3" w14:textId="77777777" w:rsidTr="009908BD">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55CB72A3" w14:textId="77777777" w:rsidR="00075BFA" w:rsidRPr="00AC67F2" w:rsidRDefault="00075BFA" w:rsidP="002559F4">
            <w:pPr>
              <w:rPr>
                <w:rFonts w:cstheme="minorHAnsi"/>
                <w:lang w:val="sr-Latn-ME"/>
              </w:rPr>
            </w:pPr>
            <w:r>
              <w:rPr>
                <w:rFonts w:cstheme="minorHAnsi"/>
                <w:lang w:val="sr-Latn-ME"/>
              </w:rPr>
              <w:lastRenderedPageBreak/>
              <w:t>2.6</w:t>
            </w:r>
          </w:p>
        </w:tc>
        <w:tc>
          <w:tcPr>
            <w:tcW w:w="3856" w:type="dxa"/>
            <w:shd w:val="clear" w:color="auto" w:fill="auto"/>
          </w:tcPr>
          <w:p w14:paraId="78F9ABE1" w14:textId="77777777" w:rsidR="00075BFA" w:rsidRPr="00AC67F2"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auto"/>
          </w:tcPr>
          <w:p w14:paraId="1D43E0AF" w14:textId="07680DF2" w:rsidR="00075BFA" w:rsidRPr="00194E29" w:rsidRDefault="00194E29"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194E29">
              <w:rPr>
                <w:rFonts w:cstheme="minorHAnsi"/>
                <w:b/>
                <w:bCs/>
                <w:lang w:val="sr-Latn-ME"/>
              </w:rPr>
              <w:t>0.5</w:t>
            </w:r>
          </w:p>
        </w:tc>
        <w:tc>
          <w:tcPr>
            <w:tcW w:w="1263" w:type="dxa"/>
            <w:shd w:val="clear" w:color="auto" w:fill="auto"/>
          </w:tcPr>
          <w:p w14:paraId="500F5C7C"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785BE2C0"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7816DA8E" w14:textId="6D2F18A3" w:rsidR="00075BFA" w:rsidRPr="00A71811"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Ne postoje</w:t>
            </w:r>
            <w:r w:rsidR="00194E29">
              <w:rPr>
                <w:rFonts w:cstheme="minorHAnsi"/>
                <w:sz w:val="18"/>
                <w:szCs w:val="18"/>
                <w:lang w:val="sr-Latn-ME"/>
              </w:rPr>
              <w:t xml:space="preserve"> precizne</w:t>
            </w:r>
            <w:r>
              <w:rPr>
                <w:rFonts w:cstheme="minorHAnsi"/>
                <w:sz w:val="18"/>
                <w:szCs w:val="18"/>
                <w:lang w:val="sr-Latn-ME"/>
              </w:rPr>
              <w:t xml:space="preserve"> mjere, pa</w:t>
            </w:r>
            <w:r w:rsidR="00194E29">
              <w:rPr>
                <w:rFonts w:cstheme="minorHAnsi"/>
                <w:sz w:val="18"/>
                <w:szCs w:val="18"/>
                <w:lang w:val="sr-Latn-ME"/>
              </w:rPr>
              <w:t xml:space="preserve"> je i budžet okvirni</w:t>
            </w:r>
            <w:r>
              <w:rPr>
                <w:rFonts w:cstheme="minorHAnsi"/>
                <w:sz w:val="18"/>
                <w:szCs w:val="18"/>
                <w:lang w:val="sr-Latn-ME"/>
              </w:rPr>
              <w:t xml:space="preserve">. </w:t>
            </w:r>
          </w:p>
        </w:tc>
      </w:tr>
      <w:tr w:rsidR="00075BFA" w:rsidRPr="00AC67F2" w14:paraId="153B48AA"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A629F45" w14:textId="77777777" w:rsidR="00075BFA" w:rsidRDefault="00075BFA" w:rsidP="002559F4">
            <w:pPr>
              <w:rPr>
                <w:rFonts w:cstheme="minorHAnsi"/>
                <w:lang w:val="sr-Latn-ME"/>
              </w:rPr>
            </w:pPr>
            <w:r>
              <w:rPr>
                <w:rFonts w:cstheme="minorHAnsi"/>
                <w:lang w:val="sr-Latn-ME"/>
              </w:rPr>
              <w:t>2.7</w:t>
            </w:r>
          </w:p>
        </w:tc>
        <w:tc>
          <w:tcPr>
            <w:tcW w:w="3856" w:type="dxa"/>
          </w:tcPr>
          <w:p w14:paraId="1484F688" w14:textId="77777777" w:rsidR="00075BFA"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4BF2786D"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3002D034"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76FA363A"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7FF3904" w14:textId="77777777" w:rsidR="00075BFA" w:rsidRPr="00A71811"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075BFA" w:rsidRPr="00AC67F2" w14:paraId="6DAF5C5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E5F5F20" w14:textId="70628AC5" w:rsidR="00075BFA" w:rsidRPr="00AC67F2" w:rsidRDefault="00075BFA"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4BD11F66" w14:textId="77777777" w:rsidR="00075BFA"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30AE5E8D" w14:textId="77777777" w:rsidR="00075BFA" w:rsidRPr="005C2773" w:rsidRDefault="00075BFA"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2C6E208A"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17E31564"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7DB86D33"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7422F7F" w14:textId="5CD61A42" w:rsidR="00075BFA"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574452">
              <w:rPr>
                <w:rFonts w:cstheme="minorHAnsi"/>
                <w:sz w:val="18"/>
                <w:szCs w:val="18"/>
                <w:lang w:val="sr-Latn-ME"/>
              </w:rPr>
              <w:t>Strategija koristi uglavnom rodno neutralne izraze, a tamo gdje to nije moguće ne koristi se rodno senzitivan jezik („</w:t>
            </w:r>
            <w:r w:rsidR="00444D6F">
              <w:rPr>
                <w:rFonts w:cstheme="minorHAnsi"/>
                <w:sz w:val="18"/>
                <w:szCs w:val="18"/>
                <w:lang w:val="sr-Latn-ME"/>
              </w:rPr>
              <w:t>građani</w:t>
            </w:r>
            <w:r w:rsidRPr="00574452">
              <w:rPr>
                <w:rFonts w:cstheme="minorHAnsi"/>
                <w:sz w:val="18"/>
                <w:szCs w:val="18"/>
                <w:lang w:val="sr-Latn-ME"/>
              </w:rPr>
              <w:t>“</w:t>
            </w:r>
            <w:r w:rsidR="00444D6F">
              <w:rPr>
                <w:rFonts w:cstheme="minorHAnsi"/>
                <w:sz w:val="18"/>
                <w:szCs w:val="18"/>
                <w:lang w:val="sr-Latn-ME"/>
              </w:rPr>
              <w:t>)</w:t>
            </w:r>
            <w:r>
              <w:rPr>
                <w:rFonts w:cstheme="minorHAnsi"/>
                <w:sz w:val="18"/>
                <w:szCs w:val="18"/>
                <w:lang w:val="sr-Latn-ME"/>
              </w:rPr>
              <w:t>.</w:t>
            </w:r>
          </w:p>
          <w:p w14:paraId="3124D941" w14:textId="77777777" w:rsidR="00075BFA" w:rsidRPr="00574452"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 </w:t>
            </w:r>
          </w:p>
        </w:tc>
      </w:tr>
      <w:tr w:rsidR="00075BFA" w:rsidRPr="00AC67F2" w14:paraId="5DD6A5F0"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7B766B9D" w14:textId="77777777" w:rsidR="00075BFA" w:rsidRPr="00AC67F2" w:rsidRDefault="00075BFA" w:rsidP="002559F4">
            <w:pPr>
              <w:rPr>
                <w:rFonts w:cstheme="minorHAnsi"/>
                <w:lang w:val="sr-Latn-ME" w:eastAsia="en-GB"/>
              </w:rPr>
            </w:pPr>
            <w:r>
              <w:rPr>
                <w:rFonts w:cstheme="minorHAnsi"/>
                <w:lang w:val="sr-Latn-ME"/>
              </w:rPr>
              <w:t>Ukupno</w:t>
            </w:r>
          </w:p>
        </w:tc>
        <w:tc>
          <w:tcPr>
            <w:tcW w:w="747" w:type="dxa"/>
          </w:tcPr>
          <w:p w14:paraId="090B698A"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15DC7E38" w14:textId="77777777" w:rsidR="00075BFA" w:rsidRPr="00527B8F"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46E2EED4"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0AF1159C" w14:textId="5702AB36" w:rsidR="00075BFA" w:rsidRPr="00E72E03" w:rsidRDefault="00107440"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2.5</w:t>
            </w:r>
            <w:r w:rsidR="00075BFA" w:rsidRPr="00E72E03">
              <w:rPr>
                <w:rFonts w:cstheme="minorHAnsi"/>
                <w:b/>
                <w:bCs/>
                <w:sz w:val="28"/>
                <w:szCs w:val="28"/>
                <w:lang w:val="sr-Latn-ME"/>
              </w:rPr>
              <w:t>/</w:t>
            </w:r>
            <w:r w:rsidR="00647C74">
              <w:rPr>
                <w:rFonts w:cstheme="minorHAnsi"/>
                <w:b/>
                <w:bCs/>
                <w:sz w:val="28"/>
                <w:szCs w:val="28"/>
                <w:lang w:val="sr-Latn-ME"/>
              </w:rPr>
              <w:t>8</w:t>
            </w:r>
          </w:p>
        </w:tc>
      </w:tr>
    </w:tbl>
    <w:p w14:paraId="0EA8BEBC" w14:textId="77777777" w:rsidR="00075BFA" w:rsidRPr="00AC67F2" w:rsidRDefault="00075BFA" w:rsidP="00075BFA">
      <w:pPr>
        <w:rPr>
          <w:rFonts w:cstheme="minorHAnsi"/>
          <w:lang w:val="sr-Latn-ME"/>
        </w:rPr>
      </w:pPr>
    </w:p>
    <w:p w14:paraId="7AA9DDE7" w14:textId="77777777" w:rsidR="00075BFA" w:rsidRPr="00852DD8" w:rsidRDefault="00075BFA" w:rsidP="00075BFA">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075BFA" w:rsidRPr="00AC67F2" w14:paraId="6FC08DA1"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61B2DC2E" w14:textId="77777777" w:rsidR="00075BFA" w:rsidRPr="00AC67F2" w:rsidRDefault="00075BFA"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25B5B4E4" w14:textId="77777777" w:rsidR="00075BFA" w:rsidRPr="00AC67F2" w:rsidRDefault="00075BF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46E9630C" w14:textId="77777777" w:rsidR="00075BFA" w:rsidRPr="00AC67F2" w:rsidRDefault="00075BF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0289A37F" w14:textId="77777777" w:rsidR="00075BFA" w:rsidRPr="00AC67F2" w:rsidRDefault="00075BF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7551F455" w14:textId="77777777" w:rsidR="00075BFA" w:rsidRPr="00AC67F2" w:rsidRDefault="00075BF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64175FBC" w14:textId="77777777" w:rsidR="00075BFA" w:rsidRPr="00AC67F2" w:rsidRDefault="00075BFA"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075BFA" w:rsidRPr="00AC67F2" w14:paraId="4406477A"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49064DA0" w14:textId="77777777" w:rsidR="00075BFA" w:rsidRPr="00AC67F2" w:rsidRDefault="00075BFA" w:rsidP="002559F4">
            <w:pPr>
              <w:rPr>
                <w:rFonts w:cstheme="minorHAnsi"/>
                <w:lang w:val="sr-Latn-ME"/>
              </w:rPr>
            </w:pPr>
            <w:r>
              <w:rPr>
                <w:rFonts w:cstheme="minorHAnsi"/>
                <w:lang w:val="sr-Latn-ME"/>
              </w:rPr>
              <w:t>3.1</w:t>
            </w:r>
          </w:p>
        </w:tc>
        <w:tc>
          <w:tcPr>
            <w:tcW w:w="3908" w:type="dxa"/>
          </w:tcPr>
          <w:p w14:paraId="11DCE1F2" w14:textId="77777777" w:rsidR="00075BFA" w:rsidRPr="00AC67F2"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61D4CD30"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lang w:val="sr-Latn-ME"/>
              </w:rPr>
              <w:t>0.5</w:t>
            </w:r>
          </w:p>
        </w:tc>
        <w:tc>
          <w:tcPr>
            <w:tcW w:w="1263" w:type="dxa"/>
          </w:tcPr>
          <w:p w14:paraId="3BD0A732"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tcPr>
          <w:p w14:paraId="4EAAED33"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0E5A94AC" w14:textId="77777777" w:rsidR="00075BFA" w:rsidRPr="009A4E2D"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Predviđa se da je neophodno kad god je moguće obuhvat i utrošak vakcina pratiti po nekoliko </w:t>
            </w:r>
            <w:r>
              <w:rPr>
                <w:rFonts w:cstheme="minorHAnsi"/>
                <w:sz w:val="18"/>
                <w:szCs w:val="18"/>
                <w:lang w:val="sr-Latn-ME"/>
              </w:rPr>
              <w:lastRenderedPageBreak/>
              <w:t xml:space="preserve">parametara od kojih je jedan pol. </w:t>
            </w:r>
          </w:p>
        </w:tc>
      </w:tr>
      <w:tr w:rsidR="00075BFA" w:rsidRPr="00AC67F2" w14:paraId="2AE048E3"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3FF0E79D" w14:textId="77777777" w:rsidR="00075BFA" w:rsidRDefault="00075BFA" w:rsidP="002559F4">
            <w:pPr>
              <w:rPr>
                <w:rFonts w:cstheme="minorHAnsi"/>
                <w:lang w:val="sr-Latn-ME"/>
              </w:rPr>
            </w:pPr>
            <w:r>
              <w:rPr>
                <w:rFonts w:cstheme="minorHAnsi"/>
                <w:lang w:val="sr-Latn-ME"/>
              </w:rPr>
              <w:lastRenderedPageBreak/>
              <w:t>Ukupno</w:t>
            </w:r>
          </w:p>
        </w:tc>
        <w:tc>
          <w:tcPr>
            <w:tcW w:w="760" w:type="dxa"/>
            <w:shd w:val="clear" w:color="auto" w:fill="auto"/>
          </w:tcPr>
          <w:p w14:paraId="17F25924" w14:textId="77777777" w:rsidR="00075BFA" w:rsidRPr="00AC67F2" w:rsidRDefault="00075BFA"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47526B28" w14:textId="77777777" w:rsidR="00075BFA" w:rsidRPr="00527B8F"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3FE5B666" w14:textId="77777777" w:rsidR="00075BFA" w:rsidRPr="00AC67F2" w:rsidRDefault="00075BFA"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6A932ADD" w14:textId="5DE37259" w:rsidR="00075BFA" w:rsidRPr="00AC67F2" w:rsidRDefault="00075BFA"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0</w:t>
            </w:r>
            <w:r w:rsidR="00CA2841">
              <w:rPr>
                <w:rFonts w:cstheme="minorHAnsi"/>
                <w:b/>
                <w:bCs/>
                <w:sz w:val="28"/>
                <w:szCs w:val="28"/>
              </w:rPr>
              <w:t>.5</w:t>
            </w:r>
            <w:r>
              <w:rPr>
                <w:rFonts w:cstheme="minorHAnsi"/>
                <w:b/>
                <w:bCs/>
                <w:sz w:val="28"/>
                <w:szCs w:val="28"/>
              </w:rPr>
              <w:t>/1</w:t>
            </w:r>
          </w:p>
        </w:tc>
      </w:tr>
    </w:tbl>
    <w:p w14:paraId="7958F5D1" w14:textId="77777777" w:rsidR="00075BFA" w:rsidRDefault="00075BFA" w:rsidP="00075BFA">
      <w:pPr>
        <w:rPr>
          <w:rFonts w:cstheme="minorHAnsi"/>
          <w:lang w:val="sr-Latn-ME"/>
        </w:rPr>
      </w:pPr>
    </w:p>
    <w:p w14:paraId="64DB4C75" w14:textId="56C23CA4" w:rsidR="00075BFA" w:rsidRPr="003C08A3" w:rsidRDefault="00075BFA" w:rsidP="00075BFA">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C000"/>
          <w:sz w:val="32"/>
          <w:szCs w:val="32"/>
          <w:lang w:val="sr-Latn-ME"/>
        </w:rPr>
      </w:pPr>
      <w:r w:rsidRPr="003C08A3">
        <w:rPr>
          <w:rFonts w:cstheme="minorHAnsi"/>
          <w:color w:val="FFC000"/>
          <w:sz w:val="32"/>
          <w:szCs w:val="32"/>
          <w:lang w:val="sr-Latn-ME"/>
        </w:rPr>
        <w:t xml:space="preserve">Konačna ocjena: </w:t>
      </w:r>
      <w:r w:rsidR="003C08A3" w:rsidRPr="003C08A3">
        <w:rPr>
          <w:rFonts w:cstheme="minorHAnsi"/>
          <w:color w:val="FFC000"/>
          <w:sz w:val="32"/>
          <w:szCs w:val="32"/>
          <w:lang w:val="sr-Latn-ME"/>
        </w:rPr>
        <w:t>4</w:t>
      </w:r>
      <w:r w:rsidRPr="003C08A3">
        <w:rPr>
          <w:rFonts w:cstheme="minorHAnsi"/>
          <w:color w:val="FFC000"/>
          <w:sz w:val="32"/>
          <w:szCs w:val="32"/>
          <w:lang w:val="sr-Latn-ME"/>
        </w:rPr>
        <w:t xml:space="preserve"> od 1</w:t>
      </w:r>
      <w:r w:rsidR="00647C74">
        <w:rPr>
          <w:rFonts w:cstheme="minorHAnsi"/>
          <w:color w:val="FFC000"/>
          <w:sz w:val="32"/>
          <w:szCs w:val="32"/>
          <w:lang w:val="sr-Latn-ME"/>
        </w:rPr>
        <w:t>1</w:t>
      </w:r>
      <w:r w:rsidRPr="003C08A3">
        <w:rPr>
          <w:rFonts w:cstheme="minorHAnsi"/>
          <w:color w:val="FFC000"/>
          <w:sz w:val="32"/>
          <w:szCs w:val="32"/>
          <w:lang w:val="sr-Latn-ME"/>
        </w:rPr>
        <w:t xml:space="preserve"> ili </w:t>
      </w:r>
      <w:r w:rsidRPr="003C08A3">
        <w:rPr>
          <w:rFonts w:cstheme="minorHAnsi"/>
          <w:b/>
          <w:bCs/>
          <w:color w:val="FFC000"/>
          <w:sz w:val="32"/>
          <w:szCs w:val="32"/>
          <w:lang w:val="sr-Latn-ME"/>
        </w:rPr>
        <w:t>0.</w:t>
      </w:r>
      <w:r w:rsidR="003C08A3" w:rsidRPr="003C08A3">
        <w:rPr>
          <w:rFonts w:cstheme="minorHAnsi"/>
          <w:b/>
          <w:bCs/>
          <w:color w:val="FFC000"/>
          <w:sz w:val="32"/>
          <w:szCs w:val="32"/>
          <w:lang w:val="sr-Latn-ME"/>
        </w:rPr>
        <w:t>3</w:t>
      </w:r>
      <w:r w:rsidR="008B607A">
        <w:rPr>
          <w:rFonts w:cstheme="minorHAnsi"/>
          <w:b/>
          <w:bCs/>
          <w:color w:val="FFC000"/>
          <w:sz w:val="32"/>
          <w:szCs w:val="32"/>
          <w:lang w:val="sr-Latn-ME"/>
        </w:rPr>
        <w:t>6</w:t>
      </w:r>
      <w:r w:rsidRPr="003C08A3">
        <w:rPr>
          <w:rFonts w:cstheme="minorHAnsi"/>
          <w:b/>
          <w:bCs/>
          <w:color w:val="FFC000"/>
          <w:sz w:val="32"/>
          <w:szCs w:val="32"/>
          <w:lang w:val="sr-Latn-ME"/>
        </w:rPr>
        <w:t xml:space="preserve"> – Strategija </w:t>
      </w:r>
      <w:r w:rsidR="003C08A3" w:rsidRPr="003C08A3">
        <w:rPr>
          <w:rFonts w:cstheme="minorHAnsi"/>
          <w:b/>
          <w:bCs/>
          <w:color w:val="FFC000"/>
          <w:sz w:val="32"/>
          <w:szCs w:val="32"/>
          <w:lang w:val="sr-Latn-ME"/>
        </w:rPr>
        <w:t xml:space="preserve">uglavnom </w:t>
      </w:r>
      <w:r w:rsidRPr="003C08A3">
        <w:rPr>
          <w:rFonts w:cstheme="minorHAnsi"/>
          <w:b/>
          <w:bCs/>
          <w:color w:val="FFC000"/>
          <w:sz w:val="32"/>
          <w:szCs w:val="32"/>
          <w:lang w:val="sr-Latn-ME"/>
        </w:rPr>
        <w:t>nije orodnjena.</w:t>
      </w:r>
    </w:p>
    <w:p w14:paraId="229E43DD" w14:textId="77777777" w:rsidR="00075BFA" w:rsidRPr="00075BFA" w:rsidRDefault="00075BFA" w:rsidP="00075BFA">
      <w:pPr>
        <w:rPr>
          <w:lang w:val="sr-Latn-ME"/>
        </w:rPr>
      </w:pPr>
    </w:p>
    <w:p w14:paraId="4A54DB51" w14:textId="48C95B4A" w:rsidR="00AC6EB8" w:rsidRDefault="00227611" w:rsidP="00892EA4">
      <w:pPr>
        <w:pStyle w:val="Heading3"/>
        <w:rPr>
          <w:lang w:val="sr-Latn-ME"/>
        </w:rPr>
      </w:pPr>
      <w:bookmarkStart w:id="27" w:name="_Toc100339549"/>
      <w:r>
        <w:rPr>
          <w:lang w:val="sr-Latn-ME"/>
        </w:rPr>
        <w:t>20</w:t>
      </w:r>
      <w:r w:rsidR="009D5CC5">
        <w:rPr>
          <w:lang w:val="sr-Latn-ME"/>
        </w:rPr>
        <w:t xml:space="preserve">. </w:t>
      </w:r>
      <w:r w:rsidR="00AC6EB8" w:rsidRPr="00AC6EB8">
        <w:rPr>
          <w:lang w:val="sr-Latn-ME"/>
        </w:rPr>
        <w:t>Program pristupanja Crne Gore Evropskoj uniji 2021 – 2023</w:t>
      </w:r>
      <w:r w:rsidR="00892EA4">
        <w:rPr>
          <w:lang w:val="sr-Latn-ME"/>
        </w:rPr>
        <w:t>. godine</w:t>
      </w:r>
      <w:bookmarkEnd w:id="27"/>
    </w:p>
    <w:p w14:paraId="36D86B04" w14:textId="77777777" w:rsidR="009D5CC5" w:rsidRPr="009D5CC5" w:rsidRDefault="009D5CC5" w:rsidP="009D5CC5"/>
    <w:p w14:paraId="1B6D3678" w14:textId="7A052AA4" w:rsidR="00830F42" w:rsidRPr="00830F42" w:rsidRDefault="00C669EF" w:rsidP="00C669EF">
      <w:pPr>
        <w:jc w:val="both"/>
        <w:rPr>
          <w:lang w:val="sr-Latn-ME"/>
        </w:rPr>
      </w:pPr>
      <w:r w:rsidRPr="00C669EF">
        <w:rPr>
          <w:lang w:val="sr-Latn-ME"/>
        </w:rPr>
        <w:t>Program pristupanja Crne Gore Evropskoj uniji (PPCG) je strateški dokument koji obuhvata 33 pregovaračka poglavlja u tabelarnom prikazu</w:t>
      </w:r>
      <w:r>
        <w:rPr>
          <w:lang w:val="sr-Latn-ME"/>
        </w:rPr>
        <w:t xml:space="preserve"> kojim se Crna Gora </w:t>
      </w:r>
      <w:r w:rsidRPr="00C669EF">
        <w:rPr>
          <w:lang w:val="sr-Latn-ME"/>
        </w:rPr>
        <w:t xml:space="preserve">na godišnjem nivou prilagođava promjenama u okviru procesa razvoja prava EU. </w:t>
      </w:r>
    </w:p>
    <w:p w14:paraId="26F38EF7" w14:textId="77777777" w:rsidR="00830F42" w:rsidRPr="007D71A2" w:rsidRDefault="00830F42" w:rsidP="00830F42">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830F42" w:rsidRPr="00AC67F2" w14:paraId="47BCC5E9"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68C070CC" w14:textId="77777777" w:rsidR="00830F42" w:rsidRPr="00AC67F2" w:rsidRDefault="00830F42"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39B43580"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51753ED9"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19F8F263" w14:textId="77777777" w:rsidR="00830F42" w:rsidRPr="009148DB"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7E77747C"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66EF47A9"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30016811" w14:textId="77777777" w:rsidR="00830F42" w:rsidRPr="00AC67F2" w:rsidRDefault="00830F42"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410227A5" w14:textId="77777777" w:rsidR="00830F42" w:rsidRPr="00DA659B"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0AB7CC1F"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481E794F"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5420A071"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02B7F99A" w14:textId="77777777" w:rsidR="00830F42" w:rsidRPr="00A545D6"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830F42" w:rsidRPr="00AC67F2" w14:paraId="6F09E4E0"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049CF983" w14:textId="77777777" w:rsidR="00830F42" w:rsidRPr="00AC67F2" w:rsidRDefault="00830F42" w:rsidP="002559F4">
            <w:pPr>
              <w:rPr>
                <w:rFonts w:cstheme="minorHAnsi"/>
                <w:lang w:val="sr-Latn-ME"/>
              </w:rPr>
            </w:pPr>
            <w:r>
              <w:rPr>
                <w:rFonts w:cstheme="minorHAnsi"/>
                <w:lang w:val="sr-Latn-ME"/>
              </w:rPr>
              <w:t>1.2</w:t>
            </w:r>
          </w:p>
        </w:tc>
        <w:tc>
          <w:tcPr>
            <w:tcW w:w="2443" w:type="pct"/>
          </w:tcPr>
          <w:p w14:paraId="151CDC47"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0F3B406D"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6F2344A6" w14:textId="03C6C873"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370D9735" w14:textId="7C049022" w:rsidR="00830F42" w:rsidRPr="00AC67F2" w:rsidRDefault="0024489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1F6E8C52" w14:textId="52256F99" w:rsidR="00830F42" w:rsidRPr="00A545D6" w:rsidRDefault="00244891"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U Strategiji se navodi da je bila angažovana ekspertska pomoć, ali nije precizirano da se odnosila na rodnu perspektivu.</w:t>
            </w:r>
          </w:p>
        </w:tc>
      </w:tr>
      <w:tr w:rsidR="00830F42" w:rsidRPr="00AC67F2" w14:paraId="2E76DBBC"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699E6354" w14:textId="77777777" w:rsidR="00830F42" w:rsidRPr="00AC67F2" w:rsidRDefault="00830F42" w:rsidP="002559F4">
            <w:pPr>
              <w:rPr>
                <w:rFonts w:cstheme="minorHAnsi"/>
                <w:lang w:val="sr-Latn-ME"/>
              </w:rPr>
            </w:pPr>
            <w:r>
              <w:rPr>
                <w:rFonts w:cstheme="minorHAnsi"/>
                <w:lang w:val="sr-Latn-ME"/>
              </w:rPr>
              <w:t>Ukupno</w:t>
            </w:r>
          </w:p>
        </w:tc>
        <w:tc>
          <w:tcPr>
            <w:tcW w:w="645" w:type="pct"/>
          </w:tcPr>
          <w:p w14:paraId="7C557464"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755F093A"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59F1DB4C" w14:textId="3DDD264A" w:rsidR="00830F42" w:rsidRPr="008C09CD" w:rsidRDefault="00244891"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w:t>
            </w:r>
            <w:r w:rsidR="00830F42">
              <w:rPr>
                <w:rFonts w:cstheme="minorHAnsi"/>
                <w:b/>
                <w:bCs/>
                <w:sz w:val="28"/>
                <w:szCs w:val="28"/>
              </w:rPr>
              <w:t>/2</w:t>
            </w:r>
          </w:p>
        </w:tc>
      </w:tr>
    </w:tbl>
    <w:p w14:paraId="20D88F12" w14:textId="77777777" w:rsidR="00830F42" w:rsidRPr="00F43A6C" w:rsidRDefault="00830F42" w:rsidP="00830F42">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830F42" w:rsidRPr="00AC67F2" w14:paraId="4E475F60"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2EF55BDD" w14:textId="77777777" w:rsidR="00830F42" w:rsidRPr="00AC67F2" w:rsidRDefault="00830F42"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15D1FB37"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339F1CDC"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7A230061"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2BD28EFD"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47C43C3A"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093F7431"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2322CBB4" w14:textId="77777777" w:rsidR="00830F42" w:rsidRPr="00AC67F2" w:rsidRDefault="00830F42" w:rsidP="002559F4">
            <w:pPr>
              <w:rPr>
                <w:rFonts w:cstheme="minorHAnsi"/>
                <w:lang w:val="sr-Latn-ME"/>
              </w:rPr>
            </w:pPr>
            <w:r>
              <w:rPr>
                <w:rFonts w:cstheme="minorHAnsi"/>
                <w:lang w:val="sr-Latn-ME"/>
              </w:rPr>
              <w:t>2.</w:t>
            </w:r>
            <w:r w:rsidRPr="00AC67F2">
              <w:rPr>
                <w:rFonts w:cstheme="minorHAnsi"/>
                <w:lang w:val="sr-Latn-ME"/>
              </w:rPr>
              <w:t>1</w:t>
            </w:r>
          </w:p>
        </w:tc>
        <w:tc>
          <w:tcPr>
            <w:tcW w:w="3856" w:type="dxa"/>
            <w:shd w:val="clear" w:color="auto" w:fill="D9D9D9" w:themeFill="background1" w:themeFillShade="D9"/>
          </w:tcPr>
          <w:p w14:paraId="08ED8C77"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shd w:val="clear" w:color="auto" w:fill="D9D9D9" w:themeFill="background1" w:themeFillShade="D9"/>
          </w:tcPr>
          <w:p w14:paraId="1C325D11" w14:textId="6812BBF3" w:rsidR="00830F42" w:rsidRPr="00A00FA0"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D9D9D9" w:themeFill="background1" w:themeFillShade="D9"/>
          </w:tcPr>
          <w:p w14:paraId="5329129E"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69BC0F23" w14:textId="0EC9ED51" w:rsidR="00830F42" w:rsidRPr="00AC67F2" w:rsidRDefault="00F0579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593" w:type="dxa"/>
            <w:shd w:val="clear" w:color="auto" w:fill="D9D9D9" w:themeFill="background1" w:themeFillShade="D9"/>
          </w:tcPr>
          <w:p w14:paraId="310789D5" w14:textId="02653490" w:rsidR="00830F42" w:rsidRPr="00A71811" w:rsidRDefault="00F0579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Priroda dokumenta je takva da ne sadrži </w:t>
            </w:r>
            <w:r w:rsidR="004D61C6">
              <w:rPr>
                <w:rFonts w:cstheme="minorHAnsi"/>
                <w:sz w:val="18"/>
                <w:szCs w:val="18"/>
                <w:lang w:val="sr-Latn-ME"/>
              </w:rPr>
              <w:t xml:space="preserve">analizu stanja. </w:t>
            </w:r>
            <w:r w:rsidR="00830F42">
              <w:rPr>
                <w:rFonts w:cstheme="minorHAnsi"/>
                <w:sz w:val="18"/>
                <w:szCs w:val="18"/>
                <w:lang w:val="sr-Latn-ME"/>
              </w:rPr>
              <w:t xml:space="preserve"> </w:t>
            </w:r>
          </w:p>
        </w:tc>
      </w:tr>
      <w:tr w:rsidR="005D23CC" w:rsidRPr="00AC67F2" w14:paraId="06139E80"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62593E09" w14:textId="77777777" w:rsidR="00830F42" w:rsidRPr="00AC67F2" w:rsidRDefault="00830F42" w:rsidP="002559F4">
            <w:pPr>
              <w:rPr>
                <w:rFonts w:cstheme="minorHAnsi"/>
                <w:lang w:val="sr-Latn-ME"/>
              </w:rPr>
            </w:pPr>
            <w:r>
              <w:rPr>
                <w:rFonts w:cstheme="minorHAnsi"/>
                <w:lang w:val="sr-Latn-ME"/>
              </w:rPr>
              <w:t>2.2</w:t>
            </w:r>
          </w:p>
        </w:tc>
        <w:tc>
          <w:tcPr>
            <w:tcW w:w="3856" w:type="dxa"/>
            <w:shd w:val="clear" w:color="auto" w:fill="D9D9D9" w:themeFill="background1" w:themeFillShade="D9"/>
          </w:tcPr>
          <w:p w14:paraId="14ADCEFE"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shd w:val="clear" w:color="auto" w:fill="D9D9D9" w:themeFill="background1" w:themeFillShade="D9"/>
          </w:tcPr>
          <w:p w14:paraId="6AEA9314" w14:textId="1617E2C9"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441957EF"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1B4F346F" w14:textId="2D63F198" w:rsidR="00830F42" w:rsidRPr="00AC67F2" w:rsidRDefault="004D61C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593" w:type="dxa"/>
            <w:shd w:val="clear" w:color="auto" w:fill="D9D9D9" w:themeFill="background1" w:themeFillShade="D9"/>
          </w:tcPr>
          <w:p w14:paraId="489B3A2D"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5D23CC" w:rsidRPr="00AC67F2" w14:paraId="75849356"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39B45949" w14:textId="77777777" w:rsidR="00830F42" w:rsidRDefault="00830F42" w:rsidP="002559F4">
            <w:pPr>
              <w:rPr>
                <w:rFonts w:cstheme="minorHAnsi"/>
                <w:lang w:val="sr-Latn-ME"/>
              </w:rPr>
            </w:pPr>
            <w:r>
              <w:rPr>
                <w:rFonts w:cstheme="minorHAnsi"/>
                <w:lang w:val="sr-Latn-ME"/>
              </w:rPr>
              <w:lastRenderedPageBreak/>
              <w:t>2.3</w:t>
            </w:r>
          </w:p>
        </w:tc>
        <w:tc>
          <w:tcPr>
            <w:tcW w:w="3856" w:type="dxa"/>
            <w:shd w:val="clear" w:color="auto" w:fill="D9D9D9" w:themeFill="background1" w:themeFillShade="D9"/>
          </w:tcPr>
          <w:p w14:paraId="56D2159E"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shd w:val="clear" w:color="auto" w:fill="D9D9D9" w:themeFill="background1" w:themeFillShade="D9"/>
          </w:tcPr>
          <w:p w14:paraId="54942EE8"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53D85252" w14:textId="0AD65FF2"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2CDAFE0A" w14:textId="5D2B906B" w:rsidR="00830F42" w:rsidRPr="00AC67F2" w:rsidRDefault="004D61C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593" w:type="dxa"/>
            <w:shd w:val="clear" w:color="auto" w:fill="D9D9D9" w:themeFill="background1" w:themeFillShade="D9"/>
          </w:tcPr>
          <w:p w14:paraId="68508ED6"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3262CE76"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7A154426" w14:textId="77777777" w:rsidR="00830F42" w:rsidRPr="00AC67F2" w:rsidRDefault="00830F42" w:rsidP="002559F4">
            <w:pPr>
              <w:rPr>
                <w:rFonts w:cstheme="minorHAnsi"/>
                <w:lang w:val="sr-Latn-ME"/>
              </w:rPr>
            </w:pPr>
            <w:r>
              <w:rPr>
                <w:rFonts w:cstheme="minorHAnsi"/>
                <w:lang w:val="sr-Latn-ME"/>
              </w:rPr>
              <w:t>2.4</w:t>
            </w:r>
          </w:p>
        </w:tc>
        <w:tc>
          <w:tcPr>
            <w:tcW w:w="3856" w:type="dxa"/>
            <w:shd w:val="clear" w:color="auto" w:fill="D9D9D9" w:themeFill="background1" w:themeFillShade="D9"/>
          </w:tcPr>
          <w:p w14:paraId="1CE45407"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D9D9D9" w:themeFill="background1" w:themeFillShade="D9"/>
          </w:tcPr>
          <w:p w14:paraId="7E784B82" w14:textId="77777777" w:rsidR="00830F42" w:rsidRPr="00C26A63"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D9D9D9" w:themeFill="background1" w:themeFillShade="D9"/>
          </w:tcPr>
          <w:p w14:paraId="67F5B88E" w14:textId="79B4DB3D"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58B60304" w14:textId="2A4BACC5" w:rsidR="00830F42" w:rsidRPr="00AC67F2" w:rsidRDefault="004D61C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593" w:type="dxa"/>
            <w:shd w:val="clear" w:color="auto" w:fill="D9D9D9" w:themeFill="background1" w:themeFillShade="D9"/>
          </w:tcPr>
          <w:p w14:paraId="599E8BB7" w14:textId="77777777" w:rsidR="00830F42" w:rsidRPr="00D8609B"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2C8D399B"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3975CB0" w14:textId="77777777" w:rsidR="00830F42" w:rsidRDefault="00830F42" w:rsidP="002559F4">
            <w:pPr>
              <w:rPr>
                <w:rFonts w:cstheme="minorHAnsi"/>
                <w:lang w:val="sr-Latn-ME"/>
              </w:rPr>
            </w:pPr>
            <w:r>
              <w:rPr>
                <w:rFonts w:cstheme="minorHAnsi"/>
                <w:lang w:val="sr-Latn-ME"/>
              </w:rPr>
              <w:t>2.5</w:t>
            </w:r>
          </w:p>
        </w:tc>
        <w:tc>
          <w:tcPr>
            <w:tcW w:w="3856" w:type="dxa"/>
          </w:tcPr>
          <w:p w14:paraId="30CB7AEB"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09375EF1" w14:textId="72C37A7B" w:rsidR="00830F42" w:rsidRPr="00CC0043" w:rsidRDefault="00797BFC"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tcPr>
          <w:p w14:paraId="2C4207AA"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7C2CBC80"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8707034" w14:textId="30A83DDC" w:rsidR="00830F42" w:rsidRPr="00A71811" w:rsidRDefault="00797BFC" w:rsidP="004D61C6">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Predviđa se donošenje nekoliko zakona koji imaju rodnu komponentu, posebno u dijelu vezanom za poglavlje Socijalna zaštita i zapošljavanj</w:t>
            </w:r>
            <w:r w:rsidR="0090539B">
              <w:rPr>
                <w:rFonts w:cstheme="minorHAnsi"/>
                <w:sz w:val="18"/>
                <w:szCs w:val="18"/>
                <w:lang w:val="sr-Latn-ME"/>
              </w:rPr>
              <w:t>e, te preduzetništvo i industrijska politika</w:t>
            </w:r>
            <w:r w:rsidR="005876FB">
              <w:rPr>
                <w:rFonts w:cstheme="minorHAnsi"/>
                <w:sz w:val="18"/>
                <w:szCs w:val="18"/>
                <w:lang w:val="sr-Latn-ME"/>
              </w:rPr>
              <w:t>, ali i Pravosuđe i temeljna prava</w:t>
            </w:r>
            <w:r w:rsidR="00DF5499">
              <w:rPr>
                <w:rFonts w:cstheme="minorHAnsi"/>
                <w:sz w:val="18"/>
                <w:szCs w:val="18"/>
                <w:lang w:val="sr-Latn-ME"/>
              </w:rPr>
              <w:t xml:space="preserve">, </w:t>
            </w:r>
            <w:r w:rsidR="005876FB">
              <w:rPr>
                <w:rFonts w:cstheme="minorHAnsi"/>
                <w:sz w:val="18"/>
                <w:szCs w:val="18"/>
                <w:lang w:val="sr-Latn-ME"/>
              </w:rPr>
              <w:t xml:space="preserve"> </w:t>
            </w:r>
            <w:r w:rsidR="00DF5499" w:rsidRPr="00DF5499">
              <w:rPr>
                <w:rFonts w:cstheme="minorHAnsi"/>
                <w:sz w:val="18"/>
                <w:szCs w:val="18"/>
                <w:lang w:val="sr-Latn-ME"/>
              </w:rPr>
              <w:t>Pravda, sloboda i bezbjednost</w:t>
            </w:r>
            <w:r w:rsidR="000757BD">
              <w:rPr>
                <w:rFonts w:cstheme="minorHAnsi"/>
                <w:sz w:val="18"/>
                <w:szCs w:val="18"/>
                <w:lang w:val="sr-Latn-ME"/>
              </w:rPr>
              <w:t>.</w:t>
            </w:r>
          </w:p>
        </w:tc>
      </w:tr>
      <w:tr w:rsidR="00830F42" w:rsidRPr="00AC67F2" w14:paraId="4B034F95"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40E7CA6C" w14:textId="77777777" w:rsidR="00830F42" w:rsidRPr="00AC67F2" w:rsidRDefault="00830F42" w:rsidP="002559F4">
            <w:pPr>
              <w:rPr>
                <w:rFonts w:cstheme="minorHAnsi"/>
                <w:lang w:val="sr-Latn-ME"/>
              </w:rPr>
            </w:pPr>
            <w:r>
              <w:rPr>
                <w:rFonts w:cstheme="minorHAnsi"/>
                <w:lang w:val="sr-Latn-ME"/>
              </w:rPr>
              <w:t>2.6</w:t>
            </w:r>
          </w:p>
        </w:tc>
        <w:tc>
          <w:tcPr>
            <w:tcW w:w="3856" w:type="dxa"/>
            <w:shd w:val="clear" w:color="auto" w:fill="D9D9D9" w:themeFill="background1" w:themeFillShade="D9"/>
          </w:tcPr>
          <w:p w14:paraId="174D6648"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D9D9D9" w:themeFill="background1" w:themeFillShade="D9"/>
          </w:tcPr>
          <w:p w14:paraId="0F5991DB" w14:textId="7F3C1BD2" w:rsidR="00830F42" w:rsidRPr="00194E29"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D9D9D9" w:themeFill="background1" w:themeFillShade="D9"/>
          </w:tcPr>
          <w:p w14:paraId="7A3D2CC9"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17EC1DFF" w14:textId="4004476B" w:rsidR="00830F42" w:rsidRPr="00AC67F2" w:rsidRDefault="004D61C6"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593" w:type="dxa"/>
            <w:shd w:val="clear" w:color="auto" w:fill="D9D9D9" w:themeFill="background1" w:themeFillShade="D9"/>
          </w:tcPr>
          <w:p w14:paraId="58478698" w14:textId="234DAA7B" w:rsidR="00830F42" w:rsidRPr="00A71811" w:rsidRDefault="004D61C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Priroda dokumenta je takva da ne sadrži </w:t>
            </w:r>
            <w:r w:rsidR="005D23CC">
              <w:rPr>
                <w:rFonts w:cstheme="minorHAnsi"/>
                <w:sz w:val="18"/>
                <w:szCs w:val="18"/>
                <w:lang w:val="sr-Latn-ME"/>
              </w:rPr>
              <w:t xml:space="preserve">budžet. </w:t>
            </w:r>
            <w:r w:rsidR="00830F42">
              <w:rPr>
                <w:rFonts w:cstheme="minorHAnsi"/>
                <w:sz w:val="18"/>
                <w:szCs w:val="18"/>
                <w:lang w:val="sr-Latn-ME"/>
              </w:rPr>
              <w:t xml:space="preserve"> </w:t>
            </w:r>
          </w:p>
        </w:tc>
      </w:tr>
      <w:tr w:rsidR="00830F42" w:rsidRPr="00AC67F2" w14:paraId="05D5554E"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5910E337" w14:textId="77777777" w:rsidR="00830F42" w:rsidRDefault="00830F42" w:rsidP="002559F4">
            <w:pPr>
              <w:rPr>
                <w:rFonts w:cstheme="minorHAnsi"/>
                <w:lang w:val="sr-Latn-ME"/>
              </w:rPr>
            </w:pPr>
            <w:r>
              <w:rPr>
                <w:rFonts w:cstheme="minorHAnsi"/>
                <w:lang w:val="sr-Latn-ME"/>
              </w:rPr>
              <w:t>2.7</w:t>
            </w:r>
          </w:p>
        </w:tc>
        <w:tc>
          <w:tcPr>
            <w:tcW w:w="3856" w:type="dxa"/>
            <w:shd w:val="clear" w:color="auto" w:fill="D9D9D9" w:themeFill="background1" w:themeFillShade="D9"/>
          </w:tcPr>
          <w:p w14:paraId="77E997E2"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shd w:val="clear" w:color="auto" w:fill="D9D9D9" w:themeFill="background1" w:themeFillShade="D9"/>
          </w:tcPr>
          <w:p w14:paraId="5774B050"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329CC69A" w14:textId="61AF476C"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437BDE1B" w14:textId="1C53E78F" w:rsidR="00830F42" w:rsidRPr="00AC67F2" w:rsidRDefault="005D23C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593" w:type="dxa"/>
            <w:shd w:val="clear" w:color="auto" w:fill="D9D9D9" w:themeFill="background1" w:themeFillShade="D9"/>
          </w:tcPr>
          <w:p w14:paraId="02049BB0"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7D6F0453"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43644D0" w14:textId="749D40E8" w:rsidR="00830F42" w:rsidRPr="00AC67F2" w:rsidRDefault="00830F42"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10FAC83B"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7FE04078" w14:textId="77777777" w:rsidR="00830F42" w:rsidRPr="005C2773" w:rsidRDefault="00830F42"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59162EE8"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312691A"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3456D6B9"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02784D9A" w14:textId="2A8BFD93"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574452">
              <w:rPr>
                <w:rFonts w:cstheme="minorHAnsi"/>
                <w:sz w:val="18"/>
                <w:szCs w:val="18"/>
                <w:lang w:val="sr-Latn-ME"/>
              </w:rPr>
              <w:t>Strategija koristi uglavnom rodno neutralne izraze, a tamo gdje to nije moguće ne koristi se rodno senzitivan jezik („</w:t>
            </w:r>
            <w:r w:rsidR="001A2A65">
              <w:rPr>
                <w:rFonts w:cstheme="minorHAnsi"/>
                <w:sz w:val="18"/>
                <w:szCs w:val="18"/>
                <w:lang w:val="sr-Latn-ME"/>
              </w:rPr>
              <w:t>kandidati</w:t>
            </w:r>
            <w:r w:rsidRPr="00574452">
              <w:rPr>
                <w:rFonts w:cstheme="minorHAnsi"/>
                <w:sz w:val="18"/>
                <w:szCs w:val="18"/>
                <w:lang w:val="sr-Latn-ME"/>
              </w:rPr>
              <w:t>“</w:t>
            </w:r>
            <w:r>
              <w:rPr>
                <w:rFonts w:cstheme="minorHAnsi"/>
                <w:sz w:val="18"/>
                <w:szCs w:val="18"/>
                <w:lang w:val="sr-Latn-ME"/>
              </w:rPr>
              <w:t>).</w:t>
            </w:r>
          </w:p>
          <w:p w14:paraId="5C45D0FB" w14:textId="77777777" w:rsidR="00830F42" w:rsidRPr="0057445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 </w:t>
            </w:r>
          </w:p>
        </w:tc>
      </w:tr>
      <w:tr w:rsidR="00830F42" w:rsidRPr="00AC67F2" w14:paraId="19D5A5EC"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2705DE83" w14:textId="77777777" w:rsidR="00830F42" w:rsidRPr="00AC67F2" w:rsidRDefault="00830F42" w:rsidP="002559F4">
            <w:pPr>
              <w:rPr>
                <w:rFonts w:cstheme="minorHAnsi"/>
                <w:lang w:val="sr-Latn-ME" w:eastAsia="en-GB"/>
              </w:rPr>
            </w:pPr>
            <w:r>
              <w:rPr>
                <w:rFonts w:cstheme="minorHAnsi"/>
                <w:lang w:val="sr-Latn-ME"/>
              </w:rPr>
              <w:t>Ukupno</w:t>
            </w:r>
          </w:p>
        </w:tc>
        <w:tc>
          <w:tcPr>
            <w:tcW w:w="747" w:type="dxa"/>
          </w:tcPr>
          <w:p w14:paraId="273612E5"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607FA3B8"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1BB8C374"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A2F0B6A" w14:textId="658CD319" w:rsidR="00830F42" w:rsidRPr="00E72E03" w:rsidRDefault="003150B9"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1</w:t>
            </w:r>
            <w:r w:rsidR="00830F42" w:rsidRPr="00E72E03">
              <w:rPr>
                <w:rFonts w:cstheme="minorHAnsi"/>
                <w:b/>
                <w:bCs/>
                <w:sz w:val="28"/>
                <w:szCs w:val="28"/>
                <w:lang w:val="sr-Latn-ME"/>
              </w:rPr>
              <w:t>/</w:t>
            </w:r>
            <w:r w:rsidR="000757BD">
              <w:rPr>
                <w:rFonts w:cstheme="minorHAnsi"/>
                <w:b/>
                <w:bCs/>
                <w:sz w:val="28"/>
                <w:szCs w:val="28"/>
                <w:lang w:val="sr-Latn-ME"/>
              </w:rPr>
              <w:t>2</w:t>
            </w:r>
          </w:p>
        </w:tc>
      </w:tr>
    </w:tbl>
    <w:p w14:paraId="344AFBFE" w14:textId="77777777" w:rsidR="00830F42" w:rsidRPr="00AC67F2" w:rsidRDefault="00830F42" w:rsidP="00830F42">
      <w:pPr>
        <w:rPr>
          <w:rFonts w:cstheme="minorHAnsi"/>
          <w:lang w:val="sr-Latn-ME"/>
        </w:rPr>
      </w:pPr>
    </w:p>
    <w:p w14:paraId="3BB20E06" w14:textId="77777777" w:rsidR="00830F42" w:rsidRPr="00852DD8" w:rsidRDefault="00830F42" w:rsidP="00830F42">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830F42" w:rsidRPr="00AC67F2" w14:paraId="03BC373F"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38D0D259" w14:textId="77777777" w:rsidR="00830F42" w:rsidRPr="00AC67F2" w:rsidRDefault="00830F42"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3E2275D3"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4B0F0328"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19F8F7C4"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7F45D2B2"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34B0F538"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49E3437D"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66A00D74" w14:textId="77777777" w:rsidR="00830F42" w:rsidRPr="00AC67F2" w:rsidRDefault="00830F42" w:rsidP="002559F4">
            <w:pPr>
              <w:rPr>
                <w:rFonts w:cstheme="minorHAnsi"/>
                <w:lang w:val="sr-Latn-ME"/>
              </w:rPr>
            </w:pPr>
            <w:r>
              <w:rPr>
                <w:rFonts w:cstheme="minorHAnsi"/>
                <w:lang w:val="sr-Latn-ME"/>
              </w:rPr>
              <w:lastRenderedPageBreak/>
              <w:t>3.1</w:t>
            </w:r>
          </w:p>
        </w:tc>
        <w:tc>
          <w:tcPr>
            <w:tcW w:w="3908" w:type="dxa"/>
            <w:shd w:val="clear" w:color="auto" w:fill="D9D9D9" w:themeFill="background1" w:themeFillShade="D9"/>
          </w:tcPr>
          <w:p w14:paraId="2531035E"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shd w:val="clear" w:color="auto" w:fill="D9D9D9" w:themeFill="background1" w:themeFillShade="D9"/>
          </w:tcPr>
          <w:p w14:paraId="645AFA06" w14:textId="7FAF0661"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11369FF5"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shd w:val="clear" w:color="auto" w:fill="D9D9D9" w:themeFill="background1" w:themeFillShade="D9"/>
          </w:tcPr>
          <w:p w14:paraId="77A3436E" w14:textId="7894A7A1" w:rsidR="00830F42" w:rsidRPr="00AC67F2" w:rsidRDefault="005D23C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614" w:type="dxa"/>
            <w:shd w:val="clear" w:color="auto" w:fill="D9D9D9" w:themeFill="background1" w:themeFillShade="D9"/>
          </w:tcPr>
          <w:p w14:paraId="4D5ED376" w14:textId="26B9113A" w:rsidR="00830F42" w:rsidRPr="009A4E2D" w:rsidRDefault="005D23C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Priroda dokumenta je takva da ne sadrži indikatore</w:t>
            </w:r>
            <w:r w:rsidR="00830F42">
              <w:rPr>
                <w:rFonts w:cstheme="minorHAnsi"/>
                <w:sz w:val="18"/>
                <w:szCs w:val="18"/>
                <w:lang w:val="sr-Latn-ME"/>
              </w:rPr>
              <w:t xml:space="preserve"> </w:t>
            </w:r>
          </w:p>
        </w:tc>
      </w:tr>
      <w:tr w:rsidR="00830F42" w:rsidRPr="00AC67F2" w14:paraId="6C37C9A4"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2EA0E249" w14:textId="77777777" w:rsidR="00830F42" w:rsidRDefault="00830F42" w:rsidP="002559F4">
            <w:pPr>
              <w:rPr>
                <w:rFonts w:cstheme="minorHAnsi"/>
                <w:lang w:val="sr-Latn-ME"/>
              </w:rPr>
            </w:pPr>
            <w:r>
              <w:rPr>
                <w:rFonts w:cstheme="minorHAnsi"/>
                <w:lang w:val="sr-Latn-ME"/>
              </w:rPr>
              <w:t>Ukupno</w:t>
            </w:r>
          </w:p>
        </w:tc>
        <w:tc>
          <w:tcPr>
            <w:tcW w:w="760" w:type="dxa"/>
            <w:shd w:val="clear" w:color="auto" w:fill="auto"/>
          </w:tcPr>
          <w:p w14:paraId="6D15D61F"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79C447AA"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79FE2DE1"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27330AF3" w14:textId="76819993" w:rsidR="00830F42" w:rsidRPr="00AC67F2" w:rsidRDefault="00830F42"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0/</w:t>
            </w:r>
            <w:r w:rsidR="005D23CC">
              <w:rPr>
                <w:rFonts w:cstheme="minorHAnsi"/>
                <w:b/>
                <w:bCs/>
                <w:sz w:val="28"/>
                <w:szCs w:val="28"/>
              </w:rPr>
              <w:t>0</w:t>
            </w:r>
          </w:p>
        </w:tc>
      </w:tr>
    </w:tbl>
    <w:p w14:paraId="333F8FB7" w14:textId="77777777" w:rsidR="00830F42" w:rsidRDefault="00830F42" w:rsidP="00830F42">
      <w:pPr>
        <w:rPr>
          <w:rFonts w:cstheme="minorHAnsi"/>
          <w:lang w:val="sr-Latn-ME"/>
        </w:rPr>
      </w:pPr>
    </w:p>
    <w:p w14:paraId="28793221" w14:textId="56617322" w:rsidR="00830F42" w:rsidRPr="00DA28A6" w:rsidRDefault="00830F42" w:rsidP="00830F42">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0000"/>
          <w:sz w:val="32"/>
          <w:szCs w:val="32"/>
          <w:lang w:val="sr-Latn-ME"/>
        </w:rPr>
      </w:pPr>
      <w:r w:rsidRPr="00DA28A6">
        <w:rPr>
          <w:rFonts w:cstheme="minorHAnsi"/>
          <w:color w:val="FF0000"/>
          <w:sz w:val="32"/>
          <w:szCs w:val="32"/>
          <w:lang w:val="sr-Latn-ME"/>
        </w:rPr>
        <w:t xml:space="preserve">Konačna ocjena: </w:t>
      </w:r>
      <w:r w:rsidR="003150B9" w:rsidRPr="00DA28A6">
        <w:rPr>
          <w:rFonts w:cstheme="minorHAnsi"/>
          <w:color w:val="FF0000"/>
          <w:sz w:val="32"/>
          <w:szCs w:val="32"/>
          <w:lang w:val="sr-Latn-ME"/>
        </w:rPr>
        <w:t>1</w:t>
      </w:r>
      <w:r w:rsidRPr="00DA28A6">
        <w:rPr>
          <w:rFonts w:cstheme="minorHAnsi"/>
          <w:color w:val="FF0000"/>
          <w:sz w:val="32"/>
          <w:szCs w:val="32"/>
          <w:lang w:val="sr-Latn-ME"/>
        </w:rPr>
        <w:t xml:space="preserve"> od </w:t>
      </w:r>
      <w:r w:rsidR="00DA28A6" w:rsidRPr="00DA28A6">
        <w:rPr>
          <w:rFonts w:cstheme="minorHAnsi"/>
          <w:color w:val="FF0000"/>
          <w:sz w:val="32"/>
          <w:szCs w:val="32"/>
          <w:lang w:val="sr-Latn-ME"/>
        </w:rPr>
        <w:t>4</w:t>
      </w:r>
      <w:r w:rsidRPr="00DA28A6">
        <w:rPr>
          <w:rFonts w:cstheme="minorHAnsi"/>
          <w:color w:val="FF0000"/>
          <w:sz w:val="32"/>
          <w:szCs w:val="32"/>
          <w:lang w:val="sr-Latn-ME"/>
        </w:rPr>
        <w:t xml:space="preserve"> ili </w:t>
      </w:r>
      <w:r w:rsidRPr="00DA28A6">
        <w:rPr>
          <w:rFonts w:cstheme="minorHAnsi"/>
          <w:b/>
          <w:bCs/>
          <w:color w:val="FF0000"/>
          <w:sz w:val="32"/>
          <w:szCs w:val="32"/>
          <w:lang w:val="sr-Latn-ME"/>
        </w:rPr>
        <w:t>0.</w:t>
      </w:r>
      <w:r w:rsidR="00DA28A6" w:rsidRPr="00DA28A6">
        <w:rPr>
          <w:rFonts w:cstheme="minorHAnsi"/>
          <w:b/>
          <w:bCs/>
          <w:color w:val="FF0000"/>
          <w:sz w:val="32"/>
          <w:szCs w:val="32"/>
          <w:lang w:val="sr-Latn-ME"/>
        </w:rPr>
        <w:t>25</w:t>
      </w:r>
      <w:r w:rsidRPr="00DA28A6">
        <w:rPr>
          <w:rFonts w:cstheme="minorHAnsi"/>
          <w:b/>
          <w:bCs/>
          <w:color w:val="FF0000"/>
          <w:sz w:val="32"/>
          <w:szCs w:val="32"/>
          <w:lang w:val="sr-Latn-ME"/>
        </w:rPr>
        <w:t xml:space="preserve"> – Strategija </w:t>
      </w:r>
      <w:r w:rsidR="00DA28A6" w:rsidRPr="00DA28A6">
        <w:rPr>
          <w:rFonts w:cstheme="minorHAnsi"/>
          <w:b/>
          <w:bCs/>
          <w:color w:val="FF0000"/>
          <w:sz w:val="32"/>
          <w:szCs w:val="32"/>
          <w:lang w:val="sr-Latn-ME"/>
        </w:rPr>
        <w:t xml:space="preserve">uopšte nije </w:t>
      </w:r>
      <w:r w:rsidRPr="00DA28A6">
        <w:rPr>
          <w:rFonts w:cstheme="minorHAnsi"/>
          <w:b/>
          <w:bCs/>
          <w:color w:val="FF0000"/>
          <w:sz w:val="32"/>
          <w:szCs w:val="32"/>
          <w:lang w:val="sr-Latn-ME"/>
        </w:rPr>
        <w:t>orodnjena.</w:t>
      </w:r>
    </w:p>
    <w:p w14:paraId="1A8F3956" w14:textId="77777777" w:rsidR="00892EA4" w:rsidRPr="00892EA4" w:rsidRDefault="00892EA4" w:rsidP="00892EA4">
      <w:pPr>
        <w:rPr>
          <w:lang w:val="sr-Latn-ME"/>
        </w:rPr>
      </w:pPr>
    </w:p>
    <w:p w14:paraId="346E99E7" w14:textId="330FF5E6" w:rsidR="00AC6EB8" w:rsidRDefault="00227611" w:rsidP="004B3417">
      <w:pPr>
        <w:pStyle w:val="Heading3"/>
        <w:rPr>
          <w:lang w:val="sr-Latn-ME"/>
        </w:rPr>
      </w:pPr>
      <w:bookmarkStart w:id="28" w:name="_Toc100339550"/>
      <w:r>
        <w:rPr>
          <w:lang w:val="sr-Latn-ME"/>
        </w:rPr>
        <w:t>21</w:t>
      </w:r>
      <w:r w:rsidR="009D5CC5">
        <w:rPr>
          <w:lang w:val="sr-Latn-ME"/>
        </w:rPr>
        <w:t xml:space="preserve">. </w:t>
      </w:r>
      <w:r w:rsidR="00AC6EB8" w:rsidRPr="00AC6EB8">
        <w:rPr>
          <w:lang w:val="sr-Latn-ME"/>
        </w:rPr>
        <w:t>Program razvoja zdravstvenog turizma Crne Gore 2021-2023. godine</w:t>
      </w:r>
      <w:bookmarkEnd w:id="28"/>
      <w:r w:rsidR="00AC6EB8" w:rsidRPr="00AC6EB8">
        <w:rPr>
          <w:lang w:val="sr-Latn-ME"/>
        </w:rPr>
        <w:t xml:space="preserve"> </w:t>
      </w:r>
    </w:p>
    <w:p w14:paraId="1A4F8574" w14:textId="77777777" w:rsidR="004B3417" w:rsidRPr="004B3417" w:rsidRDefault="004B3417" w:rsidP="004B3417">
      <w:pPr>
        <w:rPr>
          <w:lang w:val="sr-Latn-ME"/>
        </w:rPr>
      </w:pPr>
    </w:p>
    <w:p w14:paraId="2F4B56BD" w14:textId="77777777" w:rsidR="00830F42" w:rsidRPr="007D71A2" w:rsidRDefault="00830F42" w:rsidP="00830F42">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830F42" w:rsidRPr="00AC67F2" w14:paraId="23D05E60"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784B5537" w14:textId="77777777" w:rsidR="00830F42" w:rsidRPr="00AC67F2" w:rsidRDefault="00830F42"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7D1126E6"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160E3294"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39B71655" w14:textId="77777777" w:rsidR="00830F42" w:rsidRPr="009148DB"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3FE0880E"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6CB12212"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0BC141D3" w14:textId="77777777" w:rsidR="00830F42" w:rsidRPr="00AC67F2" w:rsidRDefault="00830F42"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1006F0EE" w14:textId="77777777" w:rsidR="00830F42" w:rsidRPr="00DA659B"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7555938E"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6F0A9828"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047C3431"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2BEAE071" w14:textId="77777777" w:rsidR="00830F42" w:rsidRPr="00A545D6"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830F42" w:rsidRPr="00AC67F2" w14:paraId="7FEAAF02"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6274F044" w14:textId="77777777" w:rsidR="00830F42" w:rsidRPr="00AC67F2" w:rsidRDefault="00830F42" w:rsidP="002559F4">
            <w:pPr>
              <w:rPr>
                <w:rFonts w:cstheme="minorHAnsi"/>
                <w:lang w:val="sr-Latn-ME"/>
              </w:rPr>
            </w:pPr>
            <w:r>
              <w:rPr>
                <w:rFonts w:cstheme="minorHAnsi"/>
                <w:lang w:val="sr-Latn-ME"/>
              </w:rPr>
              <w:t>1.2</w:t>
            </w:r>
          </w:p>
        </w:tc>
        <w:tc>
          <w:tcPr>
            <w:tcW w:w="2443" w:type="pct"/>
          </w:tcPr>
          <w:p w14:paraId="3B3257EA"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1563857A"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26044827" w14:textId="7E9DFFC2"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0D50C7CE" w14:textId="0E69B2D6" w:rsidR="00830F42" w:rsidRPr="00AC67F2" w:rsidRDefault="006C42AD"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6F0DCFD2" w14:textId="50E6FBEF" w:rsidR="00830F42" w:rsidRPr="00A545D6" w:rsidRDefault="006C42AD"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U Strategiji se navodi da je bila angažovana ekspertska pomoć, ali nije precizirano da se odnosila na rodnu perspektivu.</w:t>
            </w:r>
          </w:p>
        </w:tc>
      </w:tr>
      <w:tr w:rsidR="00830F42" w:rsidRPr="00AC67F2" w14:paraId="08858833"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6948EC84" w14:textId="77777777" w:rsidR="00830F42" w:rsidRPr="00AC67F2" w:rsidRDefault="00830F42" w:rsidP="002559F4">
            <w:pPr>
              <w:rPr>
                <w:rFonts w:cstheme="minorHAnsi"/>
                <w:lang w:val="sr-Latn-ME"/>
              </w:rPr>
            </w:pPr>
            <w:r>
              <w:rPr>
                <w:rFonts w:cstheme="minorHAnsi"/>
                <w:lang w:val="sr-Latn-ME"/>
              </w:rPr>
              <w:t>Ukupno</w:t>
            </w:r>
          </w:p>
        </w:tc>
        <w:tc>
          <w:tcPr>
            <w:tcW w:w="645" w:type="pct"/>
          </w:tcPr>
          <w:p w14:paraId="2DA6697B"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6429723E"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25109735" w14:textId="067AE347" w:rsidR="00830F42" w:rsidRPr="008C09CD" w:rsidRDefault="006C42AD"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w:t>
            </w:r>
            <w:r w:rsidR="00830F42">
              <w:rPr>
                <w:rFonts w:cstheme="minorHAnsi"/>
                <w:b/>
                <w:bCs/>
                <w:sz w:val="28"/>
                <w:szCs w:val="28"/>
              </w:rPr>
              <w:t>/2</w:t>
            </w:r>
          </w:p>
        </w:tc>
      </w:tr>
    </w:tbl>
    <w:p w14:paraId="05C6CBFF" w14:textId="77777777" w:rsidR="00830F42" w:rsidRPr="00F43A6C" w:rsidRDefault="00830F42" w:rsidP="00830F42">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830F42" w:rsidRPr="00AC67F2" w14:paraId="3BCA502F"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368CA358" w14:textId="77777777" w:rsidR="00830F42" w:rsidRPr="00AC67F2" w:rsidRDefault="00830F42"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4C63392A"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1594E411"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0BFE118F"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2CF442F6"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31B9B10F"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4150BA9B"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B72FCB4" w14:textId="77777777" w:rsidR="00830F42" w:rsidRPr="00AC67F2" w:rsidRDefault="00830F42"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6555793A"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1B189F3B" w14:textId="134414F7" w:rsidR="00830F42" w:rsidRPr="00A00FA0"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tcPr>
          <w:p w14:paraId="1AA16943" w14:textId="370E440B" w:rsidR="00830F42" w:rsidRPr="00AC67F2" w:rsidRDefault="006566A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3D4FE61D"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70B2329" w14:textId="27630E92"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 </w:t>
            </w:r>
          </w:p>
        </w:tc>
      </w:tr>
      <w:tr w:rsidR="00830F42" w:rsidRPr="00AC67F2" w14:paraId="29EB5209"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51139690" w14:textId="77777777" w:rsidR="00830F42" w:rsidRPr="00AC67F2" w:rsidRDefault="00830F42" w:rsidP="002559F4">
            <w:pPr>
              <w:rPr>
                <w:rFonts w:cstheme="minorHAnsi"/>
                <w:lang w:val="sr-Latn-ME"/>
              </w:rPr>
            </w:pPr>
            <w:r>
              <w:rPr>
                <w:rFonts w:cstheme="minorHAnsi"/>
                <w:lang w:val="sr-Latn-ME"/>
              </w:rPr>
              <w:t>2.2</w:t>
            </w:r>
          </w:p>
        </w:tc>
        <w:tc>
          <w:tcPr>
            <w:tcW w:w="3856" w:type="dxa"/>
            <w:shd w:val="clear" w:color="auto" w:fill="auto"/>
          </w:tcPr>
          <w:p w14:paraId="7783EC60"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shd w:val="clear" w:color="auto" w:fill="auto"/>
          </w:tcPr>
          <w:p w14:paraId="1B100574" w14:textId="008C5094"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50AE003E" w14:textId="21FBFD4F" w:rsidR="00830F42" w:rsidRPr="00AC67F2" w:rsidRDefault="006566A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3E4C20D7"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0994BB8A"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20D49786"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43B6DFE3" w14:textId="77777777" w:rsidR="00830F42" w:rsidRDefault="00830F42" w:rsidP="002559F4">
            <w:pPr>
              <w:rPr>
                <w:rFonts w:cstheme="minorHAnsi"/>
                <w:lang w:val="sr-Latn-ME"/>
              </w:rPr>
            </w:pPr>
            <w:r>
              <w:rPr>
                <w:rFonts w:cstheme="minorHAnsi"/>
                <w:lang w:val="sr-Latn-ME"/>
              </w:rPr>
              <w:t>2.3</w:t>
            </w:r>
          </w:p>
        </w:tc>
        <w:tc>
          <w:tcPr>
            <w:tcW w:w="3856" w:type="dxa"/>
            <w:shd w:val="clear" w:color="auto" w:fill="auto"/>
          </w:tcPr>
          <w:p w14:paraId="59B7DF48"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uočene neke prepreke i rizici za žene i muškarce i osobe drugih rodnih </w:t>
            </w:r>
            <w:r>
              <w:rPr>
                <w:rFonts w:cstheme="minorHAnsi"/>
                <w:lang w:val="sr-Latn-ME"/>
              </w:rPr>
              <w:lastRenderedPageBreak/>
              <w:t>identiteta da ostvare dobrobiti od rezultata javne politike?</w:t>
            </w:r>
          </w:p>
        </w:tc>
        <w:tc>
          <w:tcPr>
            <w:tcW w:w="747" w:type="dxa"/>
            <w:shd w:val="clear" w:color="auto" w:fill="auto"/>
          </w:tcPr>
          <w:p w14:paraId="7DFDA27F"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064FDE12"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41071CCD"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48E8AA28"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69307D1E"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16C5C51A" w14:textId="77777777" w:rsidR="00830F42" w:rsidRPr="00AC67F2" w:rsidRDefault="00830F42" w:rsidP="002559F4">
            <w:pPr>
              <w:rPr>
                <w:rFonts w:cstheme="minorHAnsi"/>
                <w:lang w:val="sr-Latn-ME"/>
              </w:rPr>
            </w:pPr>
            <w:r>
              <w:rPr>
                <w:rFonts w:cstheme="minorHAnsi"/>
                <w:lang w:val="sr-Latn-ME"/>
              </w:rPr>
              <w:t>2.4</w:t>
            </w:r>
          </w:p>
        </w:tc>
        <w:tc>
          <w:tcPr>
            <w:tcW w:w="3856" w:type="dxa"/>
            <w:shd w:val="clear" w:color="auto" w:fill="auto"/>
          </w:tcPr>
          <w:p w14:paraId="3C272C9E"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45E78FC0" w14:textId="77777777" w:rsidR="00830F42" w:rsidRPr="00C26A63"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auto"/>
          </w:tcPr>
          <w:p w14:paraId="5F82973C"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2FF0B483"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4049C5A7" w14:textId="77777777" w:rsidR="00830F42" w:rsidRPr="00D8609B"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7855BEFD"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43CE5DB" w14:textId="77777777" w:rsidR="00830F42" w:rsidRDefault="00830F42" w:rsidP="002559F4">
            <w:pPr>
              <w:rPr>
                <w:rFonts w:cstheme="minorHAnsi"/>
                <w:lang w:val="sr-Latn-ME"/>
              </w:rPr>
            </w:pPr>
            <w:r>
              <w:rPr>
                <w:rFonts w:cstheme="minorHAnsi"/>
                <w:lang w:val="sr-Latn-ME"/>
              </w:rPr>
              <w:t>2.5</w:t>
            </w:r>
          </w:p>
        </w:tc>
        <w:tc>
          <w:tcPr>
            <w:tcW w:w="3856" w:type="dxa"/>
          </w:tcPr>
          <w:p w14:paraId="2F4AC300"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62279291" w14:textId="59AB4321" w:rsidR="00830F42" w:rsidRPr="00CC0043"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tcPr>
          <w:p w14:paraId="232EAE07" w14:textId="1A3B1DF6" w:rsidR="00830F42" w:rsidRPr="00AC67F2" w:rsidRDefault="001941BE"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50D704DB"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9B8F9D8" w14:textId="35E421D2" w:rsidR="00830F42" w:rsidRPr="00A71811" w:rsidRDefault="00830F42" w:rsidP="001941BE">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3B32B58D"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0C8CE2DB" w14:textId="77777777" w:rsidR="00830F42" w:rsidRPr="00AC67F2" w:rsidRDefault="00830F42" w:rsidP="002559F4">
            <w:pPr>
              <w:rPr>
                <w:rFonts w:cstheme="minorHAnsi"/>
                <w:lang w:val="sr-Latn-ME"/>
              </w:rPr>
            </w:pPr>
            <w:r>
              <w:rPr>
                <w:rFonts w:cstheme="minorHAnsi"/>
                <w:lang w:val="sr-Latn-ME"/>
              </w:rPr>
              <w:t>2.6</w:t>
            </w:r>
          </w:p>
        </w:tc>
        <w:tc>
          <w:tcPr>
            <w:tcW w:w="3856" w:type="dxa"/>
            <w:shd w:val="clear" w:color="auto" w:fill="D9D9D9" w:themeFill="background1" w:themeFillShade="D9"/>
          </w:tcPr>
          <w:p w14:paraId="13E79140"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D9D9D9" w:themeFill="background1" w:themeFillShade="D9"/>
          </w:tcPr>
          <w:p w14:paraId="35BC05BD" w14:textId="6ABC32E4" w:rsidR="00830F42" w:rsidRPr="00194E29"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D9D9D9" w:themeFill="background1" w:themeFillShade="D9"/>
          </w:tcPr>
          <w:p w14:paraId="0934F410" w14:textId="48B49B26"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4F83B977" w14:textId="67581173"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D9D9D9" w:themeFill="background1" w:themeFillShade="D9"/>
          </w:tcPr>
          <w:p w14:paraId="0B6EF827" w14:textId="78125F2A" w:rsidR="00830F42" w:rsidRPr="00A71811" w:rsidRDefault="001941BE"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Ne postoje mjere. </w:t>
            </w:r>
          </w:p>
        </w:tc>
      </w:tr>
      <w:tr w:rsidR="00830F42" w:rsidRPr="00AC67F2" w14:paraId="2C0645C4"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36BC3B5" w14:textId="77777777" w:rsidR="00830F42" w:rsidRDefault="00830F42" w:rsidP="002559F4">
            <w:pPr>
              <w:rPr>
                <w:rFonts w:cstheme="minorHAnsi"/>
                <w:lang w:val="sr-Latn-ME"/>
              </w:rPr>
            </w:pPr>
            <w:r>
              <w:rPr>
                <w:rFonts w:cstheme="minorHAnsi"/>
                <w:lang w:val="sr-Latn-ME"/>
              </w:rPr>
              <w:t>2.7</w:t>
            </w:r>
          </w:p>
        </w:tc>
        <w:tc>
          <w:tcPr>
            <w:tcW w:w="3856" w:type="dxa"/>
          </w:tcPr>
          <w:p w14:paraId="783FB64A"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3F413649"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3CC5CAB"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120BF746"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019E22A"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73DF1231"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7AF483F" w14:textId="4FD0029C" w:rsidR="00830F42" w:rsidRPr="00AC67F2" w:rsidRDefault="00830F42"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6A735CC5"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66BAE122" w14:textId="77777777" w:rsidR="00830F42" w:rsidRPr="005C2773" w:rsidRDefault="00830F42"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2A5BC0F3"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1D05FDD3"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09E74F70"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2326F27" w14:textId="3A90972D" w:rsidR="00830F42" w:rsidRPr="0057445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574452">
              <w:rPr>
                <w:rFonts w:cstheme="minorHAnsi"/>
                <w:sz w:val="18"/>
                <w:szCs w:val="18"/>
                <w:lang w:val="sr-Latn-ME"/>
              </w:rPr>
              <w:t>Strategija koristi uglavnom rodno neutralne izraze, a tamo gdje to nije moguće ne koristi se rodno senzitivan jezik („</w:t>
            </w:r>
            <w:r w:rsidR="0037364D">
              <w:rPr>
                <w:rFonts w:cstheme="minorHAnsi"/>
                <w:sz w:val="18"/>
                <w:szCs w:val="18"/>
                <w:lang w:val="sr-Latn-ME"/>
              </w:rPr>
              <w:t>korisnici</w:t>
            </w:r>
            <w:r w:rsidRPr="00574452">
              <w:rPr>
                <w:rFonts w:cstheme="minorHAnsi"/>
                <w:sz w:val="18"/>
                <w:szCs w:val="18"/>
                <w:lang w:val="sr-Latn-ME"/>
              </w:rPr>
              <w:t>“</w:t>
            </w:r>
            <w:r>
              <w:rPr>
                <w:rFonts w:cstheme="minorHAnsi"/>
                <w:sz w:val="18"/>
                <w:szCs w:val="18"/>
                <w:lang w:val="sr-Latn-ME"/>
              </w:rPr>
              <w:t>).</w:t>
            </w:r>
          </w:p>
        </w:tc>
      </w:tr>
      <w:tr w:rsidR="00830F42" w:rsidRPr="00AC67F2" w14:paraId="0E3BEF5E"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4FC9D8A3" w14:textId="77777777" w:rsidR="00830F42" w:rsidRPr="00AC67F2" w:rsidRDefault="00830F42" w:rsidP="002559F4">
            <w:pPr>
              <w:rPr>
                <w:rFonts w:cstheme="minorHAnsi"/>
                <w:lang w:val="sr-Latn-ME" w:eastAsia="en-GB"/>
              </w:rPr>
            </w:pPr>
            <w:r>
              <w:rPr>
                <w:rFonts w:cstheme="minorHAnsi"/>
                <w:lang w:val="sr-Latn-ME"/>
              </w:rPr>
              <w:t>Ukupno</w:t>
            </w:r>
          </w:p>
        </w:tc>
        <w:tc>
          <w:tcPr>
            <w:tcW w:w="747" w:type="dxa"/>
          </w:tcPr>
          <w:p w14:paraId="0D88C25B"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5294C811"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30CC180E"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0C3AFCC" w14:textId="7A00FE19" w:rsidR="00830F42" w:rsidRPr="00E72E03" w:rsidRDefault="00830F42"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0</w:t>
            </w:r>
            <w:r w:rsidRPr="00E72E03">
              <w:rPr>
                <w:rFonts w:cstheme="minorHAnsi"/>
                <w:b/>
                <w:bCs/>
                <w:sz w:val="28"/>
                <w:szCs w:val="28"/>
                <w:lang w:val="sr-Latn-ME"/>
              </w:rPr>
              <w:t>/</w:t>
            </w:r>
            <w:r w:rsidR="008B607A">
              <w:rPr>
                <w:rFonts w:cstheme="minorHAnsi"/>
                <w:b/>
                <w:bCs/>
                <w:sz w:val="28"/>
                <w:szCs w:val="28"/>
                <w:lang w:val="sr-Latn-ME"/>
              </w:rPr>
              <w:t>7</w:t>
            </w:r>
          </w:p>
        </w:tc>
      </w:tr>
    </w:tbl>
    <w:p w14:paraId="2C5A9CDA" w14:textId="77777777" w:rsidR="00830F42" w:rsidRPr="00AC67F2" w:rsidRDefault="00830F42" w:rsidP="00830F42">
      <w:pPr>
        <w:rPr>
          <w:rFonts w:cstheme="minorHAnsi"/>
          <w:lang w:val="sr-Latn-ME"/>
        </w:rPr>
      </w:pPr>
    </w:p>
    <w:p w14:paraId="2B401769" w14:textId="77777777" w:rsidR="00830F42" w:rsidRPr="00852DD8" w:rsidRDefault="00830F42" w:rsidP="00830F42">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830F42" w:rsidRPr="00AC67F2" w14:paraId="63E4F684"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54CEE42B" w14:textId="77777777" w:rsidR="00830F42" w:rsidRPr="00AC67F2" w:rsidRDefault="00830F42"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20143B56"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4335136E"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66373DD9"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704C9455"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44E36D4D"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4C985CED"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1D21419" w14:textId="77777777" w:rsidR="00830F42" w:rsidRPr="00AC67F2" w:rsidRDefault="00830F42" w:rsidP="002559F4">
            <w:pPr>
              <w:rPr>
                <w:rFonts w:cstheme="minorHAnsi"/>
                <w:lang w:val="sr-Latn-ME"/>
              </w:rPr>
            </w:pPr>
            <w:r>
              <w:rPr>
                <w:rFonts w:cstheme="minorHAnsi"/>
                <w:lang w:val="sr-Latn-ME"/>
              </w:rPr>
              <w:t>3.1</w:t>
            </w:r>
          </w:p>
        </w:tc>
        <w:tc>
          <w:tcPr>
            <w:tcW w:w="3908" w:type="dxa"/>
          </w:tcPr>
          <w:p w14:paraId="5359DD5F"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398E5AA2" w14:textId="73D9B61B"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2537B984" w14:textId="022C20B9" w:rsidR="00830F42" w:rsidRPr="00AC67F2" w:rsidRDefault="001941BE"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07" w:type="dxa"/>
          </w:tcPr>
          <w:p w14:paraId="65D4CD6D"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2FD9AB96" w14:textId="77777777" w:rsidR="00830F42" w:rsidRPr="009A4E2D"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Predviđa se da je neophodno kad god je moguće obuhvat i utrošak vakcina pratiti po nekoliko parametara od kojih je jedan pol. </w:t>
            </w:r>
          </w:p>
        </w:tc>
      </w:tr>
      <w:tr w:rsidR="00830F42" w:rsidRPr="00AC67F2" w14:paraId="589E5741"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0C31DC39" w14:textId="77777777" w:rsidR="00830F42" w:rsidRDefault="00830F42" w:rsidP="002559F4">
            <w:pPr>
              <w:rPr>
                <w:rFonts w:cstheme="minorHAnsi"/>
                <w:lang w:val="sr-Latn-ME"/>
              </w:rPr>
            </w:pPr>
            <w:r>
              <w:rPr>
                <w:rFonts w:cstheme="minorHAnsi"/>
                <w:lang w:val="sr-Latn-ME"/>
              </w:rPr>
              <w:t>Ukupno</w:t>
            </w:r>
          </w:p>
        </w:tc>
        <w:tc>
          <w:tcPr>
            <w:tcW w:w="760" w:type="dxa"/>
            <w:shd w:val="clear" w:color="auto" w:fill="auto"/>
          </w:tcPr>
          <w:p w14:paraId="6FDA2E4D"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202F37A3"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4E761ED6"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2489E18B" w14:textId="060326C4" w:rsidR="00830F42" w:rsidRPr="00AC67F2" w:rsidRDefault="00830F42"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0/1</w:t>
            </w:r>
          </w:p>
        </w:tc>
      </w:tr>
    </w:tbl>
    <w:p w14:paraId="4D863693" w14:textId="77777777" w:rsidR="00830F42" w:rsidRDefault="00830F42" w:rsidP="00830F42">
      <w:pPr>
        <w:rPr>
          <w:rFonts w:cstheme="minorHAnsi"/>
          <w:lang w:val="sr-Latn-ME"/>
        </w:rPr>
      </w:pPr>
    </w:p>
    <w:p w14:paraId="30E876B3" w14:textId="132106B6" w:rsidR="00830F42" w:rsidRPr="007476E5" w:rsidRDefault="00830F42" w:rsidP="00830F42">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0000"/>
          <w:sz w:val="32"/>
          <w:szCs w:val="32"/>
          <w:lang w:val="sr-Latn-ME"/>
        </w:rPr>
      </w:pPr>
      <w:r w:rsidRPr="007476E5">
        <w:rPr>
          <w:rFonts w:cstheme="minorHAnsi"/>
          <w:color w:val="FF0000"/>
          <w:sz w:val="32"/>
          <w:szCs w:val="32"/>
          <w:lang w:val="sr-Latn-ME"/>
        </w:rPr>
        <w:t xml:space="preserve">Konačna ocjena: </w:t>
      </w:r>
      <w:r w:rsidR="001941BE" w:rsidRPr="007476E5">
        <w:rPr>
          <w:rFonts w:cstheme="minorHAnsi"/>
          <w:color w:val="FF0000"/>
          <w:sz w:val="32"/>
          <w:szCs w:val="32"/>
          <w:lang w:val="sr-Latn-ME"/>
        </w:rPr>
        <w:t>0</w:t>
      </w:r>
      <w:r w:rsidRPr="007476E5">
        <w:rPr>
          <w:rFonts w:cstheme="minorHAnsi"/>
          <w:color w:val="FF0000"/>
          <w:sz w:val="32"/>
          <w:szCs w:val="32"/>
          <w:lang w:val="sr-Latn-ME"/>
        </w:rPr>
        <w:t xml:space="preserve"> od </w:t>
      </w:r>
      <w:r w:rsidR="001941BE" w:rsidRPr="007476E5">
        <w:rPr>
          <w:rFonts w:cstheme="minorHAnsi"/>
          <w:color w:val="FF0000"/>
          <w:sz w:val="32"/>
          <w:szCs w:val="32"/>
          <w:lang w:val="sr-Latn-ME"/>
        </w:rPr>
        <w:t>1</w:t>
      </w:r>
      <w:r w:rsidR="008B607A">
        <w:rPr>
          <w:rFonts w:cstheme="minorHAnsi"/>
          <w:color w:val="FF0000"/>
          <w:sz w:val="32"/>
          <w:szCs w:val="32"/>
          <w:lang w:val="sr-Latn-ME"/>
        </w:rPr>
        <w:t>0</w:t>
      </w:r>
      <w:r w:rsidRPr="007476E5">
        <w:rPr>
          <w:rFonts w:cstheme="minorHAnsi"/>
          <w:color w:val="FF0000"/>
          <w:sz w:val="32"/>
          <w:szCs w:val="32"/>
          <w:lang w:val="sr-Latn-ME"/>
        </w:rPr>
        <w:t xml:space="preserve"> ili </w:t>
      </w:r>
      <w:r w:rsidRPr="007476E5">
        <w:rPr>
          <w:rFonts w:cstheme="minorHAnsi"/>
          <w:b/>
          <w:bCs/>
          <w:color w:val="FF0000"/>
          <w:sz w:val="32"/>
          <w:szCs w:val="32"/>
          <w:lang w:val="sr-Latn-ME"/>
        </w:rPr>
        <w:t xml:space="preserve">0 – Strategija </w:t>
      </w:r>
      <w:r w:rsidR="007476E5" w:rsidRPr="007476E5">
        <w:rPr>
          <w:rFonts w:cstheme="minorHAnsi"/>
          <w:b/>
          <w:bCs/>
          <w:color w:val="FF0000"/>
          <w:sz w:val="32"/>
          <w:szCs w:val="32"/>
          <w:lang w:val="sr-Latn-ME"/>
        </w:rPr>
        <w:t>uopšte</w:t>
      </w:r>
      <w:r w:rsidRPr="007476E5">
        <w:rPr>
          <w:rFonts w:cstheme="minorHAnsi"/>
          <w:b/>
          <w:bCs/>
          <w:color w:val="FF0000"/>
          <w:sz w:val="32"/>
          <w:szCs w:val="32"/>
          <w:lang w:val="sr-Latn-ME"/>
        </w:rPr>
        <w:t xml:space="preserve"> nije orodnjena.</w:t>
      </w:r>
    </w:p>
    <w:p w14:paraId="201A62C1" w14:textId="77777777" w:rsidR="00830F42" w:rsidRPr="00830F42" w:rsidRDefault="00830F42" w:rsidP="00830F42">
      <w:pPr>
        <w:rPr>
          <w:lang w:val="sr-Latn-ME"/>
        </w:rPr>
      </w:pPr>
    </w:p>
    <w:p w14:paraId="121306D7" w14:textId="29B555A5" w:rsidR="00AC6EB8" w:rsidRDefault="00227611" w:rsidP="008E3E5F">
      <w:pPr>
        <w:pStyle w:val="Heading3"/>
        <w:rPr>
          <w:lang w:val="sr-Latn-ME"/>
        </w:rPr>
      </w:pPr>
      <w:bookmarkStart w:id="29" w:name="_Toc100339551"/>
      <w:r>
        <w:rPr>
          <w:lang w:val="sr-Latn-ME"/>
        </w:rPr>
        <w:lastRenderedPageBreak/>
        <w:t>22</w:t>
      </w:r>
      <w:r w:rsidR="009D5CC5">
        <w:rPr>
          <w:lang w:val="sr-Latn-ME"/>
        </w:rPr>
        <w:t xml:space="preserve">. </w:t>
      </w:r>
      <w:r w:rsidR="00AC6EB8" w:rsidRPr="00AC6EB8">
        <w:rPr>
          <w:lang w:val="sr-Latn-ME"/>
        </w:rPr>
        <w:t>Program za unapređenje konkurentnosti privrede za 2021. godinu</w:t>
      </w:r>
      <w:bookmarkEnd w:id="29"/>
    </w:p>
    <w:p w14:paraId="334D1F52" w14:textId="77777777" w:rsidR="008C5905" w:rsidRPr="008C5905" w:rsidRDefault="008C5905" w:rsidP="008C5905">
      <w:pPr>
        <w:rPr>
          <w:lang w:val="sr-Latn-ME"/>
        </w:rPr>
      </w:pPr>
    </w:p>
    <w:p w14:paraId="52995295" w14:textId="412AACCF" w:rsidR="00401EDA" w:rsidRPr="000E5D42" w:rsidRDefault="00401EDA" w:rsidP="00401EDA">
      <w:pPr>
        <w:spacing w:line="276" w:lineRule="auto"/>
        <w:jc w:val="both"/>
        <w:rPr>
          <w:rFonts w:cstheme="minorHAnsi"/>
        </w:rPr>
      </w:pPr>
      <w:r>
        <w:rPr>
          <w:lang w:val="sr-Latn-ME"/>
        </w:rPr>
        <w:t xml:space="preserve">Ovaj Program ima za cilj </w:t>
      </w:r>
      <w:r w:rsidRPr="000E5D42">
        <w:rPr>
          <w:rFonts w:eastAsia="Calibri" w:cstheme="minorHAnsi"/>
          <w:color w:val="000000"/>
        </w:rPr>
        <w:t xml:space="preserve">podsticanje investicija, digitalizacije, cirkularne ekonomije i uvođenja međunarodnih standarda poslovanja, odobravanjem bespovratnih sredstava za postepeno prevazilaženje negativnih efekata krize u poslovanju sektora mikro, malih i srednjih preduzeća. </w:t>
      </w:r>
      <w:r w:rsidRPr="000E5D42">
        <w:rPr>
          <w:rFonts w:cstheme="minorHAnsi"/>
        </w:rPr>
        <w:t xml:space="preserve">Posebna pažnja </w:t>
      </w:r>
      <w:r w:rsidR="000E5D42">
        <w:rPr>
          <w:rFonts w:cstheme="minorHAnsi"/>
        </w:rPr>
        <w:t>u dokumentu</w:t>
      </w:r>
      <w:r w:rsidRPr="000E5D42">
        <w:rPr>
          <w:rFonts w:cstheme="minorHAnsi"/>
        </w:rPr>
        <w:t xml:space="preserve"> posvećena </w:t>
      </w:r>
      <w:r w:rsidR="000E5D42">
        <w:rPr>
          <w:rFonts w:cstheme="minorHAnsi"/>
        </w:rPr>
        <w:t>je</w:t>
      </w:r>
      <w:r w:rsidRPr="000E5D42">
        <w:rPr>
          <w:rFonts w:cstheme="minorHAnsi"/>
        </w:rPr>
        <w:t xml:space="preserve"> podsticanju razvoja preduzetništva mladih, žena i zanatlija kao posebno </w:t>
      </w:r>
      <w:r w:rsidRPr="000E5D42">
        <w:rPr>
          <w:rFonts w:cstheme="minorHAnsi"/>
          <w:i/>
          <w:iCs/>
        </w:rPr>
        <w:t>„ranjivih“</w:t>
      </w:r>
      <w:r w:rsidRPr="000E5D42">
        <w:rPr>
          <w:rFonts w:cstheme="minorHAnsi"/>
        </w:rPr>
        <w:t xml:space="preserve"> ciljnih grupa.</w:t>
      </w:r>
    </w:p>
    <w:p w14:paraId="128F08E0" w14:textId="5F01FAAA" w:rsidR="00C86069" w:rsidRPr="00C86069" w:rsidRDefault="00C86069" w:rsidP="00C86069">
      <w:pPr>
        <w:rPr>
          <w:lang w:val="sr-Latn-ME"/>
        </w:rPr>
      </w:pPr>
    </w:p>
    <w:p w14:paraId="3E3E70B2" w14:textId="77777777" w:rsidR="00830F42" w:rsidRPr="007D71A2" w:rsidRDefault="00830F42" w:rsidP="00830F42">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830F42" w:rsidRPr="00AC67F2" w14:paraId="6EDF5DF8"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7C763A65" w14:textId="77777777" w:rsidR="00830F42" w:rsidRPr="00AC67F2" w:rsidRDefault="00830F42"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5EAB3DCF"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6A6F179F"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42EA1E68" w14:textId="77777777" w:rsidR="00830F42" w:rsidRPr="009148DB"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2A9D47FC"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65241303"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0A24E19E" w14:textId="77777777" w:rsidR="00830F42" w:rsidRPr="00AC67F2" w:rsidRDefault="00830F42"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43F01AE1" w14:textId="77777777" w:rsidR="00830F42" w:rsidRPr="00DA659B"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6D43F138"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6289D61F"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5CE848F0"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56430BAF" w14:textId="77777777" w:rsidR="00830F42" w:rsidRPr="00A545D6"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830F42" w:rsidRPr="00AC67F2" w14:paraId="4F11CD7C"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33FA3D25" w14:textId="77777777" w:rsidR="00830F42" w:rsidRPr="00AC67F2" w:rsidRDefault="00830F42" w:rsidP="002559F4">
            <w:pPr>
              <w:rPr>
                <w:rFonts w:cstheme="minorHAnsi"/>
                <w:lang w:val="sr-Latn-ME"/>
              </w:rPr>
            </w:pPr>
            <w:r>
              <w:rPr>
                <w:rFonts w:cstheme="minorHAnsi"/>
                <w:lang w:val="sr-Latn-ME"/>
              </w:rPr>
              <w:t>1.2</w:t>
            </w:r>
          </w:p>
        </w:tc>
        <w:tc>
          <w:tcPr>
            <w:tcW w:w="2443" w:type="pct"/>
          </w:tcPr>
          <w:p w14:paraId="2208933A"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3E04E94B"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5D76B830" w14:textId="5543F20A"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2E84F064" w14:textId="2AA94918" w:rsidR="00830F42" w:rsidRPr="00AC67F2" w:rsidRDefault="0090437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3D06F5D5" w14:textId="166030C7" w:rsidR="00830F42" w:rsidRPr="00A545D6" w:rsidRDefault="0090437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U Strategiji se navodi da je bila angažovana ekspertska pomoć, ali nije precizirano da se odnosila na rodnu perspektivu.</w:t>
            </w:r>
          </w:p>
        </w:tc>
      </w:tr>
      <w:tr w:rsidR="00830F42" w:rsidRPr="00AC67F2" w14:paraId="5BBDC48E"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7904F778" w14:textId="77777777" w:rsidR="00830F42" w:rsidRPr="00AC67F2" w:rsidRDefault="00830F42" w:rsidP="002559F4">
            <w:pPr>
              <w:rPr>
                <w:rFonts w:cstheme="minorHAnsi"/>
                <w:lang w:val="sr-Latn-ME"/>
              </w:rPr>
            </w:pPr>
            <w:r>
              <w:rPr>
                <w:rFonts w:cstheme="minorHAnsi"/>
                <w:lang w:val="sr-Latn-ME"/>
              </w:rPr>
              <w:t>Ukupno</w:t>
            </w:r>
          </w:p>
        </w:tc>
        <w:tc>
          <w:tcPr>
            <w:tcW w:w="645" w:type="pct"/>
          </w:tcPr>
          <w:p w14:paraId="4E96A63D"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04743E84"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7A8F04F2" w14:textId="661E3AA5" w:rsidR="00830F42" w:rsidRPr="008C09CD" w:rsidRDefault="00480369"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w:t>
            </w:r>
            <w:r w:rsidR="00830F42">
              <w:rPr>
                <w:rFonts w:cstheme="minorHAnsi"/>
                <w:b/>
                <w:bCs/>
                <w:sz w:val="28"/>
                <w:szCs w:val="28"/>
              </w:rPr>
              <w:t>/2</w:t>
            </w:r>
          </w:p>
        </w:tc>
      </w:tr>
    </w:tbl>
    <w:p w14:paraId="1A2A532E" w14:textId="77777777" w:rsidR="00830F42" w:rsidRPr="00F43A6C" w:rsidRDefault="00830F42" w:rsidP="00830F42">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AB4CC8" w:rsidRPr="00AC67F2" w14:paraId="6F6F8EBA"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64C5CC26" w14:textId="77777777" w:rsidR="00830F42" w:rsidRPr="00AC67F2" w:rsidRDefault="00830F42"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1335AFBD"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0DA3A8A6"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5A89AA9D"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6E633FB8"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70906B41"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652166F3"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5C367FD" w14:textId="77777777" w:rsidR="00830F42" w:rsidRPr="00AC67F2" w:rsidRDefault="00830F42"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54791679"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445FF753" w14:textId="5A8C2C63" w:rsidR="00830F42" w:rsidRPr="00A00FA0"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tcPr>
          <w:p w14:paraId="309FFD0D" w14:textId="1F13AFB6" w:rsidR="00830F42" w:rsidRPr="00AC67F2" w:rsidRDefault="003D058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04BBA3A8"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4F48F11" w14:textId="24EDF106" w:rsidR="00830F42" w:rsidRPr="00A71811" w:rsidRDefault="003D0584"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U dokumentu se ističe </w:t>
            </w:r>
            <w:r w:rsidR="00D35F40">
              <w:rPr>
                <w:rFonts w:cstheme="minorHAnsi"/>
                <w:sz w:val="18"/>
                <w:szCs w:val="18"/>
                <w:lang w:val="sr-Latn-ME"/>
              </w:rPr>
              <w:t xml:space="preserve">da postoji problem nedovoljnog broja preduzetnica i vlasnica malih i srednjih preduzeća, ali se ne navode podaci kojima bi se ta tvrdnja potkrijepila. </w:t>
            </w:r>
          </w:p>
        </w:tc>
      </w:tr>
      <w:tr w:rsidR="00AB4CC8" w:rsidRPr="00AC67F2" w14:paraId="1DEF2A88"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4D776825" w14:textId="77777777" w:rsidR="00830F42" w:rsidRPr="00AC67F2" w:rsidRDefault="00830F42" w:rsidP="002559F4">
            <w:pPr>
              <w:rPr>
                <w:rFonts w:cstheme="minorHAnsi"/>
                <w:lang w:val="sr-Latn-ME"/>
              </w:rPr>
            </w:pPr>
            <w:r>
              <w:rPr>
                <w:rFonts w:cstheme="minorHAnsi"/>
                <w:lang w:val="sr-Latn-ME"/>
              </w:rPr>
              <w:t>2.2</w:t>
            </w:r>
          </w:p>
        </w:tc>
        <w:tc>
          <w:tcPr>
            <w:tcW w:w="3856" w:type="dxa"/>
            <w:shd w:val="clear" w:color="auto" w:fill="auto"/>
          </w:tcPr>
          <w:p w14:paraId="78E3348C"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je u analizi stanja uočena rodna nejednakost u oblasti obrazovanja, </w:t>
            </w:r>
            <w:r>
              <w:rPr>
                <w:rFonts w:cstheme="minorHAnsi"/>
                <w:lang w:val="sr-Latn-ME"/>
              </w:rPr>
              <w:lastRenderedPageBreak/>
              <w:t>zapošljavanja, učešća u odlučivanju i sl. u oblasti kojom se bavi javna politika?</w:t>
            </w:r>
          </w:p>
        </w:tc>
        <w:tc>
          <w:tcPr>
            <w:tcW w:w="747" w:type="dxa"/>
            <w:shd w:val="clear" w:color="auto" w:fill="auto"/>
          </w:tcPr>
          <w:p w14:paraId="3F63C849" w14:textId="4E8FB4CB"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720761DF" w14:textId="57444560" w:rsidR="00830F42" w:rsidRPr="00AC67F2" w:rsidRDefault="00D35F40"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2042A18C"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373C4350"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AB4CC8" w:rsidRPr="00AC67F2" w14:paraId="5E7AB4AF"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7B3F6E68" w14:textId="77777777" w:rsidR="00830F42" w:rsidRDefault="00830F42" w:rsidP="002559F4">
            <w:pPr>
              <w:rPr>
                <w:rFonts w:cstheme="minorHAnsi"/>
                <w:lang w:val="sr-Latn-ME"/>
              </w:rPr>
            </w:pPr>
            <w:r>
              <w:rPr>
                <w:rFonts w:cstheme="minorHAnsi"/>
                <w:lang w:val="sr-Latn-ME"/>
              </w:rPr>
              <w:t>2.3</w:t>
            </w:r>
          </w:p>
        </w:tc>
        <w:tc>
          <w:tcPr>
            <w:tcW w:w="3856" w:type="dxa"/>
            <w:shd w:val="clear" w:color="auto" w:fill="auto"/>
          </w:tcPr>
          <w:p w14:paraId="4B7B852A"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shd w:val="clear" w:color="auto" w:fill="auto"/>
          </w:tcPr>
          <w:p w14:paraId="5CB07FFC"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7A2ADDAE" w14:textId="712657AD" w:rsidR="00830F42" w:rsidRPr="00AC67F2" w:rsidRDefault="00D35F40"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59875512"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37D76CEE"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045C03A5"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24728FB1" w14:textId="77777777" w:rsidR="00830F42" w:rsidRPr="00AC67F2" w:rsidRDefault="00830F42" w:rsidP="002559F4">
            <w:pPr>
              <w:rPr>
                <w:rFonts w:cstheme="minorHAnsi"/>
                <w:lang w:val="sr-Latn-ME"/>
              </w:rPr>
            </w:pPr>
            <w:r>
              <w:rPr>
                <w:rFonts w:cstheme="minorHAnsi"/>
                <w:lang w:val="sr-Latn-ME"/>
              </w:rPr>
              <w:t>2.4</w:t>
            </w:r>
          </w:p>
        </w:tc>
        <w:tc>
          <w:tcPr>
            <w:tcW w:w="3856" w:type="dxa"/>
            <w:shd w:val="clear" w:color="auto" w:fill="auto"/>
          </w:tcPr>
          <w:p w14:paraId="59FF4547"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311195AD" w14:textId="5DE7481A" w:rsidR="00830F42" w:rsidRPr="00C26A63" w:rsidRDefault="009C6EBE"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shd w:val="clear" w:color="auto" w:fill="auto"/>
          </w:tcPr>
          <w:p w14:paraId="0AA7E25F" w14:textId="6BC41F0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65A405CA"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00025DD3" w14:textId="77777777" w:rsidR="00D35F40" w:rsidRDefault="00D35F40" w:rsidP="00AB4CC8">
            <w:pPr>
              <w:widowControl w:val="0"/>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eastAsia="en-GB"/>
              </w:rPr>
            </w:pPr>
            <w:r>
              <w:rPr>
                <w:rFonts w:cstheme="minorHAnsi"/>
                <w:sz w:val="18"/>
                <w:szCs w:val="18"/>
                <w:lang w:eastAsia="en-GB"/>
              </w:rPr>
              <w:t xml:space="preserve">Postoje dva cilja: </w:t>
            </w:r>
          </w:p>
          <w:p w14:paraId="158E5CC9" w14:textId="0FE28483" w:rsidR="00DF373B" w:rsidRPr="00D35F40" w:rsidRDefault="00DF373B" w:rsidP="00AB4CC8">
            <w:pPr>
              <w:widowControl w:val="0"/>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eastAsia="en-GB"/>
              </w:rPr>
            </w:pPr>
            <w:r w:rsidRPr="00D35F40">
              <w:rPr>
                <w:rFonts w:cstheme="minorHAnsi"/>
                <w:sz w:val="18"/>
                <w:szCs w:val="18"/>
                <w:lang w:eastAsia="en-GB"/>
              </w:rPr>
              <w:t>podsticanje preduzetništva kod žena i mladih kroz sufinansiranje ulaganja male vrijednosti;</w:t>
            </w:r>
          </w:p>
          <w:p w14:paraId="6D0BC1F3" w14:textId="77777777" w:rsidR="00AB4CC8" w:rsidRPr="00D35F40" w:rsidRDefault="00AB4CC8" w:rsidP="00AB4CC8">
            <w:pPr>
              <w:widowControl w:val="0"/>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eastAsia="en-GB"/>
              </w:rPr>
            </w:pPr>
          </w:p>
          <w:p w14:paraId="607F07D3" w14:textId="5B86272D" w:rsidR="00830F42" w:rsidRPr="00D35F40" w:rsidRDefault="00371FB0" w:rsidP="00AB4CC8">
            <w:pPr>
              <w:widowControl w:val="0"/>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eastAsia="en-GB"/>
              </w:rPr>
            </w:pPr>
            <w:r w:rsidRPr="00D35F40">
              <w:rPr>
                <w:rFonts w:cstheme="minorHAnsi"/>
                <w:sz w:val="18"/>
                <w:szCs w:val="18"/>
                <w:lang w:eastAsia="en-GB"/>
              </w:rPr>
              <w:t>podrška razvoju preduzetništva kroz osnivanje novih preduzeća i animiranje specifičnih ciljnih grupa – mladih ljudi, žen</w:t>
            </w:r>
            <w:r w:rsidR="00A82554">
              <w:rPr>
                <w:rFonts w:cstheme="minorHAnsi"/>
                <w:sz w:val="18"/>
                <w:szCs w:val="18"/>
                <w:lang w:eastAsia="en-GB"/>
              </w:rPr>
              <w:t xml:space="preserve">a i dr. </w:t>
            </w:r>
          </w:p>
        </w:tc>
      </w:tr>
      <w:tr w:rsidR="00830F42" w:rsidRPr="00AC67F2" w14:paraId="0BC0722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9048A2F" w14:textId="77777777" w:rsidR="00830F42" w:rsidRDefault="00830F42" w:rsidP="002559F4">
            <w:pPr>
              <w:rPr>
                <w:rFonts w:cstheme="minorHAnsi"/>
                <w:lang w:val="sr-Latn-ME"/>
              </w:rPr>
            </w:pPr>
            <w:r>
              <w:rPr>
                <w:rFonts w:cstheme="minorHAnsi"/>
                <w:lang w:val="sr-Latn-ME"/>
              </w:rPr>
              <w:t>2.5</w:t>
            </w:r>
          </w:p>
        </w:tc>
        <w:tc>
          <w:tcPr>
            <w:tcW w:w="3856" w:type="dxa"/>
          </w:tcPr>
          <w:p w14:paraId="1E362496"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1E265D78" w14:textId="1CA1D3FC" w:rsidR="00830F42" w:rsidRPr="00CC0043" w:rsidRDefault="00FD42C1"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tcPr>
          <w:p w14:paraId="40DC894E"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678C3E77"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8631242" w14:textId="08FC38B0"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D35F40" w:rsidRPr="00AC67F2" w14:paraId="3F39E4D8"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70E80587" w14:textId="77777777" w:rsidR="00830F42" w:rsidRPr="00AC67F2" w:rsidRDefault="00830F42" w:rsidP="002559F4">
            <w:pPr>
              <w:rPr>
                <w:rFonts w:cstheme="minorHAnsi"/>
                <w:lang w:val="sr-Latn-ME"/>
              </w:rPr>
            </w:pPr>
            <w:r>
              <w:rPr>
                <w:rFonts w:cstheme="minorHAnsi"/>
                <w:lang w:val="sr-Latn-ME"/>
              </w:rPr>
              <w:t>2.6</w:t>
            </w:r>
          </w:p>
        </w:tc>
        <w:tc>
          <w:tcPr>
            <w:tcW w:w="3856" w:type="dxa"/>
            <w:shd w:val="clear" w:color="auto" w:fill="auto"/>
          </w:tcPr>
          <w:p w14:paraId="1028F133"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auto"/>
          </w:tcPr>
          <w:p w14:paraId="0DB9ED66" w14:textId="5D8BDF33" w:rsidR="00830F42" w:rsidRPr="00194E29" w:rsidRDefault="00FD42C1"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shd w:val="clear" w:color="auto" w:fill="auto"/>
          </w:tcPr>
          <w:p w14:paraId="30D51A8D"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7A686B69"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12ED9355" w14:textId="59FE95AC"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6AA9830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B0CF874" w14:textId="77777777" w:rsidR="00830F42" w:rsidRDefault="00830F42" w:rsidP="002559F4">
            <w:pPr>
              <w:rPr>
                <w:rFonts w:cstheme="minorHAnsi"/>
                <w:lang w:val="sr-Latn-ME"/>
              </w:rPr>
            </w:pPr>
            <w:r>
              <w:rPr>
                <w:rFonts w:cstheme="minorHAnsi"/>
                <w:lang w:val="sr-Latn-ME"/>
              </w:rPr>
              <w:t>2.7</w:t>
            </w:r>
          </w:p>
        </w:tc>
        <w:tc>
          <w:tcPr>
            <w:tcW w:w="3856" w:type="dxa"/>
          </w:tcPr>
          <w:p w14:paraId="2BA446A5"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5836ECE0"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E2A2B69"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42D03369"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48511BEF"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393C841C"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4149045" w14:textId="750B30E2" w:rsidR="00830F42" w:rsidRPr="00AC67F2" w:rsidRDefault="00830F42"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23EF49AF"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2DEA9545" w14:textId="77777777" w:rsidR="00830F42" w:rsidRPr="005C2773" w:rsidRDefault="00830F42"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1B6D319D"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7151AB1"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0FADDD28"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C0A0DBE" w14:textId="7960E862"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574452">
              <w:rPr>
                <w:rFonts w:cstheme="minorHAnsi"/>
                <w:sz w:val="18"/>
                <w:szCs w:val="18"/>
                <w:lang w:val="sr-Latn-ME"/>
              </w:rPr>
              <w:t>Strategija koristi uglavnom rodno neutralne izraze, a tamo gdje to nije moguće ne koristi se rodno senzitivan jezik („</w:t>
            </w:r>
            <w:r w:rsidR="00792E2C">
              <w:rPr>
                <w:rFonts w:cstheme="minorHAnsi"/>
                <w:sz w:val="18"/>
                <w:szCs w:val="18"/>
                <w:lang w:val="sr-Latn-ME"/>
              </w:rPr>
              <w:t>pružaoci</w:t>
            </w:r>
            <w:r>
              <w:rPr>
                <w:rFonts w:cstheme="minorHAnsi"/>
                <w:sz w:val="18"/>
                <w:szCs w:val="18"/>
                <w:lang w:val="sr-Latn-ME"/>
              </w:rPr>
              <w:t>i</w:t>
            </w:r>
            <w:r w:rsidRPr="00574452">
              <w:rPr>
                <w:rFonts w:cstheme="minorHAnsi"/>
                <w:sz w:val="18"/>
                <w:szCs w:val="18"/>
                <w:lang w:val="sr-Latn-ME"/>
              </w:rPr>
              <w:t>“</w:t>
            </w:r>
            <w:r>
              <w:rPr>
                <w:rFonts w:cstheme="minorHAnsi"/>
                <w:sz w:val="18"/>
                <w:szCs w:val="18"/>
                <w:lang w:val="sr-Latn-ME"/>
              </w:rPr>
              <w:t>).</w:t>
            </w:r>
          </w:p>
          <w:p w14:paraId="48BDED11" w14:textId="77777777" w:rsidR="00830F42" w:rsidRPr="0057445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 </w:t>
            </w:r>
          </w:p>
        </w:tc>
      </w:tr>
      <w:tr w:rsidR="00830F42" w:rsidRPr="00AC67F2" w14:paraId="48889A02"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61A50554" w14:textId="77777777" w:rsidR="00830F42" w:rsidRPr="00AC67F2" w:rsidRDefault="00830F42" w:rsidP="002559F4">
            <w:pPr>
              <w:rPr>
                <w:rFonts w:cstheme="minorHAnsi"/>
                <w:lang w:val="sr-Latn-ME" w:eastAsia="en-GB"/>
              </w:rPr>
            </w:pPr>
            <w:r>
              <w:rPr>
                <w:rFonts w:cstheme="minorHAnsi"/>
                <w:lang w:val="sr-Latn-ME"/>
              </w:rPr>
              <w:t>Ukupno</w:t>
            </w:r>
          </w:p>
        </w:tc>
        <w:tc>
          <w:tcPr>
            <w:tcW w:w="747" w:type="dxa"/>
          </w:tcPr>
          <w:p w14:paraId="12CA5B95"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78282477"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370BD20E"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B86416B" w14:textId="495F33DB" w:rsidR="00830F42" w:rsidRPr="00E72E03" w:rsidRDefault="002641FF"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3</w:t>
            </w:r>
            <w:r w:rsidR="00830F42" w:rsidRPr="00E72E03">
              <w:rPr>
                <w:rFonts w:cstheme="minorHAnsi"/>
                <w:b/>
                <w:bCs/>
                <w:sz w:val="28"/>
                <w:szCs w:val="28"/>
                <w:lang w:val="sr-Latn-ME"/>
              </w:rPr>
              <w:t>/</w:t>
            </w:r>
            <w:r w:rsidR="00C95F3E">
              <w:rPr>
                <w:rFonts w:cstheme="minorHAnsi"/>
                <w:b/>
                <w:bCs/>
                <w:sz w:val="28"/>
                <w:szCs w:val="28"/>
                <w:lang w:val="sr-Latn-ME"/>
              </w:rPr>
              <w:t>8</w:t>
            </w:r>
          </w:p>
        </w:tc>
      </w:tr>
    </w:tbl>
    <w:p w14:paraId="3B892D65" w14:textId="77777777" w:rsidR="00830F42" w:rsidRPr="00AC67F2" w:rsidRDefault="00830F42" w:rsidP="00830F42">
      <w:pPr>
        <w:rPr>
          <w:rFonts w:cstheme="minorHAnsi"/>
          <w:lang w:val="sr-Latn-ME"/>
        </w:rPr>
      </w:pPr>
    </w:p>
    <w:p w14:paraId="189F6066" w14:textId="77777777" w:rsidR="00830F42" w:rsidRPr="00852DD8" w:rsidRDefault="00830F42" w:rsidP="00830F42">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830F42" w:rsidRPr="00AC67F2" w14:paraId="1A481B6A"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3541E154" w14:textId="77777777" w:rsidR="00830F42" w:rsidRPr="00AC67F2" w:rsidRDefault="00830F42"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3B6E16CD"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096D94A9"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4BECD73C"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5809E958"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0F49B8ED"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66D48B50"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B5077A4" w14:textId="77777777" w:rsidR="00830F42" w:rsidRPr="00AC67F2" w:rsidRDefault="00830F42" w:rsidP="002559F4">
            <w:pPr>
              <w:rPr>
                <w:rFonts w:cstheme="minorHAnsi"/>
                <w:lang w:val="sr-Latn-ME"/>
              </w:rPr>
            </w:pPr>
            <w:r>
              <w:rPr>
                <w:rFonts w:cstheme="minorHAnsi"/>
                <w:lang w:val="sr-Latn-ME"/>
              </w:rPr>
              <w:lastRenderedPageBreak/>
              <w:t>3.1</w:t>
            </w:r>
          </w:p>
        </w:tc>
        <w:tc>
          <w:tcPr>
            <w:tcW w:w="3908" w:type="dxa"/>
          </w:tcPr>
          <w:p w14:paraId="390AA904"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6902E182" w14:textId="0E01AB92"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2E921703" w14:textId="46410C11" w:rsidR="00830F42" w:rsidRPr="00AC67F2" w:rsidRDefault="002641FF"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07" w:type="dxa"/>
          </w:tcPr>
          <w:p w14:paraId="35899F50"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7BB19600" w14:textId="15BFF449" w:rsidR="00830F42" w:rsidRPr="009A4E2D"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49AC67E0"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02F16C16" w14:textId="77777777" w:rsidR="00830F42" w:rsidRDefault="00830F42" w:rsidP="002559F4">
            <w:pPr>
              <w:rPr>
                <w:rFonts w:cstheme="minorHAnsi"/>
                <w:lang w:val="sr-Latn-ME"/>
              </w:rPr>
            </w:pPr>
            <w:r>
              <w:rPr>
                <w:rFonts w:cstheme="minorHAnsi"/>
                <w:lang w:val="sr-Latn-ME"/>
              </w:rPr>
              <w:t>Ukupno</w:t>
            </w:r>
          </w:p>
        </w:tc>
        <w:tc>
          <w:tcPr>
            <w:tcW w:w="760" w:type="dxa"/>
            <w:shd w:val="clear" w:color="auto" w:fill="auto"/>
          </w:tcPr>
          <w:p w14:paraId="02CC2A50"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6D7FF9E2"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61A23421"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26B6B0E1" w14:textId="5D0835FE" w:rsidR="00830F42" w:rsidRPr="00AC67F2" w:rsidRDefault="00830F42"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0/1</w:t>
            </w:r>
          </w:p>
        </w:tc>
      </w:tr>
    </w:tbl>
    <w:p w14:paraId="7619E8CB" w14:textId="77777777" w:rsidR="00830F42" w:rsidRDefault="00830F42" w:rsidP="00830F42">
      <w:pPr>
        <w:rPr>
          <w:rFonts w:cstheme="minorHAnsi"/>
          <w:lang w:val="sr-Latn-ME"/>
        </w:rPr>
      </w:pPr>
    </w:p>
    <w:p w14:paraId="5B04AD94" w14:textId="3CD2EF54" w:rsidR="00830F42" w:rsidRPr="0080118F" w:rsidRDefault="00830F42" w:rsidP="00830F42">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C000"/>
          <w:sz w:val="32"/>
          <w:szCs w:val="32"/>
          <w:lang w:val="sr-Latn-ME"/>
        </w:rPr>
      </w:pPr>
      <w:r w:rsidRPr="0080118F">
        <w:rPr>
          <w:rFonts w:cstheme="minorHAnsi"/>
          <w:color w:val="FFC000"/>
          <w:sz w:val="32"/>
          <w:szCs w:val="32"/>
          <w:lang w:val="sr-Latn-ME"/>
        </w:rPr>
        <w:t xml:space="preserve">Konačna ocjena: </w:t>
      </w:r>
      <w:r w:rsidR="002641FF" w:rsidRPr="0080118F">
        <w:rPr>
          <w:rFonts w:cstheme="minorHAnsi"/>
          <w:color w:val="FFC000"/>
          <w:sz w:val="32"/>
          <w:szCs w:val="32"/>
          <w:lang w:val="sr-Latn-ME"/>
        </w:rPr>
        <w:t>3</w:t>
      </w:r>
      <w:r w:rsidRPr="0080118F">
        <w:rPr>
          <w:rFonts w:cstheme="minorHAnsi"/>
          <w:color w:val="FFC000"/>
          <w:sz w:val="32"/>
          <w:szCs w:val="32"/>
          <w:lang w:val="sr-Latn-ME"/>
        </w:rPr>
        <w:t xml:space="preserve"> od 1</w:t>
      </w:r>
      <w:r w:rsidR="00F11AB5" w:rsidRPr="0080118F">
        <w:rPr>
          <w:rFonts w:cstheme="minorHAnsi"/>
          <w:color w:val="FFC000"/>
          <w:sz w:val="32"/>
          <w:szCs w:val="32"/>
          <w:lang w:val="sr-Latn-ME"/>
        </w:rPr>
        <w:t>1</w:t>
      </w:r>
      <w:r w:rsidRPr="0080118F">
        <w:rPr>
          <w:rFonts w:cstheme="minorHAnsi"/>
          <w:color w:val="FFC000"/>
          <w:sz w:val="32"/>
          <w:szCs w:val="32"/>
          <w:lang w:val="sr-Latn-ME"/>
        </w:rPr>
        <w:t xml:space="preserve"> ili </w:t>
      </w:r>
      <w:r w:rsidRPr="0080118F">
        <w:rPr>
          <w:rFonts w:cstheme="minorHAnsi"/>
          <w:b/>
          <w:bCs/>
          <w:color w:val="FFC000"/>
          <w:sz w:val="32"/>
          <w:szCs w:val="32"/>
          <w:lang w:val="sr-Latn-ME"/>
        </w:rPr>
        <w:t>0.</w:t>
      </w:r>
      <w:r w:rsidR="0060673E" w:rsidRPr="0080118F">
        <w:rPr>
          <w:rFonts w:cstheme="minorHAnsi"/>
          <w:b/>
          <w:bCs/>
          <w:color w:val="FFC000"/>
          <w:sz w:val="32"/>
          <w:szCs w:val="32"/>
          <w:lang w:val="sr-Latn-ME"/>
        </w:rPr>
        <w:t>2</w:t>
      </w:r>
      <w:r w:rsidR="00F11AB5" w:rsidRPr="0080118F">
        <w:rPr>
          <w:rFonts w:cstheme="minorHAnsi"/>
          <w:b/>
          <w:bCs/>
          <w:color w:val="FFC000"/>
          <w:sz w:val="32"/>
          <w:szCs w:val="32"/>
          <w:lang w:val="sr-Latn-ME"/>
        </w:rPr>
        <w:t>7</w:t>
      </w:r>
      <w:r w:rsidRPr="0080118F">
        <w:rPr>
          <w:rFonts w:cstheme="minorHAnsi"/>
          <w:b/>
          <w:bCs/>
          <w:color w:val="FFC000"/>
          <w:sz w:val="32"/>
          <w:szCs w:val="32"/>
          <w:lang w:val="sr-Latn-ME"/>
        </w:rPr>
        <w:t xml:space="preserve"> – Strategija </w:t>
      </w:r>
      <w:r w:rsidR="00F11AB5" w:rsidRPr="0080118F">
        <w:rPr>
          <w:rFonts w:cstheme="minorHAnsi"/>
          <w:b/>
          <w:bCs/>
          <w:color w:val="FFC000"/>
          <w:sz w:val="32"/>
          <w:szCs w:val="32"/>
          <w:lang w:val="sr-Latn-ME"/>
        </w:rPr>
        <w:t xml:space="preserve">uglavnom </w:t>
      </w:r>
      <w:r w:rsidR="0060673E" w:rsidRPr="0080118F">
        <w:rPr>
          <w:rFonts w:cstheme="minorHAnsi"/>
          <w:b/>
          <w:bCs/>
          <w:color w:val="FFC000"/>
          <w:sz w:val="32"/>
          <w:szCs w:val="32"/>
          <w:lang w:val="sr-Latn-ME"/>
        </w:rPr>
        <w:t xml:space="preserve">nije </w:t>
      </w:r>
      <w:r w:rsidRPr="0080118F">
        <w:rPr>
          <w:rFonts w:cstheme="minorHAnsi"/>
          <w:b/>
          <w:bCs/>
          <w:color w:val="FFC000"/>
          <w:sz w:val="32"/>
          <w:szCs w:val="32"/>
          <w:lang w:val="sr-Latn-ME"/>
        </w:rPr>
        <w:t>orodnjena.</w:t>
      </w:r>
    </w:p>
    <w:p w14:paraId="6C381304" w14:textId="77777777" w:rsidR="00830F42" w:rsidRPr="00830F42" w:rsidRDefault="00830F42" w:rsidP="00830F42">
      <w:pPr>
        <w:rPr>
          <w:lang w:val="sr-Latn-ME"/>
        </w:rPr>
      </w:pPr>
    </w:p>
    <w:p w14:paraId="53F47BE1" w14:textId="11E15B14" w:rsidR="00BA1B36" w:rsidRDefault="00227611" w:rsidP="00080E61">
      <w:pPr>
        <w:pStyle w:val="Heading3"/>
        <w:rPr>
          <w:lang w:val="sr-Latn-ME"/>
        </w:rPr>
      </w:pPr>
      <w:bookmarkStart w:id="30" w:name="_Toc100339552"/>
      <w:r>
        <w:rPr>
          <w:lang w:val="sr-Latn-ME"/>
        </w:rPr>
        <w:t>23</w:t>
      </w:r>
      <w:r w:rsidR="009D5CC5">
        <w:rPr>
          <w:lang w:val="sr-Latn-ME"/>
        </w:rPr>
        <w:t xml:space="preserve">. </w:t>
      </w:r>
      <w:r w:rsidR="00BA1B36" w:rsidRPr="00AC6EB8">
        <w:rPr>
          <w:lang w:val="sr-Latn-ME"/>
        </w:rPr>
        <w:t>Plan upravljanja komunalnim otpadnim vodama Crne Gore (2020-2035)</w:t>
      </w:r>
      <w:bookmarkEnd w:id="30"/>
    </w:p>
    <w:p w14:paraId="491C26BA" w14:textId="77777777" w:rsidR="00080E61" w:rsidRPr="00080E61" w:rsidRDefault="00080E61" w:rsidP="00080E61">
      <w:pPr>
        <w:rPr>
          <w:lang w:val="sr-Latn-ME"/>
        </w:rPr>
      </w:pPr>
    </w:p>
    <w:p w14:paraId="4359C9E4" w14:textId="77777777" w:rsidR="00830F42" w:rsidRPr="007D71A2" w:rsidRDefault="00830F42" w:rsidP="00830F42">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830F42" w:rsidRPr="00AC67F2" w14:paraId="7FB26183"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66A31B20" w14:textId="77777777" w:rsidR="00830F42" w:rsidRPr="00AC67F2" w:rsidRDefault="00830F42"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1A5478AA"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35A5C3A9"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33500330" w14:textId="77777777" w:rsidR="00830F42" w:rsidRPr="009148DB"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1F970548"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17B03480"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7953CDEE" w14:textId="77777777" w:rsidR="00830F42" w:rsidRPr="00AC67F2" w:rsidRDefault="00830F42"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1F1020AB" w14:textId="77777777" w:rsidR="00830F42" w:rsidRPr="00DA659B"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48C207AD"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56AD6398"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54D29FB3"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2F457BEE" w14:textId="77777777" w:rsidR="00830F42" w:rsidRPr="00A545D6"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830F42" w:rsidRPr="00AC67F2" w14:paraId="57B3F47E"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5DDAE093" w14:textId="77777777" w:rsidR="00830F42" w:rsidRPr="00AC67F2" w:rsidRDefault="00830F42" w:rsidP="002559F4">
            <w:pPr>
              <w:rPr>
                <w:rFonts w:cstheme="minorHAnsi"/>
                <w:lang w:val="sr-Latn-ME"/>
              </w:rPr>
            </w:pPr>
            <w:r>
              <w:rPr>
                <w:rFonts w:cstheme="minorHAnsi"/>
                <w:lang w:val="sr-Latn-ME"/>
              </w:rPr>
              <w:t>1.2</w:t>
            </w:r>
          </w:p>
        </w:tc>
        <w:tc>
          <w:tcPr>
            <w:tcW w:w="2443" w:type="pct"/>
          </w:tcPr>
          <w:p w14:paraId="30E64B95"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0DEE675A"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0DFFA178" w14:textId="0060171B"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22E22DCC" w14:textId="01631E30" w:rsidR="00830F42" w:rsidRPr="00AC67F2" w:rsidRDefault="008617C5"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5A039D3C" w14:textId="3A2BBB8B" w:rsidR="00830F42" w:rsidRPr="00A545D6" w:rsidRDefault="008617C5"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U Strategiji se navodi da je bila angažovana ekspertska pomoć, ali nije precizirano da se odnosila na rodnu perspektivu.</w:t>
            </w:r>
          </w:p>
        </w:tc>
      </w:tr>
      <w:tr w:rsidR="00830F42" w:rsidRPr="00AC67F2" w14:paraId="2B82C1FC"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2DB75C9E" w14:textId="77777777" w:rsidR="00830F42" w:rsidRPr="00AC67F2" w:rsidRDefault="00830F42" w:rsidP="002559F4">
            <w:pPr>
              <w:rPr>
                <w:rFonts w:cstheme="minorHAnsi"/>
                <w:lang w:val="sr-Latn-ME"/>
              </w:rPr>
            </w:pPr>
            <w:r>
              <w:rPr>
                <w:rFonts w:cstheme="minorHAnsi"/>
                <w:lang w:val="sr-Latn-ME"/>
              </w:rPr>
              <w:t>Ukupno</w:t>
            </w:r>
          </w:p>
        </w:tc>
        <w:tc>
          <w:tcPr>
            <w:tcW w:w="645" w:type="pct"/>
          </w:tcPr>
          <w:p w14:paraId="6E68E0E1"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4887FC84"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23EF39A2" w14:textId="70C55B74" w:rsidR="00830F42" w:rsidRPr="008C09CD" w:rsidRDefault="008617C5"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w:t>
            </w:r>
            <w:r w:rsidR="00830F42">
              <w:rPr>
                <w:rFonts w:cstheme="minorHAnsi"/>
                <w:b/>
                <w:bCs/>
                <w:sz w:val="28"/>
                <w:szCs w:val="28"/>
              </w:rPr>
              <w:t>/2</w:t>
            </w:r>
          </w:p>
        </w:tc>
      </w:tr>
    </w:tbl>
    <w:p w14:paraId="5258BAFC" w14:textId="77777777" w:rsidR="00830F42" w:rsidRPr="00F43A6C" w:rsidRDefault="00830F42" w:rsidP="00830F42">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830F42" w:rsidRPr="00AC67F2" w14:paraId="61B96BE9"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310A389A" w14:textId="77777777" w:rsidR="00830F42" w:rsidRPr="00AC67F2" w:rsidRDefault="00830F42"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702A4ABA"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2181B928"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08A9097A"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57DD4DE8"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6002AD26"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041E5A96"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16DB312" w14:textId="77777777" w:rsidR="00830F42" w:rsidRPr="00AC67F2" w:rsidRDefault="00830F42"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087B82D3"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05567E7F" w14:textId="318A0762" w:rsidR="00830F42" w:rsidRPr="00A00FA0" w:rsidRDefault="006F489D"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Pr>
                <w:rFonts w:cstheme="minorHAnsi"/>
                <w:b/>
                <w:bCs/>
                <w:lang w:val="sr-Latn-ME"/>
              </w:rPr>
              <w:t>0.5</w:t>
            </w:r>
          </w:p>
        </w:tc>
        <w:tc>
          <w:tcPr>
            <w:tcW w:w="1263" w:type="dxa"/>
          </w:tcPr>
          <w:p w14:paraId="623F7732"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37CCA7AF"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44A4DF7B" w14:textId="583C28E4" w:rsidR="00830F42" w:rsidRPr="00A71811" w:rsidRDefault="00222686"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U uvodnom dijelu strategije se navode </w:t>
            </w:r>
            <w:r w:rsidR="00895C90">
              <w:rPr>
                <w:rFonts w:cstheme="minorHAnsi"/>
                <w:sz w:val="18"/>
                <w:szCs w:val="18"/>
                <w:lang w:val="sr-Latn-ME"/>
              </w:rPr>
              <w:t>prijekcije stanovništva prema starosnim grupama i fertilitetu (Monstat)</w:t>
            </w:r>
            <w:r w:rsidR="006F489D">
              <w:rPr>
                <w:rFonts w:cstheme="minorHAnsi"/>
                <w:sz w:val="18"/>
                <w:szCs w:val="18"/>
                <w:lang w:val="sr-Latn-ME"/>
              </w:rPr>
              <w:t xml:space="preserve">. Ostaje nejasna veza sa ciljevima Strategije. </w:t>
            </w:r>
            <w:r w:rsidR="00830F42">
              <w:rPr>
                <w:rFonts w:cstheme="minorHAnsi"/>
                <w:sz w:val="18"/>
                <w:szCs w:val="18"/>
                <w:lang w:val="sr-Latn-ME"/>
              </w:rPr>
              <w:t xml:space="preserve"> </w:t>
            </w:r>
          </w:p>
        </w:tc>
      </w:tr>
      <w:tr w:rsidR="00830F42" w:rsidRPr="00AC67F2" w14:paraId="3555CF25"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1B85EB5C" w14:textId="77777777" w:rsidR="00830F42" w:rsidRPr="00AC67F2" w:rsidRDefault="00830F42" w:rsidP="002559F4">
            <w:pPr>
              <w:rPr>
                <w:rFonts w:cstheme="minorHAnsi"/>
                <w:lang w:val="sr-Latn-ME"/>
              </w:rPr>
            </w:pPr>
            <w:r>
              <w:rPr>
                <w:rFonts w:cstheme="minorHAnsi"/>
                <w:lang w:val="sr-Latn-ME"/>
              </w:rPr>
              <w:lastRenderedPageBreak/>
              <w:t>2.2</w:t>
            </w:r>
          </w:p>
        </w:tc>
        <w:tc>
          <w:tcPr>
            <w:tcW w:w="3856" w:type="dxa"/>
            <w:shd w:val="clear" w:color="auto" w:fill="auto"/>
          </w:tcPr>
          <w:p w14:paraId="7BA2EB1B"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shd w:val="clear" w:color="auto" w:fill="auto"/>
          </w:tcPr>
          <w:p w14:paraId="34225DF9" w14:textId="3E70D38B"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257BFA57" w14:textId="09704408" w:rsidR="00830F42" w:rsidRPr="00AC67F2" w:rsidRDefault="00A65F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203FB020"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46549145" w14:textId="6AA1E644" w:rsidR="00830F42" w:rsidRPr="00A71811" w:rsidRDefault="00CA4F8E"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Za očekivati je da ne postoje rodne nejednakosti koje su povezane sa upravljanjem komunalnim otpadom, međutim, pošto su u uvodu dati podaci o stanovništvu u odnosu na pol</w:t>
            </w:r>
            <w:r w:rsidR="00D14BDE">
              <w:rPr>
                <w:rFonts w:cstheme="minorHAnsi"/>
                <w:sz w:val="18"/>
                <w:szCs w:val="18"/>
                <w:lang w:val="sr-Latn-ME"/>
              </w:rPr>
              <w:t xml:space="preserve">, oni moraju imati svrhu. </w:t>
            </w:r>
          </w:p>
        </w:tc>
      </w:tr>
      <w:tr w:rsidR="00830F42" w:rsidRPr="00AC67F2" w14:paraId="1265E797"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37F8986E" w14:textId="77777777" w:rsidR="00830F42" w:rsidRDefault="00830F42" w:rsidP="002559F4">
            <w:pPr>
              <w:rPr>
                <w:rFonts w:cstheme="minorHAnsi"/>
                <w:lang w:val="sr-Latn-ME"/>
              </w:rPr>
            </w:pPr>
            <w:r>
              <w:rPr>
                <w:rFonts w:cstheme="minorHAnsi"/>
                <w:lang w:val="sr-Latn-ME"/>
              </w:rPr>
              <w:t>2.3</w:t>
            </w:r>
          </w:p>
        </w:tc>
        <w:tc>
          <w:tcPr>
            <w:tcW w:w="3856" w:type="dxa"/>
            <w:shd w:val="clear" w:color="auto" w:fill="auto"/>
          </w:tcPr>
          <w:p w14:paraId="56FC9392"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shd w:val="clear" w:color="auto" w:fill="auto"/>
          </w:tcPr>
          <w:p w14:paraId="32B61930"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0EF1156A"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51CF4837"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1812557A"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164542D0"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6A723D28" w14:textId="77777777" w:rsidR="00830F42" w:rsidRPr="00AC67F2" w:rsidRDefault="00830F42" w:rsidP="002559F4">
            <w:pPr>
              <w:rPr>
                <w:rFonts w:cstheme="minorHAnsi"/>
                <w:lang w:val="sr-Latn-ME"/>
              </w:rPr>
            </w:pPr>
            <w:r>
              <w:rPr>
                <w:rFonts w:cstheme="minorHAnsi"/>
                <w:lang w:val="sr-Latn-ME"/>
              </w:rPr>
              <w:t>2.4</w:t>
            </w:r>
          </w:p>
        </w:tc>
        <w:tc>
          <w:tcPr>
            <w:tcW w:w="3856" w:type="dxa"/>
            <w:shd w:val="clear" w:color="auto" w:fill="auto"/>
          </w:tcPr>
          <w:p w14:paraId="3BA1154D"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2DBB08C9" w14:textId="77777777" w:rsidR="00830F42" w:rsidRPr="00C26A63"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auto"/>
          </w:tcPr>
          <w:p w14:paraId="7B4CCA60"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4BFCD064"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3CD36E8F" w14:textId="77777777" w:rsidR="00830F42" w:rsidRPr="00D8609B"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099E4471"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A20D763" w14:textId="77777777" w:rsidR="00830F42" w:rsidRDefault="00830F42" w:rsidP="002559F4">
            <w:pPr>
              <w:rPr>
                <w:rFonts w:cstheme="minorHAnsi"/>
                <w:lang w:val="sr-Latn-ME"/>
              </w:rPr>
            </w:pPr>
            <w:r>
              <w:rPr>
                <w:rFonts w:cstheme="minorHAnsi"/>
                <w:lang w:val="sr-Latn-ME"/>
              </w:rPr>
              <w:t>2.5</w:t>
            </w:r>
          </w:p>
        </w:tc>
        <w:tc>
          <w:tcPr>
            <w:tcW w:w="3856" w:type="dxa"/>
          </w:tcPr>
          <w:p w14:paraId="58F3E926"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20443E22" w14:textId="32EE93CA" w:rsidR="00830F42" w:rsidRPr="00CC0043"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tcPr>
          <w:p w14:paraId="75106455" w14:textId="05A87EA8" w:rsidR="00830F42" w:rsidRPr="00AC67F2" w:rsidRDefault="00A65F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10E603BF"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B899ED0" w14:textId="005A8E19" w:rsidR="00830F42" w:rsidRPr="00A71811" w:rsidRDefault="00830F42" w:rsidP="00A65FD2">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3002EFBC" w14:textId="77777777" w:rsidTr="00A65FD2">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17B46358" w14:textId="77777777" w:rsidR="00830F42" w:rsidRPr="00AC67F2" w:rsidRDefault="00830F42" w:rsidP="002559F4">
            <w:pPr>
              <w:rPr>
                <w:rFonts w:cstheme="minorHAnsi"/>
                <w:lang w:val="sr-Latn-ME"/>
              </w:rPr>
            </w:pPr>
            <w:r>
              <w:rPr>
                <w:rFonts w:cstheme="minorHAnsi"/>
                <w:lang w:val="sr-Latn-ME"/>
              </w:rPr>
              <w:t>2.6</w:t>
            </w:r>
          </w:p>
        </w:tc>
        <w:tc>
          <w:tcPr>
            <w:tcW w:w="3856" w:type="dxa"/>
            <w:shd w:val="clear" w:color="auto" w:fill="D9D9D9" w:themeFill="background1" w:themeFillShade="D9"/>
          </w:tcPr>
          <w:p w14:paraId="7E53D499"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D9D9D9" w:themeFill="background1" w:themeFillShade="D9"/>
          </w:tcPr>
          <w:p w14:paraId="710FE32C" w14:textId="6332CD4A" w:rsidR="00830F42" w:rsidRPr="00194E29"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D9D9D9" w:themeFill="background1" w:themeFillShade="D9"/>
          </w:tcPr>
          <w:p w14:paraId="098AF6EA" w14:textId="20299DC7" w:rsidR="00830F42" w:rsidRPr="00AC67F2" w:rsidRDefault="00724279"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D9D9D9" w:themeFill="background1" w:themeFillShade="D9"/>
          </w:tcPr>
          <w:p w14:paraId="332F2016"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D9D9D9" w:themeFill="background1" w:themeFillShade="D9"/>
          </w:tcPr>
          <w:p w14:paraId="31EEC4DC" w14:textId="2EFA70B1"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28171361"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BB3C188" w14:textId="77777777" w:rsidR="00830F42" w:rsidRDefault="00830F42" w:rsidP="002559F4">
            <w:pPr>
              <w:rPr>
                <w:rFonts w:cstheme="minorHAnsi"/>
                <w:lang w:val="sr-Latn-ME"/>
              </w:rPr>
            </w:pPr>
            <w:r>
              <w:rPr>
                <w:rFonts w:cstheme="minorHAnsi"/>
                <w:lang w:val="sr-Latn-ME"/>
              </w:rPr>
              <w:t>2.7</w:t>
            </w:r>
          </w:p>
        </w:tc>
        <w:tc>
          <w:tcPr>
            <w:tcW w:w="3856" w:type="dxa"/>
          </w:tcPr>
          <w:p w14:paraId="3A146E20"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3CD194DF"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F490148"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3EC311EE"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C93AB14"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16196D29"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184F4669" w14:textId="03344588" w:rsidR="00830F42" w:rsidRPr="00AC67F2" w:rsidRDefault="00830F42"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344CD947"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033835F0" w14:textId="77777777" w:rsidR="00830F42" w:rsidRPr="005C2773" w:rsidRDefault="00830F42"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1E79F40F"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7949BF3"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2B2F821C"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89F34ED" w14:textId="71807C1F"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574452">
              <w:rPr>
                <w:rFonts w:cstheme="minorHAnsi"/>
                <w:sz w:val="18"/>
                <w:szCs w:val="18"/>
                <w:lang w:val="sr-Latn-ME"/>
              </w:rPr>
              <w:t>Strategija koristi uglavnom rodno neutralne izraze, a tamo gdje to nije moguće ne koristi se rodno senzitivan jezik („</w:t>
            </w:r>
            <w:r w:rsidR="00C721E0">
              <w:rPr>
                <w:rFonts w:cstheme="minorHAnsi"/>
                <w:sz w:val="18"/>
                <w:szCs w:val="18"/>
                <w:lang w:val="sr-Latn-ME"/>
              </w:rPr>
              <w:t>eksperti</w:t>
            </w:r>
            <w:r w:rsidRPr="00574452">
              <w:rPr>
                <w:rFonts w:cstheme="minorHAnsi"/>
                <w:sz w:val="18"/>
                <w:szCs w:val="18"/>
                <w:lang w:val="sr-Latn-ME"/>
              </w:rPr>
              <w:t>“</w:t>
            </w:r>
            <w:r w:rsidR="003F3DE9">
              <w:rPr>
                <w:rFonts w:cstheme="minorHAnsi"/>
                <w:sz w:val="18"/>
                <w:szCs w:val="18"/>
                <w:lang w:val="sr-Latn-ME"/>
              </w:rPr>
              <w:t>, „akteri“</w:t>
            </w:r>
            <w:r>
              <w:rPr>
                <w:rFonts w:cstheme="minorHAnsi"/>
                <w:sz w:val="18"/>
                <w:szCs w:val="18"/>
                <w:lang w:val="sr-Latn-ME"/>
              </w:rPr>
              <w:t>).</w:t>
            </w:r>
          </w:p>
          <w:p w14:paraId="6EBE503F" w14:textId="77777777" w:rsidR="00830F42" w:rsidRPr="0057445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 </w:t>
            </w:r>
          </w:p>
        </w:tc>
      </w:tr>
      <w:tr w:rsidR="00830F42" w:rsidRPr="00AC67F2" w14:paraId="56FCED50"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687D8380" w14:textId="77777777" w:rsidR="00830F42" w:rsidRPr="00AC67F2" w:rsidRDefault="00830F42" w:rsidP="002559F4">
            <w:pPr>
              <w:rPr>
                <w:rFonts w:cstheme="minorHAnsi"/>
                <w:lang w:val="sr-Latn-ME" w:eastAsia="en-GB"/>
              </w:rPr>
            </w:pPr>
            <w:r>
              <w:rPr>
                <w:rFonts w:cstheme="minorHAnsi"/>
                <w:lang w:val="sr-Latn-ME"/>
              </w:rPr>
              <w:t>Ukupno</w:t>
            </w:r>
          </w:p>
        </w:tc>
        <w:tc>
          <w:tcPr>
            <w:tcW w:w="747" w:type="dxa"/>
          </w:tcPr>
          <w:p w14:paraId="322ABBE3"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2C76CD01"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64A37B86"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EC6AD8D" w14:textId="075C27FC" w:rsidR="00830F42" w:rsidRPr="00E72E03" w:rsidRDefault="00830F42"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0</w:t>
            </w:r>
            <w:r w:rsidR="00D21402">
              <w:rPr>
                <w:rFonts w:cstheme="minorHAnsi"/>
                <w:b/>
                <w:bCs/>
                <w:sz w:val="28"/>
                <w:szCs w:val="28"/>
                <w:lang w:val="sr-Latn-ME"/>
              </w:rPr>
              <w:t>.5</w:t>
            </w:r>
            <w:r w:rsidRPr="00E72E03">
              <w:rPr>
                <w:rFonts w:cstheme="minorHAnsi"/>
                <w:b/>
                <w:bCs/>
                <w:sz w:val="28"/>
                <w:szCs w:val="28"/>
                <w:lang w:val="sr-Latn-ME"/>
              </w:rPr>
              <w:t>/</w:t>
            </w:r>
            <w:r w:rsidR="006C7C2D">
              <w:rPr>
                <w:rFonts w:cstheme="minorHAnsi"/>
                <w:b/>
                <w:bCs/>
                <w:sz w:val="28"/>
                <w:szCs w:val="28"/>
                <w:lang w:val="sr-Latn-ME"/>
              </w:rPr>
              <w:t>7</w:t>
            </w:r>
          </w:p>
        </w:tc>
      </w:tr>
    </w:tbl>
    <w:p w14:paraId="4028EFE7" w14:textId="77777777" w:rsidR="00830F42" w:rsidRPr="00AC67F2" w:rsidRDefault="00830F42" w:rsidP="00830F42">
      <w:pPr>
        <w:rPr>
          <w:rFonts w:cstheme="minorHAnsi"/>
          <w:lang w:val="sr-Latn-ME"/>
        </w:rPr>
      </w:pPr>
    </w:p>
    <w:p w14:paraId="7D884296" w14:textId="77777777" w:rsidR="00830F42" w:rsidRPr="00852DD8" w:rsidRDefault="00830F42" w:rsidP="00830F42">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830F42" w:rsidRPr="00AC67F2" w14:paraId="018D86DA"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6F6F743E" w14:textId="77777777" w:rsidR="00830F42" w:rsidRPr="00AC67F2" w:rsidRDefault="00830F42"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21CB6330"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12A8FB3D"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77BAFB9E"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5B53DFE5"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3BC14C01"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49D84A20"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D7B0D6C" w14:textId="77777777" w:rsidR="00830F42" w:rsidRPr="00AC67F2" w:rsidRDefault="00830F42" w:rsidP="002559F4">
            <w:pPr>
              <w:rPr>
                <w:rFonts w:cstheme="minorHAnsi"/>
                <w:lang w:val="sr-Latn-ME"/>
              </w:rPr>
            </w:pPr>
            <w:r>
              <w:rPr>
                <w:rFonts w:cstheme="minorHAnsi"/>
                <w:lang w:val="sr-Latn-ME"/>
              </w:rPr>
              <w:lastRenderedPageBreak/>
              <w:t>3.1</w:t>
            </w:r>
          </w:p>
        </w:tc>
        <w:tc>
          <w:tcPr>
            <w:tcW w:w="3908" w:type="dxa"/>
          </w:tcPr>
          <w:p w14:paraId="64BEB2DD"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02E0AA55" w14:textId="1632984A"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7FF3392B" w14:textId="2E091099" w:rsidR="00830F42" w:rsidRPr="00AC67F2" w:rsidRDefault="00A65FD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07" w:type="dxa"/>
          </w:tcPr>
          <w:p w14:paraId="30E532F7"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63E10060" w14:textId="2CCE7C86" w:rsidR="00830F42" w:rsidRPr="009A4E2D"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70216BA7"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09A09302" w14:textId="77777777" w:rsidR="00830F42" w:rsidRDefault="00830F42" w:rsidP="002559F4">
            <w:pPr>
              <w:rPr>
                <w:rFonts w:cstheme="minorHAnsi"/>
                <w:lang w:val="sr-Latn-ME"/>
              </w:rPr>
            </w:pPr>
            <w:r>
              <w:rPr>
                <w:rFonts w:cstheme="minorHAnsi"/>
                <w:lang w:val="sr-Latn-ME"/>
              </w:rPr>
              <w:t>Ukupno</w:t>
            </w:r>
          </w:p>
        </w:tc>
        <w:tc>
          <w:tcPr>
            <w:tcW w:w="760" w:type="dxa"/>
            <w:shd w:val="clear" w:color="auto" w:fill="auto"/>
          </w:tcPr>
          <w:p w14:paraId="70345DFC"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24067779"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2722183A"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6208368B" w14:textId="7AA9ADEB" w:rsidR="00830F42" w:rsidRPr="00AC67F2" w:rsidRDefault="00A65FD2"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0</w:t>
            </w:r>
            <w:r w:rsidR="00830F42">
              <w:rPr>
                <w:rFonts w:cstheme="minorHAnsi"/>
                <w:b/>
                <w:bCs/>
                <w:sz w:val="28"/>
                <w:szCs w:val="28"/>
              </w:rPr>
              <w:t>/1</w:t>
            </w:r>
          </w:p>
        </w:tc>
      </w:tr>
    </w:tbl>
    <w:p w14:paraId="4D2BDADB" w14:textId="77777777" w:rsidR="00830F42" w:rsidRDefault="00830F42" w:rsidP="00830F42">
      <w:pPr>
        <w:rPr>
          <w:rFonts w:cstheme="minorHAnsi"/>
          <w:lang w:val="sr-Latn-ME"/>
        </w:rPr>
      </w:pPr>
    </w:p>
    <w:p w14:paraId="2677E0B2" w14:textId="6277D140" w:rsidR="00830F42" w:rsidRPr="009500B9" w:rsidRDefault="00830F42" w:rsidP="00830F42">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0000"/>
          <w:sz w:val="32"/>
          <w:szCs w:val="32"/>
          <w:lang w:val="sr-Latn-ME"/>
        </w:rPr>
      </w:pPr>
      <w:r w:rsidRPr="009500B9">
        <w:rPr>
          <w:rFonts w:cstheme="minorHAnsi"/>
          <w:color w:val="FF0000"/>
          <w:sz w:val="32"/>
          <w:szCs w:val="32"/>
          <w:lang w:val="sr-Latn-ME"/>
        </w:rPr>
        <w:t xml:space="preserve">Konačna ocjena: </w:t>
      </w:r>
      <w:r w:rsidR="00387CCD" w:rsidRPr="009500B9">
        <w:rPr>
          <w:rFonts w:cstheme="minorHAnsi"/>
          <w:color w:val="FF0000"/>
          <w:sz w:val="32"/>
          <w:szCs w:val="32"/>
          <w:lang w:val="sr-Latn-ME"/>
        </w:rPr>
        <w:t>0.5</w:t>
      </w:r>
      <w:r w:rsidRPr="009500B9">
        <w:rPr>
          <w:rFonts w:cstheme="minorHAnsi"/>
          <w:color w:val="FF0000"/>
          <w:sz w:val="32"/>
          <w:szCs w:val="32"/>
          <w:lang w:val="sr-Latn-ME"/>
        </w:rPr>
        <w:t xml:space="preserve"> od 1</w:t>
      </w:r>
      <w:r w:rsidR="00D30575">
        <w:rPr>
          <w:rFonts w:cstheme="minorHAnsi"/>
          <w:color w:val="FF0000"/>
          <w:sz w:val="32"/>
          <w:szCs w:val="32"/>
          <w:lang w:val="sr-Latn-ME"/>
        </w:rPr>
        <w:t>0</w:t>
      </w:r>
      <w:r w:rsidRPr="009500B9">
        <w:rPr>
          <w:rFonts w:cstheme="minorHAnsi"/>
          <w:color w:val="FF0000"/>
          <w:sz w:val="32"/>
          <w:szCs w:val="32"/>
          <w:lang w:val="sr-Latn-ME"/>
        </w:rPr>
        <w:t xml:space="preserve"> ili </w:t>
      </w:r>
      <w:r w:rsidRPr="009500B9">
        <w:rPr>
          <w:rFonts w:cstheme="minorHAnsi"/>
          <w:b/>
          <w:bCs/>
          <w:color w:val="FF0000"/>
          <w:sz w:val="32"/>
          <w:szCs w:val="32"/>
          <w:lang w:val="sr-Latn-ME"/>
        </w:rPr>
        <w:t>0.</w:t>
      </w:r>
      <w:r w:rsidR="009500B9" w:rsidRPr="009500B9">
        <w:rPr>
          <w:rFonts w:cstheme="minorHAnsi"/>
          <w:b/>
          <w:bCs/>
          <w:color w:val="FF0000"/>
          <w:sz w:val="32"/>
          <w:szCs w:val="32"/>
          <w:lang w:val="sr-Latn-ME"/>
        </w:rPr>
        <w:t>0</w:t>
      </w:r>
      <w:r w:rsidR="00D30575">
        <w:rPr>
          <w:rFonts w:cstheme="minorHAnsi"/>
          <w:b/>
          <w:bCs/>
          <w:color w:val="FF0000"/>
          <w:sz w:val="32"/>
          <w:szCs w:val="32"/>
          <w:lang w:val="sr-Latn-ME"/>
        </w:rPr>
        <w:t>5</w:t>
      </w:r>
      <w:r w:rsidRPr="009500B9">
        <w:rPr>
          <w:rFonts w:cstheme="minorHAnsi"/>
          <w:b/>
          <w:bCs/>
          <w:color w:val="FF0000"/>
          <w:sz w:val="32"/>
          <w:szCs w:val="32"/>
          <w:lang w:val="sr-Latn-ME"/>
        </w:rPr>
        <w:t xml:space="preserve"> – Strategija u</w:t>
      </w:r>
      <w:r w:rsidR="009500B9" w:rsidRPr="009500B9">
        <w:rPr>
          <w:rFonts w:cstheme="minorHAnsi"/>
          <w:b/>
          <w:bCs/>
          <w:color w:val="FF0000"/>
          <w:sz w:val="32"/>
          <w:szCs w:val="32"/>
          <w:lang w:val="sr-Latn-ME"/>
        </w:rPr>
        <w:t>opšte</w:t>
      </w:r>
      <w:r w:rsidRPr="009500B9">
        <w:rPr>
          <w:rFonts w:cstheme="minorHAnsi"/>
          <w:b/>
          <w:bCs/>
          <w:color w:val="FF0000"/>
          <w:sz w:val="32"/>
          <w:szCs w:val="32"/>
          <w:lang w:val="sr-Latn-ME"/>
        </w:rPr>
        <w:t xml:space="preserve"> nije orodnjena.</w:t>
      </w:r>
    </w:p>
    <w:p w14:paraId="2951D4B4" w14:textId="77777777" w:rsidR="00830F42" w:rsidRPr="00830F42" w:rsidRDefault="00830F42" w:rsidP="00830F42">
      <w:pPr>
        <w:rPr>
          <w:lang w:val="sr-Latn-ME"/>
        </w:rPr>
      </w:pPr>
    </w:p>
    <w:p w14:paraId="7EFA2A5D" w14:textId="144E5D5A" w:rsidR="00AC6EB8" w:rsidRDefault="00227611" w:rsidP="00D14BDE">
      <w:pPr>
        <w:pStyle w:val="Heading3"/>
        <w:rPr>
          <w:lang w:val="sr-Latn-ME"/>
        </w:rPr>
      </w:pPr>
      <w:bookmarkStart w:id="31" w:name="_Toc100339553"/>
      <w:r>
        <w:rPr>
          <w:lang w:val="sr-Latn-ME"/>
        </w:rPr>
        <w:t>24</w:t>
      </w:r>
      <w:r w:rsidR="009D5CC5">
        <w:rPr>
          <w:lang w:val="sr-Latn-ME"/>
        </w:rPr>
        <w:t xml:space="preserve">. </w:t>
      </w:r>
      <w:r w:rsidR="00AC6EB8" w:rsidRPr="00AC6EB8">
        <w:rPr>
          <w:lang w:val="sr-Latn-ME"/>
        </w:rPr>
        <w:t>Strategija razvoja ženskog preduzetništva Crne Gore 2021-2024. godine</w:t>
      </w:r>
      <w:bookmarkEnd w:id="31"/>
    </w:p>
    <w:p w14:paraId="0148454C" w14:textId="77777777" w:rsidR="000A24BC" w:rsidRPr="000A24BC" w:rsidRDefault="000A24BC" w:rsidP="000A24BC">
      <w:pPr>
        <w:rPr>
          <w:lang w:val="sr-Latn-ME"/>
        </w:rPr>
      </w:pPr>
    </w:p>
    <w:p w14:paraId="141D52A3" w14:textId="06E1CBD3" w:rsidR="000A24BC" w:rsidRPr="000A24BC" w:rsidRDefault="000A24BC" w:rsidP="000A24BC">
      <w:pPr>
        <w:jc w:val="both"/>
        <w:rPr>
          <w:lang w:val="sr-Latn-ME"/>
        </w:rPr>
      </w:pPr>
      <w:r w:rsidRPr="000A24BC">
        <w:rPr>
          <w:lang w:val="sr-Latn-ME"/>
        </w:rPr>
        <w:t>Strategija definiše okvir, strateške ciljeve, mjere podrške razvoja ženskog preduzetništva u periodu 2</w:t>
      </w:r>
      <w:r w:rsidR="003D016A">
        <w:rPr>
          <w:lang w:val="sr-Latn-ME"/>
        </w:rPr>
        <w:t>021-2024. god.</w:t>
      </w:r>
      <w:r w:rsidRPr="000A24BC">
        <w:rPr>
          <w:lang w:val="sr-Latn-ME"/>
        </w:rPr>
        <w:t xml:space="preserve"> zasnovane na analizi stanja, kao indikatora uticaja i učinka koji doprinose efikasnoj</w:t>
      </w:r>
      <w:r>
        <w:rPr>
          <w:lang w:val="sr-Latn-ME"/>
        </w:rPr>
        <w:t xml:space="preserve"> </w:t>
      </w:r>
      <w:r w:rsidRPr="000A24BC">
        <w:rPr>
          <w:lang w:val="sr-Latn-ME"/>
        </w:rPr>
        <w:t>implementaciji politike</w:t>
      </w:r>
      <w:r>
        <w:rPr>
          <w:lang w:val="sr-Latn-ME"/>
        </w:rPr>
        <w:t>.</w:t>
      </w:r>
    </w:p>
    <w:p w14:paraId="0FAC0784" w14:textId="77777777" w:rsidR="00830F42" w:rsidRPr="007D71A2" w:rsidRDefault="00830F42" w:rsidP="00830F42">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830F42" w:rsidRPr="00AC67F2" w14:paraId="11C3247A" w14:textId="77777777" w:rsidTr="00861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55A91D35" w14:textId="77777777" w:rsidR="00830F42" w:rsidRPr="00AC67F2" w:rsidRDefault="00830F42" w:rsidP="002559F4">
            <w:pPr>
              <w:rPr>
                <w:rFonts w:cstheme="minorHAnsi"/>
                <w:lang w:val="sr-Latn-ME"/>
              </w:rPr>
            </w:pPr>
            <w:r w:rsidRPr="00AC67F2">
              <w:rPr>
                <w:rFonts w:cstheme="minorHAnsi"/>
                <w:lang w:val="sr-Latn-ME"/>
              </w:rPr>
              <w:t>Br.</w:t>
            </w:r>
          </w:p>
        </w:tc>
        <w:tc>
          <w:tcPr>
            <w:tcW w:w="2444" w:type="pct"/>
            <w:shd w:val="clear" w:color="auto" w:fill="B4C6E7" w:themeFill="accent1" w:themeFillTint="66"/>
          </w:tcPr>
          <w:p w14:paraId="53D25451"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46F98E01"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6EC98963" w14:textId="77777777" w:rsidR="00830F42" w:rsidRPr="009148DB"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44A890AD"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7E35A3B1" w14:textId="77777777" w:rsidTr="008617C5">
        <w:tc>
          <w:tcPr>
            <w:cnfStyle w:val="001000000000" w:firstRow="0" w:lastRow="0" w:firstColumn="1" w:lastColumn="0" w:oddVBand="0" w:evenVBand="0" w:oddHBand="0" w:evenHBand="0" w:firstRowFirstColumn="0" w:firstRowLastColumn="0" w:lastRowFirstColumn="0" w:lastRowLastColumn="0"/>
            <w:tcW w:w="283" w:type="pct"/>
          </w:tcPr>
          <w:p w14:paraId="065B17D1" w14:textId="77777777" w:rsidR="00830F42" w:rsidRPr="00AC67F2" w:rsidRDefault="00830F42" w:rsidP="002559F4">
            <w:pPr>
              <w:rPr>
                <w:rFonts w:cstheme="minorHAnsi"/>
                <w:lang w:val="sr-Latn-ME"/>
              </w:rPr>
            </w:pPr>
            <w:r w:rsidRPr="00AC67F2">
              <w:rPr>
                <w:rFonts w:cstheme="minorHAnsi"/>
                <w:lang w:val="sr-Latn-ME"/>
              </w:rPr>
              <w:t>1</w:t>
            </w:r>
            <w:r>
              <w:rPr>
                <w:rFonts w:cstheme="minorHAnsi"/>
                <w:lang w:val="sr-Latn-ME"/>
              </w:rPr>
              <w:t>.1</w:t>
            </w:r>
          </w:p>
        </w:tc>
        <w:tc>
          <w:tcPr>
            <w:tcW w:w="2444" w:type="pct"/>
          </w:tcPr>
          <w:p w14:paraId="6FAD68F1" w14:textId="77777777" w:rsidR="00830F42" w:rsidRPr="00DA659B"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6A9FD258"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10557049"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38C14CBA"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6AA95BDA" w14:textId="55CCA88C" w:rsidR="00830F42" w:rsidRPr="00A545D6" w:rsidRDefault="00666358"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Radn</w:t>
            </w:r>
            <w:r w:rsidR="00C26E54">
              <w:rPr>
                <w:rFonts w:cstheme="minorHAnsi"/>
                <w:sz w:val="18"/>
                <w:szCs w:val="18"/>
                <w:lang w:val="sr-Latn-ME"/>
              </w:rPr>
              <w:t xml:space="preserve">u grupu je činila 42 osoba od čega su samo </w:t>
            </w:r>
            <w:r w:rsidR="00CD5398">
              <w:rPr>
                <w:rFonts w:cstheme="minorHAnsi"/>
                <w:sz w:val="18"/>
                <w:szCs w:val="18"/>
                <w:lang w:val="sr-Latn-ME"/>
              </w:rPr>
              <w:t xml:space="preserve">jedan muškarac. Muškarac je bio i koordinator radne grupe. </w:t>
            </w:r>
            <w:r w:rsidR="00830F42">
              <w:rPr>
                <w:rFonts w:cstheme="minorHAnsi"/>
                <w:sz w:val="18"/>
                <w:szCs w:val="18"/>
                <w:lang w:val="sr-Latn-ME"/>
              </w:rPr>
              <w:t xml:space="preserve"> </w:t>
            </w:r>
          </w:p>
        </w:tc>
      </w:tr>
      <w:tr w:rsidR="008617C5" w:rsidRPr="00AC67F2" w14:paraId="495A4039" w14:textId="77777777" w:rsidTr="008617C5">
        <w:tc>
          <w:tcPr>
            <w:cnfStyle w:val="001000000000" w:firstRow="0" w:lastRow="0" w:firstColumn="1" w:lastColumn="0" w:oddVBand="0" w:evenVBand="0" w:oddHBand="0" w:evenHBand="0" w:firstRowFirstColumn="0" w:firstRowLastColumn="0" w:lastRowFirstColumn="0" w:lastRowLastColumn="0"/>
            <w:tcW w:w="283" w:type="pct"/>
          </w:tcPr>
          <w:p w14:paraId="6AD5B3E9" w14:textId="77777777" w:rsidR="008617C5" w:rsidRPr="00AC67F2" w:rsidRDefault="008617C5" w:rsidP="008617C5">
            <w:pPr>
              <w:rPr>
                <w:rFonts w:cstheme="minorHAnsi"/>
                <w:lang w:val="sr-Latn-ME"/>
              </w:rPr>
            </w:pPr>
            <w:r>
              <w:rPr>
                <w:rFonts w:cstheme="minorHAnsi"/>
                <w:lang w:val="sr-Latn-ME"/>
              </w:rPr>
              <w:t>1.2</w:t>
            </w:r>
          </w:p>
        </w:tc>
        <w:tc>
          <w:tcPr>
            <w:tcW w:w="2444" w:type="pct"/>
          </w:tcPr>
          <w:p w14:paraId="2363E02A" w14:textId="77777777" w:rsidR="008617C5" w:rsidRDefault="008617C5" w:rsidP="008617C5">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499B8219" w14:textId="77777777" w:rsidR="008617C5" w:rsidRPr="00AC67F2" w:rsidRDefault="008617C5" w:rsidP="008617C5">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6DDAE6ED" w14:textId="4F18108D" w:rsidR="008617C5" w:rsidRPr="00AC67F2" w:rsidRDefault="00CD5398" w:rsidP="008617C5">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675" w:type="pct"/>
          </w:tcPr>
          <w:p w14:paraId="01D9F6E1" w14:textId="634AFEA6" w:rsidR="008617C5" w:rsidRPr="00AC67F2" w:rsidRDefault="008617C5" w:rsidP="008617C5">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953" w:type="pct"/>
          </w:tcPr>
          <w:p w14:paraId="21E0D50E" w14:textId="6C2BAC79" w:rsidR="008617C5" w:rsidRPr="00A545D6" w:rsidRDefault="00CD5398" w:rsidP="008617C5">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Kroz radnu grupu su bile uključene ekspertkinje koje se bave rodnom ravnopravnošću</w:t>
            </w:r>
          </w:p>
        </w:tc>
      </w:tr>
      <w:tr w:rsidR="008617C5" w:rsidRPr="00AC67F2" w14:paraId="65873D60"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265E95C9" w14:textId="77777777" w:rsidR="008617C5" w:rsidRPr="00AC67F2" w:rsidRDefault="008617C5" w:rsidP="008617C5">
            <w:pPr>
              <w:rPr>
                <w:rFonts w:cstheme="minorHAnsi"/>
                <w:lang w:val="sr-Latn-ME"/>
              </w:rPr>
            </w:pPr>
            <w:r>
              <w:rPr>
                <w:rFonts w:cstheme="minorHAnsi"/>
                <w:lang w:val="sr-Latn-ME"/>
              </w:rPr>
              <w:t>Ukupno</w:t>
            </w:r>
          </w:p>
        </w:tc>
        <w:tc>
          <w:tcPr>
            <w:tcW w:w="645" w:type="pct"/>
          </w:tcPr>
          <w:p w14:paraId="15A51A03" w14:textId="77777777" w:rsidR="008617C5" w:rsidRPr="00AC67F2" w:rsidRDefault="008617C5" w:rsidP="008617C5">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79E39E55" w14:textId="77777777" w:rsidR="008617C5" w:rsidRPr="00527B8F" w:rsidRDefault="008617C5" w:rsidP="008617C5">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2C3E1A64" w14:textId="47EA57B8" w:rsidR="008617C5" w:rsidRPr="008C09CD" w:rsidRDefault="00CD5398" w:rsidP="008617C5">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1</w:t>
            </w:r>
            <w:r w:rsidR="00847C5E">
              <w:rPr>
                <w:rFonts w:cstheme="minorHAnsi"/>
                <w:b/>
                <w:bCs/>
                <w:sz w:val="28"/>
                <w:szCs w:val="28"/>
              </w:rPr>
              <w:t>/2</w:t>
            </w:r>
          </w:p>
        </w:tc>
      </w:tr>
    </w:tbl>
    <w:p w14:paraId="104A7DEB" w14:textId="77777777" w:rsidR="00830F42" w:rsidRPr="00F43A6C" w:rsidRDefault="00830F42" w:rsidP="00830F42">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830F42" w:rsidRPr="00AC67F2" w14:paraId="04B80C74"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14CD6562" w14:textId="77777777" w:rsidR="00830F42" w:rsidRPr="00AC67F2" w:rsidRDefault="00830F42"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26B71F3E"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5A3661AB"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734DB648"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0756EE35"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2CFD1915"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3499AF0C"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3C27F1B" w14:textId="77777777" w:rsidR="00830F42" w:rsidRPr="00AC67F2" w:rsidRDefault="00830F42"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7792F4CA"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5BC5DC3F" w14:textId="2E3CA37C" w:rsidR="00830F42" w:rsidRPr="00A00FA0" w:rsidRDefault="00847C5E"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tcPr>
          <w:p w14:paraId="509F4842"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09A3F0FC"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319ECAF" w14:textId="321D1652"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 </w:t>
            </w:r>
          </w:p>
        </w:tc>
      </w:tr>
      <w:tr w:rsidR="00830F42" w:rsidRPr="00AC67F2" w14:paraId="261C1853"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06DD1F0D" w14:textId="77777777" w:rsidR="00830F42" w:rsidRPr="00AC67F2" w:rsidRDefault="00830F42" w:rsidP="002559F4">
            <w:pPr>
              <w:rPr>
                <w:rFonts w:cstheme="minorHAnsi"/>
                <w:lang w:val="sr-Latn-ME"/>
              </w:rPr>
            </w:pPr>
            <w:r>
              <w:rPr>
                <w:rFonts w:cstheme="minorHAnsi"/>
                <w:lang w:val="sr-Latn-ME"/>
              </w:rPr>
              <w:t>2.2</w:t>
            </w:r>
          </w:p>
        </w:tc>
        <w:tc>
          <w:tcPr>
            <w:tcW w:w="3856" w:type="dxa"/>
            <w:shd w:val="clear" w:color="auto" w:fill="auto"/>
          </w:tcPr>
          <w:p w14:paraId="6BFCF855"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je u analizi stanja uočena rodna nejednakost u oblasti obrazovanja, </w:t>
            </w:r>
            <w:r>
              <w:rPr>
                <w:rFonts w:cstheme="minorHAnsi"/>
                <w:lang w:val="sr-Latn-ME"/>
              </w:rPr>
              <w:lastRenderedPageBreak/>
              <w:t>zapošljavanja, učešća u odlučivanju i sl. u oblasti kojom se bavi javna politika?</w:t>
            </w:r>
          </w:p>
        </w:tc>
        <w:tc>
          <w:tcPr>
            <w:tcW w:w="747" w:type="dxa"/>
            <w:shd w:val="clear" w:color="auto" w:fill="auto"/>
          </w:tcPr>
          <w:p w14:paraId="62CFC113"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lastRenderedPageBreak/>
              <w:t>√</w:t>
            </w:r>
          </w:p>
        </w:tc>
        <w:tc>
          <w:tcPr>
            <w:tcW w:w="1263" w:type="dxa"/>
            <w:shd w:val="clear" w:color="auto" w:fill="auto"/>
          </w:tcPr>
          <w:p w14:paraId="572EDAD4"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3B8DEA8E"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4E6C26DF"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62874EAC"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1EDDDD6E" w14:textId="77777777" w:rsidR="00830F42" w:rsidRDefault="00830F42" w:rsidP="002559F4">
            <w:pPr>
              <w:rPr>
                <w:rFonts w:cstheme="minorHAnsi"/>
                <w:lang w:val="sr-Latn-ME"/>
              </w:rPr>
            </w:pPr>
            <w:r>
              <w:rPr>
                <w:rFonts w:cstheme="minorHAnsi"/>
                <w:lang w:val="sr-Latn-ME"/>
              </w:rPr>
              <w:t>2.3</w:t>
            </w:r>
          </w:p>
        </w:tc>
        <w:tc>
          <w:tcPr>
            <w:tcW w:w="3856" w:type="dxa"/>
            <w:shd w:val="clear" w:color="auto" w:fill="auto"/>
          </w:tcPr>
          <w:p w14:paraId="40847E0E"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shd w:val="clear" w:color="auto" w:fill="auto"/>
          </w:tcPr>
          <w:p w14:paraId="35E4C8A9" w14:textId="21D92139" w:rsidR="00830F42" w:rsidRPr="00AC67F2" w:rsidRDefault="00847C5E"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shd w:val="clear" w:color="auto" w:fill="auto"/>
          </w:tcPr>
          <w:p w14:paraId="24F2D29D" w14:textId="5D2CFC55"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12869500"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500ECACF"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2EE0609A"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7BE216C4" w14:textId="77777777" w:rsidR="00830F42" w:rsidRPr="00AC67F2" w:rsidRDefault="00830F42" w:rsidP="002559F4">
            <w:pPr>
              <w:rPr>
                <w:rFonts w:cstheme="minorHAnsi"/>
                <w:lang w:val="sr-Latn-ME"/>
              </w:rPr>
            </w:pPr>
            <w:r>
              <w:rPr>
                <w:rFonts w:cstheme="minorHAnsi"/>
                <w:lang w:val="sr-Latn-ME"/>
              </w:rPr>
              <w:t>2.4</w:t>
            </w:r>
          </w:p>
        </w:tc>
        <w:tc>
          <w:tcPr>
            <w:tcW w:w="3856" w:type="dxa"/>
            <w:shd w:val="clear" w:color="auto" w:fill="auto"/>
          </w:tcPr>
          <w:p w14:paraId="2B9047D4"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592055C6" w14:textId="7235E91F" w:rsidR="00830F42" w:rsidRPr="00C26A63" w:rsidRDefault="00847C5E"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shd w:val="clear" w:color="auto" w:fill="auto"/>
          </w:tcPr>
          <w:p w14:paraId="48876AE4" w14:textId="51F2FF38"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0E1C7E21"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761F6E88" w14:textId="77777777" w:rsidR="00830F42" w:rsidRPr="00D8609B"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57EFFB2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0E6BDE6" w14:textId="77777777" w:rsidR="00830F42" w:rsidRDefault="00830F42" w:rsidP="002559F4">
            <w:pPr>
              <w:rPr>
                <w:rFonts w:cstheme="minorHAnsi"/>
                <w:lang w:val="sr-Latn-ME"/>
              </w:rPr>
            </w:pPr>
            <w:r>
              <w:rPr>
                <w:rFonts w:cstheme="minorHAnsi"/>
                <w:lang w:val="sr-Latn-ME"/>
              </w:rPr>
              <w:t>2.5</w:t>
            </w:r>
          </w:p>
        </w:tc>
        <w:tc>
          <w:tcPr>
            <w:tcW w:w="3856" w:type="dxa"/>
          </w:tcPr>
          <w:p w14:paraId="5F10051B"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04A0D406" w14:textId="5F9AE62F" w:rsidR="00830F42" w:rsidRPr="00CC0043" w:rsidRDefault="00847C5E"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tcPr>
          <w:p w14:paraId="28F29D48"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7E88A859"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3B16802" w14:textId="48BB318E"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5F0707D7"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2C82EC9F" w14:textId="77777777" w:rsidR="00830F42" w:rsidRPr="00AC67F2" w:rsidRDefault="00830F42" w:rsidP="002559F4">
            <w:pPr>
              <w:rPr>
                <w:rFonts w:cstheme="minorHAnsi"/>
                <w:lang w:val="sr-Latn-ME"/>
              </w:rPr>
            </w:pPr>
            <w:r>
              <w:rPr>
                <w:rFonts w:cstheme="minorHAnsi"/>
                <w:lang w:val="sr-Latn-ME"/>
              </w:rPr>
              <w:t>2.6</w:t>
            </w:r>
          </w:p>
        </w:tc>
        <w:tc>
          <w:tcPr>
            <w:tcW w:w="3856" w:type="dxa"/>
            <w:shd w:val="clear" w:color="auto" w:fill="auto"/>
          </w:tcPr>
          <w:p w14:paraId="35BC675B"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auto"/>
          </w:tcPr>
          <w:p w14:paraId="17D5CE80" w14:textId="65193B0C" w:rsidR="00830F42" w:rsidRPr="00194E29" w:rsidRDefault="00847C5E"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r w:rsidRPr="00527B8F">
              <w:rPr>
                <w:rFonts w:cstheme="minorHAnsi"/>
                <w:b/>
                <w:bCs/>
                <w:sz w:val="28"/>
                <w:szCs w:val="28"/>
                <w:lang w:val="sr-Latn-ME"/>
              </w:rPr>
              <w:t>√</w:t>
            </w:r>
          </w:p>
        </w:tc>
        <w:tc>
          <w:tcPr>
            <w:tcW w:w="1263" w:type="dxa"/>
            <w:shd w:val="clear" w:color="auto" w:fill="auto"/>
          </w:tcPr>
          <w:p w14:paraId="005FC012"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auto"/>
          </w:tcPr>
          <w:p w14:paraId="74583586"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770A3E5A" w14:textId="13FB3306"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6D87B95A"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BC4BAC4" w14:textId="77777777" w:rsidR="00830F42" w:rsidRDefault="00830F42" w:rsidP="002559F4">
            <w:pPr>
              <w:rPr>
                <w:rFonts w:cstheme="minorHAnsi"/>
                <w:lang w:val="sr-Latn-ME"/>
              </w:rPr>
            </w:pPr>
            <w:r>
              <w:rPr>
                <w:rFonts w:cstheme="minorHAnsi"/>
                <w:lang w:val="sr-Latn-ME"/>
              </w:rPr>
              <w:t>2.7</w:t>
            </w:r>
          </w:p>
        </w:tc>
        <w:tc>
          <w:tcPr>
            <w:tcW w:w="3856" w:type="dxa"/>
          </w:tcPr>
          <w:p w14:paraId="353DCE1D"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1F19115E" w14:textId="4E68ACB1" w:rsidR="00830F42" w:rsidRPr="00AC67F2" w:rsidRDefault="00CD539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1FBC0D08" w14:textId="5BF48394"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0C4CA322"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731AFDCE"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4FB3F388"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0ADE92BB" w14:textId="29A36B21" w:rsidR="00830F42" w:rsidRPr="00AC67F2" w:rsidRDefault="00830F42"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17AFCC1B"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4E35D5D0" w14:textId="77777777" w:rsidR="00830F42" w:rsidRPr="005C2773" w:rsidRDefault="00830F42"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02587AA3" w14:textId="428C519D" w:rsidR="00830F42" w:rsidRPr="00AC67F2" w:rsidRDefault="00CD5398"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17656C2D" w14:textId="03ED52C0"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tcPr>
          <w:p w14:paraId="28F3AD3A"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4528F7B7" w14:textId="517A02AA" w:rsidR="00830F42" w:rsidRPr="0057445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4629ACD5"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45929042" w14:textId="77777777" w:rsidR="00830F42" w:rsidRPr="00AC67F2" w:rsidRDefault="00830F42" w:rsidP="002559F4">
            <w:pPr>
              <w:rPr>
                <w:rFonts w:cstheme="minorHAnsi"/>
                <w:lang w:val="sr-Latn-ME" w:eastAsia="en-GB"/>
              </w:rPr>
            </w:pPr>
            <w:r>
              <w:rPr>
                <w:rFonts w:cstheme="minorHAnsi"/>
                <w:lang w:val="sr-Latn-ME"/>
              </w:rPr>
              <w:t>Ukupno</w:t>
            </w:r>
          </w:p>
        </w:tc>
        <w:tc>
          <w:tcPr>
            <w:tcW w:w="747" w:type="dxa"/>
          </w:tcPr>
          <w:p w14:paraId="22B50460"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1575ACE5"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5E7694BF"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06354F23" w14:textId="3D9560E9" w:rsidR="00830F42" w:rsidRPr="00E72E03" w:rsidRDefault="00096999"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8</w:t>
            </w:r>
            <w:r w:rsidR="00830F42" w:rsidRPr="00E72E03">
              <w:rPr>
                <w:rFonts w:cstheme="minorHAnsi"/>
                <w:b/>
                <w:bCs/>
                <w:sz w:val="28"/>
                <w:szCs w:val="28"/>
                <w:lang w:val="sr-Latn-ME"/>
              </w:rPr>
              <w:t>/</w:t>
            </w:r>
            <w:r>
              <w:rPr>
                <w:rFonts w:cstheme="minorHAnsi"/>
                <w:b/>
                <w:bCs/>
                <w:sz w:val="28"/>
                <w:szCs w:val="28"/>
                <w:lang w:val="sr-Latn-ME"/>
              </w:rPr>
              <w:t>8</w:t>
            </w:r>
          </w:p>
        </w:tc>
      </w:tr>
    </w:tbl>
    <w:p w14:paraId="47D84D48" w14:textId="77777777" w:rsidR="00830F42" w:rsidRPr="00AC67F2" w:rsidRDefault="00830F42" w:rsidP="00830F42">
      <w:pPr>
        <w:rPr>
          <w:rFonts w:cstheme="minorHAnsi"/>
          <w:lang w:val="sr-Latn-ME"/>
        </w:rPr>
      </w:pPr>
    </w:p>
    <w:p w14:paraId="50199E32" w14:textId="77777777" w:rsidR="00830F42" w:rsidRPr="00852DD8" w:rsidRDefault="00830F42" w:rsidP="00830F42">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830F42" w:rsidRPr="00AC67F2" w14:paraId="2C089020"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01D6B23E" w14:textId="77777777" w:rsidR="00830F42" w:rsidRPr="00AC67F2" w:rsidRDefault="00830F42"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2480B257"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784687D3"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44D5A0CA"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52863807"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02204BCC"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629D9A25"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F8DEC40" w14:textId="77777777" w:rsidR="00830F42" w:rsidRPr="00AC67F2" w:rsidRDefault="00830F42" w:rsidP="002559F4">
            <w:pPr>
              <w:rPr>
                <w:rFonts w:cstheme="minorHAnsi"/>
                <w:lang w:val="sr-Latn-ME"/>
              </w:rPr>
            </w:pPr>
            <w:r>
              <w:rPr>
                <w:rFonts w:cstheme="minorHAnsi"/>
                <w:lang w:val="sr-Latn-ME"/>
              </w:rPr>
              <w:t>3.1</w:t>
            </w:r>
          </w:p>
        </w:tc>
        <w:tc>
          <w:tcPr>
            <w:tcW w:w="3908" w:type="dxa"/>
          </w:tcPr>
          <w:p w14:paraId="62AD2ED0"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tcPr>
          <w:p w14:paraId="28E9BA0E" w14:textId="541AB2E3" w:rsidR="00830F42" w:rsidRPr="00AC67F2" w:rsidRDefault="00356E8E"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263" w:type="dxa"/>
          </w:tcPr>
          <w:p w14:paraId="2993726B"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tcPr>
          <w:p w14:paraId="189949B7"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tcPr>
          <w:p w14:paraId="4BADB8F6" w14:textId="1F4D7DE4" w:rsidR="00830F42" w:rsidRPr="009A4E2D"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25EFAAF9"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532F630B" w14:textId="77777777" w:rsidR="00830F42" w:rsidRDefault="00830F42" w:rsidP="002559F4">
            <w:pPr>
              <w:rPr>
                <w:rFonts w:cstheme="minorHAnsi"/>
                <w:lang w:val="sr-Latn-ME"/>
              </w:rPr>
            </w:pPr>
            <w:r>
              <w:rPr>
                <w:rFonts w:cstheme="minorHAnsi"/>
                <w:lang w:val="sr-Latn-ME"/>
              </w:rPr>
              <w:t>Ukupno</w:t>
            </w:r>
          </w:p>
        </w:tc>
        <w:tc>
          <w:tcPr>
            <w:tcW w:w="760" w:type="dxa"/>
            <w:shd w:val="clear" w:color="auto" w:fill="auto"/>
          </w:tcPr>
          <w:p w14:paraId="5BF78286"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41572D3D"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486F5FD7"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73BC9D69" w14:textId="47E8C7E7" w:rsidR="00830F42" w:rsidRPr="00AC67F2" w:rsidRDefault="00356E8E"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1</w:t>
            </w:r>
            <w:r w:rsidR="00830F42">
              <w:rPr>
                <w:rFonts w:cstheme="minorHAnsi"/>
                <w:b/>
                <w:bCs/>
                <w:sz w:val="28"/>
                <w:szCs w:val="28"/>
              </w:rPr>
              <w:t>/1</w:t>
            </w:r>
          </w:p>
        </w:tc>
      </w:tr>
    </w:tbl>
    <w:p w14:paraId="767EE699" w14:textId="77777777" w:rsidR="00830F42" w:rsidRDefault="00830F42" w:rsidP="00830F42">
      <w:pPr>
        <w:rPr>
          <w:rFonts w:cstheme="minorHAnsi"/>
          <w:lang w:val="sr-Latn-ME"/>
        </w:rPr>
      </w:pPr>
    </w:p>
    <w:p w14:paraId="7D617B1B" w14:textId="511CD7E9" w:rsidR="00830F42" w:rsidRPr="00D70BEE" w:rsidRDefault="00830F42" w:rsidP="00830F42">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00B050"/>
          <w:sz w:val="32"/>
          <w:szCs w:val="32"/>
          <w:lang w:val="sr-Latn-ME"/>
        </w:rPr>
      </w:pPr>
      <w:r w:rsidRPr="00D70BEE">
        <w:rPr>
          <w:rFonts w:cstheme="minorHAnsi"/>
          <w:color w:val="00B050"/>
          <w:sz w:val="32"/>
          <w:szCs w:val="32"/>
          <w:lang w:val="sr-Latn-ME"/>
        </w:rPr>
        <w:t xml:space="preserve">Konačna ocjena: </w:t>
      </w:r>
      <w:r w:rsidR="00356E8E" w:rsidRPr="00D70BEE">
        <w:rPr>
          <w:rFonts w:cstheme="minorHAnsi"/>
          <w:color w:val="00B050"/>
          <w:sz w:val="32"/>
          <w:szCs w:val="32"/>
          <w:lang w:val="sr-Latn-ME"/>
        </w:rPr>
        <w:t>1</w:t>
      </w:r>
      <w:r w:rsidR="00096999">
        <w:rPr>
          <w:rFonts w:cstheme="minorHAnsi"/>
          <w:color w:val="00B050"/>
          <w:sz w:val="32"/>
          <w:szCs w:val="32"/>
          <w:lang w:val="sr-Latn-ME"/>
        </w:rPr>
        <w:t>0</w:t>
      </w:r>
      <w:r w:rsidRPr="00D70BEE">
        <w:rPr>
          <w:rFonts w:cstheme="minorHAnsi"/>
          <w:color w:val="00B050"/>
          <w:sz w:val="32"/>
          <w:szCs w:val="32"/>
          <w:lang w:val="sr-Latn-ME"/>
        </w:rPr>
        <w:t xml:space="preserve"> od 1</w:t>
      </w:r>
      <w:r w:rsidR="00096999">
        <w:rPr>
          <w:rFonts w:cstheme="minorHAnsi"/>
          <w:color w:val="00B050"/>
          <w:sz w:val="32"/>
          <w:szCs w:val="32"/>
          <w:lang w:val="sr-Latn-ME"/>
        </w:rPr>
        <w:t>1</w:t>
      </w:r>
      <w:r w:rsidRPr="00D70BEE">
        <w:rPr>
          <w:rFonts w:cstheme="minorHAnsi"/>
          <w:color w:val="00B050"/>
          <w:sz w:val="32"/>
          <w:szCs w:val="32"/>
          <w:lang w:val="sr-Latn-ME"/>
        </w:rPr>
        <w:t xml:space="preserve"> ili </w:t>
      </w:r>
      <w:r w:rsidRPr="00D70BEE">
        <w:rPr>
          <w:rFonts w:cstheme="minorHAnsi"/>
          <w:b/>
          <w:bCs/>
          <w:color w:val="00B050"/>
          <w:sz w:val="32"/>
          <w:szCs w:val="32"/>
          <w:lang w:val="sr-Latn-ME"/>
        </w:rPr>
        <w:t>0.</w:t>
      </w:r>
      <w:r w:rsidR="00D70BEE" w:rsidRPr="00D70BEE">
        <w:rPr>
          <w:rFonts w:cstheme="minorHAnsi"/>
          <w:b/>
          <w:bCs/>
          <w:color w:val="00B050"/>
          <w:sz w:val="32"/>
          <w:szCs w:val="32"/>
          <w:lang w:val="sr-Latn-ME"/>
        </w:rPr>
        <w:t>9</w:t>
      </w:r>
      <w:r w:rsidRPr="00D70BEE">
        <w:rPr>
          <w:rFonts w:cstheme="minorHAnsi"/>
          <w:b/>
          <w:bCs/>
          <w:color w:val="00B050"/>
          <w:sz w:val="32"/>
          <w:szCs w:val="32"/>
          <w:lang w:val="sr-Latn-ME"/>
        </w:rPr>
        <w:t xml:space="preserve"> – Strategija </w:t>
      </w:r>
      <w:r w:rsidR="00D70BEE" w:rsidRPr="00D70BEE">
        <w:rPr>
          <w:rFonts w:cstheme="minorHAnsi"/>
          <w:b/>
          <w:bCs/>
          <w:color w:val="00B050"/>
          <w:sz w:val="32"/>
          <w:szCs w:val="32"/>
          <w:lang w:val="sr-Latn-ME"/>
        </w:rPr>
        <w:t>je u potpunosti</w:t>
      </w:r>
      <w:r w:rsidRPr="00D70BEE">
        <w:rPr>
          <w:rFonts w:cstheme="minorHAnsi"/>
          <w:b/>
          <w:bCs/>
          <w:color w:val="00B050"/>
          <w:sz w:val="32"/>
          <w:szCs w:val="32"/>
          <w:lang w:val="sr-Latn-ME"/>
        </w:rPr>
        <w:t xml:space="preserve"> orodnjena.</w:t>
      </w:r>
    </w:p>
    <w:p w14:paraId="2999E327" w14:textId="77777777" w:rsidR="00830F42" w:rsidRPr="00830F42" w:rsidRDefault="00830F42" w:rsidP="00830F42">
      <w:pPr>
        <w:rPr>
          <w:lang w:val="sr-Latn-ME"/>
        </w:rPr>
      </w:pPr>
    </w:p>
    <w:p w14:paraId="5E381DD5" w14:textId="082B8489" w:rsidR="00AC6EB8" w:rsidRDefault="00227611" w:rsidP="002D6E1D">
      <w:pPr>
        <w:pStyle w:val="Heading3"/>
        <w:rPr>
          <w:lang w:val="sr-Latn-ME"/>
        </w:rPr>
      </w:pPr>
      <w:bookmarkStart w:id="32" w:name="_Toc100339554"/>
      <w:r>
        <w:rPr>
          <w:lang w:val="sr-Latn-ME"/>
        </w:rPr>
        <w:lastRenderedPageBreak/>
        <w:t>25</w:t>
      </w:r>
      <w:r w:rsidR="009D5CC5">
        <w:rPr>
          <w:lang w:val="sr-Latn-ME"/>
        </w:rPr>
        <w:t xml:space="preserve">. </w:t>
      </w:r>
      <w:r w:rsidR="00AC6EB8" w:rsidRPr="00AC6EB8">
        <w:rPr>
          <w:lang w:val="sr-Latn-ME"/>
        </w:rPr>
        <w:t>Program poboljšanja bezbjednosti u drumskom saobraćaju 2020-2022. godina</w:t>
      </w:r>
      <w:bookmarkEnd w:id="32"/>
    </w:p>
    <w:p w14:paraId="69611245" w14:textId="77777777" w:rsidR="009D5CC5" w:rsidRPr="009D5CC5" w:rsidRDefault="009D5CC5" w:rsidP="009D5CC5"/>
    <w:p w14:paraId="6A188718" w14:textId="7A6DF291" w:rsidR="002D6E1D" w:rsidRPr="002D6E1D" w:rsidRDefault="000C3095" w:rsidP="000C3095">
      <w:pPr>
        <w:jc w:val="both"/>
        <w:rPr>
          <w:lang w:val="sr-Latn-ME"/>
        </w:rPr>
      </w:pPr>
      <w:r>
        <w:t>Program ima cilj da omogući uslove za održivi razvoj saobraćaja i društva u kojem će građani</w:t>
      </w:r>
      <w:r w:rsidR="003D016A">
        <w:t xml:space="preserve"> I </w:t>
      </w:r>
      <w:r w:rsidR="003D016A" w:rsidRPr="0026562E">
        <w:rPr>
          <w:lang w:val="sr-Latn-ME"/>
        </w:rPr>
        <w:t>građan</w:t>
      </w:r>
      <w:r w:rsidR="003D016A">
        <w:rPr>
          <w:lang w:val="sr-Latn-ME"/>
        </w:rPr>
        <w:t>ke</w:t>
      </w:r>
      <w:r>
        <w:t>, a posebno grupe i pojedinci</w:t>
      </w:r>
      <w:r w:rsidR="003D016A">
        <w:t>/ke</w:t>
      </w:r>
      <w:r>
        <w:t xml:space="preserve"> koji se smatraju rizičnim grupama</w:t>
      </w:r>
      <w:r w:rsidR="003D016A">
        <w:t>,</w:t>
      </w:r>
      <w:r>
        <w:t xml:space="preserve"> kao učesnici u saobraćaju biti dio bezb</w:t>
      </w:r>
      <w:r w:rsidR="003D016A">
        <w:t>i</w:t>
      </w:r>
      <w:r>
        <w:t>jednog saobraćaja</w:t>
      </w:r>
      <w:r w:rsidR="008856A4">
        <w:t xml:space="preserve">. Takođe, program nastoji da </w:t>
      </w:r>
      <w:r>
        <w:t>uspostavi efikasan sistem bezbjednosti drumskog saobraćaja koji će uključivati sve državne organe, organe državne uprave i lokalne samouprave</w:t>
      </w:r>
      <w:r w:rsidR="008856A4">
        <w:t>. Na kraju, Programom se želi</w:t>
      </w:r>
      <w:r>
        <w:t xml:space="preserve"> proširi</w:t>
      </w:r>
      <w:r w:rsidR="008856A4">
        <w:t>ti</w:t>
      </w:r>
      <w:r>
        <w:t xml:space="preserve"> sistem odgovornosti za saobraćajne nezgode sa isključivo direktno uključenih učesnika u saobraćajnim nezgodama, na sve subjekte koji mogu doprinijeti smanjenju rizika od saobraćajnih nezgoda i njihovih posljedica</w:t>
      </w:r>
      <w:r w:rsidR="008856A4">
        <w:t>.</w:t>
      </w:r>
    </w:p>
    <w:p w14:paraId="2355905B" w14:textId="77777777" w:rsidR="00830F42" w:rsidRPr="007D71A2" w:rsidRDefault="00830F42" w:rsidP="00830F42">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830F42" w:rsidRPr="00AC67F2" w14:paraId="6AA9660F"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248FB4C6" w14:textId="77777777" w:rsidR="00830F42" w:rsidRPr="00AC67F2" w:rsidRDefault="00830F42"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3816CEDF"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5E0B0AAA"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68A50ACD" w14:textId="77777777" w:rsidR="00830F42" w:rsidRPr="009148DB"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1E9C3BA8"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3B0FB19C"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7FBD38F8" w14:textId="77777777" w:rsidR="00830F42" w:rsidRPr="00AC67F2" w:rsidRDefault="00830F42"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193F7509" w14:textId="77777777" w:rsidR="00830F42" w:rsidRPr="00DA659B"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3279A653"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7FEE7FA3"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7BA386F9"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4B7DFAEA" w14:textId="77777777" w:rsidR="00830F42" w:rsidRPr="00A545D6"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830F42" w:rsidRPr="00AC67F2" w14:paraId="3FD24FBE"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641D75E7" w14:textId="77777777" w:rsidR="00830F42" w:rsidRPr="00AC67F2" w:rsidRDefault="00830F42" w:rsidP="002559F4">
            <w:pPr>
              <w:rPr>
                <w:rFonts w:cstheme="minorHAnsi"/>
                <w:lang w:val="sr-Latn-ME"/>
              </w:rPr>
            </w:pPr>
            <w:r>
              <w:rPr>
                <w:rFonts w:cstheme="minorHAnsi"/>
                <w:lang w:val="sr-Latn-ME"/>
              </w:rPr>
              <w:t>1.2</w:t>
            </w:r>
          </w:p>
        </w:tc>
        <w:tc>
          <w:tcPr>
            <w:tcW w:w="2443" w:type="pct"/>
          </w:tcPr>
          <w:p w14:paraId="5940FCA7"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2D29756D"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2A8A9983" w14:textId="33132BFE"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222FF1EF" w14:textId="018B7928" w:rsidR="00830F42" w:rsidRPr="00AC67F2" w:rsidRDefault="008856A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24613245" w14:textId="5EB3AAC0" w:rsidR="00830F42" w:rsidRPr="00A545D6"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7F7A0505"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0249FB3A" w14:textId="77777777" w:rsidR="00830F42" w:rsidRPr="00AC67F2" w:rsidRDefault="00830F42" w:rsidP="002559F4">
            <w:pPr>
              <w:rPr>
                <w:rFonts w:cstheme="minorHAnsi"/>
                <w:lang w:val="sr-Latn-ME"/>
              </w:rPr>
            </w:pPr>
            <w:r>
              <w:rPr>
                <w:rFonts w:cstheme="minorHAnsi"/>
                <w:lang w:val="sr-Latn-ME"/>
              </w:rPr>
              <w:t>Ukupno</w:t>
            </w:r>
          </w:p>
        </w:tc>
        <w:tc>
          <w:tcPr>
            <w:tcW w:w="645" w:type="pct"/>
          </w:tcPr>
          <w:p w14:paraId="6B379352"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4E1B93EC"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13069B21" w14:textId="016DE172" w:rsidR="00830F42" w:rsidRPr="008C09CD" w:rsidRDefault="008856A4"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w:t>
            </w:r>
            <w:r w:rsidR="00830F42">
              <w:rPr>
                <w:rFonts w:cstheme="minorHAnsi"/>
                <w:b/>
                <w:bCs/>
                <w:sz w:val="28"/>
                <w:szCs w:val="28"/>
              </w:rPr>
              <w:t>/2</w:t>
            </w:r>
          </w:p>
        </w:tc>
      </w:tr>
    </w:tbl>
    <w:p w14:paraId="071F8E53" w14:textId="77777777" w:rsidR="00830F42" w:rsidRPr="00F43A6C" w:rsidRDefault="00830F42" w:rsidP="00830F42">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830F42" w:rsidRPr="00AC67F2" w14:paraId="69A80CBD"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60A3C338" w14:textId="77777777" w:rsidR="00830F42" w:rsidRPr="00AC67F2" w:rsidRDefault="00830F42"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0585169C"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5DC11B4A"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5440BDB3"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52BA515F"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50D07F14"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70BFA36D"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EFD8CC4" w14:textId="77777777" w:rsidR="00830F42" w:rsidRPr="00AC67F2" w:rsidRDefault="00830F42"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100E40CE"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0DD8CD38" w14:textId="3DAD3387" w:rsidR="00830F42" w:rsidRPr="00A00FA0"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tcPr>
          <w:p w14:paraId="5145A187" w14:textId="389E8973" w:rsidR="00830F42" w:rsidRPr="00AC67F2" w:rsidRDefault="000B214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77529D1E"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A3CFCEB" w14:textId="42FFC522"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 </w:t>
            </w:r>
          </w:p>
        </w:tc>
      </w:tr>
      <w:tr w:rsidR="00830F42" w:rsidRPr="00AC67F2" w14:paraId="12778ED1"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02ED878F" w14:textId="77777777" w:rsidR="00830F42" w:rsidRPr="00AC67F2" w:rsidRDefault="00830F42" w:rsidP="002559F4">
            <w:pPr>
              <w:rPr>
                <w:rFonts w:cstheme="minorHAnsi"/>
                <w:lang w:val="sr-Latn-ME"/>
              </w:rPr>
            </w:pPr>
            <w:r>
              <w:rPr>
                <w:rFonts w:cstheme="minorHAnsi"/>
                <w:lang w:val="sr-Latn-ME"/>
              </w:rPr>
              <w:t>2.2</w:t>
            </w:r>
          </w:p>
        </w:tc>
        <w:tc>
          <w:tcPr>
            <w:tcW w:w="3856" w:type="dxa"/>
            <w:shd w:val="clear" w:color="auto" w:fill="auto"/>
          </w:tcPr>
          <w:p w14:paraId="6D762F45"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shd w:val="clear" w:color="auto" w:fill="auto"/>
          </w:tcPr>
          <w:p w14:paraId="6A005E5B" w14:textId="60713B51"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2B30B661" w14:textId="72FD89DC" w:rsidR="00830F42" w:rsidRPr="00AC67F2" w:rsidRDefault="000B2144"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06D1819B"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2E65CD09"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30EFB2A4"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0FAE926A" w14:textId="77777777" w:rsidR="00830F42" w:rsidRDefault="00830F42" w:rsidP="002559F4">
            <w:pPr>
              <w:rPr>
                <w:rFonts w:cstheme="minorHAnsi"/>
                <w:lang w:val="sr-Latn-ME"/>
              </w:rPr>
            </w:pPr>
            <w:r>
              <w:rPr>
                <w:rFonts w:cstheme="minorHAnsi"/>
                <w:lang w:val="sr-Latn-ME"/>
              </w:rPr>
              <w:t>2.3</w:t>
            </w:r>
          </w:p>
        </w:tc>
        <w:tc>
          <w:tcPr>
            <w:tcW w:w="3856" w:type="dxa"/>
            <w:shd w:val="clear" w:color="auto" w:fill="auto"/>
          </w:tcPr>
          <w:p w14:paraId="37339F9C"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shd w:val="clear" w:color="auto" w:fill="auto"/>
          </w:tcPr>
          <w:p w14:paraId="527EF8DD"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6C1E2447"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5B62AA82"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73341AA9"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7E02E374"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76A5111F" w14:textId="77777777" w:rsidR="00830F42" w:rsidRPr="00AC67F2" w:rsidRDefault="00830F42" w:rsidP="002559F4">
            <w:pPr>
              <w:rPr>
                <w:rFonts w:cstheme="minorHAnsi"/>
                <w:lang w:val="sr-Latn-ME"/>
              </w:rPr>
            </w:pPr>
            <w:r>
              <w:rPr>
                <w:rFonts w:cstheme="minorHAnsi"/>
                <w:lang w:val="sr-Latn-ME"/>
              </w:rPr>
              <w:t>2.4</w:t>
            </w:r>
          </w:p>
        </w:tc>
        <w:tc>
          <w:tcPr>
            <w:tcW w:w="3856" w:type="dxa"/>
            <w:shd w:val="clear" w:color="auto" w:fill="auto"/>
          </w:tcPr>
          <w:p w14:paraId="358EC068"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rodno disagregirani podaci, nejednakosti, prepreke i rizici koji su </w:t>
            </w:r>
            <w:r>
              <w:rPr>
                <w:rFonts w:cstheme="minorHAnsi"/>
                <w:lang w:val="sr-Latn-ME"/>
              </w:rPr>
              <w:lastRenderedPageBreak/>
              <w:t>uočeni, povezani sa ciljevima koji su definisani u okviru javne politike?</w:t>
            </w:r>
          </w:p>
        </w:tc>
        <w:tc>
          <w:tcPr>
            <w:tcW w:w="747" w:type="dxa"/>
            <w:shd w:val="clear" w:color="auto" w:fill="auto"/>
          </w:tcPr>
          <w:p w14:paraId="40783038" w14:textId="77777777" w:rsidR="00830F42" w:rsidRPr="00C26A63"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auto"/>
          </w:tcPr>
          <w:p w14:paraId="5DDEB766"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442EA2D7"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4C29E354" w14:textId="77777777" w:rsidR="00830F42" w:rsidRPr="00D8609B"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748A253B"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4FDCE674" w14:textId="77777777" w:rsidR="00830F42" w:rsidRDefault="00830F42" w:rsidP="002559F4">
            <w:pPr>
              <w:rPr>
                <w:rFonts w:cstheme="minorHAnsi"/>
                <w:lang w:val="sr-Latn-ME"/>
              </w:rPr>
            </w:pPr>
            <w:r>
              <w:rPr>
                <w:rFonts w:cstheme="minorHAnsi"/>
                <w:lang w:val="sr-Latn-ME"/>
              </w:rPr>
              <w:t>2.5</w:t>
            </w:r>
          </w:p>
        </w:tc>
        <w:tc>
          <w:tcPr>
            <w:tcW w:w="3856" w:type="dxa"/>
          </w:tcPr>
          <w:p w14:paraId="6881E028"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59814D93" w14:textId="3CF56A57" w:rsidR="00830F42" w:rsidRPr="00CC0043"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tcPr>
          <w:p w14:paraId="5089E195" w14:textId="2DFD53C3" w:rsidR="00830F42" w:rsidRPr="00AC67F2" w:rsidRDefault="00474701"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54A00185"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196736D7" w14:textId="77777777" w:rsidR="00830F42" w:rsidRPr="00406C8E"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U okviru mjere 12</w:t>
            </w:r>
            <w:r>
              <w:t xml:space="preserve"> </w:t>
            </w:r>
            <w:r w:rsidRPr="00406C8E">
              <w:rPr>
                <w:rFonts w:cstheme="minorHAnsi"/>
                <w:sz w:val="18"/>
                <w:szCs w:val="18"/>
                <w:lang w:val="sr-Latn-ME"/>
              </w:rPr>
              <w:t xml:space="preserve">Unapređenje zakonodavnog i institucionalnog okvira za razvoj </w:t>
            </w:r>
          </w:p>
          <w:p w14:paraId="27AFA2AF" w14:textId="574AFB93" w:rsidR="00177AE6" w:rsidRPr="00A71811" w:rsidRDefault="00830F42" w:rsidP="00177AE6">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406C8E">
              <w:rPr>
                <w:rFonts w:cstheme="minorHAnsi"/>
                <w:sz w:val="18"/>
                <w:szCs w:val="18"/>
                <w:lang w:val="sr-Latn-ME"/>
              </w:rPr>
              <w:t xml:space="preserve">istraživanja i inovacija i </w:t>
            </w:r>
          </w:p>
          <w:p w14:paraId="1800DF7B" w14:textId="07D0D2CA"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4A53A7F8" w14:textId="77777777" w:rsidTr="00474701">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72C3476F" w14:textId="77777777" w:rsidR="00830F42" w:rsidRPr="00AC67F2" w:rsidRDefault="00830F42" w:rsidP="002559F4">
            <w:pPr>
              <w:rPr>
                <w:rFonts w:cstheme="minorHAnsi"/>
                <w:lang w:val="sr-Latn-ME"/>
              </w:rPr>
            </w:pPr>
            <w:r>
              <w:rPr>
                <w:rFonts w:cstheme="minorHAnsi"/>
                <w:lang w:val="sr-Latn-ME"/>
              </w:rPr>
              <w:t>2.6</w:t>
            </w:r>
          </w:p>
        </w:tc>
        <w:tc>
          <w:tcPr>
            <w:tcW w:w="3856" w:type="dxa"/>
            <w:shd w:val="clear" w:color="auto" w:fill="D9D9D9" w:themeFill="background1" w:themeFillShade="D9"/>
          </w:tcPr>
          <w:p w14:paraId="48986908"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D9D9D9" w:themeFill="background1" w:themeFillShade="D9"/>
          </w:tcPr>
          <w:p w14:paraId="1A022D8D" w14:textId="6A83369B" w:rsidR="00830F42" w:rsidRPr="00194E29"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D9D9D9" w:themeFill="background1" w:themeFillShade="D9"/>
          </w:tcPr>
          <w:p w14:paraId="609A454D" w14:textId="5E882743"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196174F7"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D9D9D9" w:themeFill="background1" w:themeFillShade="D9"/>
          </w:tcPr>
          <w:p w14:paraId="4AD0E0FA" w14:textId="7B8CAAFA" w:rsidR="00830F42" w:rsidRPr="00A71811" w:rsidRDefault="00474701"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Nema takvih mjera. </w:t>
            </w:r>
            <w:r w:rsidR="00830F42">
              <w:rPr>
                <w:rFonts w:cstheme="minorHAnsi"/>
                <w:sz w:val="18"/>
                <w:szCs w:val="18"/>
                <w:lang w:val="sr-Latn-ME"/>
              </w:rPr>
              <w:t xml:space="preserve"> </w:t>
            </w:r>
          </w:p>
        </w:tc>
      </w:tr>
      <w:tr w:rsidR="00830F42" w:rsidRPr="00AC67F2" w14:paraId="28B77731" w14:textId="77777777" w:rsidTr="00474701">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065FA412" w14:textId="77777777" w:rsidR="00830F42" w:rsidRDefault="00830F42" w:rsidP="002559F4">
            <w:pPr>
              <w:rPr>
                <w:rFonts w:cstheme="minorHAnsi"/>
                <w:lang w:val="sr-Latn-ME"/>
              </w:rPr>
            </w:pPr>
            <w:r>
              <w:rPr>
                <w:rFonts w:cstheme="minorHAnsi"/>
                <w:lang w:val="sr-Latn-ME"/>
              </w:rPr>
              <w:t>2.7</w:t>
            </w:r>
          </w:p>
        </w:tc>
        <w:tc>
          <w:tcPr>
            <w:tcW w:w="3856" w:type="dxa"/>
            <w:shd w:val="clear" w:color="auto" w:fill="D9D9D9" w:themeFill="background1" w:themeFillShade="D9"/>
          </w:tcPr>
          <w:p w14:paraId="1E260B40"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shd w:val="clear" w:color="auto" w:fill="D9D9D9" w:themeFill="background1" w:themeFillShade="D9"/>
          </w:tcPr>
          <w:p w14:paraId="348A5F62"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3B79F0DE" w14:textId="28572BA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501A4C50"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D9D9D9" w:themeFill="background1" w:themeFillShade="D9"/>
          </w:tcPr>
          <w:p w14:paraId="1BEE86D6" w14:textId="33ED848D" w:rsidR="00830F42" w:rsidRPr="00A71811" w:rsidRDefault="00474701"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Nema takvih mjera.  </w:t>
            </w:r>
          </w:p>
        </w:tc>
      </w:tr>
      <w:tr w:rsidR="00830F42" w:rsidRPr="00AC67F2" w14:paraId="3E042C3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2164562A" w14:textId="5A93D392" w:rsidR="00830F42" w:rsidRPr="00AC67F2" w:rsidRDefault="00830F42"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214A480D"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39BAD671" w14:textId="77777777" w:rsidR="00830F42" w:rsidRPr="005C2773" w:rsidRDefault="00830F42"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4FC17DF9"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4D0A99E4"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2ABE90E7"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34550DEE" w14:textId="0BFD1068" w:rsidR="00830F42" w:rsidRPr="0057445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574452">
              <w:rPr>
                <w:rFonts w:cstheme="minorHAnsi"/>
                <w:sz w:val="18"/>
                <w:szCs w:val="18"/>
                <w:lang w:val="sr-Latn-ME"/>
              </w:rPr>
              <w:t>Strategija koristi uglavnom rodno neutralne izraze, a tamo gdje to nije moguće ne koristi se rodno senzitivan jezik („</w:t>
            </w:r>
            <w:r w:rsidR="007B790B">
              <w:rPr>
                <w:rFonts w:cstheme="minorHAnsi"/>
                <w:sz w:val="18"/>
                <w:szCs w:val="18"/>
                <w:lang w:val="sr-Latn-ME"/>
              </w:rPr>
              <w:t>učesnici</w:t>
            </w:r>
            <w:r w:rsidRPr="00574452">
              <w:rPr>
                <w:rFonts w:cstheme="minorHAnsi"/>
                <w:sz w:val="18"/>
                <w:szCs w:val="18"/>
                <w:lang w:val="sr-Latn-ME"/>
              </w:rPr>
              <w:t>“</w:t>
            </w:r>
            <w:r w:rsidR="00177AE6">
              <w:rPr>
                <w:rFonts w:cstheme="minorHAnsi"/>
                <w:sz w:val="18"/>
                <w:szCs w:val="18"/>
                <w:lang w:val="sr-Latn-ME"/>
              </w:rPr>
              <w:t>, „putnici“, „vozači“</w:t>
            </w:r>
            <w:r>
              <w:rPr>
                <w:rFonts w:cstheme="minorHAnsi"/>
                <w:sz w:val="18"/>
                <w:szCs w:val="18"/>
                <w:lang w:val="sr-Latn-ME"/>
              </w:rPr>
              <w:t>).</w:t>
            </w:r>
          </w:p>
        </w:tc>
      </w:tr>
      <w:tr w:rsidR="00830F42" w:rsidRPr="00AC67F2" w14:paraId="4291718D"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41212222" w14:textId="77777777" w:rsidR="00830F42" w:rsidRPr="00AC67F2" w:rsidRDefault="00830F42" w:rsidP="002559F4">
            <w:pPr>
              <w:rPr>
                <w:rFonts w:cstheme="minorHAnsi"/>
                <w:lang w:val="sr-Latn-ME" w:eastAsia="en-GB"/>
              </w:rPr>
            </w:pPr>
            <w:r>
              <w:rPr>
                <w:rFonts w:cstheme="minorHAnsi"/>
                <w:lang w:val="sr-Latn-ME"/>
              </w:rPr>
              <w:t>Ukupno</w:t>
            </w:r>
          </w:p>
        </w:tc>
        <w:tc>
          <w:tcPr>
            <w:tcW w:w="747" w:type="dxa"/>
          </w:tcPr>
          <w:p w14:paraId="2F273843"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0EA627E0"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1754856F"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08FAAA0" w14:textId="74285E47" w:rsidR="00830F42" w:rsidRPr="00E72E03" w:rsidRDefault="00830F42"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0</w:t>
            </w:r>
            <w:r w:rsidRPr="00E72E03">
              <w:rPr>
                <w:rFonts w:cstheme="minorHAnsi"/>
                <w:b/>
                <w:bCs/>
                <w:sz w:val="28"/>
                <w:szCs w:val="28"/>
                <w:lang w:val="sr-Latn-ME"/>
              </w:rPr>
              <w:t>/</w:t>
            </w:r>
            <w:r w:rsidR="00FD3545">
              <w:rPr>
                <w:rFonts w:cstheme="minorHAnsi"/>
                <w:b/>
                <w:bCs/>
                <w:sz w:val="28"/>
                <w:szCs w:val="28"/>
                <w:lang w:val="sr-Latn-ME"/>
              </w:rPr>
              <w:t>6</w:t>
            </w:r>
          </w:p>
        </w:tc>
      </w:tr>
    </w:tbl>
    <w:p w14:paraId="60BDF541" w14:textId="77777777" w:rsidR="00830F42" w:rsidRPr="00AC67F2" w:rsidRDefault="00830F42" w:rsidP="00830F42">
      <w:pPr>
        <w:rPr>
          <w:rFonts w:cstheme="minorHAnsi"/>
          <w:lang w:val="sr-Latn-ME"/>
        </w:rPr>
      </w:pPr>
    </w:p>
    <w:p w14:paraId="72769FF1" w14:textId="77777777" w:rsidR="00830F42" w:rsidRPr="00852DD8" w:rsidRDefault="00830F42" w:rsidP="00830F42">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830F42" w:rsidRPr="00AC67F2" w14:paraId="07A28D0C"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4BE2DEE1" w14:textId="77777777" w:rsidR="00830F42" w:rsidRPr="00AC67F2" w:rsidRDefault="00830F42"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598D412B"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1B09E9E3"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665E6614"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4E7F0B72"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7AE6E9C1"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7ACE45FD" w14:textId="77777777" w:rsidTr="000B2144">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0209C9A0" w14:textId="77777777" w:rsidR="00830F42" w:rsidRPr="00AC67F2" w:rsidRDefault="00830F42" w:rsidP="002559F4">
            <w:pPr>
              <w:rPr>
                <w:rFonts w:cstheme="minorHAnsi"/>
                <w:lang w:val="sr-Latn-ME"/>
              </w:rPr>
            </w:pPr>
            <w:r>
              <w:rPr>
                <w:rFonts w:cstheme="minorHAnsi"/>
                <w:lang w:val="sr-Latn-ME"/>
              </w:rPr>
              <w:t>3.1</w:t>
            </w:r>
          </w:p>
        </w:tc>
        <w:tc>
          <w:tcPr>
            <w:tcW w:w="3908" w:type="dxa"/>
            <w:shd w:val="clear" w:color="auto" w:fill="D9D9D9" w:themeFill="background1" w:themeFillShade="D9"/>
          </w:tcPr>
          <w:p w14:paraId="4C889E72"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shd w:val="clear" w:color="auto" w:fill="D9D9D9" w:themeFill="background1" w:themeFillShade="D9"/>
          </w:tcPr>
          <w:p w14:paraId="30335269" w14:textId="6DDDDCE3"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3BED4C34" w14:textId="7E87D5FE"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shd w:val="clear" w:color="auto" w:fill="D9D9D9" w:themeFill="background1" w:themeFillShade="D9"/>
          </w:tcPr>
          <w:p w14:paraId="19913A5D"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D9D9D9" w:themeFill="background1" w:themeFillShade="D9"/>
          </w:tcPr>
          <w:p w14:paraId="7378C298" w14:textId="355E524B" w:rsidR="00830F42" w:rsidRPr="009A4E2D" w:rsidRDefault="000B2144"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Nema takvih mjera.</w:t>
            </w:r>
          </w:p>
        </w:tc>
      </w:tr>
      <w:tr w:rsidR="00830F42" w:rsidRPr="00AC67F2" w14:paraId="26CDCC96"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565FF604" w14:textId="77777777" w:rsidR="00830F42" w:rsidRDefault="00830F42" w:rsidP="002559F4">
            <w:pPr>
              <w:rPr>
                <w:rFonts w:cstheme="minorHAnsi"/>
                <w:lang w:val="sr-Latn-ME"/>
              </w:rPr>
            </w:pPr>
            <w:r>
              <w:rPr>
                <w:rFonts w:cstheme="minorHAnsi"/>
                <w:lang w:val="sr-Latn-ME"/>
              </w:rPr>
              <w:t>Ukupno</w:t>
            </w:r>
          </w:p>
        </w:tc>
        <w:tc>
          <w:tcPr>
            <w:tcW w:w="760" w:type="dxa"/>
            <w:shd w:val="clear" w:color="auto" w:fill="auto"/>
          </w:tcPr>
          <w:p w14:paraId="3A6DE214"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2486DEF3"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6523E744"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2D6C177C" w14:textId="4EB36DE6" w:rsidR="00830F42" w:rsidRPr="00AC67F2" w:rsidRDefault="000B2144"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0</w:t>
            </w:r>
            <w:r w:rsidR="00830F42">
              <w:rPr>
                <w:rFonts w:cstheme="minorHAnsi"/>
                <w:b/>
                <w:bCs/>
                <w:sz w:val="28"/>
                <w:szCs w:val="28"/>
              </w:rPr>
              <w:t>/</w:t>
            </w:r>
            <w:r>
              <w:rPr>
                <w:rFonts w:cstheme="minorHAnsi"/>
                <w:b/>
                <w:bCs/>
                <w:sz w:val="28"/>
                <w:szCs w:val="28"/>
              </w:rPr>
              <w:t>0</w:t>
            </w:r>
          </w:p>
        </w:tc>
      </w:tr>
    </w:tbl>
    <w:p w14:paraId="402E567B" w14:textId="77777777" w:rsidR="00830F42" w:rsidRDefault="00830F42" w:rsidP="00830F42">
      <w:pPr>
        <w:rPr>
          <w:rFonts w:cstheme="minorHAnsi"/>
          <w:lang w:val="sr-Latn-ME"/>
        </w:rPr>
      </w:pPr>
    </w:p>
    <w:p w14:paraId="4CB88B2B" w14:textId="4BB5CC9E" w:rsidR="00830F42" w:rsidRPr="008B037C" w:rsidRDefault="00830F42" w:rsidP="00830F42">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0000"/>
          <w:sz w:val="32"/>
          <w:szCs w:val="32"/>
          <w:lang w:val="sr-Latn-ME"/>
        </w:rPr>
      </w:pPr>
      <w:r w:rsidRPr="008B037C">
        <w:rPr>
          <w:rFonts w:cstheme="minorHAnsi"/>
          <w:color w:val="FF0000"/>
          <w:sz w:val="32"/>
          <w:szCs w:val="32"/>
          <w:lang w:val="sr-Latn-ME"/>
        </w:rPr>
        <w:t xml:space="preserve">Konačna ocjena: </w:t>
      </w:r>
      <w:r w:rsidR="00474701" w:rsidRPr="008B037C">
        <w:rPr>
          <w:rFonts w:cstheme="minorHAnsi"/>
          <w:color w:val="FF0000"/>
          <w:sz w:val="32"/>
          <w:szCs w:val="32"/>
          <w:lang w:val="sr-Latn-ME"/>
        </w:rPr>
        <w:t>0</w:t>
      </w:r>
      <w:r w:rsidRPr="008B037C">
        <w:rPr>
          <w:rFonts w:cstheme="minorHAnsi"/>
          <w:color w:val="FF0000"/>
          <w:sz w:val="32"/>
          <w:szCs w:val="32"/>
          <w:lang w:val="sr-Latn-ME"/>
        </w:rPr>
        <w:t xml:space="preserve"> od </w:t>
      </w:r>
      <w:r w:rsidR="00FD3545">
        <w:rPr>
          <w:rFonts w:cstheme="minorHAnsi"/>
          <w:color w:val="FF0000"/>
          <w:sz w:val="32"/>
          <w:szCs w:val="32"/>
          <w:lang w:val="sr-Latn-ME"/>
        </w:rPr>
        <w:t>8</w:t>
      </w:r>
      <w:r w:rsidRPr="008B037C">
        <w:rPr>
          <w:rFonts w:cstheme="minorHAnsi"/>
          <w:color w:val="FF0000"/>
          <w:sz w:val="32"/>
          <w:szCs w:val="32"/>
          <w:lang w:val="sr-Latn-ME"/>
        </w:rPr>
        <w:t xml:space="preserve"> ili </w:t>
      </w:r>
      <w:r w:rsidRPr="008B037C">
        <w:rPr>
          <w:rFonts w:cstheme="minorHAnsi"/>
          <w:b/>
          <w:bCs/>
          <w:color w:val="FF0000"/>
          <w:sz w:val="32"/>
          <w:szCs w:val="32"/>
          <w:lang w:val="sr-Latn-ME"/>
        </w:rPr>
        <w:t>0.</w:t>
      </w:r>
      <w:r w:rsidR="008B037C" w:rsidRPr="008B037C">
        <w:rPr>
          <w:rFonts w:cstheme="minorHAnsi"/>
          <w:b/>
          <w:bCs/>
          <w:color w:val="FF0000"/>
          <w:sz w:val="32"/>
          <w:szCs w:val="32"/>
          <w:lang w:val="sr-Latn-ME"/>
        </w:rPr>
        <w:t>0</w:t>
      </w:r>
      <w:r w:rsidRPr="008B037C">
        <w:rPr>
          <w:rFonts w:cstheme="minorHAnsi"/>
          <w:b/>
          <w:bCs/>
          <w:color w:val="FF0000"/>
          <w:sz w:val="32"/>
          <w:szCs w:val="32"/>
          <w:lang w:val="sr-Latn-ME"/>
        </w:rPr>
        <w:t xml:space="preserve"> – Strategija </w:t>
      </w:r>
      <w:r w:rsidR="008B037C" w:rsidRPr="008B037C">
        <w:rPr>
          <w:rFonts w:cstheme="minorHAnsi"/>
          <w:b/>
          <w:bCs/>
          <w:color w:val="FF0000"/>
          <w:sz w:val="32"/>
          <w:szCs w:val="32"/>
          <w:lang w:val="sr-Latn-ME"/>
        </w:rPr>
        <w:t xml:space="preserve">uopšte </w:t>
      </w:r>
      <w:r w:rsidRPr="008B037C">
        <w:rPr>
          <w:rFonts w:cstheme="minorHAnsi"/>
          <w:b/>
          <w:bCs/>
          <w:color w:val="FF0000"/>
          <w:sz w:val="32"/>
          <w:szCs w:val="32"/>
          <w:lang w:val="sr-Latn-ME"/>
        </w:rPr>
        <w:t>nije orodnjena.</w:t>
      </w:r>
    </w:p>
    <w:p w14:paraId="2745297E" w14:textId="77777777" w:rsidR="00830F42" w:rsidRDefault="00830F42" w:rsidP="00830F42">
      <w:pPr>
        <w:rPr>
          <w:lang w:val="sr-Latn-ME"/>
        </w:rPr>
      </w:pPr>
    </w:p>
    <w:p w14:paraId="5C519B1B" w14:textId="77777777" w:rsidR="007210BD" w:rsidRPr="00830F42" w:rsidRDefault="007210BD" w:rsidP="00830F42">
      <w:pPr>
        <w:rPr>
          <w:lang w:val="sr-Latn-ME"/>
        </w:rPr>
      </w:pPr>
    </w:p>
    <w:p w14:paraId="29DD4B86" w14:textId="6D32C26A" w:rsidR="00AC6EB8" w:rsidRDefault="00227611" w:rsidP="00CD22AD">
      <w:pPr>
        <w:pStyle w:val="Heading3"/>
        <w:rPr>
          <w:lang w:val="sr-Latn-ME"/>
        </w:rPr>
      </w:pPr>
      <w:bookmarkStart w:id="33" w:name="_Toc100339555"/>
      <w:r>
        <w:rPr>
          <w:lang w:val="sr-Latn-ME"/>
        </w:rPr>
        <w:lastRenderedPageBreak/>
        <w:t>26</w:t>
      </w:r>
      <w:r w:rsidR="009D5CC5">
        <w:rPr>
          <w:lang w:val="sr-Latn-ME"/>
        </w:rPr>
        <w:t xml:space="preserve">. </w:t>
      </w:r>
      <w:r w:rsidR="00AC6EB8" w:rsidRPr="00AC6EB8">
        <w:rPr>
          <w:lang w:val="sr-Latn-ME"/>
        </w:rPr>
        <w:t xml:space="preserve">Program razvoja informacionokomunikacionih tehnologija pravosuđa </w:t>
      </w:r>
      <w:r w:rsidR="00505955">
        <w:rPr>
          <w:lang w:val="sr-Latn-ME"/>
        </w:rPr>
        <w:t>2021-2023. godine</w:t>
      </w:r>
      <w:bookmarkEnd w:id="33"/>
    </w:p>
    <w:p w14:paraId="0E90A3BE" w14:textId="77777777" w:rsidR="002B2679" w:rsidRDefault="002B2679" w:rsidP="002B2679">
      <w:pPr>
        <w:rPr>
          <w:lang w:val="sr-Latn-ME"/>
        </w:rPr>
      </w:pPr>
    </w:p>
    <w:p w14:paraId="3E37AFE5" w14:textId="5C489102" w:rsidR="00585F16" w:rsidRPr="002B2679" w:rsidRDefault="00585F16" w:rsidP="00585F16">
      <w:pPr>
        <w:jc w:val="both"/>
        <w:rPr>
          <w:lang w:val="sr-Latn-ME"/>
        </w:rPr>
      </w:pPr>
      <w:r>
        <w:rPr>
          <w:lang w:val="sr-Latn-ME"/>
        </w:rPr>
        <w:t xml:space="preserve">Reforma se ovim dokumentom pokreće </w:t>
      </w:r>
      <w:r>
        <w:t>u cilju izgradnje pravosudnog sistema koji omogućava lakši pristup pravdi, sistema zasnovanog na razvoju pojednostavljenih procedura u svakoj od grana prava kao i dostizanja većeg nivoa saradnje između pravosudnih i upravnih organa u različitim državama</w:t>
      </w:r>
      <w:r w:rsidR="00505955">
        <w:t>.</w:t>
      </w:r>
    </w:p>
    <w:p w14:paraId="5EBFCC55" w14:textId="77777777" w:rsidR="00830F42" w:rsidRPr="007D71A2" w:rsidRDefault="00830F42" w:rsidP="00830F42">
      <w:pPr>
        <w:rPr>
          <w:b/>
          <w:bCs/>
          <w:lang w:val="sr-Latn-ME"/>
        </w:rPr>
      </w:pPr>
      <w:r w:rsidRPr="007D71A2">
        <w:rPr>
          <w:b/>
          <w:bCs/>
          <w:lang w:val="sr-Latn-ME"/>
        </w:rPr>
        <w:t>Priprema javne politike</w:t>
      </w:r>
    </w:p>
    <w:tbl>
      <w:tblPr>
        <w:tblStyle w:val="GridTable1Light-Accent1"/>
        <w:tblW w:w="5000" w:type="pct"/>
        <w:tblLook w:val="04A0" w:firstRow="1" w:lastRow="0" w:firstColumn="1" w:lastColumn="0" w:noHBand="0" w:noVBand="1"/>
      </w:tblPr>
      <w:tblGrid>
        <w:gridCol w:w="529"/>
        <w:gridCol w:w="4570"/>
        <w:gridCol w:w="1206"/>
        <w:gridCol w:w="1263"/>
        <w:gridCol w:w="1782"/>
      </w:tblGrid>
      <w:tr w:rsidR="00830F42" w:rsidRPr="00AC67F2" w14:paraId="72417BED"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pct"/>
            <w:shd w:val="clear" w:color="auto" w:fill="B4C6E7" w:themeFill="accent1" w:themeFillTint="66"/>
          </w:tcPr>
          <w:p w14:paraId="7F0EBF4D" w14:textId="77777777" w:rsidR="00830F42" w:rsidRPr="00AC67F2" w:rsidRDefault="00830F42" w:rsidP="002559F4">
            <w:pPr>
              <w:rPr>
                <w:rFonts w:cstheme="minorHAnsi"/>
                <w:lang w:val="sr-Latn-ME"/>
              </w:rPr>
            </w:pPr>
            <w:r w:rsidRPr="00AC67F2">
              <w:rPr>
                <w:rFonts w:cstheme="minorHAnsi"/>
                <w:lang w:val="sr-Latn-ME"/>
              </w:rPr>
              <w:t>Br.</w:t>
            </w:r>
          </w:p>
        </w:tc>
        <w:tc>
          <w:tcPr>
            <w:tcW w:w="2443" w:type="pct"/>
            <w:shd w:val="clear" w:color="auto" w:fill="B4C6E7" w:themeFill="accent1" w:themeFillTint="66"/>
          </w:tcPr>
          <w:p w14:paraId="73CDF8C9"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645" w:type="pct"/>
            <w:shd w:val="clear" w:color="auto" w:fill="B4C6E7" w:themeFill="accent1" w:themeFillTint="66"/>
          </w:tcPr>
          <w:p w14:paraId="3FCE3520"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675" w:type="pct"/>
            <w:shd w:val="clear" w:color="auto" w:fill="B4C6E7" w:themeFill="accent1" w:themeFillTint="66"/>
          </w:tcPr>
          <w:p w14:paraId="64D8DB13" w14:textId="77777777" w:rsidR="00830F42" w:rsidRPr="009148DB"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rPr>
            </w:pPr>
            <w:r w:rsidRPr="00AC67F2">
              <w:rPr>
                <w:rFonts w:cstheme="minorHAnsi"/>
                <w:lang w:val="sr-Latn-ME"/>
              </w:rPr>
              <w:t>NE</w:t>
            </w:r>
            <w:r>
              <w:rPr>
                <w:rFonts w:cstheme="minorHAnsi"/>
              </w:rPr>
              <w:t>/</w:t>
            </w:r>
            <w:r>
              <w:rPr>
                <w:rFonts w:cstheme="minorHAnsi"/>
                <w:lang w:val="sr-Latn-ME"/>
              </w:rPr>
              <w:t>Plan ne sadrži informaciju na ovu temu</w:t>
            </w:r>
          </w:p>
        </w:tc>
        <w:tc>
          <w:tcPr>
            <w:tcW w:w="953" w:type="pct"/>
            <w:shd w:val="clear" w:color="auto" w:fill="B4C6E7" w:themeFill="accent1" w:themeFillTint="66"/>
          </w:tcPr>
          <w:p w14:paraId="6E59488F"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6D341F94"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553C152E" w14:textId="77777777" w:rsidR="00830F42" w:rsidRPr="00AC67F2" w:rsidRDefault="00830F42" w:rsidP="002559F4">
            <w:pPr>
              <w:rPr>
                <w:rFonts w:cstheme="minorHAnsi"/>
                <w:lang w:val="sr-Latn-ME"/>
              </w:rPr>
            </w:pPr>
            <w:r w:rsidRPr="00AC67F2">
              <w:rPr>
                <w:rFonts w:cstheme="minorHAnsi"/>
                <w:lang w:val="sr-Latn-ME"/>
              </w:rPr>
              <w:t>1</w:t>
            </w:r>
            <w:r>
              <w:rPr>
                <w:rFonts w:cstheme="minorHAnsi"/>
                <w:lang w:val="sr-Latn-ME"/>
              </w:rPr>
              <w:t>.1</w:t>
            </w:r>
          </w:p>
        </w:tc>
        <w:tc>
          <w:tcPr>
            <w:tcW w:w="2443" w:type="pct"/>
          </w:tcPr>
          <w:p w14:paraId="7D0556B4" w14:textId="77777777" w:rsidR="00830F42" w:rsidRPr="00DA659B"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0"/>
                <w:szCs w:val="20"/>
                <w:lang w:val="sr-Latn-ME"/>
              </w:rPr>
            </w:pPr>
            <w:r w:rsidRPr="00AC67F2">
              <w:rPr>
                <w:rFonts w:cstheme="minorHAnsi"/>
                <w:lang w:val="sr-Latn-ME"/>
              </w:rPr>
              <w:t>Da li je sastav radne grupe bio rodno izbalansiran?</w:t>
            </w:r>
          </w:p>
          <w:p w14:paraId="50DC4527"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DA659B">
              <w:rPr>
                <w:rFonts w:cstheme="minorHAnsi"/>
                <w:color w:val="4472C4" w:themeColor="accent1"/>
                <w:sz w:val="20"/>
                <w:szCs w:val="20"/>
                <w:lang w:val="sr-Latn-ME"/>
              </w:rPr>
              <w:t>(napomena: rodno izbalansiran ne znači nužno 50%:50%, a nipošto nije 100% bilo kog pola, preporuka je barem 40%:60%)</w:t>
            </w:r>
          </w:p>
        </w:tc>
        <w:tc>
          <w:tcPr>
            <w:tcW w:w="645" w:type="pct"/>
          </w:tcPr>
          <w:p w14:paraId="2D55DC7C"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51F8496D"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3D25C645" w14:textId="77777777" w:rsidR="00830F42" w:rsidRPr="00A545D6"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Tekst Plana ne sadrži sastav radne grupe. Poznato je iz kojih institucija su bili članovi. </w:t>
            </w:r>
          </w:p>
        </w:tc>
      </w:tr>
      <w:tr w:rsidR="00830F42" w:rsidRPr="00AC67F2" w14:paraId="6CB3A5A6" w14:textId="77777777" w:rsidTr="002559F4">
        <w:tc>
          <w:tcPr>
            <w:cnfStyle w:val="001000000000" w:firstRow="0" w:lastRow="0" w:firstColumn="1" w:lastColumn="0" w:oddVBand="0" w:evenVBand="0" w:oddHBand="0" w:evenHBand="0" w:firstRowFirstColumn="0" w:firstRowLastColumn="0" w:lastRowFirstColumn="0" w:lastRowLastColumn="0"/>
            <w:tcW w:w="283" w:type="pct"/>
          </w:tcPr>
          <w:p w14:paraId="03AC5ACB" w14:textId="77777777" w:rsidR="00830F42" w:rsidRPr="00AC67F2" w:rsidRDefault="00830F42" w:rsidP="002559F4">
            <w:pPr>
              <w:rPr>
                <w:rFonts w:cstheme="minorHAnsi"/>
                <w:lang w:val="sr-Latn-ME"/>
              </w:rPr>
            </w:pPr>
            <w:r>
              <w:rPr>
                <w:rFonts w:cstheme="minorHAnsi"/>
                <w:lang w:val="sr-Latn-ME"/>
              </w:rPr>
              <w:t>1.2</w:t>
            </w:r>
          </w:p>
        </w:tc>
        <w:tc>
          <w:tcPr>
            <w:tcW w:w="2443" w:type="pct"/>
          </w:tcPr>
          <w:p w14:paraId="0623D220"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li </w:t>
            </w:r>
            <w:r>
              <w:rPr>
                <w:rFonts w:cstheme="minorHAnsi"/>
                <w:lang w:val="sr-Latn-ME"/>
              </w:rPr>
              <w:t>je u fazi pripreme na bilo koji način uzeta u obzir</w:t>
            </w:r>
            <w:r w:rsidRPr="00AC67F2">
              <w:rPr>
                <w:rFonts w:cstheme="minorHAnsi"/>
                <w:lang w:val="sr-Latn-ME"/>
              </w:rPr>
              <w:t xml:space="preserve"> rodna perspektiva </w:t>
            </w:r>
          </w:p>
          <w:p w14:paraId="2740C7D4"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72048E">
              <w:rPr>
                <w:rFonts w:cstheme="minorHAnsi"/>
                <w:color w:val="4472C4" w:themeColor="accent1"/>
                <w:sz w:val="20"/>
                <w:szCs w:val="20"/>
                <w:lang w:val="sr-Latn-ME"/>
              </w:rPr>
              <w:t>(npr. kroz konsultovanje ili učešće eksperata/kinja za rodnu problematiku ili organizacija koje se bave ovom tematikom)</w:t>
            </w:r>
          </w:p>
        </w:tc>
        <w:tc>
          <w:tcPr>
            <w:tcW w:w="645" w:type="pct"/>
          </w:tcPr>
          <w:p w14:paraId="7B3EDE50" w14:textId="50459D92"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35E39C26" w14:textId="19BADB7C" w:rsidR="00830F42" w:rsidRPr="00AC67F2" w:rsidRDefault="00505955"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953" w:type="pct"/>
          </w:tcPr>
          <w:p w14:paraId="77EA25A8" w14:textId="73176945" w:rsidR="00830F42" w:rsidRPr="00A545D6" w:rsidRDefault="00505955"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U Programu se navodi da je bila angažovana ekspertska pomoć, ali nije precizirano da se odnosila na rodnu perspektivu.</w:t>
            </w:r>
          </w:p>
        </w:tc>
      </w:tr>
      <w:tr w:rsidR="00830F42" w:rsidRPr="00AC67F2" w14:paraId="40BB613B" w14:textId="77777777" w:rsidTr="002559F4">
        <w:tc>
          <w:tcPr>
            <w:cnfStyle w:val="001000000000" w:firstRow="0" w:lastRow="0" w:firstColumn="1" w:lastColumn="0" w:oddVBand="0" w:evenVBand="0" w:oddHBand="0" w:evenHBand="0" w:firstRowFirstColumn="0" w:firstRowLastColumn="0" w:lastRowFirstColumn="0" w:lastRowLastColumn="0"/>
            <w:tcW w:w="2727" w:type="pct"/>
            <w:gridSpan w:val="2"/>
          </w:tcPr>
          <w:p w14:paraId="42E6C8D1" w14:textId="77777777" w:rsidR="00830F42" w:rsidRPr="00AC67F2" w:rsidRDefault="00830F42" w:rsidP="002559F4">
            <w:pPr>
              <w:rPr>
                <w:rFonts w:cstheme="minorHAnsi"/>
                <w:lang w:val="sr-Latn-ME"/>
              </w:rPr>
            </w:pPr>
            <w:r>
              <w:rPr>
                <w:rFonts w:cstheme="minorHAnsi"/>
                <w:lang w:val="sr-Latn-ME"/>
              </w:rPr>
              <w:t>Ukupno</w:t>
            </w:r>
          </w:p>
        </w:tc>
        <w:tc>
          <w:tcPr>
            <w:tcW w:w="645" w:type="pct"/>
          </w:tcPr>
          <w:p w14:paraId="2AB2C8FA"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675" w:type="pct"/>
          </w:tcPr>
          <w:p w14:paraId="27D4EA80"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953" w:type="pct"/>
          </w:tcPr>
          <w:p w14:paraId="2E34F583" w14:textId="633D5906" w:rsidR="00830F42" w:rsidRPr="008C09CD" w:rsidRDefault="00505955" w:rsidP="002559F4">
            <w:pPr>
              <w:jc w:val="right"/>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Pr>
                <w:rFonts w:cstheme="minorHAnsi"/>
                <w:b/>
                <w:bCs/>
                <w:sz w:val="28"/>
                <w:szCs w:val="28"/>
              </w:rPr>
              <w:t>0</w:t>
            </w:r>
            <w:r w:rsidR="00830F42">
              <w:rPr>
                <w:rFonts w:cstheme="minorHAnsi"/>
                <w:b/>
                <w:bCs/>
                <w:sz w:val="28"/>
                <w:szCs w:val="28"/>
              </w:rPr>
              <w:t>/2</w:t>
            </w:r>
          </w:p>
        </w:tc>
      </w:tr>
    </w:tbl>
    <w:p w14:paraId="6F8DE893" w14:textId="77777777" w:rsidR="00830F42" w:rsidRPr="00F43A6C" w:rsidRDefault="00830F42" w:rsidP="00830F42">
      <w:pPr>
        <w:rPr>
          <w:b/>
          <w:bCs/>
          <w:lang w:val="sr-Latn-ME"/>
        </w:rPr>
      </w:pPr>
      <w:r w:rsidRPr="00F43A6C">
        <w:rPr>
          <w:b/>
          <w:bCs/>
          <w:lang w:val="sr-Latn-ME"/>
        </w:rPr>
        <w:t>Sadržaj javne politike</w:t>
      </w:r>
    </w:p>
    <w:tbl>
      <w:tblPr>
        <w:tblStyle w:val="GridTable1Light-Accent1"/>
        <w:tblW w:w="0" w:type="auto"/>
        <w:tblLook w:val="04A0" w:firstRow="1" w:lastRow="0" w:firstColumn="1" w:lastColumn="0" w:noHBand="0" w:noVBand="1"/>
      </w:tblPr>
      <w:tblGrid>
        <w:gridCol w:w="498"/>
        <w:gridCol w:w="3856"/>
        <w:gridCol w:w="747"/>
        <w:gridCol w:w="1263"/>
        <w:gridCol w:w="1393"/>
        <w:gridCol w:w="1593"/>
      </w:tblGrid>
      <w:tr w:rsidR="00830F42" w:rsidRPr="00AC67F2" w14:paraId="6E4182CD"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32204EEE" w14:textId="77777777" w:rsidR="00830F42" w:rsidRPr="00AC67F2" w:rsidRDefault="00830F42" w:rsidP="002559F4">
            <w:pPr>
              <w:rPr>
                <w:rFonts w:cstheme="minorHAnsi"/>
                <w:lang w:val="sr-Latn-ME"/>
              </w:rPr>
            </w:pPr>
            <w:r w:rsidRPr="00AC67F2">
              <w:rPr>
                <w:rFonts w:cstheme="minorHAnsi"/>
                <w:lang w:val="sr-Latn-ME"/>
              </w:rPr>
              <w:t>Br.</w:t>
            </w:r>
          </w:p>
        </w:tc>
        <w:tc>
          <w:tcPr>
            <w:tcW w:w="3856" w:type="dxa"/>
            <w:shd w:val="clear" w:color="auto" w:fill="B4C6E7" w:themeFill="accent1" w:themeFillTint="66"/>
          </w:tcPr>
          <w:p w14:paraId="1C80E04C"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r>
              <w:rPr>
                <w:rFonts w:cstheme="minorHAnsi"/>
                <w:lang w:val="sr-Latn-ME"/>
              </w:rPr>
              <w:t>um</w:t>
            </w:r>
          </w:p>
        </w:tc>
        <w:tc>
          <w:tcPr>
            <w:tcW w:w="747" w:type="dxa"/>
            <w:shd w:val="clear" w:color="auto" w:fill="B4C6E7" w:themeFill="accent1" w:themeFillTint="66"/>
          </w:tcPr>
          <w:p w14:paraId="1729834D"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2E9EE396"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/Plan ne sadrži informaciju na ovu temu</w:t>
            </w:r>
          </w:p>
        </w:tc>
        <w:tc>
          <w:tcPr>
            <w:tcW w:w="1393" w:type="dxa"/>
            <w:shd w:val="clear" w:color="auto" w:fill="B4C6E7" w:themeFill="accent1" w:themeFillTint="66"/>
          </w:tcPr>
          <w:p w14:paraId="208DB754"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593" w:type="dxa"/>
            <w:shd w:val="clear" w:color="auto" w:fill="B4C6E7" w:themeFill="accent1" w:themeFillTint="66"/>
          </w:tcPr>
          <w:p w14:paraId="77BED014"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7AEBA50F"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6243F645" w14:textId="77777777" w:rsidR="00830F42" w:rsidRPr="00AC67F2" w:rsidRDefault="00830F42" w:rsidP="002559F4">
            <w:pPr>
              <w:rPr>
                <w:rFonts w:cstheme="minorHAnsi"/>
                <w:lang w:val="sr-Latn-ME"/>
              </w:rPr>
            </w:pPr>
            <w:r>
              <w:rPr>
                <w:rFonts w:cstheme="minorHAnsi"/>
                <w:lang w:val="sr-Latn-ME"/>
              </w:rPr>
              <w:t>2.</w:t>
            </w:r>
            <w:r w:rsidRPr="00AC67F2">
              <w:rPr>
                <w:rFonts w:cstheme="minorHAnsi"/>
                <w:lang w:val="sr-Latn-ME"/>
              </w:rPr>
              <w:t>1</w:t>
            </w:r>
          </w:p>
        </w:tc>
        <w:tc>
          <w:tcPr>
            <w:tcW w:w="3856" w:type="dxa"/>
          </w:tcPr>
          <w:p w14:paraId="644BA263"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 xml:space="preserve">Da </w:t>
            </w:r>
            <w:r>
              <w:rPr>
                <w:rFonts w:cstheme="minorHAnsi"/>
                <w:lang w:val="sr-Latn-ME"/>
              </w:rPr>
              <w:t>li je analiza stanja</w:t>
            </w:r>
            <w:r w:rsidRPr="00AC67F2">
              <w:rPr>
                <w:rFonts w:cstheme="minorHAnsi"/>
                <w:lang w:val="sr-Latn-ME"/>
              </w:rPr>
              <w:t xml:space="preserve"> zasnovana na rodno disagregiranim podacima?</w:t>
            </w:r>
          </w:p>
        </w:tc>
        <w:tc>
          <w:tcPr>
            <w:tcW w:w="747" w:type="dxa"/>
          </w:tcPr>
          <w:p w14:paraId="44A18A54" w14:textId="12555674" w:rsidR="00830F42" w:rsidRPr="00A00FA0"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tcPr>
          <w:p w14:paraId="0444949B" w14:textId="5C92796C" w:rsidR="00830F42" w:rsidRPr="00AC67F2" w:rsidRDefault="00505955"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5605BADA"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45CD9576" w14:textId="04C846EB"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52581318"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3D281E72" w14:textId="77777777" w:rsidR="00830F42" w:rsidRPr="00AC67F2" w:rsidRDefault="00830F42" w:rsidP="002559F4">
            <w:pPr>
              <w:rPr>
                <w:rFonts w:cstheme="minorHAnsi"/>
                <w:lang w:val="sr-Latn-ME"/>
              </w:rPr>
            </w:pPr>
            <w:r>
              <w:rPr>
                <w:rFonts w:cstheme="minorHAnsi"/>
                <w:lang w:val="sr-Latn-ME"/>
              </w:rPr>
              <w:t>2.2</w:t>
            </w:r>
          </w:p>
        </w:tc>
        <w:tc>
          <w:tcPr>
            <w:tcW w:w="3856" w:type="dxa"/>
            <w:shd w:val="clear" w:color="auto" w:fill="auto"/>
          </w:tcPr>
          <w:p w14:paraId="4724C7C4"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je u analizi stanja uočena rodna nejednakost u oblasti obrazovanja, zapošljavanja, učešća u odlučivanju i sl. u oblasti kojom se bavi javna politika?</w:t>
            </w:r>
          </w:p>
        </w:tc>
        <w:tc>
          <w:tcPr>
            <w:tcW w:w="747" w:type="dxa"/>
            <w:shd w:val="clear" w:color="auto" w:fill="auto"/>
          </w:tcPr>
          <w:p w14:paraId="69108790" w14:textId="7210BA96"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3A2D8597" w14:textId="5B36EA5A" w:rsidR="00830F42" w:rsidRPr="00AC67F2" w:rsidRDefault="0001748C"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7F6AC95E"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3EBC2158" w14:textId="15FD2B08" w:rsidR="00830F42" w:rsidRPr="00A71811" w:rsidRDefault="00176285"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Ovo je veoma specijalizovan strateški dokument gdje </w:t>
            </w:r>
            <w:r w:rsidR="0001748C">
              <w:rPr>
                <w:rFonts w:cstheme="minorHAnsi"/>
                <w:sz w:val="18"/>
                <w:szCs w:val="18"/>
                <w:lang w:val="sr-Latn-ME"/>
              </w:rPr>
              <w:t>vjerovatno ne postoji rodna dimenzija, osim u neophodnosi podrške kreiranju rodne statistike</w:t>
            </w:r>
          </w:p>
        </w:tc>
      </w:tr>
      <w:tr w:rsidR="0001748C" w:rsidRPr="00AC67F2" w14:paraId="69CD64C6"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17E16FAA" w14:textId="77777777" w:rsidR="00830F42" w:rsidRDefault="00830F42" w:rsidP="002559F4">
            <w:pPr>
              <w:rPr>
                <w:rFonts w:cstheme="minorHAnsi"/>
                <w:lang w:val="sr-Latn-ME"/>
              </w:rPr>
            </w:pPr>
            <w:r>
              <w:rPr>
                <w:rFonts w:cstheme="minorHAnsi"/>
                <w:lang w:val="sr-Latn-ME"/>
              </w:rPr>
              <w:t>2.3</w:t>
            </w:r>
          </w:p>
        </w:tc>
        <w:tc>
          <w:tcPr>
            <w:tcW w:w="3856" w:type="dxa"/>
            <w:shd w:val="clear" w:color="auto" w:fill="D9D9D9" w:themeFill="background1" w:themeFillShade="D9"/>
          </w:tcPr>
          <w:p w14:paraId="3E858E78"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uočene neke prepreke i rizici za žene i muškarce i osobe drugih rodnih identiteta da ostvare dobrobiti od rezultata javne politike?</w:t>
            </w:r>
          </w:p>
        </w:tc>
        <w:tc>
          <w:tcPr>
            <w:tcW w:w="747" w:type="dxa"/>
            <w:shd w:val="clear" w:color="auto" w:fill="D9D9D9" w:themeFill="background1" w:themeFillShade="D9"/>
          </w:tcPr>
          <w:p w14:paraId="24B776E6"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2D591F36" w14:textId="562EC48B"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4F0F234C" w14:textId="00645074" w:rsidR="00830F42" w:rsidRPr="00AC67F2" w:rsidRDefault="00255ACB"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593" w:type="dxa"/>
            <w:shd w:val="clear" w:color="auto" w:fill="D9D9D9" w:themeFill="background1" w:themeFillShade="D9"/>
          </w:tcPr>
          <w:p w14:paraId="12C9FBCB" w14:textId="335F03F8" w:rsidR="00830F42" w:rsidRPr="00A71811" w:rsidRDefault="0001748C"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Nije relevantno.</w:t>
            </w:r>
          </w:p>
        </w:tc>
      </w:tr>
      <w:tr w:rsidR="00830F42" w:rsidRPr="00AC67F2" w14:paraId="61D980EF" w14:textId="77777777" w:rsidTr="002559F4">
        <w:tc>
          <w:tcPr>
            <w:cnfStyle w:val="001000000000" w:firstRow="0" w:lastRow="0" w:firstColumn="1" w:lastColumn="0" w:oddVBand="0" w:evenVBand="0" w:oddHBand="0" w:evenHBand="0" w:firstRowFirstColumn="0" w:firstRowLastColumn="0" w:lastRowFirstColumn="0" w:lastRowLastColumn="0"/>
            <w:tcW w:w="498" w:type="dxa"/>
            <w:shd w:val="clear" w:color="auto" w:fill="auto"/>
          </w:tcPr>
          <w:p w14:paraId="079FEB75" w14:textId="77777777" w:rsidR="00830F42" w:rsidRPr="00AC67F2" w:rsidRDefault="00830F42" w:rsidP="002559F4">
            <w:pPr>
              <w:rPr>
                <w:rFonts w:cstheme="minorHAnsi"/>
                <w:lang w:val="sr-Latn-ME"/>
              </w:rPr>
            </w:pPr>
            <w:r>
              <w:rPr>
                <w:rFonts w:cstheme="minorHAnsi"/>
                <w:lang w:val="sr-Latn-ME"/>
              </w:rPr>
              <w:lastRenderedPageBreak/>
              <w:t>2.4</w:t>
            </w:r>
          </w:p>
        </w:tc>
        <w:tc>
          <w:tcPr>
            <w:tcW w:w="3856" w:type="dxa"/>
            <w:shd w:val="clear" w:color="auto" w:fill="auto"/>
          </w:tcPr>
          <w:p w14:paraId="1D188DB8"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rodno disagregirani podaci, nejednakosti, prepreke i rizici koji su uočeni, povezani sa ciljevima koji su definisani u okviru javne politike?</w:t>
            </w:r>
          </w:p>
        </w:tc>
        <w:tc>
          <w:tcPr>
            <w:tcW w:w="747" w:type="dxa"/>
            <w:shd w:val="clear" w:color="auto" w:fill="auto"/>
          </w:tcPr>
          <w:p w14:paraId="520197BF" w14:textId="77777777" w:rsidR="00830F42" w:rsidRPr="00C26A63"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auto"/>
          </w:tcPr>
          <w:p w14:paraId="2227544E"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shd w:val="clear" w:color="auto" w:fill="auto"/>
          </w:tcPr>
          <w:p w14:paraId="59D9E69D"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auto"/>
          </w:tcPr>
          <w:p w14:paraId="1770EA4E" w14:textId="77777777" w:rsidR="00830F42" w:rsidRPr="00D8609B"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4460D853"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70343F6A" w14:textId="77777777" w:rsidR="00830F42" w:rsidRDefault="00830F42" w:rsidP="002559F4">
            <w:pPr>
              <w:rPr>
                <w:rFonts w:cstheme="minorHAnsi"/>
                <w:lang w:val="sr-Latn-ME"/>
              </w:rPr>
            </w:pPr>
            <w:r>
              <w:rPr>
                <w:rFonts w:cstheme="minorHAnsi"/>
                <w:lang w:val="sr-Latn-ME"/>
              </w:rPr>
              <w:t>2.5</w:t>
            </w:r>
          </w:p>
        </w:tc>
        <w:tc>
          <w:tcPr>
            <w:tcW w:w="3856" w:type="dxa"/>
          </w:tcPr>
          <w:p w14:paraId="1F71C99C"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su predviđene mjere kroz koje će se uočene nejednakosti, prepreke i rizici adresirati u okviru ove javne politike?  </w:t>
            </w:r>
          </w:p>
        </w:tc>
        <w:tc>
          <w:tcPr>
            <w:tcW w:w="747" w:type="dxa"/>
          </w:tcPr>
          <w:p w14:paraId="6B502223" w14:textId="0118D782" w:rsidR="00830F42" w:rsidRPr="00CC0043"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tcPr>
          <w:p w14:paraId="7C3A88F4" w14:textId="31103EB0" w:rsidR="00830F42" w:rsidRPr="00AC67F2" w:rsidRDefault="00505955"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6CA4FCBD"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2BA06C20" w14:textId="77B11F4E"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607DFC8C"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5257B3AE" w14:textId="77777777" w:rsidR="00830F42" w:rsidRPr="00AC67F2" w:rsidRDefault="00830F42" w:rsidP="002559F4">
            <w:pPr>
              <w:rPr>
                <w:rFonts w:cstheme="minorHAnsi"/>
                <w:lang w:val="sr-Latn-ME"/>
              </w:rPr>
            </w:pPr>
            <w:r>
              <w:rPr>
                <w:rFonts w:cstheme="minorHAnsi"/>
                <w:lang w:val="sr-Latn-ME"/>
              </w:rPr>
              <w:t>2.6</w:t>
            </w:r>
          </w:p>
        </w:tc>
        <w:tc>
          <w:tcPr>
            <w:tcW w:w="3856" w:type="dxa"/>
            <w:shd w:val="clear" w:color="auto" w:fill="D9D9D9" w:themeFill="background1" w:themeFillShade="D9"/>
          </w:tcPr>
          <w:p w14:paraId="0994F7A6"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 xml:space="preserve">Da li postoji budžet za realizaciju tih mjera? </w:t>
            </w:r>
          </w:p>
        </w:tc>
        <w:tc>
          <w:tcPr>
            <w:tcW w:w="747" w:type="dxa"/>
            <w:shd w:val="clear" w:color="auto" w:fill="D9D9D9" w:themeFill="background1" w:themeFillShade="D9"/>
          </w:tcPr>
          <w:p w14:paraId="32ED6230" w14:textId="610AEBBE" w:rsidR="00830F42" w:rsidRPr="00194E29"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lang w:val="sr-Latn-ME"/>
              </w:rPr>
            </w:pPr>
          </w:p>
        </w:tc>
        <w:tc>
          <w:tcPr>
            <w:tcW w:w="1263" w:type="dxa"/>
            <w:shd w:val="clear" w:color="auto" w:fill="D9D9D9" w:themeFill="background1" w:themeFillShade="D9"/>
          </w:tcPr>
          <w:p w14:paraId="57DC9ED5"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93" w:type="dxa"/>
            <w:shd w:val="clear" w:color="auto" w:fill="D9D9D9" w:themeFill="background1" w:themeFillShade="D9"/>
          </w:tcPr>
          <w:p w14:paraId="45C63196"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shd w:val="clear" w:color="auto" w:fill="D9D9D9" w:themeFill="background1" w:themeFillShade="D9"/>
          </w:tcPr>
          <w:p w14:paraId="5F692A05" w14:textId="32043BC5" w:rsidR="00830F42" w:rsidRPr="00A71811" w:rsidRDefault="00505955"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Nema takvih mjera</w:t>
            </w:r>
            <w:r w:rsidR="00830F42">
              <w:rPr>
                <w:rFonts w:cstheme="minorHAnsi"/>
                <w:sz w:val="18"/>
                <w:szCs w:val="18"/>
                <w:lang w:val="sr-Latn-ME"/>
              </w:rPr>
              <w:t xml:space="preserve">. </w:t>
            </w:r>
          </w:p>
        </w:tc>
      </w:tr>
      <w:tr w:rsidR="00830F42" w:rsidRPr="00AC67F2" w14:paraId="0EF0734E"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5C4E74ED" w14:textId="77777777" w:rsidR="00830F42" w:rsidRDefault="00830F42" w:rsidP="002559F4">
            <w:pPr>
              <w:rPr>
                <w:rFonts w:cstheme="minorHAnsi"/>
                <w:lang w:val="sr-Latn-ME"/>
              </w:rPr>
            </w:pPr>
            <w:r>
              <w:rPr>
                <w:rFonts w:cstheme="minorHAnsi"/>
                <w:lang w:val="sr-Latn-ME"/>
              </w:rPr>
              <w:t>2.7</w:t>
            </w:r>
          </w:p>
        </w:tc>
        <w:tc>
          <w:tcPr>
            <w:tcW w:w="3856" w:type="dxa"/>
          </w:tcPr>
          <w:p w14:paraId="48E8A1C8"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su nacionalni rodni mehanizmi, međunarodne organizacije i NVO-i koji se bave rodnom ravnopravnošću prepoznati kao partneri i partnerke u realizaciji tih mjera?</w:t>
            </w:r>
          </w:p>
        </w:tc>
        <w:tc>
          <w:tcPr>
            <w:tcW w:w="747" w:type="dxa"/>
          </w:tcPr>
          <w:p w14:paraId="1F934EE6"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71468DD7"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3ABC6B77"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69737F88" w14:textId="77777777" w:rsidR="00830F42" w:rsidRPr="00A71811"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p>
        </w:tc>
      </w:tr>
      <w:tr w:rsidR="00830F42" w:rsidRPr="00AC67F2" w14:paraId="50AA3307" w14:textId="77777777" w:rsidTr="002559F4">
        <w:tc>
          <w:tcPr>
            <w:cnfStyle w:val="001000000000" w:firstRow="0" w:lastRow="0" w:firstColumn="1" w:lastColumn="0" w:oddVBand="0" w:evenVBand="0" w:oddHBand="0" w:evenHBand="0" w:firstRowFirstColumn="0" w:firstRowLastColumn="0" w:lastRowFirstColumn="0" w:lastRowLastColumn="0"/>
            <w:tcW w:w="498" w:type="dxa"/>
          </w:tcPr>
          <w:p w14:paraId="39842438" w14:textId="1877A8EF" w:rsidR="00830F42" w:rsidRPr="00AC67F2" w:rsidRDefault="00830F42" w:rsidP="002559F4">
            <w:pPr>
              <w:rPr>
                <w:rFonts w:cstheme="minorHAnsi"/>
                <w:lang w:val="sr-Latn-ME"/>
              </w:rPr>
            </w:pPr>
            <w:r>
              <w:rPr>
                <w:rFonts w:cstheme="minorHAnsi"/>
                <w:lang w:val="sr-Latn-ME"/>
              </w:rPr>
              <w:t>2.</w:t>
            </w:r>
            <w:r w:rsidR="00685411">
              <w:rPr>
                <w:rFonts w:cstheme="minorHAnsi"/>
                <w:lang w:val="sr-Latn-ME"/>
              </w:rPr>
              <w:t>8</w:t>
            </w:r>
          </w:p>
        </w:tc>
        <w:tc>
          <w:tcPr>
            <w:tcW w:w="3856" w:type="dxa"/>
          </w:tcPr>
          <w:p w14:paraId="1D6E4A9E"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eastAsia="en-GB"/>
              </w:rPr>
            </w:pPr>
            <w:r w:rsidRPr="00AC67F2">
              <w:rPr>
                <w:rFonts w:cstheme="minorHAnsi"/>
                <w:lang w:val="sr-Latn-ME" w:eastAsia="en-GB"/>
              </w:rPr>
              <w:t xml:space="preserve">Da li se </w:t>
            </w:r>
            <w:r>
              <w:rPr>
                <w:rFonts w:cstheme="minorHAnsi"/>
                <w:lang w:val="sr-Latn-ME" w:eastAsia="en-GB"/>
              </w:rPr>
              <w:t>u cjelokupnom tekstu javne politike koristi rodno senzitivan jezik?</w:t>
            </w:r>
          </w:p>
          <w:p w14:paraId="2B3153CF" w14:textId="77777777" w:rsidR="00830F42" w:rsidRPr="005C2773" w:rsidRDefault="00830F42" w:rsidP="002559F4">
            <w:pPr>
              <w:pStyle w:val="FootnoteText"/>
              <w:cnfStyle w:val="000000000000" w:firstRow="0" w:lastRow="0" w:firstColumn="0" w:lastColumn="0" w:oddVBand="0" w:evenVBand="0" w:oddHBand="0" w:evenHBand="0" w:firstRowFirstColumn="0" w:firstRowLastColumn="0" w:lastRowFirstColumn="0" w:lastRowLastColumn="0"/>
              <w:rPr>
                <w:sz w:val="18"/>
                <w:szCs w:val="18"/>
              </w:rPr>
            </w:pPr>
            <w:r w:rsidRPr="005C2773">
              <w:rPr>
                <w:rFonts w:cstheme="minorHAnsi"/>
                <w:color w:val="4472C4" w:themeColor="accent1"/>
                <w:sz w:val="18"/>
                <w:szCs w:val="18"/>
                <w:lang w:val="sr-Latn-ME" w:eastAsia="en-GB"/>
              </w:rPr>
              <w:t>(Napomena: ukoliko u dokumentu, umjesto rodno senzitivnog jezika, postoji samo formulacija "svi izrazi u muškom rodu odnose se i na ženski rod", takav dokument se smatra rodno nesenzitivnim)</w:t>
            </w:r>
          </w:p>
        </w:tc>
        <w:tc>
          <w:tcPr>
            <w:tcW w:w="747" w:type="dxa"/>
          </w:tcPr>
          <w:p w14:paraId="1E68FFD2"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3D2AEA0A"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r w:rsidRPr="00527B8F">
              <w:rPr>
                <w:rFonts w:cstheme="minorHAnsi"/>
                <w:b/>
                <w:bCs/>
                <w:sz w:val="28"/>
                <w:szCs w:val="28"/>
                <w:lang w:val="sr-Latn-ME"/>
              </w:rPr>
              <w:t>√</w:t>
            </w:r>
          </w:p>
        </w:tc>
        <w:tc>
          <w:tcPr>
            <w:tcW w:w="1393" w:type="dxa"/>
          </w:tcPr>
          <w:p w14:paraId="326157CD"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5B7228F7" w14:textId="77777777" w:rsidR="00830F4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sidRPr="00574452">
              <w:rPr>
                <w:rFonts w:cstheme="minorHAnsi"/>
                <w:sz w:val="18"/>
                <w:szCs w:val="18"/>
                <w:lang w:val="sr-Latn-ME"/>
              </w:rPr>
              <w:t>Strategija koristi uglavnom rodno neutralne izraze, a tamo gdje to nije moguće ne koristi se rodno senzitivan jezik („</w:t>
            </w:r>
            <w:r>
              <w:rPr>
                <w:rFonts w:cstheme="minorHAnsi"/>
                <w:sz w:val="18"/>
                <w:szCs w:val="18"/>
                <w:lang w:val="sr-Latn-ME"/>
              </w:rPr>
              <w:t>građani</w:t>
            </w:r>
            <w:r w:rsidRPr="00574452">
              <w:rPr>
                <w:rFonts w:cstheme="minorHAnsi"/>
                <w:sz w:val="18"/>
                <w:szCs w:val="18"/>
                <w:lang w:val="sr-Latn-ME"/>
              </w:rPr>
              <w:t>“</w:t>
            </w:r>
            <w:r>
              <w:rPr>
                <w:rFonts w:cstheme="minorHAnsi"/>
                <w:sz w:val="18"/>
                <w:szCs w:val="18"/>
                <w:lang w:val="sr-Latn-ME"/>
              </w:rPr>
              <w:t>).</w:t>
            </w:r>
          </w:p>
          <w:p w14:paraId="459A6F3C" w14:textId="77777777" w:rsidR="00830F42" w:rsidRPr="0057445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 xml:space="preserve"> </w:t>
            </w:r>
          </w:p>
        </w:tc>
      </w:tr>
      <w:tr w:rsidR="00830F42" w:rsidRPr="00AC67F2" w14:paraId="32D8B377" w14:textId="77777777" w:rsidTr="002559F4">
        <w:tc>
          <w:tcPr>
            <w:cnfStyle w:val="001000000000" w:firstRow="0" w:lastRow="0" w:firstColumn="1" w:lastColumn="0" w:oddVBand="0" w:evenVBand="0" w:oddHBand="0" w:evenHBand="0" w:firstRowFirstColumn="0" w:firstRowLastColumn="0" w:lastRowFirstColumn="0" w:lastRowLastColumn="0"/>
            <w:tcW w:w="4354" w:type="dxa"/>
            <w:gridSpan w:val="2"/>
          </w:tcPr>
          <w:p w14:paraId="2C747267" w14:textId="77777777" w:rsidR="00830F42" w:rsidRPr="00AC67F2" w:rsidRDefault="00830F42" w:rsidP="002559F4">
            <w:pPr>
              <w:rPr>
                <w:rFonts w:cstheme="minorHAnsi"/>
                <w:lang w:val="sr-Latn-ME" w:eastAsia="en-GB"/>
              </w:rPr>
            </w:pPr>
            <w:r>
              <w:rPr>
                <w:rFonts w:cstheme="minorHAnsi"/>
                <w:lang w:val="sr-Latn-ME"/>
              </w:rPr>
              <w:t>Ukupno</w:t>
            </w:r>
          </w:p>
        </w:tc>
        <w:tc>
          <w:tcPr>
            <w:tcW w:w="747" w:type="dxa"/>
          </w:tcPr>
          <w:p w14:paraId="0A55B19D"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tcPr>
          <w:p w14:paraId="148B7F7F"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93" w:type="dxa"/>
          </w:tcPr>
          <w:p w14:paraId="46A6EC19"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593" w:type="dxa"/>
          </w:tcPr>
          <w:p w14:paraId="0CBC676F" w14:textId="4198A301" w:rsidR="00830F42" w:rsidRPr="00E72E03" w:rsidRDefault="00830F42" w:rsidP="002559F4">
            <w:pPr>
              <w:jc w:val="right"/>
              <w:cnfStyle w:val="000000000000" w:firstRow="0" w:lastRow="0" w:firstColumn="0" w:lastColumn="0" w:oddVBand="0" w:evenVBand="0" w:oddHBand="0" w:evenHBand="0" w:firstRowFirstColumn="0" w:firstRowLastColumn="0" w:lastRowFirstColumn="0" w:lastRowLastColumn="0"/>
              <w:rPr>
                <w:rFonts w:cstheme="minorHAnsi"/>
                <w:sz w:val="28"/>
                <w:szCs w:val="28"/>
                <w:lang w:val="sr-Latn-ME"/>
              </w:rPr>
            </w:pPr>
            <w:r>
              <w:rPr>
                <w:rFonts w:cstheme="minorHAnsi"/>
                <w:b/>
                <w:bCs/>
                <w:sz w:val="28"/>
                <w:szCs w:val="28"/>
                <w:lang w:val="sr-Latn-ME"/>
              </w:rPr>
              <w:t>0</w:t>
            </w:r>
            <w:r w:rsidRPr="00E72E03">
              <w:rPr>
                <w:rFonts w:cstheme="minorHAnsi"/>
                <w:b/>
                <w:bCs/>
                <w:sz w:val="28"/>
                <w:szCs w:val="28"/>
                <w:lang w:val="sr-Latn-ME"/>
              </w:rPr>
              <w:t>/</w:t>
            </w:r>
            <w:r w:rsidR="006211C8">
              <w:rPr>
                <w:rFonts w:cstheme="minorHAnsi"/>
                <w:b/>
                <w:bCs/>
                <w:sz w:val="28"/>
                <w:szCs w:val="28"/>
                <w:lang w:val="sr-Latn-ME"/>
              </w:rPr>
              <w:t>6</w:t>
            </w:r>
          </w:p>
        </w:tc>
      </w:tr>
    </w:tbl>
    <w:p w14:paraId="3E69A12A" w14:textId="77777777" w:rsidR="00830F42" w:rsidRPr="00AC67F2" w:rsidRDefault="00830F42" w:rsidP="00830F42">
      <w:pPr>
        <w:rPr>
          <w:rFonts w:cstheme="minorHAnsi"/>
          <w:lang w:val="sr-Latn-ME"/>
        </w:rPr>
      </w:pPr>
    </w:p>
    <w:p w14:paraId="7558A64A" w14:textId="77777777" w:rsidR="00830F42" w:rsidRPr="00852DD8" w:rsidRDefault="00830F42" w:rsidP="00830F42">
      <w:pPr>
        <w:rPr>
          <w:b/>
          <w:bCs/>
        </w:rPr>
      </w:pPr>
      <w:r w:rsidRPr="00852DD8">
        <w:rPr>
          <w:b/>
          <w:bCs/>
        </w:rPr>
        <w:t>Analiza sistema izvještavanja o sprovođenju javne politike</w:t>
      </w:r>
    </w:p>
    <w:tbl>
      <w:tblPr>
        <w:tblStyle w:val="GridTable1Light-Accent1"/>
        <w:tblW w:w="0" w:type="auto"/>
        <w:tblLook w:val="04A0" w:firstRow="1" w:lastRow="0" w:firstColumn="1" w:lastColumn="0" w:noHBand="0" w:noVBand="1"/>
      </w:tblPr>
      <w:tblGrid>
        <w:gridCol w:w="498"/>
        <w:gridCol w:w="3908"/>
        <w:gridCol w:w="760"/>
        <w:gridCol w:w="1263"/>
        <w:gridCol w:w="1307"/>
        <w:gridCol w:w="1614"/>
      </w:tblGrid>
      <w:tr w:rsidR="00830F42" w:rsidRPr="00AC67F2" w14:paraId="648E2A71" w14:textId="77777777" w:rsidTr="0025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B4C6E7" w:themeFill="accent1" w:themeFillTint="66"/>
          </w:tcPr>
          <w:p w14:paraId="64F06382" w14:textId="77777777" w:rsidR="00830F42" w:rsidRPr="00AC67F2" w:rsidRDefault="00830F42" w:rsidP="002559F4">
            <w:pPr>
              <w:rPr>
                <w:rFonts w:cstheme="minorHAnsi"/>
                <w:lang w:val="sr-Latn-ME"/>
              </w:rPr>
            </w:pPr>
            <w:r w:rsidRPr="00AC67F2">
              <w:rPr>
                <w:rFonts w:cstheme="minorHAnsi"/>
                <w:lang w:val="sr-Latn-ME"/>
              </w:rPr>
              <w:t>Br.</w:t>
            </w:r>
          </w:p>
        </w:tc>
        <w:tc>
          <w:tcPr>
            <w:tcW w:w="3908" w:type="dxa"/>
            <w:shd w:val="clear" w:color="auto" w:fill="B4C6E7" w:themeFill="accent1" w:themeFillTint="66"/>
          </w:tcPr>
          <w:p w14:paraId="75267187"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Kriterij</w:t>
            </w:r>
          </w:p>
        </w:tc>
        <w:tc>
          <w:tcPr>
            <w:tcW w:w="760" w:type="dxa"/>
            <w:shd w:val="clear" w:color="auto" w:fill="B4C6E7" w:themeFill="accent1" w:themeFillTint="66"/>
          </w:tcPr>
          <w:p w14:paraId="5EDE392F"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DA</w:t>
            </w:r>
          </w:p>
        </w:tc>
        <w:tc>
          <w:tcPr>
            <w:tcW w:w="1263" w:type="dxa"/>
            <w:shd w:val="clear" w:color="auto" w:fill="B4C6E7" w:themeFill="accent1" w:themeFillTint="66"/>
          </w:tcPr>
          <w:p w14:paraId="0E44A4B5"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NE</w:t>
            </w:r>
            <w:r>
              <w:rPr>
                <w:rFonts w:cstheme="minorHAnsi"/>
                <w:lang w:val="sr-Latn-ME"/>
              </w:rPr>
              <w:t>/ Plan ne sadrži informaciju na ovu temu</w:t>
            </w:r>
          </w:p>
        </w:tc>
        <w:tc>
          <w:tcPr>
            <w:tcW w:w="1307" w:type="dxa"/>
            <w:shd w:val="clear" w:color="auto" w:fill="B4C6E7" w:themeFill="accent1" w:themeFillTint="66"/>
          </w:tcPr>
          <w:p w14:paraId="7A6F650E"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Nije relevantno</w:t>
            </w:r>
          </w:p>
        </w:tc>
        <w:tc>
          <w:tcPr>
            <w:tcW w:w="1614" w:type="dxa"/>
            <w:shd w:val="clear" w:color="auto" w:fill="B4C6E7" w:themeFill="accent1" w:themeFillTint="66"/>
          </w:tcPr>
          <w:p w14:paraId="1E84B7DC" w14:textId="77777777" w:rsidR="00830F42" w:rsidRPr="00AC67F2" w:rsidRDefault="00830F42" w:rsidP="002559F4">
            <w:pPr>
              <w:cnfStyle w:val="100000000000" w:firstRow="1" w:lastRow="0" w:firstColumn="0" w:lastColumn="0" w:oddVBand="0" w:evenVBand="0" w:oddHBand="0" w:evenHBand="0" w:firstRowFirstColumn="0" w:firstRowLastColumn="0" w:lastRowFirstColumn="0" w:lastRowLastColumn="0"/>
              <w:rPr>
                <w:rFonts w:cstheme="minorHAnsi"/>
                <w:lang w:val="sr-Latn-ME"/>
              </w:rPr>
            </w:pPr>
            <w:r w:rsidRPr="00AC67F2">
              <w:rPr>
                <w:rFonts w:cstheme="minorHAnsi"/>
                <w:lang w:val="sr-Latn-ME"/>
              </w:rPr>
              <w:t>Komentar</w:t>
            </w:r>
          </w:p>
        </w:tc>
      </w:tr>
      <w:tr w:rsidR="00830F42" w:rsidRPr="00AC67F2" w14:paraId="4407B183" w14:textId="77777777" w:rsidTr="008C5905">
        <w:tc>
          <w:tcPr>
            <w:cnfStyle w:val="001000000000" w:firstRow="0" w:lastRow="0" w:firstColumn="1" w:lastColumn="0" w:oddVBand="0" w:evenVBand="0" w:oddHBand="0" w:evenHBand="0" w:firstRowFirstColumn="0" w:firstRowLastColumn="0" w:lastRowFirstColumn="0" w:lastRowLastColumn="0"/>
            <w:tcW w:w="498" w:type="dxa"/>
            <w:shd w:val="clear" w:color="auto" w:fill="D9D9D9" w:themeFill="background1" w:themeFillShade="D9"/>
          </w:tcPr>
          <w:p w14:paraId="3CFF21BE" w14:textId="77777777" w:rsidR="00830F42" w:rsidRPr="00AC67F2" w:rsidRDefault="00830F42" w:rsidP="002559F4">
            <w:pPr>
              <w:rPr>
                <w:rFonts w:cstheme="minorHAnsi"/>
                <w:lang w:val="sr-Latn-ME"/>
              </w:rPr>
            </w:pPr>
            <w:r>
              <w:rPr>
                <w:rFonts w:cstheme="minorHAnsi"/>
                <w:lang w:val="sr-Latn-ME"/>
              </w:rPr>
              <w:t>3.1</w:t>
            </w:r>
          </w:p>
        </w:tc>
        <w:tc>
          <w:tcPr>
            <w:tcW w:w="3908" w:type="dxa"/>
            <w:shd w:val="clear" w:color="auto" w:fill="D9D9D9" w:themeFill="background1" w:themeFillShade="D9"/>
          </w:tcPr>
          <w:p w14:paraId="22BE570F"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lang w:val="sr-Latn-ME"/>
              </w:rPr>
              <w:t>Da li za mjere kroz koje će se uočene nejednakosti, prepreke i rizici adresirati u okviru ove javne politike postoje rodno senzitivni indikatori?</w:t>
            </w:r>
          </w:p>
        </w:tc>
        <w:tc>
          <w:tcPr>
            <w:tcW w:w="760" w:type="dxa"/>
            <w:shd w:val="clear" w:color="auto" w:fill="D9D9D9" w:themeFill="background1" w:themeFillShade="D9"/>
          </w:tcPr>
          <w:p w14:paraId="7B1E968A" w14:textId="7C3D8526"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D9D9D9" w:themeFill="background1" w:themeFillShade="D9"/>
          </w:tcPr>
          <w:p w14:paraId="5F821FE5" w14:textId="2D70D68E"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307" w:type="dxa"/>
            <w:shd w:val="clear" w:color="auto" w:fill="D9D9D9" w:themeFill="background1" w:themeFillShade="D9"/>
          </w:tcPr>
          <w:p w14:paraId="1E0E8676"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D9D9D9" w:themeFill="background1" w:themeFillShade="D9"/>
          </w:tcPr>
          <w:p w14:paraId="2E49106B" w14:textId="6DC67EB5" w:rsidR="00830F42" w:rsidRPr="009A4E2D" w:rsidRDefault="00473759" w:rsidP="002559F4">
            <w:pPr>
              <w:cnfStyle w:val="000000000000" w:firstRow="0" w:lastRow="0" w:firstColumn="0" w:lastColumn="0" w:oddVBand="0" w:evenVBand="0" w:oddHBand="0" w:evenHBand="0" w:firstRowFirstColumn="0" w:firstRowLastColumn="0" w:lastRowFirstColumn="0" w:lastRowLastColumn="0"/>
              <w:rPr>
                <w:rFonts w:cstheme="minorHAnsi"/>
                <w:sz w:val="18"/>
                <w:szCs w:val="18"/>
                <w:lang w:val="sr-Latn-ME"/>
              </w:rPr>
            </w:pPr>
            <w:r>
              <w:rPr>
                <w:rFonts w:cstheme="minorHAnsi"/>
                <w:sz w:val="18"/>
                <w:szCs w:val="18"/>
                <w:lang w:val="sr-Latn-ME"/>
              </w:rPr>
              <w:t>Nema takvih mjera</w:t>
            </w:r>
          </w:p>
        </w:tc>
      </w:tr>
      <w:tr w:rsidR="00830F42" w:rsidRPr="00AC67F2" w14:paraId="329C13A4" w14:textId="77777777" w:rsidTr="002559F4">
        <w:tc>
          <w:tcPr>
            <w:cnfStyle w:val="001000000000" w:firstRow="0" w:lastRow="0" w:firstColumn="1" w:lastColumn="0" w:oddVBand="0" w:evenVBand="0" w:oddHBand="0" w:evenHBand="0" w:firstRowFirstColumn="0" w:firstRowLastColumn="0" w:lastRowFirstColumn="0" w:lastRowLastColumn="0"/>
            <w:tcW w:w="4406" w:type="dxa"/>
            <w:gridSpan w:val="2"/>
            <w:shd w:val="clear" w:color="auto" w:fill="auto"/>
          </w:tcPr>
          <w:p w14:paraId="7631C3DB" w14:textId="77777777" w:rsidR="00830F42" w:rsidRDefault="00830F42" w:rsidP="002559F4">
            <w:pPr>
              <w:rPr>
                <w:rFonts w:cstheme="minorHAnsi"/>
                <w:lang w:val="sr-Latn-ME"/>
              </w:rPr>
            </w:pPr>
            <w:r>
              <w:rPr>
                <w:rFonts w:cstheme="minorHAnsi"/>
                <w:lang w:val="sr-Latn-ME"/>
              </w:rPr>
              <w:t>Ukupno</w:t>
            </w:r>
          </w:p>
        </w:tc>
        <w:tc>
          <w:tcPr>
            <w:tcW w:w="760" w:type="dxa"/>
            <w:shd w:val="clear" w:color="auto" w:fill="auto"/>
          </w:tcPr>
          <w:p w14:paraId="6E339D85" w14:textId="77777777" w:rsidR="00830F42" w:rsidRPr="00AC67F2" w:rsidRDefault="00830F42" w:rsidP="002559F4">
            <w:pP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263" w:type="dxa"/>
            <w:shd w:val="clear" w:color="auto" w:fill="auto"/>
          </w:tcPr>
          <w:p w14:paraId="4D2EE5FC" w14:textId="77777777" w:rsidR="00830F42" w:rsidRPr="00527B8F"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lang w:val="sr-Latn-ME"/>
              </w:rPr>
            </w:pPr>
          </w:p>
        </w:tc>
        <w:tc>
          <w:tcPr>
            <w:tcW w:w="1307" w:type="dxa"/>
            <w:shd w:val="clear" w:color="auto" w:fill="auto"/>
          </w:tcPr>
          <w:p w14:paraId="1B39D954" w14:textId="77777777" w:rsidR="00830F42" w:rsidRPr="00AC67F2" w:rsidRDefault="00830F42" w:rsidP="002559F4">
            <w:pPr>
              <w:jc w:val="center"/>
              <w:cnfStyle w:val="000000000000" w:firstRow="0" w:lastRow="0" w:firstColumn="0" w:lastColumn="0" w:oddVBand="0" w:evenVBand="0" w:oddHBand="0" w:evenHBand="0" w:firstRowFirstColumn="0" w:firstRowLastColumn="0" w:lastRowFirstColumn="0" w:lastRowLastColumn="0"/>
              <w:rPr>
                <w:rFonts w:cstheme="minorHAnsi"/>
                <w:lang w:val="sr-Latn-ME"/>
              </w:rPr>
            </w:pPr>
          </w:p>
        </w:tc>
        <w:tc>
          <w:tcPr>
            <w:tcW w:w="1614" w:type="dxa"/>
            <w:shd w:val="clear" w:color="auto" w:fill="auto"/>
          </w:tcPr>
          <w:p w14:paraId="15532AC2" w14:textId="2A12C734" w:rsidR="00830F42" w:rsidRPr="00AC67F2" w:rsidRDefault="00830F42" w:rsidP="002559F4">
            <w:pPr>
              <w:jc w:val="right"/>
              <w:cnfStyle w:val="000000000000" w:firstRow="0" w:lastRow="0" w:firstColumn="0" w:lastColumn="0" w:oddVBand="0" w:evenVBand="0" w:oddHBand="0" w:evenHBand="0" w:firstRowFirstColumn="0" w:firstRowLastColumn="0" w:lastRowFirstColumn="0" w:lastRowLastColumn="0"/>
              <w:rPr>
                <w:rFonts w:cstheme="minorHAnsi"/>
                <w:lang w:val="sr-Latn-ME"/>
              </w:rPr>
            </w:pPr>
            <w:r>
              <w:rPr>
                <w:rFonts w:cstheme="minorHAnsi"/>
                <w:b/>
                <w:bCs/>
                <w:sz w:val="28"/>
                <w:szCs w:val="28"/>
              </w:rPr>
              <w:t>0/</w:t>
            </w:r>
            <w:r w:rsidR="00473759">
              <w:rPr>
                <w:rFonts w:cstheme="minorHAnsi"/>
                <w:b/>
                <w:bCs/>
                <w:sz w:val="28"/>
                <w:szCs w:val="28"/>
              </w:rPr>
              <w:t>0</w:t>
            </w:r>
          </w:p>
        </w:tc>
      </w:tr>
    </w:tbl>
    <w:p w14:paraId="28AA5924" w14:textId="77777777" w:rsidR="00830F42" w:rsidRDefault="00830F42" w:rsidP="00830F42">
      <w:pPr>
        <w:rPr>
          <w:rFonts w:cstheme="minorHAnsi"/>
          <w:lang w:val="sr-Latn-ME"/>
        </w:rPr>
      </w:pPr>
    </w:p>
    <w:p w14:paraId="2A2A7666" w14:textId="17B23076" w:rsidR="00830F42" w:rsidRPr="00473759" w:rsidRDefault="00830F42" w:rsidP="00830F42">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cstheme="minorHAnsi"/>
          <w:color w:val="FF0000"/>
          <w:sz w:val="32"/>
          <w:szCs w:val="32"/>
          <w:lang w:val="sr-Latn-ME"/>
        </w:rPr>
      </w:pPr>
      <w:r w:rsidRPr="00473759">
        <w:rPr>
          <w:rFonts w:cstheme="minorHAnsi"/>
          <w:color w:val="FF0000"/>
          <w:sz w:val="32"/>
          <w:szCs w:val="32"/>
          <w:lang w:val="sr-Latn-ME"/>
        </w:rPr>
        <w:t xml:space="preserve">Konačna ocjena: </w:t>
      </w:r>
      <w:r w:rsidR="00473759" w:rsidRPr="00473759">
        <w:rPr>
          <w:rFonts w:cstheme="minorHAnsi"/>
          <w:color w:val="FF0000"/>
          <w:sz w:val="32"/>
          <w:szCs w:val="32"/>
          <w:lang w:val="sr-Latn-ME"/>
        </w:rPr>
        <w:t>0</w:t>
      </w:r>
      <w:r w:rsidRPr="00473759">
        <w:rPr>
          <w:rFonts w:cstheme="minorHAnsi"/>
          <w:color w:val="FF0000"/>
          <w:sz w:val="32"/>
          <w:szCs w:val="32"/>
          <w:lang w:val="sr-Latn-ME"/>
        </w:rPr>
        <w:t xml:space="preserve"> od </w:t>
      </w:r>
      <w:r w:rsidR="006211C8">
        <w:rPr>
          <w:rFonts w:cstheme="minorHAnsi"/>
          <w:color w:val="FF0000"/>
          <w:sz w:val="32"/>
          <w:szCs w:val="32"/>
          <w:lang w:val="sr-Latn-ME"/>
        </w:rPr>
        <w:t>8</w:t>
      </w:r>
      <w:r w:rsidRPr="00473759">
        <w:rPr>
          <w:rFonts w:cstheme="minorHAnsi"/>
          <w:color w:val="FF0000"/>
          <w:sz w:val="32"/>
          <w:szCs w:val="32"/>
          <w:lang w:val="sr-Latn-ME"/>
        </w:rPr>
        <w:t xml:space="preserve"> ili </w:t>
      </w:r>
      <w:r w:rsidRPr="00473759">
        <w:rPr>
          <w:rFonts w:cstheme="minorHAnsi"/>
          <w:b/>
          <w:bCs/>
          <w:color w:val="FF0000"/>
          <w:sz w:val="32"/>
          <w:szCs w:val="32"/>
          <w:lang w:val="sr-Latn-ME"/>
        </w:rPr>
        <w:t>0.</w:t>
      </w:r>
      <w:r w:rsidR="00473759" w:rsidRPr="00473759">
        <w:rPr>
          <w:rFonts w:cstheme="minorHAnsi"/>
          <w:b/>
          <w:bCs/>
          <w:color w:val="FF0000"/>
          <w:sz w:val="32"/>
          <w:szCs w:val="32"/>
          <w:lang w:val="sr-Latn-ME"/>
        </w:rPr>
        <w:t>0</w:t>
      </w:r>
      <w:r w:rsidRPr="00473759">
        <w:rPr>
          <w:rFonts w:cstheme="minorHAnsi"/>
          <w:b/>
          <w:bCs/>
          <w:color w:val="FF0000"/>
          <w:sz w:val="32"/>
          <w:szCs w:val="32"/>
          <w:lang w:val="sr-Latn-ME"/>
        </w:rPr>
        <w:t xml:space="preserve"> – Strategija </w:t>
      </w:r>
      <w:r w:rsidR="00473759" w:rsidRPr="00473759">
        <w:rPr>
          <w:rFonts w:cstheme="minorHAnsi"/>
          <w:b/>
          <w:bCs/>
          <w:color w:val="FF0000"/>
          <w:sz w:val="32"/>
          <w:szCs w:val="32"/>
          <w:lang w:val="sr-Latn-ME"/>
        </w:rPr>
        <w:t>uopšte</w:t>
      </w:r>
      <w:r w:rsidRPr="00473759">
        <w:rPr>
          <w:rFonts w:cstheme="minorHAnsi"/>
          <w:b/>
          <w:bCs/>
          <w:color w:val="FF0000"/>
          <w:sz w:val="32"/>
          <w:szCs w:val="32"/>
          <w:lang w:val="sr-Latn-ME"/>
        </w:rPr>
        <w:t xml:space="preserve"> nije orodnjena.</w:t>
      </w:r>
    </w:p>
    <w:p w14:paraId="000EF58C" w14:textId="77777777" w:rsidR="00966A27" w:rsidRDefault="00966A27" w:rsidP="00966A27">
      <w:pPr>
        <w:rPr>
          <w:lang w:val="sr-Latn-ME"/>
        </w:rPr>
      </w:pPr>
    </w:p>
    <w:p w14:paraId="25F1D0E4" w14:textId="77777777" w:rsidR="007210BD" w:rsidRDefault="007210BD" w:rsidP="00966A27">
      <w:pPr>
        <w:rPr>
          <w:lang w:val="sr-Latn-ME"/>
        </w:rPr>
      </w:pPr>
    </w:p>
    <w:p w14:paraId="38086B92" w14:textId="77777777" w:rsidR="007210BD" w:rsidRDefault="007210BD" w:rsidP="00966A27">
      <w:pPr>
        <w:rPr>
          <w:lang w:val="sr-Latn-ME"/>
        </w:rPr>
      </w:pPr>
    </w:p>
    <w:p w14:paraId="777638EA" w14:textId="29F9E334" w:rsidR="002559F4" w:rsidRDefault="00966A27" w:rsidP="0080118F">
      <w:pPr>
        <w:pStyle w:val="Heading1"/>
        <w:rPr>
          <w:lang w:val="sr-Latn-ME"/>
        </w:rPr>
      </w:pPr>
      <w:bookmarkStart w:id="34" w:name="_Toc100339556"/>
      <w:r>
        <w:rPr>
          <w:lang w:val="sr-Latn-ME"/>
        </w:rPr>
        <w:lastRenderedPageBreak/>
        <w:t>Zaključak</w:t>
      </w:r>
      <w:bookmarkEnd w:id="34"/>
    </w:p>
    <w:p w14:paraId="6524531A" w14:textId="77777777" w:rsidR="007210BD" w:rsidRPr="0053536E" w:rsidRDefault="007210BD" w:rsidP="0053536E"/>
    <w:p w14:paraId="4AF0DE83" w14:textId="0BECA767" w:rsidR="00D8798B" w:rsidRDefault="005E0AF3" w:rsidP="001125F0">
      <w:pPr>
        <w:jc w:val="both"/>
        <w:rPr>
          <w:lang w:val="sr-Latn-ME"/>
        </w:rPr>
      </w:pPr>
      <w:r>
        <w:rPr>
          <w:lang w:val="sr-Latn-ME"/>
        </w:rPr>
        <w:t xml:space="preserve">Prema </w:t>
      </w:r>
      <w:r w:rsidR="003F6D5A">
        <w:rPr>
          <w:lang w:val="sr-Latn-ME"/>
        </w:rPr>
        <w:t xml:space="preserve">zbirci sadržanoj na web sajtu </w:t>
      </w:r>
      <w:r w:rsidR="00255ACB">
        <w:rPr>
          <w:lang w:val="sr-Latn-ME"/>
        </w:rPr>
        <w:t xml:space="preserve">posvećenoj </w:t>
      </w:r>
      <w:r w:rsidR="003F6D5A">
        <w:rPr>
          <w:lang w:val="sr-Latn-ME"/>
        </w:rPr>
        <w:t>javnim politikama (</w:t>
      </w:r>
      <w:hyperlink r:id="rId8" w:history="1">
        <w:r w:rsidR="003F6D5A" w:rsidRPr="004C0EF5">
          <w:rPr>
            <w:rStyle w:val="Hyperlink"/>
            <w:lang w:val="sr-Latn-ME"/>
          </w:rPr>
          <w:t>https://javnepolitike.me</w:t>
        </w:r>
      </w:hyperlink>
      <w:r w:rsidR="003F6D5A">
        <w:rPr>
          <w:lang w:val="sr-Latn-ME"/>
        </w:rPr>
        <w:t xml:space="preserve">), u Crnoj Gori </w:t>
      </w:r>
      <w:r w:rsidR="007210BD">
        <w:rPr>
          <w:lang w:val="sr-Latn-ME"/>
        </w:rPr>
        <w:t xml:space="preserve">je u trenutku izrade ove analize postojalo </w:t>
      </w:r>
      <w:r w:rsidR="003F6D5A">
        <w:rPr>
          <w:lang w:val="sr-Latn-ME"/>
        </w:rPr>
        <w:t xml:space="preserve"> </w:t>
      </w:r>
      <w:r w:rsidR="007210BD">
        <w:rPr>
          <w:lang w:val="sr-Latn-ME"/>
        </w:rPr>
        <w:t>97 važećih strategija, od kojih je 71</w:t>
      </w:r>
      <w:r w:rsidR="00840C3F">
        <w:rPr>
          <w:lang w:val="sr-Latn-ME"/>
        </w:rPr>
        <w:t xml:space="preserve"> preliminarno ocijenjeno kao potpuno neorodnjeno prilikom izrade Strategije rodne ravnopravnosti za period od 2021-2025. </w:t>
      </w:r>
      <w:r w:rsidR="000A14BF">
        <w:rPr>
          <w:lang w:val="sr-Latn-ME"/>
        </w:rPr>
        <w:t xml:space="preserve">Te Strategije nisu analizirane ovim instrumentom. </w:t>
      </w:r>
      <w:r w:rsidR="00840C3F">
        <w:rPr>
          <w:lang w:val="sr-Latn-ME"/>
        </w:rPr>
        <w:t>Preostalih 2</w:t>
      </w:r>
      <w:r w:rsidR="00066292">
        <w:rPr>
          <w:lang w:val="sr-Latn-ME"/>
        </w:rPr>
        <w:t>6</w:t>
      </w:r>
      <w:r w:rsidR="00840C3F">
        <w:rPr>
          <w:lang w:val="sr-Latn-ME"/>
        </w:rPr>
        <w:t xml:space="preserve"> je analizirano, a rezultati izloženi u ovom dokumentu. </w:t>
      </w:r>
    </w:p>
    <w:p w14:paraId="32948E2A" w14:textId="4D88B7BF" w:rsidR="00966A27" w:rsidRDefault="00D8798B" w:rsidP="003A73F1">
      <w:pPr>
        <w:jc w:val="both"/>
        <w:rPr>
          <w:lang w:val="sr-Latn-ME"/>
        </w:rPr>
      </w:pPr>
      <w:r>
        <w:rPr>
          <w:lang w:val="sr-Latn-ME"/>
        </w:rPr>
        <w:t>Rezultat analize ukazuje na to da je</w:t>
      </w:r>
      <w:r w:rsidR="007210BD">
        <w:rPr>
          <w:lang w:val="sr-Latn-ME"/>
        </w:rPr>
        <w:t xml:space="preserve"> od 26 strategija</w:t>
      </w:r>
      <w:r>
        <w:rPr>
          <w:lang w:val="sr-Latn-ME"/>
        </w:rPr>
        <w:t xml:space="preserve"> </w:t>
      </w:r>
      <w:r w:rsidR="007210BD">
        <w:rPr>
          <w:lang w:val="sr-Latn-ME"/>
        </w:rPr>
        <w:t>13</w:t>
      </w:r>
      <w:r w:rsidR="007210BD" w:rsidDel="007210BD">
        <w:rPr>
          <w:lang w:val="sr-Latn-ME"/>
        </w:rPr>
        <w:t xml:space="preserve"> </w:t>
      </w:r>
      <w:r w:rsidR="007210BD">
        <w:rPr>
          <w:lang w:val="sr-Latn-ME"/>
        </w:rPr>
        <w:t>p</w:t>
      </w:r>
      <w:r>
        <w:rPr>
          <w:lang w:val="sr-Latn-ME"/>
        </w:rPr>
        <w:t xml:space="preserve">otpuno neorodnjeno, </w:t>
      </w:r>
      <w:r w:rsidR="00867A18">
        <w:rPr>
          <w:lang w:val="sr-Latn-ME"/>
        </w:rPr>
        <w:t xml:space="preserve">5 </w:t>
      </w:r>
      <w:r>
        <w:rPr>
          <w:lang w:val="sr-Latn-ME"/>
        </w:rPr>
        <w:t xml:space="preserve">uglavnom neorodnjeno, </w:t>
      </w:r>
      <w:r w:rsidR="00867A18">
        <w:rPr>
          <w:lang w:val="sr-Latn-ME"/>
        </w:rPr>
        <w:t xml:space="preserve">4 </w:t>
      </w:r>
      <w:r>
        <w:rPr>
          <w:lang w:val="sr-Latn-ME"/>
        </w:rPr>
        <w:t>uglavnom orodnjeno</w:t>
      </w:r>
      <w:r w:rsidR="007117DC">
        <w:rPr>
          <w:lang w:val="sr-Latn-ME"/>
        </w:rPr>
        <w:t xml:space="preserve"> </w:t>
      </w:r>
      <w:r>
        <w:rPr>
          <w:lang w:val="sr-Latn-ME"/>
        </w:rPr>
        <w:t xml:space="preserve">i </w:t>
      </w:r>
      <w:r w:rsidR="005E6E24">
        <w:rPr>
          <w:lang w:val="sr-Latn-ME"/>
        </w:rPr>
        <w:t>4</w:t>
      </w:r>
      <w:r>
        <w:rPr>
          <w:lang w:val="sr-Latn-ME"/>
        </w:rPr>
        <w:t xml:space="preserve"> u potpunosti orodnjeno. </w:t>
      </w:r>
      <w:r w:rsidR="005E6E24">
        <w:rPr>
          <w:lang w:val="sr-Latn-ME"/>
        </w:rPr>
        <w:t xml:space="preserve">Ukoliko saberemo broj onih koji su uglavnom orodnjeni ili u potpunosti orodnjeni dobijamo </w:t>
      </w:r>
      <w:r w:rsidR="00867A18">
        <w:rPr>
          <w:lang w:val="sr-Latn-ME"/>
        </w:rPr>
        <w:t>8</w:t>
      </w:r>
      <w:r w:rsidR="005E6E24">
        <w:rPr>
          <w:lang w:val="sr-Latn-ME"/>
        </w:rPr>
        <w:t xml:space="preserve">, što je ukupno </w:t>
      </w:r>
      <w:r w:rsidR="00867A18">
        <w:rPr>
          <w:lang w:val="sr-Latn-ME"/>
        </w:rPr>
        <w:t>8,25</w:t>
      </w:r>
      <w:r w:rsidR="00E6272A">
        <w:rPr>
          <w:lang w:val="sr-Latn-ME"/>
        </w:rPr>
        <w:t xml:space="preserve">% </w:t>
      </w:r>
      <w:r w:rsidR="00363651">
        <w:rPr>
          <w:lang w:val="sr-Latn-ME"/>
        </w:rPr>
        <w:t>%</w:t>
      </w:r>
      <w:r w:rsidR="0053536E">
        <w:rPr>
          <w:lang w:val="sr-Latn-ME"/>
        </w:rPr>
        <w:t xml:space="preserve"> od ukupnog broja </w:t>
      </w:r>
      <w:r w:rsidR="00E6272A">
        <w:rPr>
          <w:lang w:val="sr-Latn-ME"/>
        </w:rPr>
        <w:t xml:space="preserve">od 97 </w:t>
      </w:r>
      <w:r w:rsidR="0053536E">
        <w:rPr>
          <w:lang w:val="sr-Latn-ME"/>
        </w:rPr>
        <w:t xml:space="preserve">važećih strategija u vrijeme kada je rađena ova analiza (novembar 2021). </w:t>
      </w:r>
      <w:r w:rsidR="00363651">
        <w:rPr>
          <w:lang w:val="sr-Latn-ME"/>
        </w:rPr>
        <w:t xml:space="preserve"> Ovaj procenat se može uzeti kao početno stanje za praćenje indikatora orodnjenosti javnih politika u skladu sa </w:t>
      </w:r>
      <w:r w:rsidR="00363651" w:rsidRPr="000A492E">
        <w:rPr>
          <w:i/>
          <w:iCs/>
          <w:lang w:val="sr-Latn-ME"/>
        </w:rPr>
        <w:t>Strategijom rodne ravnopravnosti</w:t>
      </w:r>
      <w:r w:rsidR="000A492E" w:rsidRPr="000A492E">
        <w:rPr>
          <w:i/>
          <w:iCs/>
          <w:lang w:val="sr-Latn-ME"/>
        </w:rPr>
        <w:t xml:space="preserve"> 2021-2025</w:t>
      </w:r>
      <w:r w:rsidR="000D3E97">
        <w:rPr>
          <w:lang w:val="sr-Latn-ME"/>
        </w:rPr>
        <w:t>. Strategijom je planirano da se % podigne za 5</w:t>
      </w:r>
      <w:r w:rsidR="00E6272A">
        <w:rPr>
          <w:lang w:val="sr-Latn-ME"/>
        </w:rPr>
        <w:t xml:space="preserve"> </w:t>
      </w:r>
      <w:r w:rsidR="000D3E97">
        <w:rPr>
          <w:lang w:val="sr-Latn-ME"/>
        </w:rPr>
        <w:t>p</w:t>
      </w:r>
      <w:r w:rsidR="00E6272A">
        <w:rPr>
          <w:lang w:val="sr-Latn-ME"/>
        </w:rPr>
        <w:t xml:space="preserve">rocentnih </w:t>
      </w:r>
      <w:r w:rsidR="000D3E97">
        <w:rPr>
          <w:lang w:val="sr-Latn-ME"/>
        </w:rPr>
        <w:t>p</w:t>
      </w:r>
      <w:r w:rsidR="00E6272A">
        <w:rPr>
          <w:lang w:val="sr-Latn-ME"/>
        </w:rPr>
        <w:t>oena</w:t>
      </w:r>
      <w:r w:rsidR="000D3E97">
        <w:rPr>
          <w:lang w:val="sr-Latn-ME"/>
        </w:rPr>
        <w:t xml:space="preserve"> do 2023. i 10</w:t>
      </w:r>
      <w:r w:rsidR="00E6272A">
        <w:rPr>
          <w:lang w:val="sr-Latn-ME"/>
        </w:rPr>
        <w:t xml:space="preserve"> </w:t>
      </w:r>
      <w:r w:rsidR="000D3E97">
        <w:rPr>
          <w:lang w:val="sr-Latn-ME"/>
        </w:rPr>
        <w:t>p</w:t>
      </w:r>
      <w:r w:rsidR="00E6272A">
        <w:rPr>
          <w:lang w:val="sr-Latn-ME"/>
        </w:rPr>
        <w:t xml:space="preserve">rocentnih </w:t>
      </w:r>
      <w:r w:rsidR="000D3E97">
        <w:rPr>
          <w:lang w:val="sr-Latn-ME"/>
        </w:rPr>
        <w:t>p</w:t>
      </w:r>
      <w:r w:rsidR="00E6272A">
        <w:rPr>
          <w:lang w:val="sr-Latn-ME"/>
        </w:rPr>
        <w:t>oena</w:t>
      </w:r>
      <w:r w:rsidR="000D3E97">
        <w:rPr>
          <w:lang w:val="sr-Latn-ME"/>
        </w:rPr>
        <w:t xml:space="preserve"> do 2025. </w:t>
      </w:r>
      <w:r w:rsidR="007B4B6B">
        <w:rPr>
          <w:lang w:val="sr-Latn-ME"/>
        </w:rPr>
        <w:t>godine.</w:t>
      </w:r>
    </w:p>
    <w:p w14:paraId="07A451EF" w14:textId="10918F12" w:rsidR="007B4B6B" w:rsidRDefault="007B4B6B" w:rsidP="003A73F1">
      <w:pPr>
        <w:jc w:val="both"/>
        <w:rPr>
          <w:lang w:val="sr-Latn-ME"/>
        </w:rPr>
      </w:pPr>
      <w:r>
        <w:rPr>
          <w:lang w:val="sr-Latn-ME"/>
        </w:rPr>
        <w:t xml:space="preserve">Pored toga, analiza je pokazala da je najslabija tačka po pitanju orodnjenosti faza planiranja javne politike. Naime, </w:t>
      </w:r>
      <w:r w:rsidR="00035F1F">
        <w:rPr>
          <w:lang w:val="sr-Latn-ME"/>
        </w:rPr>
        <w:t xml:space="preserve">svega par dokumenata sadrži informacije o tome ko su bili članovi i članice radne grupe koja je pripremila dokument. </w:t>
      </w:r>
      <w:r w:rsidR="001259D1">
        <w:rPr>
          <w:lang w:val="sr-Latn-ME"/>
        </w:rPr>
        <w:t>Kako iz razloga kontrole orodnjenosti u ovoj fazi, tako i iz razloga povećanja lične odgovornosti,</w:t>
      </w:r>
      <w:r w:rsidR="001E7A8C">
        <w:rPr>
          <w:lang w:val="sr-Latn-ME"/>
        </w:rPr>
        <w:t xml:space="preserve"> informacija o</w:t>
      </w:r>
      <w:r w:rsidR="001259D1">
        <w:rPr>
          <w:lang w:val="sr-Latn-ME"/>
        </w:rPr>
        <w:t xml:space="preserve"> sastav</w:t>
      </w:r>
      <w:r w:rsidR="001E7A8C">
        <w:rPr>
          <w:lang w:val="sr-Latn-ME"/>
        </w:rPr>
        <w:t>u</w:t>
      </w:r>
      <w:r w:rsidR="001259D1">
        <w:rPr>
          <w:lang w:val="sr-Latn-ME"/>
        </w:rPr>
        <w:t xml:space="preserve"> radne grupe bi trebalo da bude obavezan elemenat </w:t>
      </w:r>
      <w:r w:rsidR="001E7A8C">
        <w:rPr>
          <w:lang w:val="sr-Latn-ME"/>
        </w:rPr>
        <w:t>svakog strateškog dokumenta. Pored toga, svaki dokument bi trebalo da sadrži informaciju o tome koja vrsta ekspertske podrške je korišćena prilikom izrade dokumenta.</w:t>
      </w:r>
    </w:p>
    <w:p w14:paraId="61528F62" w14:textId="7C549785" w:rsidR="001E7A8C" w:rsidRDefault="0043361B" w:rsidP="003A73F1">
      <w:pPr>
        <w:jc w:val="both"/>
        <w:rPr>
          <w:lang w:val="sr-Latn-ME"/>
        </w:rPr>
      </w:pPr>
      <w:r>
        <w:rPr>
          <w:lang w:val="sr-Latn-ME"/>
        </w:rPr>
        <w:t>Korišćenje rodno senzitivnog jezika je takođe jedan od uobičajenih problema. Naime, većina strateških dokumenata izbjegava da koristi imenice u odgovarajućem rodu, već pribjegava neutralnim izrazima (npr. „lica“, „individue“). Pored toga, imenice u množini se po pravilu koriste isključivo u muškom rodu („građani“, „pacijenti“</w:t>
      </w:r>
      <w:r w:rsidR="007117DC">
        <w:rPr>
          <w:lang w:val="sr-Latn-ME"/>
        </w:rPr>
        <w:t>, itd</w:t>
      </w:r>
      <w:r>
        <w:rPr>
          <w:lang w:val="sr-Latn-ME"/>
        </w:rPr>
        <w:t>)</w:t>
      </w:r>
      <w:r w:rsidR="002A349A">
        <w:rPr>
          <w:lang w:val="sr-Latn-ME"/>
        </w:rPr>
        <w:t xml:space="preserve">. </w:t>
      </w:r>
    </w:p>
    <w:p w14:paraId="5D4F8F4F" w14:textId="7EF0C3D2" w:rsidR="002A349A" w:rsidRDefault="002A349A" w:rsidP="003A73F1">
      <w:pPr>
        <w:jc w:val="both"/>
        <w:rPr>
          <w:lang w:val="sr-Latn-ME"/>
        </w:rPr>
      </w:pPr>
      <w:r>
        <w:rPr>
          <w:lang w:val="sr-Latn-ME"/>
        </w:rPr>
        <w:t>Iako je Meto</w:t>
      </w:r>
      <w:r w:rsidR="007117DC">
        <w:rPr>
          <w:lang w:val="sr-Latn-ME"/>
        </w:rPr>
        <w:t>do</w:t>
      </w:r>
      <w:r>
        <w:rPr>
          <w:lang w:val="sr-Latn-ME"/>
        </w:rPr>
        <w:t xml:space="preserve">logija </w:t>
      </w:r>
      <w:r w:rsidR="00406A32">
        <w:rPr>
          <w:lang w:val="sr-Latn-ME"/>
        </w:rPr>
        <w:t>razvijanja politika, izade i praćenja sprovođenja strateških dokumenata</w:t>
      </w:r>
      <w:r w:rsidR="00406A32">
        <w:rPr>
          <w:rStyle w:val="FootnoteReference"/>
          <w:lang w:val="sr-Latn-ME"/>
        </w:rPr>
        <w:footnoteReference w:id="17"/>
      </w:r>
      <w:r w:rsidR="00406A32">
        <w:rPr>
          <w:lang w:val="sr-Latn-ME"/>
        </w:rPr>
        <w:t xml:space="preserve"> </w:t>
      </w:r>
      <w:r w:rsidR="00B10C10">
        <w:rPr>
          <w:lang w:val="sr-Latn-ME"/>
        </w:rPr>
        <w:t xml:space="preserve">koju je pripremio Generalni sekretarijat Vlade napravila ogroman skok u kvalitetu pripreme javnih politika, primjećuje se da i dalje </w:t>
      </w:r>
      <w:r w:rsidR="00A41F1D">
        <w:rPr>
          <w:lang w:val="sr-Latn-ME"/>
        </w:rPr>
        <w:t xml:space="preserve">opstaje problem uvezivanja analize stanja sa ciljevima i mjerama javne politike. Analizirani dokumenti često ili opisuju podacima problem koji kasnije kroz javnu politiku ne adresiraju, ili postavljaju ciljeve i mjere u odnosu na teme koje nisu definisane kao problemi u dijelu analize stanja. Ovo je posebno izraženo kada je u pitanju rodna problematika. </w:t>
      </w:r>
    </w:p>
    <w:p w14:paraId="5BEA4D34" w14:textId="4585A075" w:rsidR="00B523A4" w:rsidRDefault="0081586F" w:rsidP="003A73F1">
      <w:pPr>
        <w:jc w:val="both"/>
        <w:rPr>
          <w:lang w:val="sr-Latn-ME"/>
        </w:rPr>
      </w:pPr>
      <w:r>
        <w:rPr>
          <w:lang w:val="sr-Latn-ME"/>
        </w:rPr>
        <w:t>Na kraju, ova analiza je pokazala da je instrument za provjeru orodnjenosti javnih politika koji je razvijen uz podršku Organizacije za evropsku bezbjednost i saradnju</w:t>
      </w:r>
      <w:r w:rsidR="00E6272A">
        <w:rPr>
          <w:lang w:val="sr-Latn-ME"/>
        </w:rPr>
        <w:t xml:space="preserve"> (OEBS)</w:t>
      </w:r>
      <w:r>
        <w:rPr>
          <w:lang w:val="sr-Latn-ME"/>
        </w:rPr>
        <w:t xml:space="preserve"> </w:t>
      </w:r>
      <w:r w:rsidR="00E6272A">
        <w:rPr>
          <w:lang w:val="sr-Latn-ME"/>
        </w:rPr>
        <w:t xml:space="preserve">i Ministarstva pravde, ljudskih i manjinskih prava (MPLJMP) </w:t>
      </w:r>
      <w:r>
        <w:rPr>
          <w:lang w:val="sr-Latn-ME"/>
        </w:rPr>
        <w:t xml:space="preserve">adekvatna alatka za </w:t>
      </w:r>
      <w:r w:rsidR="00D11774">
        <w:rPr>
          <w:lang w:val="sr-Latn-ME"/>
        </w:rPr>
        <w:t xml:space="preserve">namjenu za koju je dizajniran. </w:t>
      </w:r>
    </w:p>
    <w:p w14:paraId="009ED864" w14:textId="77777777" w:rsidR="00B523A4" w:rsidRDefault="00B523A4">
      <w:pPr>
        <w:rPr>
          <w:lang w:val="sr-Latn-ME"/>
        </w:rPr>
      </w:pPr>
      <w:r>
        <w:rPr>
          <w:lang w:val="sr-Latn-ME"/>
        </w:rPr>
        <w:br w:type="page"/>
      </w:r>
    </w:p>
    <w:p w14:paraId="75ECB9D4" w14:textId="77777777" w:rsidR="0081586F" w:rsidRDefault="0081586F" w:rsidP="003A73F1">
      <w:pPr>
        <w:jc w:val="both"/>
        <w:rPr>
          <w:lang w:val="sr-Latn-ME"/>
        </w:rPr>
      </w:pPr>
    </w:p>
    <w:tbl>
      <w:tblPr>
        <w:tblStyle w:val="GridTable1Light-Accent1"/>
        <w:tblW w:w="5000" w:type="pct"/>
        <w:tblLook w:val="04A0" w:firstRow="1" w:lastRow="0" w:firstColumn="1" w:lastColumn="0" w:noHBand="0" w:noVBand="1"/>
      </w:tblPr>
      <w:tblGrid>
        <w:gridCol w:w="535"/>
        <w:gridCol w:w="7115"/>
        <w:gridCol w:w="1700"/>
      </w:tblGrid>
      <w:tr w:rsidR="003A3666" w:rsidRPr="00D97D58" w14:paraId="784EA93D" w14:textId="77777777" w:rsidTr="00007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tcPr>
          <w:p w14:paraId="57A5278E" w14:textId="77777777" w:rsidR="003A3666" w:rsidRPr="00D97D58" w:rsidRDefault="003A3666" w:rsidP="00007CBA">
            <w:pPr>
              <w:rPr>
                <w:sz w:val="18"/>
                <w:szCs w:val="18"/>
                <w:lang w:val="sr-Latn-ME"/>
              </w:rPr>
            </w:pPr>
          </w:p>
        </w:tc>
        <w:tc>
          <w:tcPr>
            <w:tcW w:w="3805" w:type="pct"/>
          </w:tcPr>
          <w:p w14:paraId="75EB5796" w14:textId="77777777" w:rsidR="003A3666" w:rsidRPr="00D97D58" w:rsidRDefault="003A3666" w:rsidP="00007CBA">
            <w:pPr>
              <w:cnfStyle w:val="100000000000" w:firstRow="1" w:lastRow="0" w:firstColumn="0" w:lastColumn="0" w:oddVBand="0" w:evenVBand="0" w:oddHBand="0" w:evenHBand="0" w:firstRowFirstColumn="0" w:firstRowLastColumn="0" w:lastRowFirstColumn="0" w:lastRowLastColumn="0"/>
              <w:rPr>
                <w:sz w:val="18"/>
                <w:szCs w:val="18"/>
                <w:lang w:val="sr-Latn-ME"/>
              </w:rPr>
            </w:pPr>
            <w:r>
              <w:rPr>
                <w:sz w:val="18"/>
                <w:szCs w:val="18"/>
                <w:lang w:val="sr-Latn-ME"/>
              </w:rPr>
              <w:t>Strateški dokument</w:t>
            </w:r>
          </w:p>
        </w:tc>
        <w:tc>
          <w:tcPr>
            <w:tcW w:w="909" w:type="pct"/>
          </w:tcPr>
          <w:p w14:paraId="608C1000" w14:textId="77777777" w:rsidR="003A3666" w:rsidRPr="00D97D58" w:rsidRDefault="003A3666" w:rsidP="00007CBA">
            <w:pPr>
              <w:cnfStyle w:val="100000000000" w:firstRow="1" w:lastRow="0" w:firstColumn="0" w:lastColumn="0" w:oddVBand="0" w:evenVBand="0" w:oddHBand="0" w:evenHBand="0" w:firstRowFirstColumn="0" w:firstRowLastColumn="0" w:lastRowFirstColumn="0" w:lastRowLastColumn="0"/>
              <w:rPr>
                <w:sz w:val="18"/>
                <w:szCs w:val="18"/>
                <w:lang w:val="sr-Latn-ME"/>
              </w:rPr>
            </w:pPr>
            <w:r>
              <w:rPr>
                <w:sz w:val="18"/>
                <w:szCs w:val="18"/>
                <w:lang w:val="sr-Latn-ME"/>
              </w:rPr>
              <w:t>Nivo orodnjenosti</w:t>
            </w:r>
          </w:p>
        </w:tc>
      </w:tr>
      <w:tr w:rsidR="003A3666" w:rsidRPr="00C41634" w14:paraId="74CB70EC"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7CBF6FCF" w14:textId="77777777" w:rsidR="003A3666" w:rsidRPr="00C41634" w:rsidRDefault="003A3666" w:rsidP="00007CBA">
            <w:pPr>
              <w:rPr>
                <w:sz w:val="18"/>
                <w:szCs w:val="18"/>
                <w:lang w:val="sr-Latn-ME"/>
              </w:rPr>
            </w:pPr>
            <w:r w:rsidRPr="00C41634">
              <w:rPr>
                <w:sz w:val="18"/>
                <w:szCs w:val="18"/>
                <w:lang w:val="sr-Latn-ME"/>
              </w:rPr>
              <w:t>1</w:t>
            </w:r>
          </w:p>
        </w:tc>
        <w:tc>
          <w:tcPr>
            <w:tcW w:w="3805" w:type="pct"/>
          </w:tcPr>
          <w:p w14:paraId="573152B5"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noProof/>
                <w:sz w:val="18"/>
                <w:szCs w:val="18"/>
                <w:lang w:val="hr-HR"/>
              </w:rPr>
              <w:t>Strategija za borbu protiv trgovine ljudima za period 2019-2024</w:t>
            </w:r>
            <w:r>
              <w:rPr>
                <w:noProof/>
                <w:sz w:val="18"/>
                <w:szCs w:val="18"/>
                <w:lang w:val="hr-HR"/>
              </w:rPr>
              <w:t>.</w:t>
            </w:r>
          </w:p>
        </w:tc>
        <w:tc>
          <w:tcPr>
            <w:tcW w:w="909" w:type="pct"/>
            <w:shd w:val="clear" w:color="auto" w:fill="FF0000"/>
          </w:tcPr>
          <w:p w14:paraId="1A3EC2FF"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757EFB5C"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3BB80818" w14:textId="77777777" w:rsidR="003A3666" w:rsidRPr="00C41634" w:rsidRDefault="003A3666" w:rsidP="00007CBA">
            <w:pPr>
              <w:rPr>
                <w:sz w:val="18"/>
                <w:szCs w:val="18"/>
                <w:lang w:val="sr-Latn-ME"/>
              </w:rPr>
            </w:pPr>
            <w:r w:rsidRPr="00C41634">
              <w:rPr>
                <w:sz w:val="18"/>
                <w:szCs w:val="18"/>
                <w:lang w:val="sr-Latn-ME"/>
              </w:rPr>
              <w:t>2</w:t>
            </w:r>
          </w:p>
        </w:tc>
        <w:tc>
          <w:tcPr>
            <w:tcW w:w="3805" w:type="pct"/>
          </w:tcPr>
          <w:p w14:paraId="1E1B4C06"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noProof/>
                <w:sz w:val="18"/>
                <w:szCs w:val="18"/>
                <w:lang w:val="hr-HR"/>
              </w:rPr>
              <w:t>Strategija upravljanja ljudskim resursima u Upravi policije 2019-2024</w:t>
            </w:r>
            <w:r>
              <w:rPr>
                <w:noProof/>
                <w:sz w:val="18"/>
                <w:szCs w:val="18"/>
                <w:lang w:val="hr-HR"/>
              </w:rPr>
              <w:t>.</w:t>
            </w:r>
          </w:p>
        </w:tc>
        <w:tc>
          <w:tcPr>
            <w:tcW w:w="909" w:type="pct"/>
            <w:shd w:val="clear" w:color="auto" w:fill="92D050"/>
          </w:tcPr>
          <w:p w14:paraId="18404AB7"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6D314606"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237DF10F" w14:textId="77777777" w:rsidR="003A3666" w:rsidRPr="00C41634" w:rsidRDefault="003A3666" w:rsidP="00007CBA">
            <w:pPr>
              <w:rPr>
                <w:sz w:val="18"/>
                <w:szCs w:val="18"/>
                <w:lang w:val="sr-Latn-ME"/>
              </w:rPr>
            </w:pPr>
            <w:r w:rsidRPr="00C41634">
              <w:rPr>
                <w:sz w:val="18"/>
                <w:szCs w:val="18"/>
                <w:lang w:val="sr-Latn-ME"/>
              </w:rPr>
              <w:t>3</w:t>
            </w:r>
          </w:p>
        </w:tc>
        <w:tc>
          <w:tcPr>
            <w:tcW w:w="3805" w:type="pct"/>
          </w:tcPr>
          <w:p w14:paraId="31959103"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noProof/>
                <w:sz w:val="18"/>
                <w:szCs w:val="18"/>
                <w:lang w:val="hr-HR"/>
              </w:rPr>
              <w:t>Strategija za suzbijanje nedozvoljenog posjedovanja, zloupotrebe i trgovine, malokalibarskim i lakim oružjem i municijom 2019-2025</w:t>
            </w:r>
            <w:r>
              <w:rPr>
                <w:noProof/>
                <w:sz w:val="18"/>
                <w:szCs w:val="18"/>
                <w:lang w:val="hr-HR"/>
              </w:rPr>
              <w:t>.</w:t>
            </w:r>
          </w:p>
        </w:tc>
        <w:tc>
          <w:tcPr>
            <w:tcW w:w="909" w:type="pct"/>
            <w:shd w:val="clear" w:color="auto" w:fill="92D050"/>
          </w:tcPr>
          <w:p w14:paraId="51E8DB48"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6BF9399B"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16585176" w14:textId="77777777" w:rsidR="003A3666" w:rsidRPr="00C41634" w:rsidRDefault="003A3666" w:rsidP="00007CBA">
            <w:pPr>
              <w:rPr>
                <w:sz w:val="18"/>
                <w:szCs w:val="18"/>
                <w:lang w:val="sr-Latn-ME"/>
              </w:rPr>
            </w:pPr>
            <w:r>
              <w:rPr>
                <w:sz w:val="18"/>
                <w:szCs w:val="18"/>
                <w:lang w:val="sr-Latn-ME"/>
              </w:rPr>
              <w:t>4</w:t>
            </w:r>
          </w:p>
        </w:tc>
        <w:tc>
          <w:tcPr>
            <w:tcW w:w="3805" w:type="pct"/>
          </w:tcPr>
          <w:p w14:paraId="5539EA51"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noProof/>
                <w:sz w:val="18"/>
                <w:szCs w:val="18"/>
                <w:lang w:val="hr-HR"/>
              </w:rPr>
              <w:t>Šengenski akcioni plan</w:t>
            </w:r>
          </w:p>
        </w:tc>
        <w:tc>
          <w:tcPr>
            <w:tcW w:w="909" w:type="pct"/>
            <w:shd w:val="clear" w:color="auto" w:fill="FF0000"/>
          </w:tcPr>
          <w:p w14:paraId="29DF0616"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64D5FF71"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5323D150" w14:textId="77777777" w:rsidR="003A3666" w:rsidRPr="00C41634" w:rsidRDefault="003A3666" w:rsidP="00007CBA">
            <w:pPr>
              <w:rPr>
                <w:sz w:val="18"/>
                <w:szCs w:val="18"/>
                <w:lang w:val="sr-Latn-ME"/>
              </w:rPr>
            </w:pPr>
            <w:r>
              <w:rPr>
                <w:sz w:val="18"/>
                <w:szCs w:val="18"/>
                <w:lang w:val="sr-Latn-ME"/>
              </w:rPr>
              <w:t>5</w:t>
            </w:r>
          </w:p>
        </w:tc>
        <w:tc>
          <w:tcPr>
            <w:tcW w:w="3805" w:type="pct"/>
          </w:tcPr>
          <w:p w14:paraId="2021DA62"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noProof/>
                <w:sz w:val="18"/>
                <w:szCs w:val="18"/>
                <w:lang w:val="hr-HR"/>
              </w:rPr>
              <w:t>Strategija za unapređenje kvaliteta života LGBTI osoba u Crnoj Gori za period 2019-2023.</w:t>
            </w:r>
          </w:p>
        </w:tc>
        <w:tc>
          <w:tcPr>
            <w:tcW w:w="909" w:type="pct"/>
            <w:shd w:val="clear" w:color="auto" w:fill="00B050"/>
          </w:tcPr>
          <w:p w14:paraId="4DC39FCB"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559F139B" w14:textId="77777777" w:rsidTr="00867A18">
        <w:tc>
          <w:tcPr>
            <w:cnfStyle w:val="001000000000" w:firstRow="0" w:lastRow="0" w:firstColumn="1" w:lastColumn="0" w:oddVBand="0" w:evenVBand="0" w:oddHBand="0" w:evenHBand="0" w:firstRowFirstColumn="0" w:firstRowLastColumn="0" w:lastRowFirstColumn="0" w:lastRowLastColumn="0"/>
            <w:tcW w:w="286" w:type="pct"/>
          </w:tcPr>
          <w:p w14:paraId="00B583F2" w14:textId="77777777" w:rsidR="003A3666" w:rsidRPr="00C41634" w:rsidRDefault="003A3666" w:rsidP="00007CBA">
            <w:pPr>
              <w:rPr>
                <w:sz w:val="18"/>
                <w:szCs w:val="18"/>
                <w:lang w:val="sr-Latn-ME"/>
              </w:rPr>
            </w:pPr>
            <w:r>
              <w:rPr>
                <w:sz w:val="18"/>
                <w:szCs w:val="18"/>
                <w:lang w:val="sr-Latn-ME"/>
              </w:rPr>
              <w:t>6</w:t>
            </w:r>
          </w:p>
        </w:tc>
        <w:tc>
          <w:tcPr>
            <w:tcW w:w="3805" w:type="pct"/>
          </w:tcPr>
          <w:p w14:paraId="4E9391FC"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sz w:val="18"/>
                <w:szCs w:val="18"/>
                <w:lang w:val="sr-Latn-ME"/>
              </w:rPr>
              <w:t>Strategija socijalne inkluzije Roma i Egipćana 2021-2025</w:t>
            </w:r>
            <w:r>
              <w:rPr>
                <w:sz w:val="18"/>
                <w:szCs w:val="18"/>
                <w:lang w:val="sr-Latn-ME"/>
              </w:rPr>
              <w:t>.</w:t>
            </w:r>
          </w:p>
        </w:tc>
        <w:tc>
          <w:tcPr>
            <w:tcW w:w="909" w:type="pct"/>
            <w:shd w:val="clear" w:color="auto" w:fill="92D050"/>
          </w:tcPr>
          <w:p w14:paraId="0E545DCC"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6FE5EEE1"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52BFF980" w14:textId="77777777" w:rsidR="003A3666" w:rsidRPr="00C41634" w:rsidRDefault="003A3666" w:rsidP="00007CBA">
            <w:pPr>
              <w:rPr>
                <w:sz w:val="18"/>
                <w:szCs w:val="18"/>
                <w:lang w:val="sr-Latn-ME"/>
              </w:rPr>
            </w:pPr>
            <w:r>
              <w:rPr>
                <w:sz w:val="18"/>
                <w:szCs w:val="18"/>
                <w:lang w:val="sr-Latn-ME"/>
              </w:rPr>
              <w:t>7</w:t>
            </w:r>
          </w:p>
        </w:tc>
        <w:tc>
          <w:tcPr>
            <w:tcW w:w="3805" w:type="pct"/>
          </w:tcPr>
          <w:p w14:paraId="29D37553"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noProof/>
                <w:sz w:val="18"/>
                <w:szCs w:val="18"/>
                <w:lang w:val="hr-HR"/>
              </w:rPr>
              <w:t>Strategija za zaštitu lica sa invaliditetom od diskriminacije i promociju jednakosti za period 2017-2021.</w:t>
            </w:r>
          </w:p>
        </w:tc>
        <w:tc>
          <w:tcPr>
            <w:tcW w:w="909" w:type="pct"/>
            <w:shd w:val="clear" w:color="auto" w:fill="FFC000"/>
          </w:tcPr>
          <w:p w14:paraId="3048B21E" w14:textId="77777777" w:rsidR="003A3666" w:rsidRPr="006F42DF"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061E0F1C"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630A209A" w14:textId="77777777" w:rsidR="003A3666" w:rsidRPr="00C41634" w:rsidRDefault="003A3666" w:rsidP="00007CBA">
            <w:pPr>
              <w:rPr>
                <w:sz w:val="18"/>
                <w:szCs w:val="18"/>
                <w:lang w:val="sr-Latn-ME"/>
              </w:rPr>
            </w:pPr>
            <w:r>
              <w:rPr>
                <w:sz w:val="18"/>
                <w:szCs w:val="18"/>
                <w:lang w:val="sr-Latn-ME"/>
              </w:rPr>
              <w:t>8</w:t>
            </w:r>
          </w:p>
        </w:tc>
        <w:tc>
          <w:tcPr>
            <w:tcW w:w="3805" w:type="pct"/>
          </w:tcPr>
          <w:p w14:paraId="16919F52"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noProof/>
                <w:sz w:val="18"/>
                <w:szCs w:val="18"/>
                <w:lang w:val="hr-HR"/>
              </w:rPr>
              <w:t>Plan aktivnosti za postizanje rodne ravnopravnosti (PAPR) 2017-2021.</w:t>
            </w:r>
          </w:p>
        </w:tc>
        <w:tc>
          <w:tcPr>
            <w:tcW w:w="909" w:type="pct"/>
            <w:shd w:val="clear" w:color="auto" w:fill="00B050"/>
          </w:tcPr>
          <w:p w14:paraId="6B99CB6D"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7CEE2538"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4A36580C" w14:textId="77777777" w:rsidR="003A3666" w:rsidRPr="00C41634" w:rsidRDefault="003A3666" w:rsidP="00007CBA">
            <w:pPr>
              <w:rPr>
                <w:sz w:val="18"/>
                <w:szCs w:val="18"/>
                <w:lang w:val="sr-Latn-ME"/>
              </w:rPr>
            </w:pPr>
            <w:r>
              <w:rPr>
                <w:sz w:val="18"/>
                <w:szCs w:val="18"/>
                <w:lang w:val="sr-Latn-ME"/>
              </w:rPr>
              <w:t>9</w:t>
            </w:r>
          </w:p>
        </w:tc>
        <w:tc>
          <w:tcPr>
            <w:tcW w:w="3805" w:type="pct"/>
          </w:tcPr>
          <w:p w14:paraId="21DCAB03"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noProof/>
                <w:sz w:val="18"/>
                <w:szCs w:val="18"/>
                <w:lang w:val="hr-HR"/>
              </w:rPr>
              <w:t>Strategija izvršenja krivičnih sankcija za period 2017-2021.</w:t>
            </w:r>
          </w:p>
        </w:tc>
        <w:tc>
          <w:tcPr>
            <w:tcW w:w="909" w:type="pct"/>
            <w:shd w:val="clear" w:color="auto" w:fill="FF0000"/>
          </w:tcPr>
          <w:p w14:paraId="29996616"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3489AF88"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5716BD45" w14:textId="77777777" w:rsidR="003A3666" w:rsidRPr="00C41634" w:rsidRDefault="003A3666" w:rsidP="00007CBA">
            <w:pPr>
              <w:rPr>
                <w:sz w:val="18"/>
                <w:szCs w:val="18"/>
                <w:lang w:val="sr-Latn-ME"/>
              </w:rPr>
            </w:pPr>
            <w:r w:rsidRPr="00C41634">
              <w:rPr>
                <w:sz w:val="18"/>
                <w:szCs w:val="18"/>
                <w:lang w:val="sr-Latn-ME"/>
              </w:rPr>
              <w:t>1</w:t>
            </w:r>
            <w:r>
              <w:rPr>
                <w:sz w:val="18"/>
                <w:szCs w:val="18"/>
                <w:lang w:val="sr-Latn-ME"/>
              </w:rPr>
              <w:t>0</w:t>
            </w:r>
          </w:p>
        </w:tc>
        <w:tc>
          <w:tcPr>
            <w:tcW w:w="3805" w:type="pct"/>
          </w:tcPr>
          <w:p w14:paraId="1E67D783"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noProof/>
                <w:sz w:val="18"/>
                <w:szCs w:val="18"/>
                <w:lang w:val="hr-HR"/>
              </w:rPr>
              <w:t>Strategija razvoja zvanične statistike 2019-2023</w:t>
            </w:r>
            <w:r>
              <w:rPr>
                <w:noProof/>
                <w:sz w:val="18"/>
                <w:szCs w:val="18"/>
                <w:lang w:val="hr-HR"/>
              </w:rPr>
              <w:t>.</w:t>
            </w:r>
          </w:p>
        </w:tc>
        <w:tc>
          <w:tcPr>
            <w:tcW w:w="909" w:type="pct"/>
            <w:shd w:val="clear" w:color="auto" w:fill="FF0000"/>
          </w:tcPr>
          <w:p w14:paraId="10C36F18"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37F3CAF6"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211FB6A5" w14:textId="77777777" w:rsidR="003A3666" w:rsidRPr="00C41634" w:rsidRDefault="003A3666" w:rsidP="00007CBA">
            <w:pPr>
              <w:rPr>
                <w:sz w:val="18"/>
                <w:szCs w:val="18"/>
                <w:lang w:val="sr-Latn-ME"/>
              </w:rPr>
            </w:pPr>
            <w:r w:rsidRPr="00C41634">
              <w:rPr>
                <w:sz w:val="18"/>
                <w:szCs w:val="18"/>
                <w:lang w:val="sr-Latn-ME"/>
              </w:rPr>
              <w:t>1</w:t>
            </w:r>
            <w:r>
              <w:rPr>
                <w:sz w:val="18"/>
                <w:szCs w:val="18"/>
                <w:lang w:val="sr-Latn-ME"/>
              </w:rPr>
              <w:t>1</w:t>
            </w:r>
          </w:p>
        </w:tc>
        <w:tc>
          <w:tcPr>
            <w:tcW w:w="3805" w:type="pct"/>
          </w:tcPr>
          <w:p w14:paraId="58AEA14C"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noProof/>
                <w:sz w:val="18"/>
                <w:szCs w:val="18"/>
                <w:lang w:val="hr-HR"/>
              </w:rPr>
              <w:t>Strategija za cjeloživotno preduzetničko učenje 2020-2024.</w:t>
            </w:r>
          </w:p>
        </w:tc>
        <w:tc>
          <w:tcPr>
            <w:tcW w:w="909" w:type="pct"/>
            <w:shd w:val="clear" w:color="auto" w:fill="FFC000"/>
          </w:tcPr>
          <w:p w14:paraId="3E6EB3C8"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3C67C2F2"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1EBE07E6" w14:textId="77777777" w:rsidR="003A3666" w:rsidRPr="00C41634" w:rsidRDefault="003A3666" w:rsidP="00007CBA">
            <w:pPr>
              <w:rPr>
                <w:sz w:val="18"/>
                <w:szCs w:val="18"/>
                <w:lang w:val="sr-Latn-ME"/>
              </w:rPr>
            </w:pPr>
            <w:r w:rsidRPr="00C41634">
              <w:rPr>
                <w:sz w:val="18"/>
                <w:szCs w:val="18"/>
                <w:lang w:val="sr-Latn-ME"/>
              </w:rPr>
              <w:t>1</w:t>
            </w:r>
            <w:r>
              <w:rPr>
                <w:sz w:val="18"/>
                <w:szCs w:val="18"/>
                <w:lang w:val="sr-Latn-ME"/>
              </w:rPr>
              <w:t>2</w:t>
            </w:r>
          </w:p>
        </w:tc>
        <w:tc>
          <w:tcPr>
            <w:tcW w:w="3805" w:type="pct"/>
          </w:tcPr>
          <w:p w14:paraId="7B41D5CC"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noProof/>
                <w:sz w:val="18"/>
                <w:szCs w:val="18"/>
                <w:lang w:val="hr-HR"/>
              </w:rPr>
              <w:t>Strategija razvoja mikro, malih i srednjih preduzeća u Crnoj Gori 2018-2022</w:t>
            </w:r>
            <w:r>
              <w:rPr>
                <w:noProof/>
                <w:sz w:val="18"/>
                <w:szCs w:val="18"/>
                <w:lang w:val="hr-HR"/>
              </w:rPr>
              <w:t>.</w:t>
            </w:r>
          </w:p>
        </w:tc>
        <w:tc>
          <w:tcPr>
            <w:tcW w:w="909" w:type="pct"/>
            <w:shd w:val="clear" w:color="auto" w:fill="92D050"/>
          </w:tcPr>
          <w:p w14:paraId="27B3EBBF"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72EF1F1F"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73AE9F78" w14:textId="77777777" w:rsidR="003A3666" w:rsidRPr="00C41634" w:rsidRDefault="003A3666" w:rsidP="00007CBA">
            <w:pPr>
              <w:rPr>
                <w:sz w:val="18"/>
                <w:szCs w:val="18"/>
                <w:lang w:val="sr-Latn-ME"/>
              </w:rPr>
            </w:pPr>
            <w:r>
              <w:rPr>
                <w:sz w:val="18"/>
                <w:szCs w:val="18"/>
                <w:lang w:val="sr-Latn-ME"/>
              </w:rPr>
              <w:t>13</w:t>
            </w:r>
          </w:p>
        </w:tc>
        <w:tc>
          <w:tcPr>
            <w:tcW w:w="3805" w:type="pct"/>
          </w:tcPr>
          <w:p w14:paraId="0D28AB78"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noProof/>
                <w:sz w:val="18"/>
                <w:szCs w:val="18"/>
                <w:lang w:val="hr-HR"/>
              </w:rPr>
              <w:t>Strategija zaštite i unaprjeđenja mentalnog zdravlja u Crnoj Gori 2019-2023</w:t>
            </w:r>
            <w:r>
              <w:rPr>
                <w:noProof/>
                <w:sz w:val="18"/>
                <w:szCs w:val="18"/>
                <w:lang w:val="hr-HR"/>
              </w:rPr>
              <w:t>.</w:t>
            </w:r>
          </w:p>
        </w:tc>
        <w:tc>
          <w:tcPr>
            <w:tcW w:w="909" w:type="pct"/>
            <w:shd w:val="clear" w:color="auto" w:fill="FF0000"/>
          </w:tcPr>
          <w:p w14:paraId="6C46CB38"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6B926F43"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5A89EB29" w14:textId="77777777" w:rsidR="003A3666" w:rsidRPr="00C41634" w:rsidRDefault="003A3666" w:rsidP="00007CBA">
            <w:pPr>
              <w:rPr>
                <w:sz w:val="18"/>
                <w:szCs w:val="18"/>
                <w:lang w:val="sr-Latn-ME"/>
              </w:rPr>
            </w:pPr>
            <w:r>
              <w:rPr>
                <w:sz w:val="18"/>
                <w:szCs w:val="18"/>
                <w:lang w:val="sr-Latn-ME"/>
              </w:rPr>
              <w:t>14</w:t>
            </w:r>
          </w:p>
        </w:tc>
        <w:tc>
          <w:tcPr>
            <w:tcW w:w="3805" w:type="pct"/>
          </w:tcPr>
          <w:p w14:paraId="780F6A52"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noProof/>
                <w:sz w:val="18"/>
                <w:szCs w:val="18"/>
                <w:lang w:val="hr-HR"/>
              </w:rPr>
              <w:t>Strategijski pregled odbrane Crne Gore 2018-2023.</w:t>
            </w:r>
          </w:p>
        </w:tc>
        <w:tc>
          <w:tcPr>
            <w:tcW w:w="909" w:type="pct"/>
            <w:shd w:val="clear" w:color="auto" w:fill="FF0000"/>
          </w:tcPr>
          <w:p w14:paraId="026EB13F"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63C1FE7C"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6BC35214" w14:textId="77777777" w:rsidR="003A3666" w:rsidRPr="00C41634" w:rsidRDefault="003A3666" w:rsidP="00007CBA">
            <w:pPr>
              <w:rPr>
                <w:sz w:val="18"/>
                <w:szCs w:val="18"/>
                <w:lang w:val="sr-Latn-ME"/>
              </w:rPr>
            </w:pPr>
            <w:r>
              <w:rPr>
                <w:sz w:val="18"/>
                <w:szCs w:val="18"/>
                <w:lang w:val="sr-Latn-ME"/>
              </w:rPr>
              <w:t>15</w:t>
            </w:r>
          </w:p>
        </w:tc>
        <w:tc>
          <w:tcPr>
            <w:tcW w:w="3805" w:type="pct"/>
          </w:tcPr>
          <w:p w14:paraId="3F30BA08"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noProof/>
                <w:sz w:val="18"/>
                <w:szCs w:val="18"/>
                <w:lang w:val="hr-HR"/>
              </w:rPr>
              <w:t>Akcioni plan za primjenu Rezolucije Savjeta bezbjednosti UN 1325 - Žene, mir i bezbjednost u Crnoj Gori 2019-2022.</w:t>
            </w:r>
          </w:p>
        </w:tc>
        <w:tc>
          <w:tcPr>
            <w:tcW w:w="909" w:type="pct"/>
            <w:shd w:val="clear" w:color="auto" w:fill="00B050"/>
          </w:tcPr>
          <w:p w14:paraId="4B5DACFB"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0453D80E"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244CCB11" w14:textId="77777777" w:rsidR="003A3666" w:rsidRPr="00C41634" w:rsidRDefault="003A3666" w:rsidP="00007CBA">
            <w:pPr>
              <w:rPr>
                <w:sz w:val="18"/>
                <w:szCs w:val="18"/>
                <w:lang w:val="sr-Latn-ME"/>
              </w:rPr>
            </w:pPr>
            <w:r>
              <w:rPr>
                <w:sz w:val="18"/>
                <w:szCs w:val="18"/>
                <w:lang w:val="sr-Latn-ME"/>
              </w:rPr>
              <w:t>16</w:t>
            </w:r>
          </w:p>
        </w:tc>
        <w:tc>
          <w:tcPr>
            <w:tcW w:w="3805" w:type="pct"/>
          </w:tcPr>
          <w:p w14:paraId="311713DC"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noProof/>
                <w:sz w:val="18"/>
                <w:szCs w:val="18"/>
                <w:lang w:val="hr-HR"/>
              </w:rPr>
              <w:t>Strategije saradnje sa dijasporom-iseljenicima za period 2020-2023.</w:t>
            </w:r>
          </w:p>
        </w:tc>
        <w:tc>
          <w:tcPr>
            <w:tcW w:w="909" w:type="pct"/>
            <w:shd w:val="clear" w:color="auto" w:fill="FFC000"/>
          </w:tcPr>
          <w:p w14:paraId="5D6199BD"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16AD0245"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1F94563F" w14:textId="77777777" w:rsidR="003A3666" w:rsidRPr="00C41634" w:rsidRDefault="003A3666" w:rsidP="00007CBA">
            <w:pPr>
              <w:rPr>
                <w:sz w:val="18"/>
                <w:szCs w:val="18"/>
                <w:lang w:val="sr-Latn-ME"/>
              </w:rPr>
            </w:pPr>
            <w:r>
              <w:rPr>
                <w:sz w:val="18"/>
                <w:szCs w:val="18"/>
                <w:lang w:val="sr-Latn-ME"/>
              </w:rPr>
              <w:t>17</w:t>
            </w:r>
          </w:p>
        </w:tc>
        <w:tc>
          <w:tcPr>
            <w:tcW w:w="3805" w:type="pct"/>
          </w:tcPr>
          <w:p w14:paraId="18BD7B77"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sz w:val="18"/>
                <w:szCs w:val="18"/>
                <w:lang w:val="sr-Latn-ME"/>
              </w:rPr>
              <w:t>Program adaptiranja zdravstvenog sistema na klimatske promjene u Crnoj Gori za period 2020-2022. godine</w:t>
            </w:r>
          </w:p>
        </w:tc>
        <w:tc>
          <w:tcPr>
            <w:tcW w:w="909" w:type="pct"/>
            <w:shd w:val="clear" w:color="auto" w:fill="FF0000"/>
          </w:tcPr>
          <w:p w14:paraId="38365022"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3CB5A712"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063CC359" w14:textId="77777777" w:rsidR="003A3666" w:rsidRPr="00C41634" w:rsidRDefault="003A3666" w:rsidP="00007CBA">
            <w:pPr>
              <w:rPr>
                <w:sz w:val="18"/>
                <w:szCs w:val="18"/>
                <w:lang w:val="sr-Latn-ME"/>
              </w:rPr>
            </w:pPr>
            <w:r>
              <w:rPr>
                <w:sz w:val="18"/>
                <w:szCs w:val="18"/>
                <w:lang w:val="sr-Latn-ME"/>
              </w:rPr>
              <w:t>18</w:t>
            </w:r>
          </w:p>
        </w:tc>
        <w:tc>
          <w:tcPr>
            <w:tcW w:w="3805" w:type="pct"/>
          </w:tcPr>
          <w:p w14:paraId="641EDC3C"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sz w:val="18"/>
                <w:szCs w:val="18"/>
                <w:lang w:val="sr-Latn-ME"/>
              </w:rPr>
              <w:t>Nacionalna strategija za uvođenje, distribuciju i primjenu COVID-19 vakcina</w:t>
            </w:r>
          </w:p>
        </w:tc>
        <w:tc>
          <w:tcPr>
            <w:tcW w:w="909" w:type="pct"/>
            <w:shd w:val="clear" w:color="auto" w:fill="FF0000"/>
          </w:tcPr>
          <w:p w14:paraId="0EF3DEC3"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75186309"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1FD73B47" w14:textId="77777777" w:rsidR="003A3666" w:rsidRPr="00C41634" w:rsidRDefault="003A3666" w:rsidP="00007CBA">
            <w:pPr>
              <w:rPr>
                <w:sz w:val="18"/>
                <w:szCs w:val="18"/>
                <w:lang w:val="sr-Latn-ME"/>
              </w:rPr>
            </w:pPr>
            <w:r>
              <w:rPr>
                <w:sz w:val="18"/>
                <w:szCs w:val="18"/>
                <w:lang w:val="sr-Latn-ME"/>
              </w:rPr>
              <w:t>19</w:t>
            </w:r>
          </w:p>
        </w:tc>
        <w:tc>
          <w:tcPr>
            <w:tcW w:w="3805" w:type="pct"/>
          </w:tcPr>
          <w:p w14:paraId="1F09CF30"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sz w:val="18"/>
                <w:szCs w:val="18"/>
                <w:lang w:val="sr-Latn-ME"/>
              </w:rPr>
              <w:t xml:space="preserve">Program ekonomskih reformi za Crnu Goru 2021-2023. godinu </w:t>
            </w:r>
          </w:p>
        </w:tc>
        <w:tc>
          <w:tcPr>
            <w:tcW w:w="909" w:type="pct"/>
            <w:shd w:val="clear" w:color="auto" w:fill="FFC000"/>
          </w:tcPr>
          <w:p w14:paraId="565E2759"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47A43141"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439C4B14" w14:textId="77777777" w:rsidR="003A3666" w:rsidRPr="00C41634" w:rsidRDefault="003A3666" w:rsidP="00007CBA">
            <w:pPr>
              <w:rPr>
                <w:sz w:val="18"/>
                <w:szCs w:val="18"/>
                <w:lang w:val="sr-Latn-ME"/>
              </w:rPr>
            </w:pPr>
            <w:r>
              <w:rPr>
                <w:sz w:val="18"/>
                <w:szCs w:val="18"/>
                <w:lang w:val="sr-Latn-ME"/>
              </w:rPr>
              <w:t>20</w:t>
            </w:r>
          </w:p>
        </w:tc>
        <w:tc>
          <w:tcPr>
            <w:tcW w:w="3805" w:type="pct"/>
          </w:tcPr>
          <w:p w14:paraId="5DF90D04" w14:textId="77777777" w:rsidR="003A3666" w:rsidRPr="0002660A"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02660A">
              <w:rPr>
                <w:sz w:val="18"/>
                <w:szCs w:val="18"/>
                <w:lang w:val="sr-Latn-ME"/>
              </w:rPr>
              <w:t>Plan upravljanja komunalnim otpadnim vodama Crne Gore (2020-2035)</w:t>
            </w:r>
          </w:p>
        </w:tc>
        <w:tc>
          <w:tcPr>
            <w:tcW w:w="909" w:type="pct"/>
            <w:shd w:val="clear" w:color="auto" w:fill="FF0000"/>
          </w:tcPr>
          <w:p w14:paraId="3675289F"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1EC4477D"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01026E1F" w14:textId="77777777" w:rsidR="003A3666" w:rsidRPr="00C41634" w:rsidRDefault="003A3666" w:rsidP="00007CBA">
            <w:pPr>
              <w:rPr>
                <w:sz w:val="18"/>
                <w:szCs w:val="18"/>
                <w:lang w:val="sr-Latn-ME"/>
              </w:rPr>
            </w:pPr>
            <w:r>
              <w:rPr>
                <w:sz w:val="18"/>
                <w:szCs w:val="18"/>
                <w:lang w:val="sr-Latn-ME"/>
              </w:rPr>
              <w:t>21</w:t>
            </w:r>
          </w:p>
        </w:tc>
        <w:tc>
          <w:tcPr>
            <w:tcW w:w="3805" w:type="pct"/>
          </w:tcPr>
          <w:p w14:paraId="55475721"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sz w:val="18"/>
                <w:szCs w:val="18"/>
                <w:lang w:val="sr-Latn-ME"/>
              </w:rPr>
              <w:t>Program pristupanja Crne Gore Evropskoj uniji 2021 – 2023</w:t>
            </w:r>
            <w:r>
              <w:rPr>
                <w:sz w:val="18"/>
                <w:szCs w:val="18"/>
                <w:lang w:val="sr-Latn-ME"/>
              </w:rPr>
              <w:t>.</w:t>
            </w:r>
          </w:p>
        </w:tc>
        <w:tc>
          <w:tcPr>
            <w:tcW w:w="909" w:type="pct"/>
            <w:shd w:val="clear" w:color="auto" w:fill="FF0000"/>
          </w:tcPr>
          <w:p w14:paraId="2CE66BDA"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43291175"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6AF75036" w14:textId="77777777" w:rsidR="003A3666" w:rsidRPr="00C41634" w:rsidRDefault="003A3666" w:rsidP="00007CBA">
            <w:pPr>
              <w:rPr>
                <w:sz w:val="18"/>
                <w:szCs w:val="18"/>
                <w:lang w:val="sr-Latn-ME"/>
              </w:rPr>
            </w:pPr>
            <w:r>
              <w:rPr>
                <w:sz w:val="18"/>
                <w:szCs w:val="18"/>
                <w:lang w:val="sr-Latn-ME"/>
              </w:rPr>
              <w:t>22</w:t>
            </w:r>
          </w:p>
        </w:tc>
        <w:tc>
          <w:tcPr>
            <w:tcW w:w="3805" w:type="pct"/>
          </w:tcPr>
          <w:p w14:paraId="2CCD2499"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sz w:val="18"/>
                <w:szCs w:val="18"/>
                <w:lang w:val="sr-Latn-ME"/>
              </w:rPr>
              <w:t>Program razvoja zdravstvenog turizma Crne Gore 2021-2023. godine</w:t>
            </w:r>
          </w:p>
        </w:tc>
        <w:tc>
          <w:tcPr>
            <w:tcW w:w="909" w:type="pct"/>
            <w:shd w:val="clear" w:color="auto" w:fill="FF0000"/>
          </w:tcPr>
          <w:p w14:paraId="5501DA85"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17D4451D"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198F99FC" w14:textId="77777777" w:rsidR="003A3666" w:rsidRPr="00C41634" w:rsidRDefault="003A3666" w:rsidP="00007CBA">
            <w:pPr>
              <w:rPr>
                <w:sz w:val="18"/>
                <w:szCs w:val="18"/>
                <w:lang w:val="sr-Latn-ME"/>
              </w:rPr>
            </w:pPr>
            <w:r>
              <w:rPr>
                <w:sz w:val="18"/>
                <w:szCs w:val="18"/>
                <w:lang w:val="sr-Latn-ME"/>
              </w:rPr>
              <w:t>23</w:t>
            </w:r>
          </w:p>
        </w:tc>
        <w:tc>
          <w:tcPr>
            <w:tcW w:w="3805" w:type="pct"/>
          </w:tcPr>
          <w:p w14:paraId="35132247"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sz w:val="18"/>
                <w:szCs w:val="18"/>
                <w:lang w:val="sr-Latn-ME"/>
              </w:rPr>
              <w:t>Program za unapređenje konkurentnosti privrede za 2021. godinu</w:t>
            </w:r>
          </w:p>
        </w:tc>
        <w:tc>
          <w:tcPr>
            <w:tcW w:w="909" w:type="pct"/>
            <w:shd w:val="clear" w:color="auto" w:fill="FFC000"/>
          </w:tcPr>
          <w:p w14:paraId="3A16CD71"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26A502B5"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456C33F0" w14:textId="77777777" w:rsidR="003A3666" w:rsidRPr="00C41634" w:rsidRDefault="003A3666" w:rsidP="00007CBA">
            <w:pPr>
              <w:rPr>
                <w:sz w:val="18"/>
                <w:szCs w:val="18"/>
                <w:lang w:val="sr-Latn-ME"/>
              </w:rPr>
            </w:pPr>
            <w:r>
              <w:rPr>
                <w:sz w:val="18"/>
                <w:szCs w:val="18"/>
                <w:lang w:val="sr-Latn-ME"/>
              </w:rPr>
              <w:t>24</w:t>
            </w:r>
          </w:p>
        </w:tc>
        <w:tc>
          <w:tcPr>
            <w:tcW w:w="3805" w:type="pct"/>
          </w:tcPr>
          <w:p w14:paraId="63116630"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sz w:val="18"/>
                <w:szCs w:val="18"/>
                <w:lang w:val="sr-Latn-ME"/>
              </w:rPr>
              <w:t>Strategija razvoja ženskog preduzetništva Crne Gore 2021-2024. godine</w:t>
            </w:r>
          </w:p>
        </w:tc>
        <w:tc>
          <w:tcPr>
            <w:tcW w:w="909" w:type="pct"/>
            <w:shd w:val="clear" w:color="auto" w:fill="00B050"/>
          </w:tcPr>
          <w:p w14:paraId="2D8A1DC6"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1DFF2E20"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2365A210" w14:textId="77777777" w:rsidR="003A3666" w:rsidRPr="00C41634" w:rsidRDefault="003A3666" w:rsidP="00007CBA">
            <w:pPr>
              <w:rPr>
                <w:sz w:val="18"/>
                <w:szCs w:val="18"/>
                <w:lang w:val="sr-Latn-ME"/>
              </w:rPr>
            </w:pPr>
            <w:r>
              <w:rPr>
                <w:sz w:val="18"/>
                <w:szCs w:val="18"/>
                <w:lang w:val="sr-Latn-ME"/>
              </w:rPr>
              <w:t>25</w:t>
            </w:r>
          </w:p>
        </w:tc>
        <w:tc>
          <w:tcPr>
            <w:tcW w:w="3805" w:type="pct"/>
          </w:tcPr>
          <w:p w14:paraId="0D06FE28"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sz w:val="18"/>
                <w:szCs w:val="18"/>
                <w:lang w:val="sr-Latn-ME"/>
              </w:rPr>
              <w:t>Program poboljšanja bezbjednosti u drumskom saobraćaju 2020-2022. godina</w:t>
            </w:r>
          </w:p>
        </w:tc>
        <w:tc>
          <w:tcPr>
            <w:tcW w:w="909" w:type="pct"/>
            <w:shd w:val="clear" w:color="auto" w:fill="FF0000"/>
          </w:tcPr>
          <w:p w14:paraId="6050FCCD"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r w:rsidR="003A3666" w:rsidRPr="00C41634" w14:paraId="2B5FC0DF" w14:textId="77777777" w:rsidTr="00007CBA">
        <w:tc>
          <w:tcPr>
            <w:cnfStyle w:val="001000000000" w:firstRow="0" w:lastRow="0" w:firstColumn="1" w:lastColumn="0" w:oddVBand="0" w:evenVBand="0" w:oddHBand="0" w:evenHBand="0" w:firstRowFirstColumn="0" w:firstRowLastColumn="0" w:lastRowFirstColumn="0" w:lastRowLastColumn="0"/>
            <w:tcW w:w="286" w:type="pct"/>
          </w:tcPr>
          <w:p w14:paraId="61993972" w14:textId="77777777" w:rsidR="003A3666" w:rsidRPr="00C41634" w:rsidRDefault="003A3666" w:rsidP="00007CBA">
            <w:pPr>
              <w:rPr>
                <w:sz w:val="18"/>
                <w:szCs w:val="18"/>
                <w:lang w:val="sr-Latn-ME"/>
              </w:rPr>
            </w:pPr>
            <w:r>
              <w:rPr>
                <w:sz w:val="18"/>
                <w:szCs w:val="18"/>
                <w:lang w:val="sr-Latn-ME"/>
              </w:rPr>
              <w:t>26</w:t>
            </w:r>
          </w:p>
        </w:tc>
        <w:tc>
          <w:tcPr>
            <w:tcW w:w="3805" w:type="pct"/>
          </w:tcPr>
          <w:p w14:paraId="4E3DB09E" w14:textId="6FB1BB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r w:rsidRPr="00C41634">
              <w:rPr>
                <w:sz w:val="18"/>
                <w:szCs w:val="18"/>
                <w:lang w:val="sr-Latn-ME"/>
              </w:rPr>
              <w:t>Program razvoja informaciono</w:t>
            </w:r>
            <w:r w:rsidR="0053536E">
              <w:rPr>
                <w:sz w:val="18"/>
                <w:szCs w:val="18"/>
                <w:lang w:val="sr-Latn-ME"/>
              </w:rPr>
              <w:t xml:space="preserve">- </w:t>
            </w:r>
            <w:r w:rsidRPr="00C41634">
              <w:rPr>
                <w:sz w:val="18"/>
                <w:szCs w:val="18"/>
                <w:lang w:val="sr-Latn-ME"/>
              </w:rPr>
              <w:t xml:space="preserve">komunikacionih tehnologija pravosuđa </w:t>
            </w:r>
          </w:p>
        </w:tc>
        <w:tc>
          <w:tcPr>
            <w:tcW w:w="909" w:type="pct"/>
            <w:shd w:val="clear" w:color="auto" w:fill="FF0000"/>
          </w:tcPr>
          <w:p w14:paraId="2FAD6DF3" w14:textId="77777777" w:rsidR="003A3666" w:rsidRPr="00C41634" w:rsidRDefault="003A3666" w:rsidP="00007CBA">
            <w:pPr>
              <w:cnfStyle w:val="000000000000" w:firstRow="0" w:lastRow="0" w:firstColumn="0" w:lastColumn="0" w:oddVBand="0" w:evenVBand="0" w:oddHBand="0" w:evenHBand="0" w:firstRowFirstColumn="0" w:firstRowLastColumn="0" w:lastRowFirstColumn="0" w:lastRowLastColumn="0"/>
              <w:rPr>
                <w:sz w:val="18"/>
                <w:szCs w:val="18"/>
                <w:lang w:val="sr-Latn-ME"/>
              </w:rPr>
            </w:pPr>
          </w:p>
        </w:tc>
      </w:tr>
    </w:tbl>
    <w:p w14:paraId="0979D812" w14:textId="2262D600" w:rsidR="003A3666" w:rsidRDefault="003A3666" w:rsidP="003A73F1">
      <w:pPr>
        <w:jc w:val="both"/>
        <w:rPr>
          <w:lang w:val="sr-Latn-ME"/>
        </w:rPr>
      </w:pPr>
    </w:p>
    <w:p w14:paraId="44B87EF6" w14:textId="74EB8FB6" w:rsidR="003A3666" w:rsidRDefault="003A3666" w:rsidP="003A73F1">
      <w:pPr>
        <w:jc w:val="both"/>
        <w:rPr>
          <w:lang w:val="sr-Latn-ME"/>
        </w:rPr>
      </w:pPr>
    </w:p>
    <w:p w14:paraId="0BF52BFC" w14:textId="77777777" w:rsidR="003A3666" w:rsidRDefault="003A3666" w:rsidP="003A73F1">
      <w:pPr>
        <w:jc w:val="both"/>
        <w:rPr>
          <w:lang w:val="sr-Latn-ME"/>
        </w:rPr>
      </w:pPr>
    </w:p>
    <w:p w14:paraId="654878C8" w14:textId="77777777" w:rsidR="00E544D2" w:rsidRDefault="00E544D2" w:rsidP="00966A27">
      <w:pPr>
        <w:rPr>
          <w:lang w:val="sr-Latn-ME"/>
        </w:rPr>
      </w:pPr>
    </w:p>
    <w:p w14:paraId="3AE99200" w14:textId="77777777" w:rsidR="004A3F84" w:rsidRDefault="004A3F84">
      <w:pPr>
        <w:rPr>
          <w:rFonts w:asciiTheme="majorHAnsi" w:eastAsiaTheme="majorEastAsia" w:hAnsiTheme="majorHAnsi" w:cstheme="majorBidi"/>
          <w:color w:val="2F5496" w:themeColor="accent1" w:themeShade="BF"/>
          <w:sz w:val="26"/>
          <w:szCs w:val="26"/>
          <w:lang w:val="sr-Latn-ME"/>
        </w:rPr>
      </w:pPr>
      <w:r>
        <w:rPr>
          <w:lang w:val="sr-Latn-ME"/>
        </w:rPr>
        <w:br w:type="page"/>
      </w:r>
    </w:p>
    <w:p w14:paraId="7EAA1229" w14:textId="5FE3A2CE" w:rsidR="00D11774" w:rsidRDefault="00D11774" w:rsidP="00D11774">
      <w:pPr>
        <w:pStyle w:val="Heading2"/>
        <w:rPr>
          <w:lang w:val="sr-Latn-ME"/>
        </w:rPr>
      </w:pPr>
      <w:bookmarkStart w:id="35" w:name="_Toc100339557"/>
      <w:r>
        <w:rPr>
          <w:lang w:val="sr-Latn-ME"/>
        </w:rPr>
        <w:lastRenderedPageBreak/>
        <w:t>Reference</w:t>
      </w:r>
      <w:bookmarkEnd w:id="35"/>
    </w:p>
    <w:p w14:paraId="4714F8B2" w14:textId="06155DAD" w:rsidR="00D11774" w:rsidRPr="00D11774" w:rsidRDefault="00D11774" w:rsidP="00D11774">
      <w:pPr>
        <w:pStyle w:val="FootnoteText"/>
        <w:spacing w:after="240"/>
        <w:jc w:val="both"/>
        <w:rPr>
          <w:lang w:val="hr-HR"/>
        </w:rPr>
      </w:pPr>
      <w:r w:rsidRPr="00D11774">
        <w:rPr>
          <w:lang w:val="hr-HR"/>
        </w:rPr>
        <w:t xml:space="preserve">OECD, </w:t>
      </w:r>
      <w:r w:rsidRPr="00D11774">
        <w:rPr>
          <w:i/>
          <w:iCs/>
          <w:lang w:val="hr-HR"/>
        </w:rPr>
        <w:t>Toolkit for Mainstreaming and Implementing Gender Equality</w:t>
      </w:r>
      <w:r w:rsidRPr="00D11774">
        <w:rPr>
          <w:lang w:val="hr-HR"/>
        </w:rPr>
        <w:t>, dostupan na internet stranici: https://www.oecd.org/gov/toolkit-for-mainstreaming-and-implementing-gender-equality.pdf</w:t>
      </w:r>
    </w:p>
    <w:p w14:paraId="0A95A720" w14:textId="7CB76F3D" w:rsidR="00D11774" w:rsidRPr="00D11774" w:rsidRDefault="00D11774" w:rsidP="00D11774">
      <w:pPr>
        <w:pStyle w:val="FootnoteText"/>
        <w:spacing w:after="240"/>
        <w:jc w:val="both"/>
        <w:rPr>
          <w:lang w:val="sr-Latn-ME"/>
        </w:rPr>
      </w:pPr>
      <w:r w:rsidRPr="00D11774">
        <w:rPr>
          <w:lang w:val="sr-Latn-ME"/>
        </w:rPr>
        <w:t xml:space="preserve">Friedrich Ebert Stiftung, </w:t>
      </w:r>
      <w:r w:rsidRPr="00D11774">
        <w:rPr>
          <w:i/>
          <w:iCs/>
          <w:lang w:val="sr-Latn-ME"/>
        </w:rPr>
        <w:t xml:space="preserve">Rodna procjena uticaja: Alatke i metode za urodnjavanje politika, programa i projekata, </w:t>
      </w:r>
      <w:r w:rsidRPr="00D11774">
        <w:rPr>
          <w:lang w:val="sr-Latn-ME"/>
        </w:rPr>
        <w:t>Sarajevo, 2020. godine</w:t>
      </w:r>
    </w:p>
    <w:p w14:paraId="2A391DAA" w14:textId="24337C9C" w:rsidR="00D11774" w:rsidRPr="00D11774" w:rsidRDefault="00D11774" w:rsidP="00D11774">
      <w:pPr>
        <w:pStyle w:val="FootnoteText"/>
        <w:spacing w:after="240"/>
        <w:jc w:val="both"/>
        <w:rPr>
          <w:lang w:val="sr-Latn-ME"/>
        </w:rPr>
      </w:pPr>
      <w:r w:rsidRPr="00D11774">
        <w:rPr>
          <w:lang w:val="sr-Latn-ME"/>
        </w:rPr>
        <w:t xml:space="preserve">Agencija za ravnopravnost polova Vlade Republike Kosovo, </w:t>
      </w:r>
      <w:r w:rsidRPr="00D11774">
        <w:rPr>
          <w:i/>
          <w:iCs/>
          <w:lang w:val="sr-Latn-ME"/>
        </w:rPr>
        <w:t xml:space="preserve">Priručnik za procenu uticaja rodne ravnopravnosti, </w:t>
      </w:r>
      <w:r w:rsidRPr="00D11774">
        <w:rPr>
          <w:lang w:val="sr-Latn-ME"/>
        </w:rPr>
        <w:t>Embassy of Sweden, NIRAS i CPM</w:t>
      </w:r>
    </w:p>
    <w:p w14:paraId="6C33CE95" w14:textId="6640337A" w:rsidR="00D11774" w:rsidRPr="00D11774" w:rsidRDefault="00D11774" w:rsidP="00D11774">
      <w:pPr>
        <w:pStyle w:val="FootnoteText"/>
        <w:spacing w:after="240"/>
        <w:jc w:val="both"/>
        <w:rPr>
          <w:lang w:val="sr-Latn-ME"/>
        </w:rPr>
      </w:pPr>
      <w:r w:rsidRPr="00D11774">
        <w:rPr>
          <w:lang w:val="sr-Latn-ME"/>
        </w:rPr>
        <w:t xml:space="preserve">Sekretarijat Savjeta za konkurentnost, </w:t>
      </w:r>
      <w:r w:rsidRPr="00D11774">
        <w:rPr>
          <w:i/>
          <w:iCs/>
          <w:lang w:val="sr-Latn-ME"/>
        </w:rPr>
        <w:t xml:space="preserve">Priručnik za procjenu uticaja propisa na rodnu ravnopravnost, </w:t>
      </w:r>
      <w:r w:rsidRPr="00D11774">
        <w:rPr>
          <w:lang w:val="sr-Latn-ME"/>
        </w:rPr>
        <w:t>EBRD, Britanska ambasada u Podgorici, Ukaid.</w:t>
      </w:r>
    </w:p>
    <w:p w14:paraId="5A9FD11C" w14:textId="3541C909" w:rsidR="00AC6EB8" w:rsidRPr="009D5CC5" w:rsidRDefault="00D11774" w:rsidP="009D5CC5">
      <w:pPr>
        <w:pStyle w:val="FootnoteText"/>
        <w:spacing w:after="240"/>
        <w:jc w:val="both"/>
        <w:rPr>
          <w:i/>
          <w:iCs/>
          <w:lang w:val="sr-Latn-ME"/>
        </w:rPr>
      </w:pPr>
      <w:r w:rsidRPr="00D11774">
        <w:rPr>
          <w:lang w:val="sr-Latn-ME"/>
        </w:rPr>
        <w:t xml:space="preserve">Generalni Sekretarijat Vlade Crne Gore, </w:t>
      </w:r>
      <w:r w:rsidRPr="00D11774">
        <w:rPr>
          <w:i/>
          <w:iCs/>
          <w:lang w:val="sr-Latn-ME"/>
        </w:rPr>
        <w:t>Metologija razvijanja politika, izade i praćenja sprovođenja strateških dokumenata</w:t>
      </w:r>
      <w:r w:rsidRPr="00D11774">
        <w:rPr>
          <w:lang w:val="sr-Latn-ME"/>
        </w:rPr>
        <w:t>, drugo dopunjeno izdanje, Podgorica, 2020. godina</w:t>
      </w:r>
      <w:r w:rsidR="009D5CC5">
        <w:rPr>
          <w:lang w:val="sr-Latn-ME"/>
        </w:rPr>
        <w:t>.</w:t>
      </w:r>
    </w:p>
    <w:sectPr w:rsidR="00AC6EB8" w:rsidRPr="009D5C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CCE67" w14:textId="77777777" w:rsidR="000863DD" w:rsidRDefault="000863DD" w:rsidP="005B2CA5">
      <w:pPr>
        <w:spacing w:after="0" w:line="240" w:lineRule="auto"/>
      </w:pPr>
      <w:r>
        <w:separator/>
      </w:r>
    </w:p>
  </w:endnote>
  <w:endnote w:type="continuationSeparator" w:id="0">
    <w:p w14:paraId="62E7C1A5" w14:textId="77777777" w:rsidR="000863DD" w:rsidRDefault="000863DD" w:rsidP="005B2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085006"/>
      <w:docPartObj>
        <w:docPartGallery w:val="Page Numbers (Bottom of Page)"/>
        <w:docPartUnique/>
      </w:docPartObj>
    </w:sdtPr>
    <w:sdtEndPr>
      <w:rPr>
        <w:noProof/>
      </w:rPr>
    </w:sdtEndPr>
    <w:sdtContent>
      <w:p w14:paraId="58ED05DE" w14:textId="5206DD71" w:rsidR="00A63F6F" w:rsidRDefault="00A63F6F">
        <w:pPr>
          <w:pStyle w:val="Footer"/>
          <w:jc w:val="right"/>
        </w:pPr>
        <w:r>
          <w:fldChar w:fldCharType="begin"/>
        </w:r>
        <w:r>
          <w:instrText xml:space="preserve"> PAGE   \* MERGEFORMAT </w:instrText>
        </w:r>
        <w:r>
          <w:fldChar w:fldCharType="separate"/>
        </w:r>
        <w:r w:rsidR="00B13B96">
          <w:rPr>
            <w:noProof/>
          </w:rPr>
          <w:t>1</w:t>
        </w:r>
        <w:r>
          <w:rPr>
            <w:noProof/>
          </w:rPr>
          <w:fldChar w:fldCharType="end"/>
        </w:r>
      </w:p>
    </w:sdtContent>
  </w:sdt>
  <w:p w14:paraId="1CC91585" w14:textId="77777777" w:rsidR="00A63F6F" w:rsidRDefault="00A63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18A85" w14:textId="77777777" w:rsidR="000863DD" w:rsidRDefault="000863DD" w:rsidP="005B2CA5">
      <w:pPr>
        <w:spacing w:after="0" w:line="240" w:lineRule="auto"/>
      </w:pPr>
      <w:r>
        <w:separator/>
      </w:r>
    </w:p>
  </w:footnote>
  <w:footnote w:type="continuationSeparator" w:id="0">
    <w:p w14:paraId="7FD5E7FC" w14:textId="77777777" w:rsidR="000863DD" w:rsidRDefault="000863DD" w:rsidP="005B2CA5">
      <w:pPr>
        <w:spacing w:after="0" w:line="240" w:lineRule="auto"/>
      </w:pPr>
      <w:r>
        <w:continuationSeparator/>
      </w:r>
    </w:p>
  </w:footnote>
  <w:footnote w:id="1">
    <w:p w14:paraId="2C6BF210" w14:textId="3571B22B" w:rsidR="00A63F6F" w:rsidRPr="00EA2F2D" w:rsidRDefault="00A63F6F" w:rsidP="00EA2F2D">
      <w:pPr>
        <w:pStyle w:val="FootnoteText"/>
        <w:jc w:val="both"/>
        <w:rPr>
          <w:sz w:val="18"/>
          <w:szCs w:val="18"/>
        </w:rPr>
      </w:pPr>
      <w:r>
        <w:rPr>
          <w:rStyle w:val="FootnoteReference"/>
        </w:rPr>
        <w:footnoteRef/>
      </w:r>
      <w:r>
        <w:t xml:space="preserve"> </w:t>
      </w:r>
      <w:r w:rsidRPr="007F7C42">
        <w:rPr>
          <w:sz w:val="18"/>
          <w:szCs w:val="18"/>
        </w:rPr>
        <w:t xml:space="preserve">Ovaj broj je ustanovljen tokom izrade Nacionalne Strategije rodne ravnopravnosti 2021-2025, </w:t>
      </w:r>
      <w:r>
        <w:rPr>
          <w:sz w:val="18"/>
          <w:szCs w:val="18"/>
        </w:rPr>
        <w:t>kada je za potrebe Strategije rađena</w:t>
      </w:r>
      <w:r w:rsidRPr="007F7C42">
        <w:rPr>
          <w:sz w:val="18"/>
          <w:szCs w:val="18"/>
        </w:rPr>
        <w:t xml:space="preserve"> Analiz</w:t>
      </w:r>
      <w:r>
        <w:rPr>
          <w:sz w:val="18"/>
          <w:szCs w:val="18"/>
        </w:rPr>
        <w:t>a</w:t>
      </w:r>
      <w:r w:rsidRPr="007F7C42">
        <w:rPr>
          <w:sz w:val="18"/>
          <w:szCs w:val="18"/>
        </w:rPr>
        <w:t xml:space="preserve"> usklađenosti</w:t>
      </w:r>
      <w:r>
        <w:rPr>
          <w:sz w:val="18"/>
          <w:szCs w:val="18"/>
        </w:rPr>
        <w:t>. Primarni</w:t>
      </w:r>
      <w:r w:rsidRPr="007F7C42">
        <w:rPr>
          <w:sz w:val="18"/>
          <w:szCs w:val="18"/>
        </w:rPr>
        <w:t xml:space="preserve"> </w:t>
      </w:r>
      <w:r w:rsidRPr="00EA2F2D">
        <w:rPr>
          <w:sz w:val="18"/>
          <w:szCs w:val="18"/>
        </w:rPr>
        <w:t xml:space="preserve">cilj </w:t>
      </w:r>
      <w:r>
        <w:rPr>
          <w:sz w:val="18"/>
          <w:szCs w:val="18"/>
        </w:rPr>
        <w:t xml:space="preserve">ove analize je </w:t>
      </w:r>
      <w:r w:rsidRPr="00EA2F2D">
        <w:rPr>
          <w:sz w:val="18"/>
          <w:szCs w:val="18"/>
        </w:rPr>
        <w:t xml:space="preserve">bio da se ustanovi da li postoji preklapanje između ciljeva i aktivnosti nacrta Nacionalne strategije rodne ravnopravnosti 2021-2025 i ostalih 97 tada važećih strategija.  Sekundarni cil je bio da se vidi koliko strategija se na bilo koji način dotiču rodne ravnopravnosti i tada je ustanovljeno da ih je 26.  Analizu usklađenosti je radila dr Olivera Komar, u okviru projekta izrade NSRR, koji su takođe podržali Misija OEBS-a i MPLJMP. </w:t>
      </w:r>
    </w:p>
    <w:p w14:paraId="2F064022" w14:textId="54583BE4" w:rsidR="00A63F6F" w:rsidRPr="00EA2F2D" w:rsidRDefault="00A63F6F" w:rsidP="00EA2F2D">
      <w:pPr>
        <w:pStyle w:val="FootnoteText"/>
        <w:jc w:val="both"/>
        <w:rPr>
          <w:sz w:val="18"/>
          <w:szCs w:val="18"/>
        </w:rPr>
      </w:pPr>
    </w:p>
  </w:footnote>
  <w:footnote w:id="2">
    <w:p w14:paraId="1B73A2D8" w14:textId="77777777" w:rsidR="00A63F6F" w:rsidRPr="00A11649" w:rsidRDefault="00A63F6F" w:rsidP="002559F4">
      <w:pPr>
        <w:widowControl w:val="0"/>
        <w:autoSpaceDE w:val="0"/>
        <w:autoSpaceDN w:val="0"/>
        <w:adjustRightInd w:val="0"/>
        <w:spacing w:after="240"/>
        <w:jc w:val="both"/>
        <w:rPr>
          <w:sz w:val="18"/>
          <w:szCs w:val="18"/>
        </w:rPr>
      </w:pPr>
      <w:r w:rsidRPr="00A11649">
        <w:rPr>
          <w:rStyle w:val="FootnoteReference"/>
          <w:sz w:val="18"/>
          <w:szCs w:val="18"/>
        </w:rPr>
        <w:footnoteRef/>
      </w:r>
      <w:r w:rsidRPr="00A11649">
        <w:rPr>
          <w:sz w:val="18"/>
          <w:szCs w:val="18"/>
        </w:rPr>
        <w:t xml:space="preserve"> Međunarodni pakt o građanskim i političkim pravima (1996), Konvencija o eliminaciji svih oblika diskriminacije žena - CEDAW (1979), Konvencija Savjeta Evrope o sprječavanju i borbi protiv nasilja nad ženama i nasilja u porodici ( Istanbulska konvencija - 2011), Pekinška deklaraciju i Platforma za akciju (1995), Rezolucija Savjeta bezbjednosti Ujedinjenih nacija 1325 – ‘’Žene, mir i bezbjednost’’ (2000), Povelja o osnovnim slobodama u Evropskoj uniji ( 2007), Mapa puta Evropske komisije za jednakost žena i muškaraca, Strategija EU za rodnu ravnopravnost 2021-2025, Pakt za ravnopravnost polova 2011-2020, Evropska povelja o rodnoj ravnopravnosti na lokalnom nivou (2006), Rezolucija Evropskog parlamenta o pravima interpolnih osoba (2018), Rezolucija Parlamentarne skupštine Savjeta Evrope 2191 (2017) o promociji ljudskih prava i eliminaciji diskriminacije prema interpolnim osobama. Takođe, u međunarodni okvir spadaju i sljedeće rezolucije Parlamentarne skupštine Savjeta Evrope: Rezolucija 2048 (2015): Diskriminacija trans osoba u Evropi, LGBTI Strategija Evropske unije 2020- 2024. Takođe, Agenda 2030 (Ciljevi održivog razvoja UN do 2030. godine), koja se oslonila na Milenijumske razvojne ciljeve do 2015. godine, kao i Pariski sporazum o klimatskim promjenama (2015) i brojne druge medjunarodne regulative, koje direktno ili indirektno regulišu ovu oblast (poput ILO, OSCE, CoE i drugih konvencija i rezolucija). </w:t>
      </w:r>
    </w:p>
  </w:footnote>
  <w:footnote w:id="3">
    <w:p w14:paraId="3E3B0BCA" w14:textId="77777777" w:rsidR="00A63F6F" w:rsidRPr="00A11649" w:rsidRDefault="00A63F6F" w:rsidP="002559F4">
      <w:pPr>
        <w:pStyle w:val="FootnoteText"/>
        <w:rPr>
          <w:rFonts w:cs="Times New Roman"/>
          <w:sz w:val="18"/>
          <w:szCs w:val="18"/>
        </w:rPr>
      </w:pPr>
      <w:r w:rsidRPr="00A11649">
        <w:rPr>
          <w:rStyle w:val="FootnoteReference"/>
          <w:rFonts w:cs="Times New Roman"/>
          <w:sz w:val="18"/>
          <w:szCs w:val="18"/>
        </w:rPr>
        <w:footnoteRef/>
      </w:r>
      <w:r w:rsidRPr="00A11649">
        <w:rPr>
          <w:rFonts w:cs="Times New Roman"/>
          <w:sz w:val="18"/>
          <w:szCs w:val="18"/>
        </w:rPr>
        <w:t xml:space="preserve"> </w:t>
      </w:r>
      <w:r w:rsidRPr="00A11649">
        <w:rPr>
          <w:rFonts w:eastAsia="Times New Roman" w:cs="Times New Roman"/>
          <w:sz w:val="18"/>
          <w:szCs w:val="18"/>
        </w:rPr>
        <w:t xml:space="preserve">Prije svega, </w:t>
      </w:r>
      <w:r w:rsidRPr="00A11649">
        <w:rPr>
          <w:rFonts w:cs="Times New Roman"/>
          <w:sz w:val="18"/>
          <w:szCs w:val="18"/>
        </w:rPr>
        <w:t>Ustava, Zakona o rodnoj ravnopravnosti i Zakona o zaštitniku ljudskih prava iz 2007. godine, Zakona o zabrani diskriminacije iz 2011. godine, kao Zakona o zaštiti od nasilja u porodici i nasilja nad ženama iz 2014. godine</w:t>
      </w:r>
    </w:p>
  </w:footnote>
  <w:footnote w:id="4">
    <w:p w14:paraId="7A401D9F" w14:textId="77777777" w:rsidR="00A63F6F" w:rsidRPr="00A11649" w:rsidRDefault="00A63F6F" w:rsidP="002559F4">
      <w:pPr>
        <w:pStyle w:val="FootnoteText"/>
        <w:rPr>
          <w:rFonts w:cs="Times New Roman"/>
          <w:sz w:val="18"/>
          <w:szCs w:val="18"/>
        </w:rPr>
      </w:pPr>
      <w:r w:rsidRPr="00A11649">
        <w:rPr>
          <w:rStyle w:val="FootnoteReference"/>
          <w:rFonts w:cs="Times New Roman"/>
          <w:sz w:val="18"/>
          <w:szCs w:val="18"/>
        </w:rPr>
        <w:footnoteRef/>
      </w:r>
      <w:r w:rsidRPr="00A11649">
        <w:rPr>
          <w:rFonts w:cs="Times New Roman"/>
          <w:sz w:val="18"/>
          <w:szCs w:val="18"/>
        </w:rPr>
        <w:t xml:space="preserve"> Članovi 15 i 16</w:t>
      </w:r>
    </w:p>
  </w:footnote>
  <w:footnote w:id="5">
    <w:p w14:paraId="08BD436B" w14:textId="77777777" w:rsidR="00A63F6F" w:rsidRPr="009A243E" w:rsidRDefault="00A63F6F" w:rsidP="002559F4">
      <w:pPr>
        <w:rPr>
          <w:rFonts w:eastAsia="Times New Roman"/>
          <w:sz w:val="20"/>
          <w:szCs w:val="20"/>
        </w:rPr>
      </w:pPr>
      <w:r w:rsidRPr="009A243E">
        <w:rPr>
          <w:rStyle w:val="FootnoteReference"/>
          <w:sz w:val="20"/>
          <w:szCs w:val="20"/>
        </w:rPr>
        <w:footnoteRef/>
      </w:r>
      <w:r w:rsidRPr="009A243E">
        <w:rPr>
          <w:sz w:val="20"/>
          <w:szCs w:val="20"/>
        </w:rPr>
        <w:t xml:space="preserve"> NSRR je izrađena u saradnji Ministarstva pravde, ljudskih i manjinskih prava i Misije OEBS-a u Crnoj Gori. Dokumen je dostupan na: </w:t>
      </w:r>
      <w:r w:rsidRPr="009A243E">
        <w:rPr>
          <w:rFonts w:eastAsia="Times New Roman"/>
          <w:sz w:val="20"/>
          <w:szCs w:val="20"/>
        </w:rPr>
        <w:t>https://www.gov.me/cyr/dokumenta/41e3ee6a-757a-4684-9763-9fee5e933afd</w:t>
      </w:r>
    </w:p>
  </w:footnote>
  <w:footnote w:id="6">
    <w:p w14:paraId="4BA898D5" w14:textId="77777777" w:rsidR="00A63F6F" w:rsidRPr="00A11649" w:rsidRDefault="00A63F6F" w:rsidP="002559F4">
      <w:pPr>
        <w:pStyle w:val="FootnoteText"/>
        <w:jc w:val="both"/>
        <w:rPr>
          <w:rFonts w:cs="Times New Roman"/>
          <w:sz w:val="18"/>
          <w:szCs w:val="18"/>
        </w:rPr>
      </w:pPr>
      <w:r w:rsidRPr="00A11649">
        <w:rPr>
          <w:rStyle w:val="FootnoteReference"/>
          <w:rFonts w:cs="Times New Roman"/>
          <w:sz w:val="18"/>
          <w:szCs w:val="18"/>
        </w:rPr>
        <w:footnoteRef/>
      </w:r>
      <w:r w:rsidRPr="00A11649">
        <w:rPr>
          <w:rFonts w:cs="Times New Roman"/>
          <w:sz w:val="18"/>
          <w:szCs w:val="18"/>
        </w:rPr>
        <w:t xml:space="preserve"> </w:t>
      </w:r>
      <w:r w:rsidRPr="00A11649">
        <w:rPr>
          <w:rFonts w:eastAsia="Times New Roman" w:cs="Times New Roman"/>
          <w:sz w:val="18"/>
          <w:szCs w:val="18"/>
        </w:rPr>
        <w:t xml:space="preserve">Metodologija razvijanja politika, izrade i praćenja sprovođenja strateških dokumenata koju je izradio Generalni sekretarijat Vlade Crne Gore, drugo, dopunjeno izdanje, 2020. godine. Ova Metodologija predstavlja praktičan instrument za sprovođenje Uredbe o načinu i postupku izrade, usklađivanja i praćenja sprovođenja strateških dokumenata („Službeni list CG “, br. 54/2018), na osnovu koje Generalni sekretarijat Vlade daje "zeleno svijetlo" da se određeni dokument javne politike može poslati Vladi na razmatranje i usvajanje. </w:t>
      </w:r>
    </w:p>
  </w:footnote>
  <w:footnote w:id="7">
    <w:p w14:paraId="1DFC0311" w14:textId="77777777" w:rsidR="00A63F6F" w:rsidRPr="00A11649" w:rsidRDefault="00A63F6F" w:rsidP="002559F4">
      <w:pPr>
        <w:pStyle w:val="FootnoteText"/>
        <w:jc w:val="both"/>
        <w:rPr>
          <w:rFonts w:cs="Times New Roman"/>
          <w:sz w:val="18"/>
          <w:szCs w:val="18"/>
        </w:rPr>
      </w:pPr>
      <w:r w:rsidRPr="00A11649">
        <w:rPr>
          <w:rStyle w:val="FootnoteReference"/>
          <w:rFonts w:cs="Times New Roman"/>
          <w:sz w:val="18"/>
          <w:szCs w:val="18"/>
        </w:rPr>
        <w:footnoteRef/>
      </w:r>
      <w:r w:rsidRPr="00A11649">
        <w:rPr>
          <w:rFonts w:cs="Times New Roman"/>
          <w:sz w:val="18"/>
          <w:szCs w:val="18"/>
        </w:rPr>
        <w:t xml:space="preserve"> Dr Oliveru Komar i Sanju Elezović</w:t>
      </w:r>
    </w:p>
  </w:footnote>
  <w:footnote w:id="8">
    <w:p w14:paraId="680E54ED" w14:textId="77777777" w:rsidR="00A63F6F" w:rsidRPr="00F07699" w:rsidRDefault="00A63F6F" w:rsidP="002559F4">
      <w:pPr>
        <w:tabs>
          <w:tab w:val="left" w:pos="850"/>
          <w:tab w:val="left" w:pos="1191"/>
          <w:tab w:val="left" w:pos="1531"/>
        </w:tabs>
        <w:spacing w:before="60" w:after="60"/>
        <w:ind w:right="-471"/>
        <w:rPr>
          <w:sz w:val="20"/>
          <w:szCs w:val="20"/>
        </w:rPr>
      </w:pPr>
      <w:r>
        <w:rPr>
          <w:rStyle w:val="FootnoteReference"/>
        </w:rPr>
        <w:footnoteRef/>
      </w:r>
      <w:r>
        <w:t xml:space="preserve"> </w:t>
      </w:r>
      <w:r w:rsidRPr="00F07699">
        <w:rPr>
          <w:sz w:val="20"/>
          <w:szCs w:val="20"/>
        </w:rPr>
        <w:t xml:space="preserve">Predlog Strategije reforme javne uprave 2022-2026, </w:t>
      </w:r>
      <w:r>
        <w:rPr>
          <w:sz w:val="20"/>
          <w:szCs w:val="20"/>
        </w:rPr>
        <w:t>verzija od n</w:t>
      </w:r>
      <w:r w:rsidRPr="00F07699">
        <w:rPr>
          <w:sz w:val="20"/>
          <w:szCs w:val="20"/>
        </w:rPr>
        <w:t>ovemb</w:t>
      </w:r>
      <w:r>
        <w:rPr>
          <w:sz w:val="20"/>
          <w:szCs w:val="20"/>
        </w:rPr>
        <w:t>ra</w:t>
      </w:r>
      <w:r w:rsidRPr="00F07699">
        <w:rPr>
          <w:sz w:val="20"/>
          <w:szCs w:val="20"/>
        </w:rPr>
        <w:t xml:space="preserve"> 2021. Dostupno na: https://www.gov.me/cyr/dokumenta/b73f7cd4-be14-430a-8291-e2f081c25d39</w:t>
      </w:r>
    </w:p>
    <w:p w14:paraId="08DCF951" w14:textId="77777777" w:rsidR="00A63F6F" w:rsidRPr="00F07699" w:rsidRDefault="00A63F6F" w:rsidP="002559F4">
      <w:pPr>
        <w:pStyle w:val="FootnoteText"/>
      </w:pPr>
    </w:p>
  </w:footnote>
  <w:footnote w:id="9">
    <w:p w14:paraId="5DFD21FE" w14:textId="77777777" w:rsidR="00A63F6F" w:rsidRPr="00A819C2" w:rsidRDefault="00A63F6F" w:rsidP="002559F4">
      <w:pPr>
        <w:pStyle w:val="FootnoteText"/>
        <w:rPr>
          <w:rFonts w:cs="Times New Roman"/>
          <w:sz w:val="18"/>
          <w:szCs w:val="18"/>
        </w:rPr>
      </w:pPr>
      <w:r w:rsidRPr="009A243E">
        <w:rPr>
          <w:rStyle w:val="FootnoteReference"/>
          <w:rFonts w:ascii="Times New Roman" w:hAnsi="Times New Roman" w:cs="Times New Roman"/>
          <w:sz w:val="20"/>
          <w:szCs w:val="20"/>
        </w:rPr>
        <w:footnoteRef/>
      </w:r>
      <w:r w:rsidRPr="009A243E">
        <w:rPr>
          <w:rFonts w:ascii="Times New Roman" w:hAnsi="Times New Roman" w:cs="Times New Roman"/>
          <w:sz w:val="20"/>
          <w:szCs w:val="20"/>
        </w:rPr>
        <w:t xml:space="preserve"> </w:t>
      </w:r>
      <w:r w:rsidRPr="00A819C2">
        <w:rPr>
          <w:rFonts w:cs="Times New Roman"/>
          <w:sz w:val="18"/>
          <w:szCs w:val="18"/>
        </w:rPr>
        <w:t>Spisak korišćene literature dat je u Prilogu 1</w:t>
      </w:r>
    </w:p>
  </w:footnote>
  <w:footnote w:id="10">
    <w:p w14:paraId="530E0336" w14:textId="77777777" w:rsidR="00A63F6F" w:rsidRPr="00A819C2" w:rsidRDefault="00A63F6F" w:rsidP="002559F4">
      <w:pPr>
        <w:rPr>
          <w:sz w:val="18"/>
          <w:szCs w:val="18"/>
          <w:lang w:val="en-GB"/>
        </w:rPr>
      </w:pPr>
      <w:r w:rsidRPr="00A819C2">
        <w:rPr>
          <w:rStyle w:val="FootnoteReference"/>
          <w:sz w:val="18"/>
          <w:szCs w:val="18"/>
        </w:rPr>
        <w:footnoteRef/>
      </w:r>
      <w:r w:rsidRPr="00A819C2">
        <w:rPr>
          <w:sz w:val="18"/>
          <w:szCs w:val="18"/>
        </w:rPr>
        <w:t xml:space="preserve"> </w:t>
      </w:r>
      <w:r w:rsidRPr="00A819C2">
        <w:rPr>
          <w:rFonts w:eastAsia="Times New Roman"/>
          <w:sz w:val="18"/>
          <w:szCs w:val="18"/>
        </w:rPr>
        <w:t>Zakoni za žene i za muškarce: Praktični vodič za rodno-senzitivno zakonodavstvo</w:t>
      </w:r>
      <w:r w:rsidRPr="00A819C2">
        <w:rPr>
          <w:rStyle w:val="FootnoteReference"/>
          <w:rFonts w:eastAsia="Times New Roman"/>
          <w:sz w:val="18"/>
          <w:szCs w:val="18"/>
        </w:rPr>
        <w:footnoteRef/>
      </w:r>
      <w:r w:rsidRPr="00A819C2">
        <w:rPr>
          <w:rFonts w:eastAsia="Times New Roman"/>
          <w:sz w:val="18"/>
          <w:szCs w:val="18"/>
        </w:rPr>
        <w:t xml:space="preserve"> Podgorica, 2017 Misija OEBSa u Crnoj Gori, dostupno na: </w:t>
      </w:r>
      <w:r w:rsidRPr="00A819C2">
        <w:rPr>
          <w:sz w:val="18"/>
          <w:szCs w:val="18"/>
        </w:rPr>
        <w:t>https://www.osce.org/files/f/documents/9/a/353791.pdf</w:t>
      </w:r>
    </w:p>
  </w:footnote>
  <w:footnote w:id="11">
    <w:p w14:paraId="3AB51C68" w14:textId="57D0D8E7" w:rsidR="00A63F6F" w:rsidRPr="00A819C2" w:rsidRDefault="00A63F6F">
      <w:pPr>
        <w:pStyle w:val="FootnoteText"/>
        <w:rPr>
          <w:sz w:val="18"/>
          <w:szCs w:val="18"/>
        </w:rPr>
      </w:pPr>
      <w:r w:rsidRPr="00A819C2">
        <w:rPr>
          <w:rStyle w:val="FootnoteReference"/>
          <w:sz w:val="18"/>
          <w:szCs w:val="18"/>
        </w:rPr>
        <w:footnoteRef/>
      </w:r>
      <w:r w:rsidRPr="00A819C2">
        <w:rPr>
          <w:sz w:val="18"/>
          <w:szCs w:val="18"/>
        </w:rPr>
        <w:t xml:space="preserve"> </w:t>
      </w:r>
      <w:r w:rsidRPr="00A819C2">
        <w:rPr>
          <w:sz w:val="18"/>
          <w:szCs w:val="18"/>
          <w:lang w:val="sr-Latn-ME"/>
        </w:rPr>
        <w:t xml:space="preserve">Sekretarijat Savjeta za konkurentnost, </w:t>
      </w:r>
      <w:r w:rsidRPr="00A819C2">
        <w:rPr>
          <w:i/>
          <w:iCs/>
          <w:sz w:val="18"/>
          <w:szCs w:val="18"/>
          <w:lang w:val="sr-Latn-ME"/>
        </w:rPr>
        <w:t xml:space="preserve">Priručnik za procjenu uticaja propisa na rodnu ravnopravnost, </w:t>
      </w:r>
      <w:r w:rsidRPr="00A819C2">
        <w:rPr>
          <w:sz w:val="18"/>
          <w:szCs w:val="18"/>
          <w:lang w:val="sr-Latn-ME"/>
        </w:rPr>
        <w:t>EBRD, Britanska ambasada u Podgorici, Ukaid.</w:t>
      </w:r>
    </w:p>
  </w:footnote>
  <w:footnote w:id="12">
    <w:p w14:paraId="5B9E04B5" w14:textId="77777777" w:rsidR="00A63F6F" w:rsidRPr="00A819C2" w:rsidRDefault="00A63F6F" w:rsidP="002559F4">
      <w:pPr>
        <w:pStyle w:val="FootnoteText"/>
        <w:rPr>
          <w:rFonts w:cs="Times New Roman"/>
          <w:sz w:val="18"/>
          <w:szCs w:val="18"/>
        </w:rPr>
      </w:pPr>
      <w:r w:rsidRPr="00A819C2">
        <w:rPr>
          <w:rStyle w:val="FootnoteReference"/>
          <w:rFonts w:cs="Times New Roman"/>
          <w:sz w:val="18"/>
          <w:szCs w:val="18"/>
        </w:rPr>
        <w:footnoteRef/>
      </w:r>
      <w:r w:rsidRPr="00A819C2">
        <w:rPr>
          <w:rFonts w:cs="Times New Roman"/>
          <w:sz w:val="18"/>
          <w:szCs w:val="18"/>
        </w:rPr>
        <w:t xml:space="preserve"> </w:t>
      </w:r>
      <w:r w:rsidRPr="00A819C2">
        <w:rPr>
          <w:rFonts w:eastAsia="Times New Roman" w:cs="Times New Roman"/>
          <w:sz w:val="18"/>
          <w:szCs w:val="18"/>
        </w:rPr>
        <w:t>Gender Impact Assessment: Gender Mainstreaming Toolkit. - European Institute for Gender Equality, 2016</w:t>
      </w:r>
    </w:p>
  </w:footnote>
  <w:footnote w:id="13">
    <w:p w14:paraId="0D55C007" w14:textId="77777777" w:rsidR="00A63F6F" w:rsidRPr="00A819C2" w:rsidRDefault="00A63F6F" w:rsidP="00A819C2">
      <w:pPr>
        <w:pStyle w:val="FootnoteText"/>
        <w:jc w:val="both"/>
        <w:rPr>
          <w:sz w:val="18"/>
          <w:szCs w:val="18"/>
          <w:lang w:val="hr-HR"/>
        </w:rPr>
      </w:pPr>
      <w:r w:rsidRPr="00A819C2">
        <w:rPr>
          <w:rStyle w:val="FootnoteReference"/>
          <w:sz w:val="18"/>
          <w:szCs w:val="18"/>
        </w:rPr>
        <w:footnoteRef/>
      </w:r>
      <w:r w:rsidRPr="00A819C2">
        <w:rPr>
          <w:sz w:val="18"/>
          <w:szCs w:val="18"/>
        </w:rPr>
        <w:t xml:space="preserve"> </w:t>
      </w:r>
      <w:r w:rsidRPr="00A819C2">
        <w:rPr>
          <w:sz w:val="18"/>
          <w:szCs w:val="18"/>
          <w:lang w:val="hr-HR"/>
        </w:rPr>
        <w:t xml:space="preserve">OECD, </w:t>
      </w:r>
      <w:r w:rsidRPr="00A819C2">
        <w:rPr>
          <w:i/>
          <w:iCs/>
          <w:sz w:val="18"/>
          <w:szCs w:val="18"/>
          <w:lang w:val="hr-HR"/>
        </w:rPr>
        <w:t>Toolkit for Mainstreaming and Implementing Gender Equality</w:t>
      </w:r>
      <w:r w:rsidRPr="00A819C2">
        <w:rPr>
          <w:sz w:val="18"/>
          <w:szCs w:val="18"/>
          <w:lang w:val="hr-HR"/>
        </w:rPr>
        <w:t>, dostupan na internet stranici: https://www.oecd.org/gov/toolkit-for-mainstreaming-and-implementing-gender-equality.pdf</w:t>
      </w:r>
    </w:p>
  </w:footnote>
  <w:footnote w:id="14">
    <w:p w14:paraId="2DB487E3" w14:textId="77777777" w:rsidR="00A63F6F" w:rsidRPr="00A819C2" w:rsidRDefault="00A63F6F" w:rsidP="00A819C2">
      <w:pPr>
        <w:pStyle w:val="FootnoteText"/>
        <w:jc w:val="both"/>
        <w:rPr>
          <w:sz w:val="18"/>
          <w:szCs w:val="18"/>
          <w:lang w:val="sr-Latn-ME"/>
        </w:rPr>
      </w:pPr>
      <w:r w:rsidRPr="00A819C2">
        <w:rPr>
          <w:rStyle w:val="FootnoteReference"/>
          <w:sz w:val="18"/>
          <w:szCs w:val="18"/>
        </w:rPr>
        <w:footnoteRef/>
      </w:r>
      <w:r w:rsidRPr="00A819C2">
        <w:rPr>
          <w:sz w:val="18"/>
          <w:szCs w:val="18"/>
        </w:rPr>
        <w:t xml:space="preserve"> </w:t>
      </w:r>
      <w:r w:rsidRPr="00A819C2">
        <w:rPr>
          <w:sz w:val="18"/>
          <w:szCs w:val="18"/>
          <w:lang w:val="sr-Latn-ME"/>
        </w:rPr>
        <w:t xml:space="preserve">Friedrich Ebert Stiftung, </w:t>
      </w:r>
      <w:r w:rsidRPr="00A819C2">
        <w:rPr>
          <w:i/>
          <w:iCs/>
          <w:sz w:val="18"/>
          <w:szCs w:val="18"/>
          <w:lang w:val="sr-Latn-ME"/>
        </w:rPr>
        <w:t xml:space="preserve">Rodna procjena uticaja: Alatke i metode za urodnjavanje politika, programa i projekata, </w:t>
      </w:r>
      <w:r w:rsidRPr="00A819C2">
        <w:rPr>
          <w:sz w:val="18"/>
          <w:szCs w:val="18"/>
          <w:lang w:val="sr-Latn-ME"/>
        </w:rPr>
        <w:t>Sarajevo, 2020. godine</w:t>
      </w:r>
    </w:p>
  </w:footnote>
  <w:footnote w:id="15">
    <w:p w14:paraId="01CDE3EA" w14:textId="77777777" w:rsidR="00A63F6F" w:rsidRPr="00A819C2" w:rsidRDefault="00A63F6F" w:rsidP="00A819C2">
      <w:pPr>
        <w:pStyle w:val="FootnoteText"/>
        <w:jc w:val="both"/>
        <w:rPr>
          <w:sz w:val="18"/>
          <w:szCs w:val="18"/>
          <w:lang w:val="sr-Latn-ME"/>
        </w:rPr>
      </w:pPr>
      <w:r w:rsidRPr="00A819C2">
        <w:rPr>
          <w:rStyle w:val="FootnoteReference"/>
          <w:sz w:val="18"/>
          <w:szCs w:val="18"/>
        </w:rPr>
        <w:footnoteRef/>
      </w:r>
      <w:r w:rsidRPr="00A819C2">
        <w:rPr>
          <w:sz w:val="18"/>
          <w:szCs w:val="18"/>
        </w:rPr>
        <w:t xml:space="preserve"> </w:t>
      </w:r>
      <w:r w:rsidRPr="00A819C2">
        <w:rPr>
          <w:sz w:val="18"/>
          <w:szCs w:val="18"/>
          <w:lang w:val="sr-Latn-ME"/>
        </w:rPr>
        <w:t xml:space="preserve">Agencija za ravnopravnost polova Vlade Republike Kosovo, </w:t>
      </w:r>
      <w:r w:rsidRPr="00A819C2">
        <w:rPr>
          <w:i/>
          <w:iCs/>
          <w:sz w:val="18"/>
          <w:szCs w:val="18"/>
          <w:lang w:val="sr-Latn-ME"/>
        </w:rPr>
        <w:t xml:space="preserve">Priručnik za procenu uticaja rodne ravnopravnosti, </w:t>
      </w:r>
      <w:r w:rsidRPr="00A819C2">
        <w:rPr>
          <w:sz w:val="18"/>
          <w:szCs w:val="18"/>
          <w:lang w:val="sr-Latn-ME"/>
        </w:rPr>
        <w:t>Embassy of Sweden, NIRAS i CPM</w:t>
      </w:r>
    </w:p>
  </w:footnote>
  <w:footnote w:id="16">
    <w:p w14:paraId="7FB1E333" w14:textId="77777777" w:rsidR="00A63F6F" w:rsidRPr="00A11649" w:rsidRDefault="00A63F6F" w:rsidP="002559F4">
      <w:pPr>
        <w:pStyle w:val="FootnoteText"/>
        <w:jc w:val="both"/>
        <w:rPr>
          <w:sz w:val="18"/>
          <w:szCs w:val="18"/>
          <w:lang w:val="hr-HR"/>
        </w:rPr>
      </w:pPr>
      <w:r w:rsidRPr="00A11649">
        <w:rPr>
          <w:rStyle w:val="FootnoteReference"/>
          <w:sz w:val="18"/>
          <w:szCs w:val="18"/>
        </w:rPr>
        <w:footnoteRef/>
      </w:r>
      <w:r w:rsidRPr="00A11649">
        <w:rPr>
          <w:sz w:val="18"/>
          <w:szCs w:val="18"/>
        </w:rPr>
        <w:t xml:space="preserve"> Izvor: </w:t>
      </w:r>
      <w:hyperlink r:id="rId1" w:history="1">
        <w:r w:rsidRPr="00A11649">
          <w:rPr>
            <w:rStyle w:val="Hyperlink"/>
            <w:sz w:val="18"/>
            <w:szCs w:val="18"/>
            <w:lang w:val="hr-HR"/>
          </w:rPr>
          <w:t>https://eige.europa.eu/gender-mainstreaming/what-is-gender-mainstreaming</w:t>
        </w:r>
      </w:hyperlink>
      <w:r w:rsidRPr="00A11649">
        <w:rPr>
          <w:sz w:val="18"/>
          <w:szCs w:val="18"/>
          <w:lang w:val="hr-HR"/>
        </w:rPr>
        <w:t xml:space="preserve">, pristupljeno 7. decembra 2021. godine. </w:t>
      </w:r>
    </w:p>
  </w:footnote>
  <w:footnote w:id="17">
    <w:p w14:paraId="77927410" w14:textId="38B7C6AA" w:rsidR="00A63F6F" w:rsidRPr="00406A32" w:rsidRDefault="00A63F6F" w:rsidP="005A7B6F">
      <w:pPr>
        <w:pStyle w:val="FootnoteText"/>
        <w:jc w:val="both"/>
        <w:rPr>
          <w:i/>
          <w:iCs/>
          <w:lang w:val="sr-Latn-ME"/>
        </w:rPr>
      </w:pPr>
      <w:r>
        <w:rPr>
          <w:rStyle w:val="FootnoteReference"/>
        </w:rPr>
        <w:footnoteRef/>
      </w:r>
      <w:r>
        <w:t xml:space="preserve"> </w:t>
      </w:r>
      <w:r w:rsidRPr="005A7B6F">
        <w:rPr>
          <w:sz w:val="20"/>
          <w:szCs w:val="20"/>
          <w:lang w:val="sr-Latn-ME"/>
        </w:rPr>
        <w:t xml:space="preserve">Generalni Sekretarijat Vlade Crne Gore, </w:t>
      </w:r>
      <w:r w:rsidRPr="005A7B6F">
        <w:rPr>
          <w:i/>
          <w:iCs/>
          <w:sz w:val="20"/>
          <w:szCs w:val="20"/>
          <w:lang w:val="sr-Latn-ME"/>
        </w:rPr>
        <w:t>Metologija razvijanja politika, izade i praćenja sprovođenja strateških dokumenata</w:t>
      </w:r>
      <w:r w:rsidRPr="005A7B6F">
        <w:rPr>
          <w:sz w:val="20"/>
          <w:szCs w:val="20"/>
          <w:lang w:val="sr-Latn-ME"/>
        </w:rPr>
        <w:t>, drugo dopunjeno izdanje, Podgorica, 2020. godina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7DDA"/>
    <w:multiLevelType w:val="hybridMultilevel"/>
    <w:tmpl w:val="D2E67B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7F03B7"/>
    <w:multiLevelType w:val="hybridMultilevel"/>
    <w:tmpl w:val="97A069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F692E"/>
    <w:multiLevelType w:val="hybridMultilevel"/>
    <w:tmpl w:val="52B2E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1742D"/>
    <w:multiLevelType w:val="hybridMultilevel"/>
    <w:tmpl w:val="97A069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5C3096"/>
    <w:multiLevelType w:val="hybridMultilevel"/>
    <w:tmpl w:val="97A0697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AD49F1"/>
    <w:multiLevelType w:val="hybridMultilevel"/>
    <w:tmpl w:val="8908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45E28"/>
    <w:multiLevelType w:val="hybridMultilevel"/>
    <w:tmpl w:val="F12603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C5B0F"/>
    <w:multiLevelType w:val="hybridMultilevel"/>
    <w:tmpl w:val="3EE2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4704FB"/>
    <w:multiLevelType w:val="hybridMultilevel"/>
    <w:tmpl w:val="5BA67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E672F"/>
    <w:multiLevelType w:val="hybridMultilevel"/>
    <w:tmpl w:val="60E0E2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1473B84"/>
    <w:multiLevelType w:val="multilevel"/>
    <w:tmpl w:val="E0D01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3C7F52"/>
    <w:multiLevelType w:val="hybridMultilevel"/>
    <w:tmpl w:val="8440FA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FA5820"/>
    <w:multiLevelType w:val="hybridMultilevel"/>
    <w:tmpl w:val="47BA1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01E56"/>
    <w:multiLevelType w:val="hybridMultilevel"/>
    <w:tmpl w:val="0D5A9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5060A"/>
    <w:multiLevelType w:val="hybridMultilevel"/>
    <w:tmpl w:val="97A069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697021"/>
    <w:multiLevelType w:val="hybridMultilevel"/>
    <w:tmpl w:val="DCA095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D75E7"/>
    <w:multiLevelType w:val="hybridMultilevel"/>
    <w:tmpl w:val="FFBA4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11"/>
  </w:num>
  <w:num w:numId="4">
    <w:abstractNumId w:val="15"/>
  </w:num>
  <w:num w:numId="5">
    <w:abstractNumId w:val="8"/>
  </w:num>
  <w:num w:numId="6">
    <w:abstractNumId w:val="3"/>
  </w:num>
  <w:num w:numId="7">
    <w:abstractNumId w:val="1"/>
  </w:num>
  <w:num w:numId="8">
    <w:abstractNumId w:val="7"/>
  </w:num>
  <w:num w:numId="9">
    <w:abstractNumId w:val="0"/>
  </w:num>
  <w:num w:numId="10">
    <w:abstractNumId w:val="10"/>
  </w:num>
  <w:num w:numId="11">
    <w:abstractNumId w:val="9"/>
  </w:num>
  <w:num w:numId="12">
    <w:abstractNumId w:val="4"/>
  </w:num>
  <w:num w:numId="13">
    <w:abstractNumId w:val="2"/>
  </w:num>
  <w:num w:numId="14">
    <w:abstractNumId w:val="13"/>
  </w:num>
  <w:num w:numId="15">
    <w:abstractNumId w:val="16"/>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355"/>
    <w:rsid w:val="000000AC"/>
    <w:rsid w:val="0000037D"/>
    <w:rsid w:val="00001593"/>
    <w:rsid w:val="000036B4"/>
    <w:rsid w:val="00007CBA"/>
    <w:rsid w:val="00012944"/>
    <w:rsid w:val="00013A0B"/>
    <w:rsid w:val="0001617B"/>
    <w:rsid w:val="0001748C"/>
    <w:rsid w:val="00021276"/>
    <w:rsid w:val="000255AE"/>
    <w:rsid w:val="0002651E"/>
    <w:rsid w:val="00027C0A"/>
    <w:rsid w:val="00033977"/>
    <w:rsid w:val="00033AF9"/>
    <w:rsid w:val="00035F1F"/>
    <w:rsid w:val="000404B4"/>
    <w:rsid w:val="00043D8C"/>
    <w:rsid w:val="00044156"/>
    <w:rsid w:val="000500EC"/>
    <w:rsid w:val="00055531"/>
    <w:rsid w:val="00055FC9"/>
    <w:rsid w:val="000601C5"/>
    <w:rsid w:val="0006498B"/>
    <w:rsid w:val="000660DD"/>
    <w:rsid w:val="00066292"/>
    <w:rsid w:val="000728F0"/>
    <w:rsid w:val="00072DD2"/>
    <w:rsid w:val="000757BD"/>
    <w:rsid w:val="00075BFA"/>
    <w:rsid w:val="00076BB8"/>
    <w:rsid w:val="00080E61"/>
    <w:rsid w:val="00084DC5"/>
    <w:rsid w:val="000854CE"/>
    <w:rsid w:val="000863DD"/>
    <w:rsid w:val="00095369"/>
    <w:rsid w:val="000958A9"/>
    <w:rsid w:val="00096999"/>
    <w:rsid w:val="000A14BF"/>
    <w:rsid w:val="000A24BC"/>
    <w:rsid w:val="000A492E"/>
    <w:rsid w:val="000A741C"/>
    <w:rsid w:val="000B0954"/>
    <w:rsid w:val="000B2144"/>
    <w:rsid w:val="000B43F9"/>
    <w:rsid w:val="000B4580"/>
    <w:rsid w:val="000B56D5"/>
    <w:rsid w:val="000B6A1C"/>
    <w:rsid w:val="000C3095"/>
    <w:rsid w:val="000C47EE"/>
    <w:rsid w:val="000C5F07"/>
    <w:rsid w:val="000D3E97"/>
    <w:rsid w:val="000D4F0E"/>
    <w:rsid w:val="000E03E5"/>
    <w:rsid w:val="000E07EF"/>
    <w:rsid w:val="000E5D42"/>
    <w:rsid w:val="000E6502"/>
    <w:rsid w:val="000F01B9"/>
    <w:rsid w:val="001010B6"/>
    <w:rsid w:val="001011AF"/>
    <w:rsid w:val="00107440"/>
    <w:rsid w:val="0011170F"/>
    <w:rsid w:val="001125F0"/>
    <w:rsid w:val="00116326"/>
    <w:rsid w:val="001259D1"/>
    <w:rsid w:val="00126B28"/>
    <w:rsid w:val="00130140"/>
    <w:rsid w:val="0013368D"/>
    <w:rsid w:val="001371A1"/>
    <w:rsid w:val="00141634"/>
    <w:rsid w:val="00145FA3"/>
    <w:rsid w:val="001531B8"/>
    <w:rsid w:val="001605BB"/>
    <w:rsid w:val="00162A9B"/>
    <w:rsid w:val="0016395F"/>
    <w:rsid w:val="00163B02"/>
    <w:rsid w:val="00166CAC"/>
    <w:rsid w:val="0017115F"/>
    <w:rsid w:val="0017307D"/>
    <w:rsid w:val="0017476D"/>
    <w:rsid w:val="00176285"/>
    <w:rsid w:val="00176A8C"/>
    <w:rsid w:val="00177AE6"/>
    <w:rsid w:val="001918CB"/>
    <w:rsid w:val="001934BD"/>
    <w:rsid w:val="001941BE"/>
    <w:rsid w:val="00194E29"/>
    <w:rsid w:val="00194F32"/>
    <w:rsid w:val="00197191"/>
    <w:rsid w:val="001A2A65"/>
    <w:rsid w:val="001A2C5A"/>
    <w:rsid w:val="001B0E60"/>
    <w:rsid w:val="001B2887"/>
    <w:rsid w:val="001C0123"/>
    <w:rsid w:val="001D0109"/>
    <w:rsid w:val="001D36EA"/>
    <w:rsid w:val="001D3D0F"/>
    <w:rsid w:val="001D4B6B"/>
    <w:rsid w:val="001D70BD"/>
    <w:rsid w:val="001E065B"/>
    <w:rsid w:val="001E3AEE"/>
    <w:rsid w:val="001E4D9A"/>
    <w:rsid w:val="001E705B"/>
    <w:rsid w:val="001E7A8C"/>
    <w:rsid w:val="001F0A81"/>
    <w:rsid w:val="002053C4"/>
    <w:rsid w:val="0020553D"/>
    <w:rsid w:val="00206296"/>
    <w:rsid w:val="00210328"/>
    <w:rsid w:val="00211119"/>
    <w:rsid w:val="00213AAF"/>
    <w:rsid w:val="00220671"/>
    <w:rsid w:val="00221749"/>
    <w:rsid w:val="00222686"/>
    <w:rsid w:val="00223A5D"/>
    <w:rsid w:val="00225114"/>
    <w:rsid w:val="00227611"/>
    <w:rsid w:val="00234104"/>
    <w:rsid w:val="00235E40"/>
    <w:rsid w:val="00242DAD"/>
    <w:rsid w:val="00244891"/>
    <w:rsid w:val="002448BF"/>
    <w:rsid w:val="002559F4"/>
    <w:rsid w:val="00255ACB"/>
    <w:rsid w:val="00255E11"/>
    <w:rsid w:val="00263654"/>
    <w:rsid w:val="002641FF"/>
    <w:rsid w:val="0026562E"/>
    <w:rsid w:val="002718D3"/>
    <w:rsid w:val="002756FC"/>
    <w:rsid w:val="00286065"/>
    <w:rsid w:val="0029170E"/>
    <w:rsid w:val="00296CB2"/>
    <w:rsid w:val="002A00CC"/>
    <w:rsid w:val="002A2F0F"/>
    <w:rsid w:val="002A349A"/>
    <w:rsid w:val="002A3766"/>
    <w:rsid w:val="002A658E"/>
    <w:rsid w:val="002B2679"/>
    <w:rsid w:val="002B2E21"/>
    <w:rsid w:val="002B56F8"/>
    <w:rsid w:val="002C4F51"/>
    <w:rsid w:val="002D1701"/>
    <w:rsid w:val="002D6E1D"/>
    <w:rsid w:val="002E0A97"/>
    <w:rsid w:val="002E448A"/>
    <w:rsid w:val="002E4F78"/>
    <w:rsid w:val="002E6F24"/>
    <w:rsid w:val="002E7F3E"/>
    <w:rsid w:val="002F103A"/>
    <w:rsid w:val="002F1EA1"/>
    <w:rsid w:val="002F3B42"/>
    <w:rsid w:val="00303D4B"/>
    <w:rsid w:val="00312E2E"/>
    <w:rsid w:val="003150B9"/>
    <w:rsid w:val="003161A1"/>
    <w:rsid w:val="003205A6"/>
    <w:rsid w:val="00321FA5"/>
    <w:rsid w:val="00331D08"/>
    <w:rsid w:val="00332517"/>
    <w:rsid w:val="0034427F"/>
    <w:rsid w:val="0035496A"/>
    <w:rsid w:val="00356E8E"/>
    <w:rsid w:val="00360DF8"/>
    <w:rsid w:val="00363651"/>
    <w:rsid w:val="003638DD"/>
    <w:rsid w:val="00364159"/>
    <w:rsid w:val="00365416"/>
    <w:rsid w:val="00365BE1"/>
    <w:rsid w:val="00371FB0"/>
    <w:rsid w:val="0037364D"/>
    <w:rsid w:val="003743E2"/>
    <w:rsid w:val="003761F5"/>
    <w:rsid w:val="0037711C"/>
    <w:rsid w:val="00383B2C"/>
    <w:rsid w:val="00384DA9"/>
    <w:rsid w:val="00387995"/>
    <w:rsid w:val="00387CCD"/>
    <w:rsid w:val="0039622D"/>
    <w:rsid w:val="00397BC9"/>
    <w:rsid w:val="003A270A"/>
    <w:rsid w:val="003A3666"/>
    <w:rsid w:val="003A73F1"/>
    <w:rsid w:val="003B02A6"/>
    <w:rsid w:val="003B32EB"/>
    <w:rsid w:val="003B4B35"/>
    <w:rsid w:val="003C08A3"/>
    <w:rsid w:val="003D016A"/>
    <w:rsid w:val="003D0584"/>
    <w:rsid w:val="003D3169"/>
    <w:rsid w:val="003E625F"/>
    <w:rsid w:val="003E7D9D"/>
    <w:rsid w:val="003F0BE1"/>
    <w:rsid w:val="003F1AB2"/>
    <w:rsid w:val="003F278B"/>
    <w:rsid w:val="003F3DE9"/>
    <w:rsid w:val="003F4805"/>
    <w:rsid w:val="003F5011"/>
    <w:rsid w:val="003F6C38"/>
    <w:rsid w:val="003F6D5A"/>
    <w:rsid w:val="00401EDA"/>
    <w:rsid w:val="00406A32"/>
    <w:rsid w:val="00406C8E"/>
    <w:rsid w:val="00407400"/>
    <w:rsid w:val="004106A3"/>
    <w:rsid w:val="004118AF"/>
    <w:rsid w:val="00413050"/>
    <w:rsid w:val="00413D5D"/>
    <w:rsid w:val="0041676B"/>
    <w:rsid w:val="00420CF0"/>
    <w:rsid w:val="004229FA"/>
    <w:rsid w:val="004237E7"/>
    <w:rsid w:val="004259FC"/>
    <w:rsid w:val="004268D1"/>
    <w:rsid w:val="0043361B"/>
    <w:rsid w:val="00444D6F"/>
    <w:rsid w:val="0044556C"/>
    <w:rsid w:val="00450CA4"/>
    <w:rsid w:val="00451D82"/>
    <w:rsid w:val="00473759"/>
    <w:rsid w:val="00474701"/>
    <w:rsid w:val="00475B51"/>
    <w:rsid w:val="00480369"/>
    <w:rsid w:val="00481045"/>
    <w:rsid w:val="00486FFD"/>
    <w:rsid w:val="00487AB5"/>
    <w:rsid w:val="00487F0A"/>
    <w:rsid w:val="004953A2"/>
    <w:rsid w:val="0049566F"/>
    <w:rsid w:val="00495A7D"/>
    <w:rsid w:val="004A31FD"/>
    <w:rsid w:val="004A3869"/>
    <w:rsid w:val="004A3F84"/>
    <w:rsid w:val="004A50FC"/>
    <w:rsid w:val="004B3417"/>
    <w:rsid w:val="004B685A"/>
    <w:rsid w:val="004B6F34"/>
    <w:rsid w:val="004C0876"/>
    <w:rsid w:val="004C2991"/>
    <w:rsid w:val="004C3BF2"/>
    <w:rsid w:val="004C74D4"/>
    <w:rsid w:val="004C77C6"/>
    <w:rsid w:val="004D2285"/>
    <w:rsid w:val="004D2D5F"/>
    <w:rsid w:val="004D3A00"/>
    <w:rsid w:val="004D61C6"/>
    <w:rsid w:val="004E1103"/>
    <w:rsid w:val="004E6492"/>
    <w:rsid w:val="005022DA"/>
    <w:rsid w:val="00505955"/>
    <w:rsid w:val="005063FF"/>
    <w:rsid w:val="00506DB1"/>
    <w:rsid w:val="0051590D"/>
    <w:rsid w:val="00516D82"/>
    <w:rsid w:val="0052145E"/>
    <w:rsid w:val="005231C9"/>
    <w:rsid w:val="00526008"/>
    <w:rsid w:val="00527B8F"/>
    <w:rsid w:val="00531F46"/>
    <w:rsid w:val="005327EF"/>
    <w:rsid w:val="0053536E"/>
    <w:rsid w:val="00537747"/>
    <w:rsid w:val="005406CE"/>
    <w:rsid w:val="00552C08"/>
    <w:rsid w:val="00552E9E"/>
    <w:rsid w:val="00553247"/>
    <w:rsid w:val="00556E67"/>
    <w:rsid w:val="0056537D"/>
    <w:rsid w:val="005713E9"/>
    <w:rsid w:val="00572494"/>
    <w:rsid w:val="00572599"/>
    <w:rsid w:val="00574452"/>
    <w:rsid w:val="00585F16"/>
    <w:rsid w:val="00587059"/>
    <w:rsid w:val="005876FB"/>
    <w:rsid w:val="00592E42"/>
    <w:rsid w:val="00594F28"/>
    <w:rsid w:val="005955BA"/>
    <w:rsid w:val="005A1D25"/>
    <w:rsid w:val="005A7B6F"/>
    <w:rsid w:val="005B2CA5"/>
    <w:rsid w:val="005B46EB"/>
    <w:rsid w:val="005B4F1C"/>
    <w:rsid w:val="005C229D"/>
    <w:rsid w:val="005C2CCA"/>
    <w:rsid w:val="005C6870"/>
    <w:rsid w:val="005C6FA1"/>
    <w:rsid w:val="005D0F9F"/>
    <w:rsid w:val="005D23CC"/>
    <w:rsid w:val="005D5C4A"/>
    <w:rsid w:val="005E0AF3"/>
    <w:rsid w:val="005E3641"/>
    <w:rsid w:val="005E51E1"/>
    <w:rsid w:val="005E6E24"/>
    <w:rsid w:val="005F16AC"/>
    <w:rsid w:val="005F6C0D"/>
    <w:rsid w:val="0060539D"/>
    <w:rsid w:val="00605A22"/>
    <w:rsid w:val="0060673E"/>
    <w:rsid w:val="00607F5A"/>
    <w:rsid w:val="0061149B"/>
    <w:rsid w:val="00611C9B"/>
    <w:rsid w:val="006132D8"/>
    <w:rsid w:val="006174F7"/>
    <w:rsid w:val="00617C80"/>
    <w:rsid w:val="006211C8"/>
    <w:rsid w:val="0063061F"/>
    <w:rsid w:val="0063194F"/>
    <w:rsid w:val="00632815"/>
    <w:rsid w:val="00636142"/>
    <w:rsid w:val="00637C40"/>
    <w:rsid w:val="00647C74"/>
    <w:rsid w:val="006546E3"/>
    <w:rsid w:val="00655A67"/>
    <w:rsid w:val="006566A2"/>
    <w:rsid w:val="00656C9C"/>
    <w:rsid w:val="00660C5C"/>
    <w:rsid w:val="00666358"/>
    <w:rsid w:val="00667895"/>
    <w:rsid w:val="006701B8"/>
    <w:rsid w:val="006734D0"/>
    <w:rsid w:val="00683A07"/>
    <w:rsid w:val="00685411"/>
    <w:rsid w:val="00685E66"/>
    <w:rsid w:val="00686E85"/>
    <w:rsid w:val="006923B2"/>
    <w:rsid w:val="00693BF2"/>
    <w:rsid w:val="00696722"/>
    <w:rsid w:val="006A5A0D"/>
    <w:rsid w:val="006B526E"/>
    <w:rsid w:val="006B52B0"/>
    <w:rsid w:val="006B53F5"/>
    <w:rsid w:val="006B7039"/>
    <w:rsid w:val="006C40DA"/>
    <w:rsid w:val="006C42AD"/>
    <w:rsid w:val="006C7C2D"/>
    <w:rsid w:val="006D0DC6"/>
    <w:rsid w:val="006D1784"/>
    <w:rsid w:val="006D510D"/>
    <w:rsid w:val="006E08BD"/>
    <w:rsid w:val="006E7828"/>
    <w:rsid w:val="006F1AAA"/>
    <w:rsid w:val="006F46AA"/>
    <w:rsid w:val="006F489D"/>
    <w:rsid w:val="006F6952"/>
    <w:rsid w:val="006F7313"/>
    <w:rsid w:val="006F7D0A"/>
    <w:rsid w:val="007016B6"/>
    <w:rsid w:val="00701EFA"/>
    <w:rsid w:val="00706E3F"/>
    <w:rsid w:val="00707BBA"/>
    <w:rsid w:val="007117DC"/>
    <w:rsid w:val="007210BD"/>
    <w:rsid w:val="00724279"/>
    <w:rsid w:val="007251FE"/>
    <w:rsid w:val="00726743"/>
    <w:rsid w:val="00733204"/>
    <w:rsid w:val="00746FC4"/>
    <w:rsid w:val="007476E5"/>
    <w:rsid w:val="0075120F"/>
    <w:rsid w:val="00755304"/>
    <w:rsid w:val="00755BC6"/>
    <w:rsid w:val="00757B71"/>
    <w:rsid w:val="00757D7A"/>
    <w:rsid w:val="0076036D"/>
    <w:rsid w:val="00762B80"/>
    <w:rsid w:val="007632C8"/>
    <w:rsid w:val="00764FE6"/>
    <w:rsid w:val="007669DF"/>
    <w:rsid w:val="00767067"/>
    <w:rsid w:val="00771328"/>
    <w:rsid w:val="00771DEB"/>
    <w:rsid w:val="00773B69"/>
    <w:rsid w:val="007754ED"/>
    <w:rsid w:val="00777389"/>
    <w:rsid w:val="007857B9"/>
    <w:rsid w:val="00790355"/>
    <w:rsid w:val="00792E2C"/>
    <w:rsid w:val="00797BFC"/>
    <w:rsid w:val="007A16A2"/>
    <w:rsid w:val="007A33B5"/>
    <w:rsid w:val="007A376A"/>
    <w:rsid w:val="007B1EB2"/>
    <w:rsid w:val="007B3820"/>
    <w:rsid w:val="007B4B6B"/>
    <w:rsid w:val="007B6E2C"/>
    <w:rsid w:val="007B790B"/>
    <w:rsid w:val="007D5448"/>
    <w:rsid w:val="007D5B1D"/>
    <w:rsid w:val="007D71A2"/>
    <w:rsid w:val="007D7DDA"/>
    <w:rsid w:val="007E1BE3"/>
    <w:rsid w:val="007E432B"/>
    <w:rsid w:val="007E5379"/>
    <w:rsid w:val="007F12E9"/>
    <w:rsid w:val="007F3735"/>
    <w:rsid w:val="007F3B03"/>
    <w:rsid w:val="007F3C87"/>
    <w:rsid w:val="007F7C42"/>
    <w:rsid w:val="007F7C86"/>
    <w:rsid w:val="00800B4F"/>
    <w:rsid w:val="0080118F"/>
    <w:rsid w:val="00801E4B"/>
    <w:rsid w:val="00802C51"/>
    <w:rsid w:val="00803B9B"/>
    <w:rsid w:val="0081081D"/>
    <w:rsid w:val="00813565"/>
    <w:rsid w:val="0081586F"/>
    <w:rsid w:val="0082469E"/>
    <w:rsid w:val="00826AA4"/>
    <w:rsid w:val="00827196"/>
    <w:rsid w:val="00830F42"/>
    <w:rsid w:val="00831FFC"/>
    <w:rsid w:val="00837A56"/>
    <w:rsid w:val="00840C3F"/>
    <w:rsid w:val="0084118B"/>
    <w:rsid w:val="00841B85"/>
    <w:rsid w:val="008453C2"/>
    <w:rsid w:val="00847954"/>
    <w:rsid w:val="00847B3A"/>
    <w:rsid w:val="00847C45"/>
    <w:rsid w:val="00847C5E"/>
    <w:rsid w:val="00852DD8"/>
    <w:rsid w:val="00857D04"/>
    <w:rsid w:val="00860340"/>
    <w:rsid w:val="00860716"/>
    <w:rsid w:val="008617C5"/>
    <w:rsid w:val="00862202"/>
    <w:rsid w:val="00867A18"/>
    <w:rsid w:val="00877843"/>
    <w:rsid w:val="008856A4"/>
    <w:rsid w:val="00892EA4"/>
    <w:rsid w:val="00894110"/>
    <w:rsid w:val="00895080"/>
    <w:rsid w:val="00895129"/>
    <w:rsid w:val="00895C90"/>
    <w:rsid w:val="0089682B"/>
    <w:rsid w:val="008A46DC"/>
    <w:rsid w:val="008B037C"/>
    <w:rsid w:val="008B607A"/>
    <w:rsid w:val="008B7747"/>
    <w:rsid w:val="008C09CD"/>
    <w:rsid w:val="008C5905"/>
    <w:rsid w:val="008C7B69"/>
    <w:rsid w:val="008D1C1E"/>
    <w:rsid w:val="008E3E5F"/>
    <w:rsid w:val="008E62B0"/>
    <w:rsid w:val="008F0772"/>
    <w:rsid w:val="008F25E5"/>
    <w:rsid w:val="00900E5D"/>
    <w:rsid w:val="0090320C"/>
    <w:rsid w:val="0090437C"/>
    <w:rsid w:val="00904465"/>
    <w:rsid w:val="0090539B"/>
    <w:rsid w:val="00910ACA"/>
    <w:rsid w:val="00913433"/>
    <w:rsid w:val="009148DB"/>
    <w:rsid w:val="0092360D"/>
    <w:rsid w:val="0093731A"/>
    <w:rsid w:val="00937E14"/>
    <w:rsid w:val="0094176E"/>
    <w:rsid w:val="00947D0A"/>
    <w:rsid w:val="009500B9"/>
    <w:rsid w:val="00951C93"/>
    <w:rsid w:val="00953385"/>
    <w:rsid w:val="00955C42"/>
    <w:rsid w:val="0095698E"/>
    <w:rsid w:val="00956F6F"/>
    <w:rsid w:val="009626D1"/>
    <w:rsid w:val="00962F8A"/>
    <w:rsid w:val="00966A27"/>
    <w:rsid w:val="00970F02"/>
    <w:rsid w:val="009724EC"/>
    <w:rsid w:val="00980BFC"/>
    <w:rsid w:val="00984780"/>
    <w:rsid w:val="00987434"/>
    <w:rsid w:val="009908BD"/>
    <w:rsid w:val="0099180D"/>
    <w:rsid w:val="00991C68"/>
    <w:rsid w:val="00993A16"/>
    <w:rsid w:val="009A4E2D"/>
    <w:rsid w:val="009B12B1"/>
    <w:rsid w:val="009B7E82"/>
    <w:rsid w:val="009C16BA"/>
    <w:rsid w:val="009C17F6"/>
    <w:rsid w:val="009C25D2"/>
    <w:rsid w:val="009C2B79"/>
    <w:rsid w:val="009C49AC"/>
    <w:rsid w:val="009C4A47"/>
    <w:rsid w:val="009C6EBE"/>
    <w:rsid w:val="009D0A55"/>
    <w:rsid w:val="009D0ECC"/>
    <w:rsid w:val="009D28C6"/>
    <w:rsid w:val="009D3B81"/>
    <w:rsid w:val="009D5CC5"/>
    <w:rsid w:val="009E1B15"/>
    <w:rsid w:val="009E384B"/>
    <w:rsid w:val="009E6CEE"/>
    <w:rsid w:val="009F3E6C"/>
    <w:rsid w:val="009F403C"/>
    <w:rsid w:val="009F5122"/>
    <w:rsid w:val="009F7921"/>
    <w:rsid w:val="00A00FA0"/>
    <w:rsid w:val="00A04381"/>
    <w:rsid w:val="00A05341"/>
    <w:rsid w:val="00A0670F"/>
    <w:rsid w:val="00A11649"/>
    <w:rsid w:val="00A11BA6"/>
    <w:rsid w:val="00A11E14"/>
    <w:rsid w:val="00A13A75"/>
    <w:rsid w:val="00A14BA3"/>
    <w:rsid w:val="00A210B2"/>
    <w:rsid w:val="00A21FF8"/>
    <w:rsid w:val="00A25197"/>
    <w:rsid w:val="00A32D22"/>
    <w:rsid w:val="00A401F5"/>
    <w:rsid w:val="00A40EE2"/>
    <w:rsid w:val="00A4139C"/>
    <w:rsid w:val="00A41F1D"/>
    <w:rsid w:val="00A42404"/>
    <w:rsid w:val="00A44541"/>
    <w:rsid w:val="00A53C8F"/>
    <w:rsid w:val="00A545D6"/>
    <w:rsid w:val="00A62F50"/>
    <w:rsid w:val="00A63F6F"/>
    <w:rsid w:val="00A646EF"/>
    <w:rsid w:val="00A65196"/>
    <w:rsid w:val="00A65FD2"/>
    <w:rsid w:val="00A67047"/>
    <w:rsid w:val="00A71811"/>
    <w:rsid w:val="00A75F87"/>
    <w:rsid w:val="00A819C2"/>
    <w:rsid w:val="00A82554"/>
    <w:rsid w:val="00A825D2"/>
    <w:rsid w:val="00A82FCF"/>
    <w:rsid w:val="00A83DF5"/>
    <w:rsid w:val="00A93672"/>
    <w:rsid w:val="00AA50CE"/>
    <w:rsid w:val="00AB06E2"/>
    <w:rsid w:val="00AB0C0B"/>
    <w:rsid w:val="00AB1086"/>
    <w:rsid w:val="00AB4CC8"/>
    <w:rsid w:val="00AB6981"/>
    <w:rsid w:val="00AB7DD8"/>
    <w:rsid w:val="00AC2C9A"/>
    <w:rsid w:val="00AC5875"/>
    <w:rsid w:val="00AC6EB8"/>
    <w:rsid w:val="00AD0D43"/>
    <w:rsid w:val="00AD4892"/>
    <w:rsid w:val="00AD7CC3"/>
    <w:rsid w:val="00AE0F0E"/>
    <w:rsid w:val="00AE1D87"/>
    <w:rsid w:val="00B10C10"/>
    <w:rsid w:val="00B13B96"/>
    <w:rsid w:val="00B14C13"/>
    <w:rsid w:val="00B153FD"/>
    <w:rsid w:val="00B1604F"/>
    <w:rsid w:val="00B23AB9"/>
    <w:rsid w:val="00B27349"/>
    <w:rsid w:val="00B30F43"/>
    <w:rsid w:val="00B33475"/>
    <w:rsid w:val="00B356DA"/>
    <w:rsid w:val="00B36F53"/>
    <w:rsid w:val="00B4322C"/>
    <w:rsid w:val="00B45018"/>
    <w:rsid w:val="00B45548"/>
    <w:rsid w:val="00B50FEE"/>
    <w:rsid w:val="00B51FCE"/>
    <w:rsid w:val="00B523A4"/>
    <w:rsid w:val="00B52BA3"/>
    <w:rsid w:val="00B61F86"/>
    <w:rsid w:val="00B65FBA"/>
    <w:rsid w:val="00B67858"/>
    <w:rsid w:val="00B718A3"/>
    <w:rsid w:val="00B73DF4"/>
    <w:rsid w:val="00B742F5"/>
    <w:rsid w:val="00B82217"/>
    <w:rsid w:val="00B9126E"/>
    <w:rsid w:val="00B91997"/>
    <w:rsid w:val="00B9453C"/>
    <w:rsid w:val="00B94FC0"/>
    <w:rsid w:val="00B953F4"/>
    <w:rsid w:val="00B962E5"/>
    <w:rsid w:val="00B97EB3"/>
    <w:rsid w:val="00BA0C9F"/>
    <w:rsid w:val="00BA1367"/>
    <w:rsid w:val="00BA1B36"/>
    <w:rsid w:val="00BA2DAF"/>
    <w:rsid w:val="00BA3CF7"/>
    <w:rsid w:val="00BB1E69"/>
    <w:rsid w:val="00BB2705"/>
    <w:rsid w:val="00BB3FEE"/>
    <w:rsid w:val="00BB46DF"/>
    <w:rsid w:val="00BB773D"/>
    <w:rsid w:val="00BB795C"/>
    <w:rsid w:val="00BC102F"/>
    <w:rsid w:val="00BC2FC0"/>
    <w:rsid w:val="00BD6773"/>
    <w:rsid w:val="00BE014A"/>
    <w:rsid w:val="00BE0E96"/>
    <w:rsid w:val="00BE11E7"/>
    <w:rsid w:val="00BF1AD4"/>
    <w:rsid w:val="00C04C8C"/>
    <w:rsid w:val="00C0728B"/>
    <w:rsid w:val="00C11312"/>
    <w:rsid w:val="00C2011C"/>
    <w:rsid w:val="00C23C15"/>
    <w:rsid w:val="00C24FA0"/>
    <w:rsid w:val="00C258E3"/>
    <w:rsid w:val="00C25DB0"/>
    <w:rsid w:val="00C26936"/>
    <w:rsid w:val="00C26A5E"/>
    <w:rsid w:val="00C26A63"/>
    <w:rsid w:val="00C26E54"/>
    <w:rsid w:val="00C31524"/>
    <w:rsid w:val="00C321AE"/>
    <w:rsid w:val="00C41634"/>
    <w:rsid w:val="00C42D82"/>
    <w:rsid w:val="00C43B40"/>
    <w:rsid w:val="00C527DD"/>
    <w:rsid w:val="00C52C7E"/>
    <w:rsid w:val="00C52E5E"/>
    <w:rsid w:val="00C5336A"/>
    <w:rsid w:val="00C56DF8"/>
    <w:rsid w:val="00C633F9"/>
    <w:rsid w:val="00C65E97"/>
    <w:rsid w:val="00C669EF"/>
    <w:rsid w:val="00C7091D"/>
    <w:rsid w:val="00C721E0"/>
    <w:rsid w:val="00C73F6E"/>
    <w:rsid w:val="00C83609"/>
    <w:rsid w:val="00C85B82"/>
    <w:rsid w:val="00C86069"/>
    <w:rsid w:val="00C8762A"/>
    <w:rsid w:val="00C87714"/>
    <w:rsid w:val="00C90161"/>
    <w:rsid w:val="00C92F7A"/>
    <w:rsid w:val="00C934A3"/>
    <w:rsid w:val="00C95F3E"/>
    <w:rsid w:val="00CA2841"/>
    <w:rsid w:val="00CA4F4E"/>
    <w:rsid w:val="00CA4F8E"/>
    <w:rsid w:val="00CB663D"/>
    <w:rsid w:val="00CC0043"/>
    <w:rsid w:val="00CC3F74"/>
    <w:rsid w:val="00CC4AC5"/>
    <w:rsid w:val="00CC544B"/>
    <w:rsid w:val="00CC7741"/>
    <w:rsid w:val="00CD22AD"/>
    <w:rsid w:val="00CD27AA"/>
    <w:rsid w:val="00CD37E4"/>
    <w:rsid w:val="00CD5398"/>
    <w:rsid w:val="00CD7531"/>
    <w:rsid w:val="00CE2D99"/>
    <w:rsid w:val="00CE2F8E"/>
    <w:rsid w:val="00CE4FA1"/>
    <w:rsid w:val="00CF5FA4"/>
    <w:rsid w:val="00D04734"/>
    <w:rsid w:val="00D05226"/>
    <w:rsid w:val="00D077B9"/>
    <w:rsid w:val="00D0791D"/>
    <w:rsid w:val="00D11774"/>
    <w:rsid w:val="00D11D54"/>
    <w:rsid w:val="00D1221A"/>
    <w:rsid w:val="00D14BDE"/>
    <w:rsid w:val="00D15118"/>
    <w:rsid w:val="00D21402"/>
    <w:rsid w:val="00D274E9"/>
    <w:rsid w:val="00D30575"/>
    <w:rsid w:val="00D30AE7"/>
    <w:rsid w:val="00D317A4"/>
    <w:rsid w:val="00D33F08"/>
    <w:rsid w:val="00D35F40"/>
    <w:rsid w:val="00D53009"/>
    <w:rsid w:val="00D53162"/>
    <w:rsid w:val="00D56CC9"/>
    <w:rsid w:val="00D630AD"/>
    <w:rsid w:val="00D642ED"/>
    <w:rsid w:val="00D6502C"/>
    <w:rsid w:val="00D7021E"/>
    <w:rsid w:val="00D70BEE"/>
    <w:rsid w:val="00D8609B"/>
    <w:rsid w:val="00D8798B"/>
    <w:rsid w:val="00D92CDD"/>
    <w:rsid w:val="00D9372A"/>
    <w:rsid w:val="00D93B96"/>
    <w:rsid w:val="00D97D58"/>
    <w:rsid w:val="00DA20FA"/>
    <w:rsid w:val="00DA28A6"/>
    <w:rsid w:val="00DB2D46"/>
    <w:rsid w:val="00DB733C"/>
    <w:rsid w:val="00DC394B"/>
    <w:rsid w:val="00DC49E9"/>
    <w:rsid w:val="00DD10C0"/>
    <w:rsid w:val="00DD3C29"/>
    <w:rsid w:val="00DD463B"/>
    <w:rsid w:val="00DE0741"/>
    <w:rsid w:val="00DF373B"/>
    <w:rsid w:val="00DF5499"/>
    <w:rsid w:val="00DF7790"/>
    <w:rsid w:val="00E00B8F"/>
    <w:rsid w:val="00E0372F"/>
    <w:rsid w:val="00E103E6"/>
    <w:rsid w:val="00E109D2"/>
    <w:rsid w:val="00E11371"/>
    <w:rsid w:val="00E12C74"/>
    <w:rsid w:val="00E13360"/>
    <w:rsid w:val="00E17094"/>
    <w:rsid w:val="00E203CC"/>
    <w:rsid w:val="00E21AB2"/>
    <w:rsid w:val="00E234E5"/>
    <w:rsid w:val="00E31FA1"/>
    <w:rsid w:val="00E42C13"/>
    <w:rsid w:val="00E454E0"/>
    <w:rsid w:val="00E47A5F"/>
    <w:rsid w:val="00E508F1"/>
    <w:rsid w:val="00E544D2"/>
    <w:rsid w:val="00E56CEA"/>
    <w:rsid w:val="00E607D8"/>
    <w:rsid w:val="00E62002"/>
    <w:rsid w:val="00E6272A"/>
    <w:rsid w:val="00E63B19"/>
    <w:rsid w:val="00E6754E"/>
    <w:rsid w:val="00E71125"/>
    <w:rsid w:val="00E72E03"/>
    <w:rsid w:val="00E750A6"/>
    <w:rsid w:val="00E80CB0"/>
    <w:rsid w:val="00E81970"/>
    <w:rsid w:val="00E82B11"/>
    <w:rsid w:val="00E87802"/>
    <w:rsid w:val="00EA2C53"/>
    <w:rsid w:val="00EA2F2D"/>
    <w:rsid w:val="00EA3F16"/>
    <w:rsid w:val="00EB0F1D"/>
    <w:rsid w:val="00EB14D3"/>
    <w:rsid w:val="00EB2118"/>
    <w:rsid w:val="00EB58EC"/>
    <w:rsid w:val="00EC166A"/>
    <w:rsid w:val="00EC5F77"/>
    <w:rsid w:val="00ED3ED7"/>
    <w:rsid w:val="00ED75D1"/>
    <w:rsid w:val="00ED7A59"/>
    <w:rsid w:val="00EE727B"/>
    <w:rsid w:val="00EF0F41"/>
    <w:rsid w:val="00EF4066"/>
    <w:rsid w:val="00F00AD2"/>
    <w:rsid w:val="00F04685"/>
    <w:rsid w:val="00F0483C"/>
    <w:rsid w:val="00F05796"/>
    <w:rsid w:val="00F06BC9"/>
    <w:rsid w:val="00F0768A"/>
    <w:rsid w:val="00F07A66"/>
    <w:rsid w:val="00F10924"/>
    <w:rsid w:val="00F11AB5"/>
    <w:rsid w:val="00F1284E"/>
    <w:rsid w:val="00F1396A"/>
    <w:rsid w:val="00F140DA"/>
    <w:rsid w:val="00F157CA"/>
    <w:rsid w:val="00F15888"/>
    <w:rsid w:val="00F167E3"/>
    <w:rsid w:val="00F3149F"/>
    <w:rsid w:val="00F344B2"/>
    <w:rsid w:val="00F36E57"/>
    <w:rsid w:val="00F43A6C"/>
    <w:rsid w:val="00F440D4"/>
    <w:rsid w:val="00F45150"/>
    <w:rsid w:val="00F50A21"/>
    <w:rsid w:val="00F543E4"/>
    <w:rsid w:val="00F544E0"/>
    <w:rsid w:val="00F60F9A"/>
    <w:rsid w:val="00F616C4"/>
    <w:rsid w:val="00F639AB"/>
    <w:rsid w:val="00F64A2A"/>
    <w:rsid w:val="00F70DB9"/>
    <w:rsid w:val="00F773B8"/>
    <w:rsid w:val="00F82A7B"/>
    <w:rsid w:val="00F836C6"/>
    <w:rsid w:val="00FA0DBE"/>
    <w:rsid w:val="00FA3ECD"/>
    <w:rsid w:val="00FA552F"/>
    <w:rsid w:val="00FB3C52"/>
    <w:rsid w:val="00FC2839"/>
    <w:rsid w:val="00FC79D9"/>
    <w:rsid w:val="00FD09B1"/>
    <w:rsid w:val="00FD1815"/>
    <w:rsid w:val="00FD1C2A"/>
    <w:rsid w:val="00FD34CB"/>
    <w:rsid w:val="00FD3545"/>
    <w:rsid w:val="00FD42C1"/>
    <w:rsid w:val="00FD4FB9"/>
    <w:rsid w:val="00FD56FE"/>
    <w:rsid w:val="00FE0ACF"/>
    <w:rsid w:val="00FE1578"/>
    <w:rsid w:val="00FE4EB7"/>
    <w:rsid w:val="00FF0114"/>
    <w:rsid w:val="00FF3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83EC"/>
  <w15:chartTrackingRefBased/>
  <w15:docId w15:val="{A33D6CC5-755A-47CC-BCF3-AEDDC6DD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4B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79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C79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C79D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39C"/>
    <w:pPr>
      <w:ind w:left="720"/>
      <w:contextualSpacing/>
    </w:pPr>
  </w:style>
  <w:style w:type="paragraph" w:styleId="Title">
    <w:name w:val="Title"/>
    <w:basedOn w:val="Normal"/>
    <w:next w:val="Normal"/>
    <w:link w:val="TitleChar"/>
    <w:uiPriority w:val="10"/>
    <w:qFormat/>
    <w:rsid w:val="00831F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FF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B4B35"/>
    <w:rPr>
      <w:rFonts w:asciiTheme="majorHAnsi" w:eastAsiaTheme="majorEastAsia" w:hAnsiTheme="majorHAnsi" w:cstheme="majorBidi"/>
      <w:color w:val="2F5496" w:themeColor="accent1" w:themeShade="BF"/>
      <w:sz w:val="32"/>
      <w:szCs w:val="32"/>
    </w:rPr>
  </w:style>
  <w:style w:type="table" w:styleId="GridTable1Light-Accent1">
    <w:name w:val="Grid Table 1 Light Accent 1"/>
    <w:basedOn w:val="TableNormal"/>
    <w:uiPriority w:val="46"/>
    <w:rsid w:val="00FC79D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FC79D9"/>
    <w:pPr>
      <w:spacing w:after="0" w:line="240" w:lineRule="auto"/>
    </w:pPr>
    <w:rPr>
      <w:sz w:val="24"/>
      <w:szCs w:val="24"/>
    </w:rPr>
  </w:style>
  <w:style w:type="character" w:customStyle="1" w:styleId="FootnoteTextChar">
    <w:name w:val="Footnote Text Char"/>
    <w:basedOn w:val="DefaultParagraphFont"/>
    <w:link w:val="FootnoteText"/>
    <w:uiPriority w:val="99"/>
    <w:rsid w:val="00FC79D9"/>
    <w:rPr>
      <w:sz w:val="24"/>
      <w:szCs w:val="24"/>
    </w:rPr>
  </w:style>
  <w:style w:type="character" w:customStyle="1" w:styleId="Heading2Char">
    <w:name w:val="Heading 2 Char"/>
    <w:basedOn w:val="DefaultParagraphFont"/>
    <w:link w:val="Heading2"/>
    <w:uiPriority w:val="9"/>
    <w:rsid w:val="00FC79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C79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C79D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5B2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CA5"/>
  </w:style>
  <w:style w:type="paragraph" w:styleId="Footer">
    <w:name w:val="footer"/>
    <w:basedOn w:val="Normal"/>
    <w:link w:val="FooterChar"/>
    <w:uiPriority w:val="99"/>
    <w:unhideWhenUsed/>
    <w:rsid w:val="005B2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CA5"/>
  </w:style>
  <w:style w:type="table" w:styleId="TableGrid">
    <w:name w:val="Table Grid"/>
    <w:basedOn w:val="TableNormal"/>
    <w:uiPriority w:val="39"/>
    <w:rsid w:val="00C6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E4D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91997"/>
    <w:rPr>
      <w:sz w:val="16"/>
      <w:szCs w:val="16"/>
    </w:rPr>
  </w:style>
  <w:style w:type="paragraph" w:styleId="CommentText">
    <w:name w:val="annotation text"/>
    <w:basedOn w:val="Normal"/>
    <w:link w:val="CommentTextChar"/>
    <w:uiPriority w:val="99"/>
    <w:semiHidden/>
    <w:unhideWhenUsed/>
    <w:rsid w:val="00B91997"/>
    <w:pPr>
      <w:spacing w:line="240" w:lineRule="auto"/>
    </w:pPr>
    <w:rPr>
      <w:sz w:val="20"/>
      <w:szCs w:val="20"/>
    </w:rPr>
  </w:style>
  <w:style w:type="character" w:customStyle="1" w:styleId="CommentTextChar">
    <w:name w:val="Comment Text Char"/>
    <w:basedOn w:val="DefaultParagraphFont"/>
    <w:link w:val="CommentText"/>
    <w:uiPriority w:val="99"/>
    <w:semiHidden/>
    <w:rsid w:val="00B91997"/>
    <w:rPr>
      <w:sz w:val="20"/>
      <w:szCs w:val="20"/>
    </w:rPr>
  </w:style>
  <w:style w:type="paragraph" w:styleId="CommentSubject">
    <w:name w:val="annotation subject"/>
    <w:basedOn w:val="CommentText"/>
    <w:next w:val="CommentText"/>
    <w:link w:val="CommentSubjectChar"/>
    <w:uiPriority w:val="99"/>
    <w:semiHidden/>
    <w:unhideWhenUsed/>
    <w:rsid w:val="00B91997"/>
    <w:rPr>
      <w:b/>
      <w:bCs/>
    </w:rPr>
  </w:style>
  <w:style w:type="character" w:customStyle="1" w:styleId="CommentSubjectChar">
    <w:name w:val="Comment Subject Char"/>
    <w:basedOn w:val="CommentTextChar"/>
    <w:link w:val="CommentSubject"/>
    <w:uiPriority w:val="99"/>
    <w:semiHidden/>
    <w:rsid w:val="00B91997"/>
    <w:rPr>
      <w:b/>
      <w:bCs/>
      <w:sz w:val="20"/>
      <w:szCs w:val="20"/>
    </w:rPr>
  </w:style>
  <w:style w:type="character" w:styleId="FootnoteReference">
    <w:name w:val="footnote reference"/>
    <w:basedOn w:val="DefaultParagraphFont"/>
    <w:uiPriority w:val="99"/>
    <w:unhideWhenUsed/>
    <w:rsid w:val="007A376A"/>
    <w:rPr>
      <w:vertAlign w:val="superscript"/>
    </w:rPr>
  </w:style>
  <w:style w:type="table" w:styleId="GridTable1Light-Accent5">
    <w:name w:val="Grid Table 1 Light Accent 5"/>
    <w:basedOn w:val="TableNormal"/>
    <w:uiPriority w:val="46"/>
    <w:rsid w:val="0058705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7D7D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F6D5A"/>
    <w:rPr>
      <w:color w:val="0563C1" w:themeColor="hyperlink"/>
      <w:u w:val="single"/>
    </w:rPr>
  </w:style>
  <w:style w:type="character" w:customStyle="1" w:styleId="UnresolvedMention1">
    <w:name w:val="Unresolved Mention1"/>
    <w:basedOn w:val="DefaultParagraphFont"/>
    <w:uiPriority w:val="99"/>
    <w:semiHidden/>
    <w:unhideWhenUsed/>
    <w:rsid w:val="003F6D5A"/>
    <w:rPr>
      <w:color w:val="605E5C"/>
      <w:shd w:val="clear" w:color="auto" w:fill="E1DFDD"/>
    </w:rPr>
  </w:style>
  <w:style w:type="paragraph" w:styleId="TOCHeading">
    <w:name w:val="TOC Heading"/>
    <w:basedOn w:val="Heading1"/>
    <w:next w:val="Normal"/>
    <w:uiPriority w:val="39"/>
    <w:unhideWhenUsed/>
    <w:qFormat/>
    <w:rsid w:val="00FD34CB"/>
    <w:pPr>
      <w:outlineLvl w:val="9"/>
    </w:pPr>
  </w:style>
  <w:style w:type="paragraph" w:styleId="TOC1">
    <w:name w:val="toc 1"/>
    <w:basedOn w:val="Normal"/>
    <w:next w:val="Normal"/>
    <w:autoRedefine/>
    <w:uiPriority w:val="39"/>
    <w:unhideWhenUsed/>
    <w:rsid w:val="00FD34CB"/>
    <w:pPr>
      <w:spacing w:after="100"/>
    </w:pPr>
  </w:style>
  <w:style w:type="paragraph" w:styleId="TOC2">
    <w:name w:val="toc 2"/>
    <w:basedOn w:val="Normal"/>
    <w:next w:val="Normal"/>
    <w:autoRedefine/>
    <w:uiPriority w:val="39"/>
    <w:unhideWhenUsed/>
    <w:rsid w:val="00FD34CB"/>
    <w:pPr>
      <w:spacing w:after="100"/>
      <w:ind w:left="220"/>
    </w:pPr>
  </w:style>
  <w:style w:type="paragraph" w:styleId="TOC3">
    <w:name w:val="toc 3"/>
    <w:basedOn w:val="Normal"/>
    <w:next w:val="Normal"/>
    <w:autoRedefine/>
    <w:uiPriority w:val="39"/>
    <w:unhideWhenUsed/>
    <w:rsid w:val="00FD34CB"/>
    <w:pPr>
      <w:spacing w:after="100"/>
      <w:ind w:left="440"/>
    </w:pPr>
  </w:style>
  <w:style w:type="paragraph" w:styleId="BalloonText">
    <w:name w:val="Balloon Text"/>
    <w:basedOn w:val="Normal"/>
    <w:link w:val="BalloonTextChar"/>
    <w:uiPriority w:val="99"/>
    <w:semiHidden/>
    <w:unhideWhenUsed/>
    <w:rsid w:val="009E6C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C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34248">
      <w:bodyDiv w:val="1"/>
      <w:marLeft w:val="0"/>
      <w:marRight w:val="0"/>
      <w:marTop w:val="0"/>
      <w:marBottom w:val="0"/>
      <w:divBdr>
        <w:top w:val="none" w:sz="0" w:space="0" w:color="auto"/>
        <w:left w:val="none" w:sz="0" w:space="0" w:color="auto"/>
        <w:bottom w:val="none" w:sz="0" w:space="0" w:color="auto"/>
        <w:right w:val="none" w:sz="0" w:space="0" w:color="auto"/>
      </w:divBdr>
      <w:divsChild>
        <w:div w:id="1309356082">
          <w:marLeft w:val="0"/>
          <w:marRight w:val="0"/>
          <w:marTop w:val="0"/>
          <w:marBottom w:val="0"/>
          <w:divBdr>
            <w:top w:val="none" w:sz="0" w:space="0" w:color="auto"/>
            <w:left w:val="none" w:sz="0" w:space="0" w:color="auto"/>
            <w:bottom w:val="none" w:sz="0" w:space="0" w:color="auto"/>
            <w:right w:val="none" w:sz="0" w:space="0" w:color="auto"/>
          </w:divBdr>
          <w:divsChild>
            <w:div w:id="1638366239">
              <w:marLeft w:val="0"/>
              <w:marRight w:val="0"/>
              <w:marTop w:val="0"/>
              <w:marBottom w:val="0"/>
              <w:divBdr>
                <w:top w:val="none" w:sz="0" w:space="0" w:color="auto"/>
                <w:left w:val="none" w:sz="0" w:space="0" w:color="auto"/>
                <w:bottom w:val="none" w:sz="0" w:space="0" w:color="auto"/>
                <w:right w:val="none" w:sz="0" w:space="0" w:color="auto"/>
              </w:divBdr>
              <w:divsChild>
                <w:div w:id="135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430404">
      <w:bodyDiv w:val="1"/>
      <w:marLeft w:val="0"/>
      <w:marRight w:val="0"/>
      <w:marTop w:val="0"/>
      <w:marBottom w:val="0"/>
      <w:divBdr>
        <w:top w:val="none" w:sz="0" w:space="0" w:color="auto"/>
        <w:left w:val="none" w:sz="0" w:space="0" w:color="auto"/>
        <w:bottom w:val="none" w:sz="0" w:space="0" w:color="auto"/>
        <w:right w:val="none" w:sz="0" w:space="0" w:color="auto"/>
      </w:divBdr>
      <w:divsChild>
        <w:div w:id="624967165">
          <w:marLeft w:val="0"/>
          <w:marRight w:val="0"/>
          <w:marTop w:val="0"/>
          <w:marBottom w:val="0"/>
          <w:divBdr>
            <w:top w:val="none" w:sz="0" w:space="0" w:color="auto"/>
            <w:left w:val="none" w:sz="0" w:space="0" w:color="auto"/>
            <w:bottom w:val="none" w:sz="0" w:space="0" w:color="auto"/>
            <w:right w:val="none" w:sz="0" w:space="0" w:color="auto"/>
          </w:divBdr>
          <w:divsChild>
            <w:div w:id="250048407">
              <w:marLeft w:val="0"/>
              <w:marRight w:val="0"/>
              <w:marTop w:val="0"/>
              <w:marBottom w:val="0"/>
              <w:divBdr>
                <w:top w:val="none" w:sz="0" w:space="0" w:color="auto"/>
                <w:left w:val="none" w:sz="0" w:space="0" w:color="auto"/>
                <w:bottom w:val="none" w:sz="0" w:space="0" w:color="auto"/>
                <w:right w:val="none" w:sz="0" w:space="0" w:color="auto"/>
              </w:divBdr>
              <w:divsChild>
                <w:div w:id="1469475274">
                  <w:marLeft w:val="0"/>
                  <w:marRight w:val="0"/>
                  <w:marTop w:val="0"/>
                  <w:marBottom w:val="0"/>
                  <w:divBdr>
                    <w:top w:val="none" w:sz="0" w:space="0" w:color="auto"/>
                    <w:left w:val="none" w:sz="0" w:space="0" w:color="auto"/>
                    <w:bottom w:val="none" w:sz="0" w:space="0" w:color="auto"/>
                    <w:right w:val="none" w:sz="0" w:space="0" w:color="auto"/>
                  </w:divBdr>
                  <w:divsChild>
                    <w:div w:id="13437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95904">
      <w:bodyDiv w:val="1"/>
      <w:marLeft w:val="0"/>
      <w:marRight w:val="0"/>
      <w:marTop w:val="0"/>
      <w:marBottom w:val="0"/>
      <w:divBdr>
        <w:top w:val="none" w:sz="0" w:space="0" w:color="auto"/>
        <w:left w:val="none" w:sz="0" w:space="0" w:color="auto"/>
        <w:bottom w:val="none" w:sz="0" w:space="0" w:color="auto"/>
        <w:right w:val="none" w:sz="0" w:space="0" w:color="auto"/>
      </w:divBdr>
      <w:divsChild>
        <w:div w:id="1911575435">
          <w:marLeft w:val="0"/>
          <w:marRight w:val="0"/>
          <w:marTop w:val="0"/>
          <w:marBottom w:val="0"/>
          <w:divBdr>
            <w:top w:val="none" w:sz="0" w:space="0" w:color="auto"/>
            <w:left w:val="none" w:sz="0" w:space="0" w:color="auto"/>
            <w:bottom w:val="none" w:sz="0" w:space="0" w:color="auto"/>
            <w:right w:val="none" w:sz="0" w:space="0" w:color="auto"/>
          </w:divBdr>
          <w:divsChild>
            <w:div w:id="511645937">
              <w:marLeft w:val="0"/>
              <w:marRight w:val="0"/>
              <w:marTop w:val="0"/>
              <w:marBottom w:val="0"/>
              <w:divBdr>
                <w:top w:val="none" w:sz="0" w:space="0" w:color="auto"/>
                <w:left w:val="none" w:sz="0" w:space="0" w:color="auto"/>
                <w:bottom w:val="none" w:sz="0" w:space="0" w:color="auto"/>
                <w:right w:val="none" w:sz="0" w:space="0" w:color="auto"/>
              </w:divBdr>
              <w:divsChild>
                <w:div w:id="8539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7690">
      <w:bodyDiv w:val="1"/>
      <w:marLeft w:val="0"/>
      <w:marRight w:val="0"/>
      <w:marTop w:val="0"/>
      <w:marBottom w:val="0"/>
      <w:divBdr>
        <w:top w:val="none" w:sz="0" w:space="0" w:color="auto"/>
        <w:left w:val="none" w:sz="0" w:space="0" w:color="auto"/>
        <w:bottom w:val="none" w:sz="0" w:space="0" w:color="auto"/>
        <w:right w:val="none" w:sz="0" w:space="0" w:color="auto"/>
      </w:divBdr>
      <w:divsChild>
        <w:div w:id="2003923643">
          <w:marLeft w:val="0"/>
          <w:marRight w:val="0"/>
          <w:marTop w:val="0"/>
          <w:marBottom w:val="0"/>
          <w:divBdr>
            <w:top w:val="none" w:sz="0" w:space="0" w:color="auto"/>
            <w:left w:val="none" w:sz="0" w:space="0" w:color="auto"/>
            <w:bottom w:val="none" w:sz="0" w:space="0" w:color="auto"/>
            <w:right w:val="none" w:sz="0" w:space="0" w:color="auto"/>
          </w:divBdr>
          <w:divsChild>
            <w:div w:id="361169276">
              <w:marLeft w:val="0"/>
              <w:marRight w:val="0"/>
              <w:marTop w:val="0"/>
              <w:marBottom w:val="0"/>
              <w:divBdr>
                <w:top w:val="none" w:sz="0" w:space="0" w:color="auto"/>
                <w:left w:val="none" w:sz="0" w:space="0" w:color="auto"/>
                <w:bottom w:val="none" w:sz="0" w:space="0" w:color="auto"/>
                <w:right w:val="none" w:sz="0" w:space="0" w:color="auto"/>
              </w:divBdr>
              <w:divsChild>
                <w:div w:id="15605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03181">
      <w:bodyDiv w:val="1"/>
      <w:marLeft w:val="0"/>
      <w:marRight w:val="0"/>
      <w:marTop w:val="0"/>
      <w:marBottom w:val="0"/>
      <w:divBdr>
        <w:top w:val="none" w:sz="0" w:space="0" w:color="auto"/>
        <w:left w:val="none" w:sz="0" w:space="0" w:color="auto"/>
        <w:bottom w:val="none" w:sz="0" w:space="0" w:color="auto"/>
        <w:right w:val="none" w:sz="0" w:space="0" w:color="auto"/>
      </w:divBdr>
      <w:divsChild>
        <w:div w:id="1447965914">
          <w:marLeft w:val="0"/>
          <w:marRight w:val="0"/>
          <w:marTop w:val="0"/>
          <w:marBottom w:val="0"/>
          <w:divBdr>
            <w:top w:val="none" w:sz="0" w:space="0" w:color="auto"/>
            <w:left w:val="none" w:sz="0" w:space="0" w:color="auto"/>
            <w:bottom w:val="none" w:sz="0" w:space="0" w:color="auto"/>
            <w:right w:val="none" w:sz="0" w:space="0" w:color="auto"/>
          </w:divBdr>
          <w:divsChild>
            <w:div w:id="1658457118">
              <w:marLeft w:val="0"/>
              <w:marRight w:val="0"/>
              <w:marTop w:val="0"/>
              <w:marBottom w:val="0"/>
              <w:divBdr>
                <w:top w:val="none" w:sz="0" w:space="0" w:color="auto"/>
                <w:left w:val="none" w:sz="0" w:space="0" w:color="auto"/>
                <w:bottom w:val="none" w:sz="0" w:space="0" w:color="auto"/>
                <w:right w:val="none" w:sz="0" w:space="0" w:color="auto"/>
              </w:divBdr>
              <w:divsChild>
                <w:div w:id="1106391339">
                  <w:marLeft w:val="0"/>
                  <w:marRight w:val="0"/>
                  <w:marTop w:val="0"/>
                  <w:marBottom w:val="0"/>
                  <w:divBdr>
                    <w:top w:val="none" w:sz="0" w:space="0" w:color="auto"/>
                    <w:left w:val="none" w:sz="0" w:space="0" w:color="auto"/>
                    <w:bottom w:val="none" w:sz="0" w:space="0" w:color="auto"/>
                    <w:right w:val="none" w:sz="0" w:space="0" w:color="auto"/>
                  </w:divBdr>
                  <w:divsChild>
                    <w:div w:id="13252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767693">
      <w:bodyDiv w:val="1"/>
      <w:marLeft w:val="0"/>
      <w:marRight w:val="0"/>
      <w:marTop w:val="0"/>
      <w:marBottom w:val="0"/>
      <w:divBdr>
        <w:top w:val="none" w:sz="0" w:space="0" w:color="auto"/>
        <w:left w:val="none" w:sz="0" w:space="0" w:color="auto"/>
        <w:bottom w:val="none" w:sz="0" w:space="0" w:color="auto"/>
        <w:right w:val="none" w:sz="0" w:space="0" w:color="auto"/>
      </w:divBdr>
      <w:divsChild>
        <w:div w:id="986127630">
          <w:marLeft w:val="0"/>
          <w:marRight w:val="0"/>
          <w:marTop w:val="0"/>
          <w:marBottom w:val="0"/>
          <w:divBdr>
            <w:top w:val="none" w:sz="0" w:space="0" w:color="auto"/>
            <w:left w:val="none" w:sz="0" w:space="0" w:color="auto"/>
            <w:bottom w:val="none" w:sz="0" w:space="0" w:color="auto"/>
            <w:right w:val="none" w:sz="0" w:space="0" w:color="auto"/>
          </w:divBdr>
          <w:divsChild>
            <w:div w:id="629481325">
              <w:marLeft w:val="0"/>
              <w:marRight w:val="0"/>
              <w:marTop w:val="0"/>
              <w:marBottom w:val="0"/>
              <w:divBdr>
                <w:top w:val="none" w:sz="0" w:space="0" w:color="auto"/>
                <w:left w:val="none" w:sz="0" w:space="0" w:color="auto"/>
                <w:bottom w:val="none" w:sz="0" w:space="0" w:color="auto"/>
                <w:right w:val="none" w:sz="0" w:space="0" w:color="auto"/>
              </w:divBdr>
              <w:divsChild>
                <w:div w:id="15841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0761">
      <w:bodyDiv w:val="1"/>
      <w:marLeft w:val="0"/>
      <w:marRight w:val="0"/>
      <w:marTop w:val="0"/>
      <w:marBottom w:val="0"/>
      <w:divBdr>
        <w:top w:val="none" w:sz="0" w:space="0" w:color="auto"/>
        <w:left w:val="none" w:sz="0" w:space="0" w:color="auto"/>
        <w:bottom w:val="none" w:sz="0" w:space="0" w:color="auto"/>
        <w:right w:val="none" w:sz="0" w:space="0" w:color="auto"/>
      </w:divBdr>
      <w:divsChild>
        <w:div w:id="1862737327">
          <w:marLeft w:val="0"/>
          <w:marRight w:val="0"/>
          <w:marTop w:val="0"/>
          <w:marBottom w:val="0"/>
          <w:divBdr>
            <w:top w:val="none" w:sz="0" w:space="0" w:color="auto"/>
            <w:left w:val="none" w:sz="0" w:space="0" w:color="auto"/>
            <w:bottom w:val="none" w:sz="0" w:space="0" w:color="auto"/>
            <w:right w:val="none" w:sz="0" w:space="0" w:color="auto"/>
          </w:divBdr>
          <w:divsChild>
            <w:div w:id="1143350998">
              <w:marLeft w:val="0"/>
              <w:marRight w:val="0"/>
              <w:marTop w:val="0"/>
              <w:marBottom w:val="0"/>
              <w:divBdr>
                <w:top w:val="none" w:sz="0" w:space="0" w:color="auto"/>
                <w:left w:val="none" w:sz="0" w:space="0" w:color="auto"/>
                <w:bottom w:val="none" w:sz="0" w:space="0" w:color="auto"/>
                <w:right w:val="none" w:sz="0" w:space="0" w:color="auto"/>
              </w:divBdr>
              <w:divsChild>
                <w:div w:id="19063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5522">
      <w:bodyDiv w:val="1"/>
      <w:marLeft w:val="0"/>
      <w:marRight w:val="0"/>
      <w:marTop w:val="0"/>
      <w:marBottom w:val="0"/>
      <w:divBdr>
        <w:top w:val="none" w:sz="0" w:space="0" w:color="auto"/>
        <w:left w:val="none" w:sz="0" w:space="0" w:color="auto"/>
        <w:bottom w:val="none" w:sz="0" w:space="0" w:color="auto"/>
        <w:right w:val="none" w:sz="0" w:space="0" w:color="auto"/>
      </w:divBdr>
      <w:divsChild>
        <w:div w:id="1681348756">
          <w:marLeft w:val="0"/>
          <w:marRight w:val="0"/>
          <w:marTop w:val="0"/>
          <w:marBottom w:val="0"/>
          <w:divBdr>
            <w:top w:val="none" w:sz="0" w:space="0" w:color="auto"/>
            <w:left w:val="none" w:sz="0" w:space="0" w:color="auto"/>
            <w:bottom w:val="none" w:sz="0" w:space="0" w:color="auto"/>
            <w:right w:val="none" w:sz="0" w:space="0" w:color="auto"/>
          </w:divBdr>
          <w:divsChild>
            <w:div w:id="1295021187">
              <w:marLeft w:val="0"/>
              <w:marRight w:val="0"/>
              <w:marTop w:val="0"/>
              <w:marBottom w:val="0"/>
              <w:divBdr>
                <w:top w:val="none" w:sz="0" w:space="0" w:color="auto"/>
                <w:left w:val="none" w:sz="0" w:space="0" w:color="auto"/>
                <w:bottom w:val="none" w:sz="0" w:space="0" w:color="auto"/>
                <w:right w:val="none" w:sz="0" w:space="0" w:color="auto"/>
              </w:divBdr>
              <w:divsChild>
                <w:div w:id="201726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87442">
      <w:bodyDiv w:val="1"/>
      <w:marLeft w:val="0"/>
      <w:marRight w:val="0"/>
      <w:marTop w:val="0"/>
      <w:marBottom w:val="0"/>
      <w:divBdr>
        <w:top w:val="none" w:sz="0" w:space="0" w:color="auto"/>
        <w:left w:val="none" w:sz="0" w:space="0" w:color="auto"/>
        <w:bottom w:val="none" w:sz="0" w:space="0" w:color="auto"/>
        <w:right w:val="none" w:sz="0" w:space="0" w:color="auto"/>
      </w:divBdr>
      <w:divsChild>
        <w:div w:id="209196132">
          <w:marLeft w:val="0"/>
          <w:marRight w:val="0"/>
          <w:marTop w:val="0"/>
          <w:marBottom w:val="0"/>
          <w:divBdr>
            <w:top w:val="none" w:sz="0" w:space="0" w:color="auto"/>
            <w:left w:val="none" w:sz="0" w:space="0" w:color="auto"/>
            <w:bottom w:val="none" w:sz="0" w:space="0" w:color="auto"/>
            <w:right w:val="none" w:sz="0" w:space="0" w:color="auto"/>
          </w:divBdr>
          <w:divsChild>
            <w:div w:id="37707439">
              <w:marLeft w:val="0"/>
              <w:marRight w:val="0"/>
              <w:marTop w:val="0"/>
              <w:marBottom w:val="0"/>
              <w:divBdr>
                <w:top w:val="none" w:sz="0" w:space="0" w:color="auto"/>
                <w:left w:val="none" w:sz="0" w:space="0" w:color="auto"/>
                <w:bottom w:val="none" w:sz="0" w:space="0" w:color="auto"/>
                <w:right w:val="none" w:sz="0" w:space="0" w:color="auto"/>
              </w:divBdr>
              <w:divsChild>
                <w:div w:id="136906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6706">
      <w:bodyDiv w:val="1"/>
      <w:marLeft w:val="0"/>
      <w:marRight w:val="0"/>
      <w:marTop w:val="0"/>
      <w:marBottom w:val="0"/>
      <w:divBdr>
        <w:top w:val="none" w:sz="0" w:space="0" w:color="auto"/>
        <w:left w:val="none" w:sz="0" w:space="0" w:color="auto"/>
        <w:bottom w:val="none" w:sz="0" w:space="0" w:color="auto"/>
        <w:right w:val="none" w:sz="0" w:space="0" w:color="auto"/>
      </w:divBdr>
      <w:divsChild>
        <w:div w:id="874587774">
          <w:marLeft w:val="0"/>
          <w:marRight w:val="0"/>
          <w:marTop w:val="0"/>
          <w:marBottom w:val="0"/>
          <w:divBdr>
            <w:top w:val="none" w:sz="0" w:space="0" w:color="auto"/>
            <w:left w:val="none" w:sz="0" w:space="0" w:color="auto"/>
            <w:bottom w:val="none" w:sz="0" w:space="0" w:color="auto"/>
            <w:right w:val="none" w:sz="0" w:space="0" w:color="auto"/>
          </w:divBdr>
          <w:divsChild>
            <w:div w:id="1012298187">
              <w:marLeft w:val="0"/>
              <w:marRight w:val="0"/>
              <w:marTop w:val="0"/>
              <w:marBottom w:val="0"/>
              <w:divBdr>
                <w:top w:val="none" w:sz="0" w:space="0" w:color="auto"/>
                <w:left w:val="none" w:sz="0" w:space="0" w:color="auto"/>
                <w:bottom w:val="none" w:sz="0" w:space="0" w:color="auto"/>
                <w:right w:val="none" w:sz="0" w:space="0" w:color="auto"/>
              </w:divBdr>
              <w:divsChild>
                <w:div w:id="15279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5230">
      <w:bodyDiv w:val="1"/>
      <w:marLeft w:val="0"/>
      <w:marRight w:val="0"/>
      <w:marTop w:val="0"/>
      <w:marBottom w:val="0"/>
      <w:divBdr>
        <w:top w:val="none" w:sz="0" w:space="0" w:color="auto"/>
        <w:left w:val="none" w:sz="0" w:space="0" w:color="auto"/>
        <w:bottom w:val="none" w:sz="0" w:space="0" w:color="auto"/>
        <w:right w:val="none" w:sz="0" w:space="0" w:color="auto"/>
      </w:divBdr>
      <w:divsChild>
        <w:div w:id="1532382716">
          <w:marLeft w:val="0"/>
          <w:marRight w:val="0"/>
          <w:marTop w:val="0"/>
          <w:marBottom w:val="0"/>
          <w:divBdr>
            <w:top w:val="none" w:sz="0" w:space="0" w:color="auto"/>
            <w:left w:val="none" w:sz="0" w:space="0" w:color="auto"/>
            <w:bottom w:val="none" w:sz="0" w:space="0" w:color="auto"/>
            <w:right w:val="none" w:sz="0" w:space="0" w:color="auto"/>
          </w:divBdr>
          <w:divsChild>
            <w:div w:id="1266108600">
              <w:marLeft w:val="0"/>
              <w:marRight w:val="0"/>
              <w:marTop w:val="0"/>
              <w:marBottom w:val="0"/>
              <w:divBdr>
                <w:top w:val="none" w:sz="0" w:space="0" w:color="auto"/>
                <w:left w:val="none" w:sz="0" w:space="0" w:color="auto"/>
                <w:bottom w:val="none" w:sz="0" w:space="0" w:color="auto"/>
                <w:right w:val="none" w:sz="0" w:space="0" w:color="auto"/>
              </w:divBdr>
              <w:divsChild>
                <w:div w:id="8157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999">
      <w:bodyDiv w:val="1"/>
      <w:marLeft w:val="0"/>
      <w:marRight w:val="0"/>
      <w:marTop w:val="0"/>
      <w:marBottom w:val="0"/>
      <w:divBdr>
        <w:top w:val="none" w:sz="0" w:space="0" w:color="auto"/>
        <w:left w:val="none" w:sz="0" w:space="0" w:color="auto"/>
        <w:bottom w:val="none" w:sz="0" w:space="0" w:color="auto"/>
        <w:right w:val="none" w:sz="0" w:space="0" w:color="auto"/>
      </w:divBdr>
      <w:divsChild>
        <w:div w:id="1252739640">
          <w:marLeft w:val="0"/>
          <w:marRight w:val="0"/>
          <w:marTop w:val="0"/>
          <w:marBottom w:val="0"/>
          <w:divBdr>
            <w:top w:val="none" w:sz="0" w:space="0" w:color="auto"/>
            <w:left w:val="none" w:sz="0" w:space="0" w:color="auto"/>
            <w:bottom w:val="none" w:sz="0" w:space="0" w:color="auto"/>
            <w:right w:val="none" w:sz="0" w:space="0" w:color="auto"/>
          </w:divBdr>
          <w:divsChild>
            <w:div w:id="907686227">
              <w:marLeft w:val="0"/>
              <w:marRight w:val="0"/>
              <w:marTop w:val="0"/>
              <w:marBottom w:val="0"/>
              <w:divBdr>
                <w:top w:val="none" w:sz="0" w:space="0" w:color="auto"/>
                <w:left w:val="none" w:sz="0" w:space="0" w:color="auto"/>
                <w:bottom w:val="none" w:sz="0" w:space="0" w:color="auto"/>
                <w:right w:val="none" w:sz="0" w:space="0" w:color="auto"/>
              </w:divBdr>
              <w:divsChild>
                <w:div w:id="5775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048031">
      <w:bodyDiv w:val="1"/>
      <w:marLeft w:val="0"/>
      <w:marRight w:val="0"/>
      <w:marTop w:val="0"/>
      <w:marBottom w:val="0"/>
      <w:divBdr>
        <w:top w:val="none" w:sz="0" w:space="0" w:color="auto"/>
        <w:left w:val="none" w:sz="0" w:space="0" w:color="auto"/>
        <w:bottom w:val="none" w:sz="0" w:space="0" w:color="auto"/>
        <w:right w:val="none" w:sz="0" w:space="0" w:color="auto"/>
      </w:divBdr>
      <w:divsChild>
        <w:div w:id="681903254">
          <w:marLeft w:val="0"/>
          <w:marRight w:val="0"/>
          <w:marTop w:val="0"/>
          <w:marBottom w:val="0"/>
          <w:divBdr>
            <w:top w:val="none" w:sz="0" w:space="0" w:color="auto"/>
            <w:left w:val="none" w:sz="0" w:space="0" w:color="auto"/>
            <w:bottom w:val="none" w:sz="0" w:space="0" w:color="auto"/>
            <w:right w:val="none" w:sz="0" w:space="0" w:color="auto"/>
          </w:divBdr>
          <w:divsChild>
            <w:div w:id="89937320">
              <w:marLeft w:val="0"/>
              <w:marRight w:val="0"/>
              <w:marTop w:val="0"/>
              <w:marBottom w:val="0"/>
              <w:divBdr>
                <w:top w:val="none" w:sz="0" w:space="0" w:color="auto"/>
                <w:left w:val="none" w:sz="0" w:space="0" w:color="auto"/>
                <w:bottom w:val="none" w:sz="0" w:space="0" w:color="auto"/>
                <w:right w:val="none" w:sz="0" w:space="0" w:color="auto"/>
              </w:divBdr>
              <w:divsChild>
                <w:div w:id="14170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sChild>
        <w:div w:id="1472869569">
          <w:marLeft w:val="0"/>
          <w:marRight w:val="0"/>
          <w:marTop w:val="0"/>
          <w:marBottom w:val="0"/>
          <w:divBdr>
            <w:top w:val="none" w:sz="0" w:space="0" w:color="auto"/>
            <w:left w:val="none" w:sz="0" w:space="0" w:color="auto"/>
            <w:bottom w:val="none" w:sz="0" w:space="0" w:color="auto"/>
            <w:right w:val="none" w:sz="0" w:space="0" w:color="auto"/>
          </w:divBdr>
          <w:divsChild>
            <w:div w:id="619411026">
              <w:marLeft w:val="0"/>
              <w:marRight w:val="0"/>
              <w:marTop w:val="0"/>
              <w:marBottom w:val="0"/>
              <w:divBdr>
                <w:top w:val="none" w:sz="0" w:space="0" w:color="auto"/>
                <w:left w:val="none" w:sz="0" w:space="0" w:color="auto"/>
                <w:bottom w:val="none" w:sz="0" w:space="0" w:color="auto"/>
                <w:right w:val="none" w:sz="0" w:space="0" w:color="auto"/>
              </w:divBdr>
              <w:divsChild>
                <w:div w:id="3162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16888">
      <w:bodyDiv w:val="1"/>
      <w:marLeft w:val="0"/>
      <w:marRight w:val="0"/>
      <w:marTop w:val="0"/>
      <w:marBottom w:val="0"/>
      <w:divBdr>
        <w:top w:val="none" w:sz="0" w:space="0" w:color="auto"/>
        <w:left w:val="none" w:sz="0" w:space="0" w:color="auto"/>
        <w:bottom w:val="none" w:sz="0" w:space="0" w:color="auto"/>
        <w:right w:val="none" w:sz="0" w:space="0" w:color="auto"/>
      </w:divBdr>
      <w:divsChild>
        <w:div w:id="780733174">
          <w:marLeft w:val="0"/>
          <w:marRight w:val="0"/>
          <w:marTop w:val="0"/>
          <w:marBottom w:val="0"/>
          <w:divBdr>
            <w:top w:val="none" w:sz="0" w:space="0" w:color="auto"/>
            <w:left w:val="none" w:sz="0" w:space="0" w:color="auto"/>
            <w:bottom w:val="none" w:sz="0" w:space="0" w:color="auto"/>
            <w:right w:val="none" w:sz="0" w:space="0" w:color="auto"/>
          </w:divBdr>
          <w:divsChild>
            <w:div w:id="786462800">
              <w:marLeft w:val="0"/>
              <w:marRight w:val="0"/>
              <w:marTop w:val="0"/>
              <w:marBottom w:val="0"/>
              <w:divBdr>
                <w:top w:val="none" w:sz="0" w:space="0" w:color="auto"/>
                <w:left w:val="none" w:sz="0" w:space="0" w:color="auto"/>
                <w:bottom w:val="none" w:sz="0" w:space="0" w:color="auto"/>
                <w:right w:val="none" w:sz="0" w:space="0" w:color="auto"/>
              </w:divBdr>
              <w:divsChild>
                <w:div w:id="123989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42496">
      <w:bodyDiv w:val="1"/>
      <w:marLeft w:val="0"/>
      <w:marRight w:val="0"/>
      <w:marTop w:val="0"/>
      <w:marBottom w:val="0"/>
      <w:divBdr>
        <w:top w:val="none" w:sz="0" w:space="0" w:color="auto"/>
        <w:left w:val="none" w:sz="0" w:space="0" w:color="auto"/>
        <w:bottom w:val="none" w:sz="0" w:space="0" w:color="auto"/>
        <w:right w:val="none" w:sz="0" w:space="0" w:color="auto"/>
      </w:divBdr>
      <w:divsChild>
        <w:div w:id="1200583598">
          <w:marLeft w:val="0"/>
          <w:marRight w:val="0"/>
          <w:marTop w:val="0"/>
          <w:marBottom w:val="0"/>
          <w:divBdr>
            <w:top w:val="none" w:sz="0" w:space="0" w:color="auto"/>
            <w:left w:val="none" w:sz="0" w:space="0" w:color="auto"/>
            <w:bottom w:val="none" w:sz="0" w:space="0" w:color="auto"/>
            <w:right w:val="none" w:sz="0" w:space="0" w:color="auto"/>
          </w:divBdr>
          <w:divsChild>
            <w:div w:id="1094327693">
              <w:marLeft w:val="0"/>
              <w:marRight w:val="0"/>
              <w:marTop w:val="0"/>
              <w:marBottom w:val="0"/>
              <w:divBdr>
                <w:top w:val="none" w:sz="0" w:space="0" w:color="auto"/>
                <w:left w:val="none" w:sz="0" w:space="0" w:color="auto"/>
                <w:bottom w:val="none" w:sz="0" w:space="0" w:color="auto"/>
                <w:right w:val="none" w:sz="0" w:space="0" w:color="auto"/>
              </w:divBdr>
              <w:divsChild>
                <w:div w:id="18733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vnepolitike.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ige.europa.eu/gender-mainstreaming/what-is-gender-mainstrea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3F552-041D-4059-8326-B572A3B7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18143</Words>
  <Characters>103418</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 Komar</dc:creator>
  <cp:keywords/>
  <dc:description/>
  <cp:lastModifiedBy>biljana</cp:lastModifiedBy>
  <cp:revision>2</cp:revision>
  <dcterms:created xsi:type="dcterms:W3CDTF">2023-03-06T12:11:00Z</dcterms:created>
  <dcterms:modified xsi:type="dcterms:W3CDTF">2023-03-06T12:11:00Z</dcterms:modified>
</cp:coreProperties>
</file>