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3E" w:rsidRDefault="004F163E" w:rsidP="004F163E">
      <w:pP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4F163E" w:rsidRDefault="00A4137F" w:rsidP="004F163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hr-HR" w:eastAsia="hr-HR"/>
        </w:rPr>
        <w:t>N A C R T</w:t>
      </w:r>
    </w:p>
    <w:p w:rsidR="004F163E" w:rsidRDefault="004F163E" w:rsidP="004F163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ZAKON O IZMJENAMA I DOPUNAMA ZAKONA O IZVRŠENJU I OBEZBJEĐENJU</w:t>
      </w: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Član 1</w:t>
      </w:r>
    </w:p>
    <w:p w:rsidR="00684148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>
        <w:rPr>
          <w:rFonts w:ascii="Arial" w:hAnsi="Arial" w:cs="Arial"/>
          <w:sz w:val="24"/>
          <w:szCs w:val="24"/>
          <w:lang w:val="pt-PT"/>
        </w:rPr>
        <w:t>U Zakonu o izvršenju i obezbjeđenju („Službeni list CG“, br. 36/11, 28/14, 20/15, 22/17</w:t>
      </w:r>
      <w:r w:rsidR="00CA1F2A">
        <w:rPr>
          <w:rFonts w:ascii="Arial" w:hAnsi="Arial" w:cs="Arial"/>
          <w:sz w:val="24"/>
          <w:szCs w:val="24"/>
          <w:lang w:val="pt-PT"/>
        </w:rPr>
        <w:t>, 76/17</w:t>
      </w:r>
      <w:r>
        <w:rPr>
          <w:rFonts w:ascii="Arial" w:hAnsi="Arial" w:cs="Arial"/>
          <w:sz w:val="24"/>
          <w:szCs w:val="24"/>
          <w:lang w:val="pt-PT"/>
        </w:rPr>
        <w:t xml:space="preserve"> i 25/19) u</w:t>
      </w:r>
      <w:r w:rsidR="0068414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članu 45 u stavu 2 riječi: </w:t>
      </w:r>
      <w:r w:rsidR="00D5681E">
        <w:rPr>
          <w:rFonts w:ascii="Arial" w:eastAsia="Times New Roman" w:hAnsi="Arial" w:cs="Arial"/>
          <w:bCs/>
          <w:sz w:val="24"/>
          <w:szCs w:val="24"/>
          <w:lang w:val="hr-HR" w:eastAsia="hr-HR"/>
        </w:rPr>
        <w:t>„</w:t>
      </w:r>
      <w:r w:rsidR="0068414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i objavljivanjem u dnevnom štampanom mediju koji izlazi na cijeloj teritoriji Crne Gore“ zamjenjuju se riječima: </w:t>
      </w:r>
      <w:r w:rsidR="00D5681E">
        <w:rPr>
          <w:rFonts w:ascii="Arial" w:eastAsia="Times New Roman" w:hAnsi="Arial" w:cs="Arial"/>
          <w:bCs/>
          <w:sz w:val="24"/>
          <w:szCs w:val="24"/>
          <w:lang w:val="hr-HR" w:eastAsia="hr-HR"/>
        </w:rPr>
        <w:t>„</w:t>
      </w:r>
      <w:r w:rsidR="00684148">
        <w:rPr>
          <w:rFonts w:ascii="Arial" w:eastAsia="Times New Roman" w:hAnsi="Arial" w:cs="Arial"/>
          <w:bCs/>
          <w:sz w:val="24"/>
          <w:szCs w:val="24"/>
          <w:lang w:val="hr-HR" w:eastAsia="hr-HR"/>
        </w:rPr>
        <w:t>i objavljivanjem u „Službenom listu Crne Gore“.“</w:t>
      </w:r>
    </w:p>
    <w:p w:rsidR="004F163E" w:rsidRDefault="00684148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Poslije stava 2 dodaje se novi stav koji glasi:</w:t>
      </w:r>
    </w:p>
    <w:p w:rsidR="00684148" w:rsidRDefault="001625F6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 xml:space="preserve">„Odluku o visini naknade za objavljivanje u „Službenom listu Crne Gore“ </w:t>
      </w:r>
      <w:r w:rsidR="005B4841">
        <w:rPr>
          <w:rFonts w:ascii="Arial" w:eastAsia="Times New Roman" w:hAnsi="Arial" w:cs="Arial"/>
          <w:bCs/>
          <w:sz w:val="24"/>
          <w:szCs w:val="24"/>
          <w:lang w:val="hr-HR" w:eastAsia="hr-HR"/>
        </w:rPr>
        <w:t>donosi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="00466ECE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„Službeni list Crne Gore“ uz saglasnost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organ</w:t>
      </w:r>
      <w:r w:rsidR="00466ECE">
        <w:rPr>
          <w:rFonts w:ascii="Arial" w:eastAsia="Times New Roman" w:hAnsi="Arial" w:cs="Arial"/>
          <w:bCs/>
          <w:sz w:val="24"/>
          <w:szCs w:val="24"/>
          <w:lang w:val="hr-HR" w:eastAsia="hr-HR"/>
        </w:rPr>
        <w:t>a uprave nadležnog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za poslove pravosuđa</w:t>
      </w:r>
      <w:r w:rsidR="005B4841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="00466ECE">
        <w:rPr>
          <w:rFonts w:ascii="Arial" w:eastAsia="Times New Roman" w:hAnsi="Arial" w:cs="Arial"/>
          <w:bCs/>
          <w:sz w:val="24"/>
          <w:szCs w:val="24"/>
          <w:lang w:val="hr-HR" w:eastAsia="hr-HR"/>
        </w:rPr>
        <w:t>“</w:t>
      </w:r>
    </w:p>
    <w:p w:rsidR="00D5681E" w:rsidRDefault="00D5681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U stavu 5 riječi: „u dnevnom štampanom mediju“ zamjenjuju se riječima: „u „Službenom listu Crne Gore“.“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Dosadašnji st. 3, 4 i 5 postaju st. 4, 5 i 6.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4F163E" w:rsidRPr="00123B1F" w:rsidRDefault="004F163E" w:rsidP="004F163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123B1F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Član 2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U članu 239b poslije stava 3 dodaje se novi stav koji glasi: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 xml:space="preserve">„Na izvršenje kazne zatvora iz člana 239a stav 1 tačka 3 ovog zakona shodno se primjenjuju odredbe zakona kojim se </w:t>
      </w:r>
      <w:r w:rsidR="00322A51">
        <w:rPr>
          <w:rFonts w:ascii="Arial" w:eastAsia="Times New Roman" w:hAnsi="Arial" w:cs="Arial"/>
          <w:bCs/>
          <w:sz w:val="24"/>
          <w:szCs w:val="24"/>
          <w:lang w:val="hr-HR" w:eastAsia="hr-HR"/>
        </w:rPr>
        <w:t>uređuje izvršenje kazne zatvora, novčane kazne i mjere bezbjednosti, osim odredaba o odlaganju izvršenja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“.</w:t>
      </w:r>
    </w:p>
    <w:p w:rsidR="004F163E" w:rsidRPr="00C75D1A" w:rsidRDefault="004F163E" w:rsidP="004F163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 Član 3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Naziv Glave IIIa mijenja se i glasi: “</w:t>
      </w:r>
      <w:r w:rsidRPr="00E91FCA">
        <w:rPr>
          <w:rFonts w:ascii="Arial" w:hAnsi="Arial" w:cs="Arial"/>
          <w:b/>
          <w:sz w:val="24"/>
          <w:szCs w:val="24"/>
          <w:lang w:val="pt-PT"/>
        </w:rPr>
        <w:t>POSEBNE ODREDBE O EVROPSKOM NALOGU ZA IZVRŠENJE NESPORNIH POTRAŽIVANJA, EVROPSKOM POSTUPKU ZA SPOROVE MALE VRIJEDNOSTI, EVROPSKOM PLATNOM NALOGU I EVROPSKOM NALOGU ZA BLOKADU</w:t>
      </w:r>
      <w:r>
        <w:rPr>
          <w:rFonts w:ascii="Arial" w:hAnsi="Arial" w:cs="Arial"/>
          <w:sz w:val="24"/>
          <w:szCs w:val="24"/>
          <w:lang w:val="pt-PT"/>
        </w:rPr>
        <w:t>”.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Član 4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Poslije člana 291r dodaje se nova glava i osam novih članova koji glase: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“XXXIII EVROPSKI NALOG ZA BLOKADU </w:t>
      </w:r>
    </w:p>
    <w:p w:rsidR="004F163E" w:rsidRPr="00E91FCA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Pr="008755AD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Nadlež</w:t>
      </w:r>
      <w:r w:rsidRPr="008755AD">
        <w:rPr>
          <w:rFonts w:ascii="Arial" w:hAnsi="Arial" w:cs="Arial"/>
          <w:b/>
          <w:sz w:val="24"/>
          <w:szCs w:val="24"/>
          <w:lang w:val="pt-PT"/>
        </w:rPr>
        <w:t xml:space="preserve">nost za izdavanje </w:t>
      </w:r>
      <w:r>
        <w:rPr>
          <w:rFonts w:ascii="Arial" w:hAnsi="Arial" w:cs="Arial"/>
          <w:b/>
          <w:sz w:val="24"/>
          <w:szCs w:val="24"/>
          <w:lang w:val="pt-PT"/>
        </w:rPr>
        <w:t xml:space="preserve">i slanje evropskog </w:t>
      </w:r>
      <w:r w:rsidRPr="008755AD">
        <w:rPr>
          <w:rFonts w:ascii="Arial" w:hAnsi="Arial" w:cs="Arial"/>
          <w:b/>
          <w:sz w:val="24"/>
          <w:szCs w:val="24"/>
          <w:lang w:val="pt-PT"/>
        </w:rPr>
        <w:t>naloga za blokadu</w:t>
      </w:r>
    </w:p>
    <w:p w:rsidR="004F163E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8755AD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291s</w:t>
      </w:r>
    </w:p>
    <w:p w:rsidR="004F163E" w:rsidRDefault="00CA1F2A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Osnovni sud</w:t>
      </w:r>
      <w:r w:rsidR="004F163E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odnosno Privredni sud Crne Gore</w:t>
      </w:r>
      <w:r w:rsidR="004F163E">
        <w:rPr>
          <w:rFonts w:ascii="Arial" w:hAnsi="Arial" w:cs="Arial"/>
          <w:sz w:val="24"/>
          <w:szCs w:val="24"/>
          <w:lang w:val="pt-PT"/>
        </w:rPr>
        <w:t xml:space="preserve"> koji je odlučivao o meritumu stvari nadležan je za odlučivanje po zahtjevu za izdavanje evropskog naloga za blokadu iz Regulative (EU) br. 655/2014 Evropskog parlamenta i Savjeta od 15. maja 2014. godine o uspostavljanju postupka za evropski nalog za blokadu računa kako bi se pojednostavila prekogranična naplata duga u građanskim i trgovačkim stvarima (u daljem tekstu: Regulativa 655/2014), za potraživanja nastala iz odluka toga suda. 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Osnovni sud za čije područje je imenovan javni izvršitelj koji je odlučivao o meritumu stvari nadležan je za odlučivanje po zahtjevu za izdavanje evropskog naloga za blokadu iz Regulative 655/2014 za potraživanja nastala iz odluka tog javnog izvršitelja.</w:t>
      </w:r>
    </w:p>
    <w:p w:rsidR="00B31FC7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 xml:space="preserve">Za slanje evropskog naloga za blokadu u smislu člana 4 stav 1 tačka 14 Regulative 655/2014 nadležan je sud iz stava 1 i 2 ovog člana, koji </w:t>
      </w:r>
      <w:r w:rsidR="00CA1F2A">
        <w:rPr>
          <w:rFonts w:ascii="Arial" w:hAnsi="Arial" w:cs="Arial"/>
          <w:sz w:val="24"/>
          <w:szCs w:val="24"/>
          <w:lang w:val="pt-PT"/>
        </w:rPr>
        <w:t xml:space="preserve">je odlučio </w:t>
      </w:r>
      <w:r>
        <w:rPr>
          <w:rFonts w:ascii="Arial" w:hAnsi="Arial" w:cs="Arial"/>
          <w:sz w:val="24"/>
          <w:szCs w:val="24"/>
          <w:lang w:val="pt-PT"/>
        </w:rPr>
        <w:t>po zahtjevu za izdavanje naloga za blokadu.</w:t>
      </w:r>
    </w:p>
    <w:p w:rsidR="004F163E" w:rsidRPr="00CB5BB0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B5BB0">
        <w:rPr>
          <w:rFonts w:ascii="Arial" w:hAnsi="Arial" w:cs="Arial"/>
          <w:b/>
          <w:sz w:val="24"/>
          <w:szCs w:val="24"/>
          <w:lang w:val="pt-PT"/>
        </w:rPr>
        <w:t>Prigovor</w:t>
      </w:r>
    </w:p>
    <w:p w:rsidR="004F163E" w:rsidRPr="00CB5BB0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940767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291t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Za odlučivanje po prigovoru povjerioca protiv odluke suda kojom je u cjelosti ili djelimično odbijen zahtjev za izdavanje evropskog naloga za blokadu računa u smislu člana 21 Regulative 655/2014 nadležno je vijeće istog suda.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Za odlučivanje po prigovoru dužnika na odluku suda kojim se usvaja zahtjev za izdavanje evropskog naloga za blokadu računa u smislu člana 33, 34 i 35 Regulative 655/2014 nadležno je vijeće istog suda.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Prigovor iz stava 1 i 2 ovog člana podnosi se sudu koji je odlučivao o zahtjevu za izdava</w:t>
      </w:r>
      <w:r w:rsidR="00CA1F2A">
        <w:rPr>
          <w:rFonts w:ascii="Arial" w:hAnsi="Arial" w:cs="Arial"/>
          <w:sz w:val="24"/>
          <w:szCs w:val="24"/>
          <w:lang w:val="pt-PT"/>
        </w:rPr>
        <w:t>nje evropskog naloga za blokadu</w:t>
      </w:r>
      <w:r>
        <w:rPr>
          <w:rFonts w:ascii="Arial" w:hAnsi="Arial" w:cs="Arial"/>
          <w:sz w:val="24"/>
          <w:szCs w:val="24"/>
          <w:lang w:val="pt-PT"/>
        </w:rPr>
        <w:t xml:space="preserve"> u roku od 5 dana od dana dostavljanja rješenja. </w:t>
      </w:r>
    </w:p>
    <w:p w:rsidR="004F163E" w:rsidRDefault="004F163E" w:rsidP="00CA1F2A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Javni izvršitelj je dužan da </w:t>
      </w:r>
      <w:r w:rsidR="00CA1F2A">
        <w:rPr>
          <w:rFonts w:ascii="Arial" w:hAnsi="Arial" w:cs="Arial"/>
          <w:sz w:val="24"/>
          <w:szCs w:val="24"/>
          <w:lang w:val="pt-PT"/>
        </w:rPr>
        <w:t xml:space="preserve">radi odlučivanja po prigovoru na zahtjev suda dostavi spise predmeta u roku o pet dana. 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Pr="006E1DB1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6E1DB1">
        <w:rPr>
          <w:rFonts w:ascii="Arial" w:hAnsi="Arial" w:cs="Arial"/>
          <w:b/>
          <w:sz w:val="24"/>
          <w:szCs w:val="24"/>
          <w:lang w:val="pt-PT"/>
        </w:rPr>
        <w:t xml:space="preserve">Izuzeće </w:t>
      </w:r>
      <w:r>
        <w:rPr>
          <w:rFonts w:ascii="Arial" w:hAnsi="Arial" w:cs="Arial"/>
          <w:b/>
          <w:sz w:val="24"/>
          <w:szCs w:val="24"/>
          <w:lang w:val="pt-PT"/>
        </w:rPr>
        <w:t xml:space="preserve">od blokade </w:t>
      </w:r>
      <w:r w:rsidRPr="006E1DB1">
        <w:rPr>
          <w:rFonts w:ascii="Arial" w:hAnsi="Arial" w:cs="Arial"/>
          <w:b/>
          <w:sz w:val="24"/>
          <w:szCs w:val="24"/>
          <w:lang w:val="pt-PT"/>
        </w:rPr>
        <w:t>i ograničenje blokade</w:t>
      </w:r>
    </w:p>
    <w:p w:rsidR="004F163E" w:rsidRPr="00153EB5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153EB5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>
        <w:rPr>
          <w:rFonts w:ascii="Arial" w:hAnsi="Arial" w:cs="Arial"/>
          <w:b/>
          <w:sz w:val="24"/>
          <w:szCs w:val="24"/>
          <w:lang w:val="pt-PT"/>
        </w:rPr>
        <w:t>291ć</w:t>
      </w:r>
    </w:p>
    <w:p w:rsidR="004F163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Sredstva koja su u smislu ovog zakona izuzeta od izvršenja, odnosno kod kojih je izvršenje ograničeno, izuzeta su od blokade u smislu člana 31 Regulative 655/2014.</w:t>
      </w:r>
    </w:p>
    <w:p w:rsidR="004F163E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</w:p>
    <w:p w:rsidR="004F163E" w:rsidRPr="00926301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926301">
        <w:rPr>
          <w:rFonts w:ascii="Arial" w:hAnsi="Arial" w:cs="Arial"/>
          <w:b/>
          <w:sz w:val="24"/>
          <w:szCs w:val="24"/>
          <w:lang w:val="pt-PT"/>
        </w:rPr>
        <w:t>Nadl</w:t>
      </w:r>
      <w:r>
        <w:rPr>
          <w:rFonts w:ascii="Arial" w:hAnsi="Arial" w:cs="Arial"/>
          <w:b/>
          <w:sz w:val="24"/>
          <w:szCs w:val="24"/>
          <w:lang w:val="pt-PT"/>
        </w:rPr>
        <w:t>e</w:t>
      </w:r>
      <w:r w:rsidRPr="00926301">
        <w:rPr>
          <w:rFonts w:ascii="Arial" w:hAnsi="Arial" w:cs="Arial"/>
          <w:b/>
          <w:sz w:val="24"/>
          <w:szCs w:val="24"/>
          <w:lang w:val="pt-PT"/>
        </w:rPr>
        <w:t xml:space="preserve">ženost za sprovođenje </w:t>
      </w:r>
      <w:r>
        <w:rPr>
          <w:rFonts w:ascii="Arial" w:hAnsi="Arial" w:cs="Arial"/>
          <w:b/>
          <w:sz w:val="24"/>
          <w:szCs w:val="24"/>
          <w:lang w:val="pt-PT"/>
        </w:rPr>
        <w:t xml:space="preserve">evropskog </w:t>
      </w:r>
      <w:r w:rsidRPr="00926301">
        <w:rPr>
          <w:rFonts w:ascii="Arial" w:hAnsi="Arial" w:cs="Arial"/>
          <w:b/>
          <w:sz w:val="24"/>
          <w:szCs w:val="24"/>
          <w:lang w:val="pt-PT"/>
        </w:rPr>
        <w:t>naloga za blokadu</w:t>
      </w:r>
    </w:p>
    <w:p w:rsidR="004F163E" w:rsidRPr="00926301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926301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>
        <w:rPr>
          <w:rFonts w:ascii="Arial" w:hAnsi="Arial" w:cs="Arial"/>
          <w:b/>
          <w:sz w:val="24"/>
          <w:szCs w:val="24"/>
          <w:lang w:val="pt-PT"/>
        </w:rPr>
        <w:t>291u</w:t>
      </w:r>
    </w:p>
    <w:p w:rsidR="00466ECE" w:rsidRDefault="004F163E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9C0D92">
        <w:rPr>
          <w:rFonts w:ascii="Arial" w:hAnsi="Arial" w:cs="Arial"/>
          <w:sz w:val="24"/>
          <w:szCs w:val="24"/>
          <w:lang w:val="pt-PT"/>
        </w:rPr>
        <w:t xml:space="preserve">Za </w:t>
      </w:r>
      <w:r>
        <w:rPr>
          <w:rFonts w:ascii="Arial" w:hAnsi="Arial" w:cs="Arial"/>
          <w:sz w:val="24"/>
          <w:szCs w:val="24"/>
          <w:lang w:val="pt-PT"/>
        </w:rPr>
        <w:t xml:space="preserve">prijem evropskog naloga za blokadu u smislu člana 4 stav 1 tačka 14 Regulative 655/2014 </w:t>
      </w:r>
      <w:r w:rsidR="00466ECE">
        <w:rPr>
          <w:rFonts w:ascii="Arial" w:hAnsi="Arial" w:cs="Arial"/>
          <w:sz w:val="24"/>
          <w:szCs w:val="24"/>
          <w:lang w:val="pt-PT"/>
        </w:rPr>
        <w:t>nadležna je organizacija za prinudnu naplatu.</w:t>
      </w:r>
    </w:p>
    <w:p w:rsidR="00643305" w:rsidRPr="00416A28" w:rsidRDefault="00466ECE" w:rsidP="00466ECE">
      <w:pPr>
        <w:spacing w:after="0" w:line="240" w:lineRule="auto"/>
        <w:ind w:firstLine="708"/>
        <w:jc w:val="both"/>
        <w:outlineLvl w:val="2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Za </w:t>
      </w:r>
      <w:r w:rsidR="004F163E">
        <w:rPr>
          <w:rFonts w:ascii="Arial" w:hAnsi="Arial" w:cs="Arial"/>
          <w:sz w:val="24"/>
          <w:szCs w:val="24"/>
          <w:lang w:val="pt-PT"/>
        </w:rPr>
        <w:t>izvršenje</w:t>
      </w:r>
      <w:r w:rsidR="004F163E" w:rsidRPr="009C0D92">
        <w:rPr>
          <w:rFonts w:ascii="Arial" w:hAnsi="Arial" w:cs="Arial"/>
          <w:sz w:val="24"/>
          <w:szCs w:val="24"/>
          <w:lang w:val="pt-PT"/>
        </w:rPr>
        <w:t xml:space="preserve"> </w:t>
      </w:r>
      <w:r w:rsidR="004F163E">
        <w:rPr>
          <w:rFonts w:ascii="Arial" w:hAnsi="Arial" w:cs="Arial"/>
          <w:sz w:val="24"/>
          <w:szCs w:val="24"/>
          <w:lang w:val="pt-PT"/>
        </w:rPr>
        <w:t xml:space="preserve">evropskog </w:t>
      </w:r>
      <w:r w:rsidR="004F163E" w:rsidRPr="009C0D92">
        <w:rPr>
          <w:rFonts w:ascii="Arial" w:hAnsi="Arial" w:cs="Arial"/>
          <w:sz w:val="24"/>
          <w:szCs w:val="24"/>
          <w:lang w:val="pt-PT"/>
        </w:rPr>
        <w:t>naloga za blokadu u smislu Poglavlja 3. Regulative 655/2014</w:t>
      </w:r>
      <w:r w:rsidR="004F163E">
        <w:rPr>
          <w:rFonts w:ascii="Arial" w:hAnsi="Arial" w:cs="Arial"/>
          <w:sz w:val="24"/>
          <w:szCs w:val="24"/>
          <w:lang w:val="pt-PT"/>
        </w:rPr>
        <w:t xml:space="preserve"> </w:t>
      </w:r>
      <w:r w:rsidR="00416A28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>nadležne</w:t>
      </w:r>
      <w:r w:rsidR="00A77977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su organizacija za prinudnu naplatu i banke</w:t>
      </w:r>
      <w:r w:rsidR="00416A28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kod kojih izvršni dužnik ima transakcione račune</w:t>
      </w:r>
      <w:r w:rsidR="00A77977" w:rsidRPr="00416A28">
        <w:rPr>
          <w:rFonts w:ascii="Arial" w:hAnsi="Arial" w:cs="Arial"/>
          <w:b/>
          <w:sz w:val="24"/>
          <w:szCs w:val="24"/>
          <w:lang w:val="pt-PT"/>
        </w:rPr>
        <w:t>.</w:t>
      </w:r>
    </w:p>
    <w:p w:rsidR="004F163E" w:rsidRPr="00E91FCA" w:rsidRDefault="00643305" w:rsidP="004F163E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E91FC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4F163E" w:rsidRPr="00676A9F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676A9F">
        <w:rPr>
          <w:rFonts w:ascii="Arial" w:hAnsi="Arial" w:cs="Arial"/>
          <w:b/>
          <w:sz w:val="24"/>
          <w:szCs w:val="24"/>
          <w:lang w:val="pt-PT"/>
        </w:rPr>
        <w:t xml:space="preserve">Rangiranje </w:t>
      </w:r>
      <w:r>
        <w:rPr>
          <w:rFonts w:ascii="Arial" w:hAnsi="Arial" w:cs="Arial"/>
          <w:b/>
          <w:sz w:val="24"/>
          <w:szCs w:val="24"/>
          <w:lang w:val="pt-PT"/>
        </w:rPr>
        <w:t xml:space="preserve">evropskog </w:t>
      </w:r>
      <w:r w:rsidRPr="00676A9F">
        <w:rPr>
          <w:rFonts w:ascii="Arial" w:hAnsi="Arial" w:cs="Arial"/>
          <w:b/>
          <w:sz w:val="24"/>
          <w:szCs w:val="24"/>
          <w:lang w:val="pt-PT"/>
        </w:rPr>
        <w:t>naloga za blokadu</w:t>
      </w:r>
    </w:p>
    <w:p w:rsidR="004F163E" w:rsidRDefault="004F163E" w:rsidP="004F163E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676A9F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291f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ab/>
      </w:r>
      <w:r w:rsidRPr="008F0F3C">
        <w:rPr>
          <w:rFonts w:ascii="Arial" w:hAnsi="Arial" w:cs="Arial"/>
          <w:sz w:val="24"/>
          <w:szCs w:val="24"/>
          <w:lang w:val="pt-PT"/>
        </w:rPr>
        <w:t>U slučaju postojanja više novčanih potraživanja prema istom izvršnom dužniku i na istom predmetu</w:t>
      </w:r>
      <w:r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8F0F3C">
        <w:rPr>
          <w:rFonts w:ascii="Arial" w:hAnsi="Arial" w:cs="Arial"/>
          <w:sz w:val="24"/>
          <w:szCs w:val="24"/>
          <w:lang w:val="pt-PT"/>
        </w:rPr>
        <w:t>p</w:t>
      </w:r>
      <w:r>
        <w:rPr>
          <w:rFonts w:ascii="Arial" w:hAnsi="Arial" w:cs="Arial"/>
          <w:sz w:val="24"/>
          <w:szCs w:val="24"/>
          <w:lang w:val="pt-PT"/>
        </w:rPr>
        <w:t>otraživanje koje proizilazi iz evropskog naloga za blokadu u smislu člana 32 Regulative 655/2014 namiruje se u skladu sa pravilima ovog zakona koja se odnose na redosljed namirenja više povjerilaca.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Pr="000D5ADD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0D5ADD">
        <w:rPr>
          <w:rFonts w:ascii="Arial" w:hAnsi="Arial" w:cs="Arial"/>
          <w:b/>
          <w:sz w:val="24"/>
          <w:szCs w:val="24"/>
          <w:lang w:val="pt-PT"/>
        </w:rPr>
        <w:t>Tijelo za informacije</w:t>
      </w: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0D5ADD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291h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 w:rsidR="00416A28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>Organizacija za prinudnu naplatu</w:t>
      </w:r>
      <w:r>
        <w:rPr>
          <w:rFonts w:ascii="Arial" w:hAnsi="Arial" w:cs="Arial"/>
          <w:sz w:val="24"/>
          <w:szCs w:val="24"/>
          <w:lang w:val="pt-PT"/>
        </w:rPr>
        <w:t xml:space="preserve"> nadležna je za davanje informacija potrebnih za identifikaciju banke i računa dužnika u smislu člana 14 Regulative 655/2014.</w:t>
      </w:r>
    </w:p>
    <w:p w:rsidR="004F163E" w:rsidRDefault="004F163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 xml:space="preserve">Banke u Crnoj Gori dužne su da na zahtjev </w:t>
      </w:r>
      <w:r w:rsidR="00A77977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>organizacije za prinudnu naplatu</w:t>
      </w:r>
      <w:r w:rsidR="00416A28" w:rsidRPr="00466ECE">
        <w:rPr>
          <w:rFonts w:ascii="Arial" w:hAnsi="Arial" w:cs="Arial"/>
          <w:color w:val="000000" w:themeColor="text1"/>
          <w:sz w:val="24"/>
          <w:szCs w:val="24"/>
          <w:lang w:val="pt-PT"/>
        </w:rPr>
        <w:t>, suda ili javnog izršitelja</w:t>
      </w:r>
      <w:r w:rsidR="00A77977" w:rsidRPr="00A77977">
        <w:rPr>
          <w:rFonts w:ascii="Arial" w:hAnsi="Arial" w:cs="Arial"/>
          <w:color w:val="FF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dostave informacije iz stava 1 ovog člana. </w:t>
      </w:r>
    </w:p>
    <w:p w:rsidR="00466ECE" w:rsidRDefault="00466EC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Pr="001C0779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1C0779">
        <w:rPr>
          <w:rFonts w:ascii="Arial" w:hAnsi="Arial" w:cs="Arial"/>
          <w:b/>
          <w:sz w:val="24"/>
          <w:szCs w:val="24"/>
          <w:lang w:val="pt-PT"/>
        </w:rPr>
        <w:t>Sudske takse</w:t>
      </w: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1C0779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291c</w:t>
      </w:r>
    </w:p>
    <w:p w:rsidR="00643305" w:rsidRDefault="004F163E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ab/>
      </w:r>
      <w:r w:rsidRPr="002973F8">
        <w:rPr>
          <w:rFonts w:ascii="Arial" w:hAnsi="Arial" w:cs="Arial"/>
          <w:sz w:val="24"/>
          <w:szCs w:val="24"/>
          <w:lang w:val="pt-PT"/>
        </w:rPr>
        <w:t xml:space="preserve">Sudska taksa na </w:t>
      </w:r>
      <w:r>
        <w:rPr>
          <w:rFonts w:ascii="Arial" w:hAnsi="Arial" w:cs="Arial"/>
          <w:sz w:val="24"/>
          <w:szCs w:val="24"/>
          <w:lang w:val="pt-PT"/>
        </w:rPr>
        <w:t>zahtjev za izdavanje evropskog platnog naloga, evropski platni nalog i prigovor protiv evropskog platnog naloga u smislu člana 42 Regulative 655/2014 naplaćuje se shodno zakonu kojim se uređuju sudske takse u iznosu koji se naplaćuje za podnes</w:t>
      </w:r>
      <w:r w:rsidR="00851609">
        <w:rPr>
          <w:rFonts w:ascii="Arial" w:hAnsi="Arial" w:cs="Arial"/>
          <w:sz w:val="24"/>
          <w:szCs w:val="24"/>
          <w:lang w:val="pt-PT"/>
        </w:rPr>
        <w:t>ke i odluku u izvršnom postupku.</w:t>
      </w:r>
    </w:p>
    <w:p w:rsidR="0040180B" w:rsidRDefault="0040180B" w:rsidP="004F163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F163E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>Prevod</w:t>
      </w:r>
    </w:p>
    <w:p w:rsidR="004F163E" w:rsidRPr="00C82FDB" w:rsidRDefault="004F163E" w:rsidP="004F163E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D46EC8">
        <w:rPr>
          <w:rFonts w:ascii="Arial" w:hAnsi="Arial" w:cs="Arial"/>
          <w:b/>
          <w:sz w:val="24"/>
          <w:szCs w:val="24"/>
          <w:lang w:val="pt-PT"/>
        </w:rPr>
        <w:t>Član</w:t>
      </w:r>
      <w:r>
        <w:rPr>
          <w:rFonts w:ascii="Arial" w:hAnsi="Arial" w:cs="Arial"/>
          <w:b/>
          <w:sz w:val="24"/>
          <w:szCs w:val="24"/>
          <w:lang w:val="pt-PT"/>
        </w:rPr>
        <w:t xml:space="preserve"> 291č</w:t>
      </w:r>
    </w:p>
    <w:p w:rsidR="004F163E" w:rsidRPr="00643305" w:rsidRDefault="004F163E" w:rsidP="00643305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Ako je izvršni povjerilac dužan d</w:t>
      </w:r>
      <w:r w:rsidR="00643305">
        <w:rPr>
          <w:rFonts w:ascii="Arial" w:eastAsia="Times New Roman" w:hAnsi="Arial" w:cs="Arial"/>
          <w:bCs/>
          <w:sz w:val="24"/>
          <w:szCs w:val="24"/>
          <w:lang w:val="hr-HR" w:eastAsia="hr-HR"/>
        </w:rPr>
        <w:t>a priloži prevod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u smis</w:t>
      </w:r>
      <w:r w:rsidR="00643305">
        <w:rPr>
          <w:rFonts w:ascii="Arial" w:eastAsia="Times New Roman" w:hAnsi="Arial" w:cs="Arial"/>
          <w:bCs/>
          <w:sz w:val="24"/>
          <w:szCs w:val="24"/>
          <w:lang w:val="hr-HR" w:eastAsia="hr-HR"/>
        </w:rPr>
        <w:t>lu člana 49 Regulative 655/2014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taj prevod mora biti na crnogorskom jeziku i ovjeren od lica koje je za to ovlašćeno u nekoj od država članica.“</w:t>
      </w:r>
    </w:p>
    <w:p w:rsidR="004F163E" w:rsidRDefault="00643305" w:rsidP="004F16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5</w:t>
      </w:r>
    </w:p>
    <w:p w:rsidR="004F163E" w:rsidRDefault="004F163E" w:rsidP="004F163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zakon stupa na snagu osmog dana od dana objavljivanja u “Službenom listu Crne Gore”.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163E" w:rsidRDefault="004F163E" w:rsidP="004F163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F163E" w:rsidRDefault="004F163E" w:rsidP="004F16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F163E" w:rsidRDefault="004F163E" w:rsidP="004F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4F163E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643305" w:rsidRDefault="00643305" w:rsidP="004F163E">
      <w:pPr>
        <w:spacing w:after="0"/>
        <w:rPr>
          <w:rFonts w:ascii="Arial" w:hAnsi="Arial" w:cs="Arial"/>
          <w:sz w:val="24"/>
          <w:szCs w:val="24"/>
        </w:rPr>
      </w:pPr>
    </w:p>
    <w:p w:rsidR="004F163E" w:rsidRDefault="00643305" w:rsidP="004F1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</w:t>
      </w:r>
    </w:p>
    <w:p w:rsidR="00322A51" w:rsidRDefault="004F163E" w:rsidP="004F163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Ovaj zakon usklađen 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sa Regulativom Evropskog parlamenta i Savjeta (EZ)</w:t>
      </w:r>
      <w:r w:rsidRPr="00AA26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br. 655/214 od 15.05.2014. godine o uspostavljanju </w:t>
      </w:r>
    </w:p>
    <w:p w:rsidR="004F163E" w:rsidRDefault="004F163E" w:rsidP="004F163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postupka za evropski nalog za blokadu računa kako bi se pojednostavila prekogranična naplata duga u građanskim i trgovački stvarima. </w:t>
      </w:r>
    </w:p>
    <w:p w:rsidR="00322A51" w:rsidRDefault="00322A51" w:rsidP="004F163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22A51" w:rsidRPr="00C04DD3" w:rsidRDefault="00322A51" w:rsidP="004F163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F163E" w:rsidRPr="00A808E5" w:rsidRDefault="004F163E" w:rsidP="004F163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A808E5">
        <w:rPr>
          <w:rFonts w:ascii="Arial" w:eastAsia="Times New Roman" w:hAnsi="Arial" w:cs="Arial"/>
          <w:b/>
          <w:bCs/>
          <w:sz w:val="24"/>
          <w:szCs w:val="24"/>
          <w:lang w:val="hr-HR"/>
        </w:rPr>
        <w:t>O B R A Z L O Ž E NJ E</w:t>
      </w:r>
    </w:p>
    <w:p w:rsidR="004F163E" w:rsidRPr="00A808E5" w:rsidRDefault="004F163E" w:rsidP="004F163E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:rsidR="004F163E" w:rsidRPr="00A808E5" w:rsidRDefault="004F163E" w:rsidP="004F163E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A808E5">
        <w:rPr>
          <w:rFonts w:ascii="Arial" w:hAnsi="Arial" w:cs="Arial"/>
          <w:b/>
          <w:sz w:val="24"/>
          <w:szCs w:val="24"/>
        </w:rPr>
        <w:t xml:space="preserve"> USTAVNI OSNOV ZA DONOŠENJE ZAKONA</w:t>
      </w:r>
    </w:p>
    <w:p w:rsidR="004F163E" w:rsidRPr="00A808E5" w:rsidRDefault="004F163E" w:rsidP="009819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pt-PT"/>
        </w:rPr>
      </w:pPr>
      <w:r w:rsidRPr="00A808E5">
        <w:rPr>
          <w:rFonts w:ascii="Arial" w:hAnsi="Arial" w:cs="Arial"/>
          <w:sz w:val="24"/>
          <w:szCs w:val="24"/>
        </w:rPr>
        <w:t xml:space="preserve">Ustavni osnov za donošenje Zakona o izmjenama i dopunama Zakona o izvršenju i obezbjeđenju sadržan je u članu 16 Ustava Crne Gore, kojim je propisano da se zakonom, u skladu sa Ustavom, </w:t>
      </w:r>
      <w:r w:rsidRPr="00A808E5">
        <w:rPr>
          <w:rFonts w:ascii="Arial" w:hAnsi="Arial" w:cs="Arial"/>
          <w:sz w:val="24"/>
          <w:szCs w:val="24"/>
          <w:lang w:val="pt-PT"/>
        </w:rPr>
        <w:t xml:space="preserve">uređuje način ostvarivanja ljudskih prava i sloboda kada je to neophodno za njihovo ostvarivanje, nadležnost i postupak pred organima javne vlasti, ako je to neophodno za njihovo funkcionisanje, kao i druga pitanja od interesa za državu. </w:t>
      </w:r>
    </w:p>
    <w:p w:rsidR="004F163E" w:rsidRPr="00A808E5" w:rsidRDefault="004F163E" w:rsidP="004F163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pt-PT"/>
        </w:rPr>
      </w:pPr>
    </w:p>
    <w:p w:rsidR="004F163E" w:rsidRPr="00A808E5" w:rsidRDefault="004F163E" w:rsidP="004F16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A808E5">
        <w:rPr>
          <w:rFonts w:ascii="Arial" w:hAnsi="Arial" w:cs="Arial"/>
          <w:b/>
          <w:sz w:val="24"/>
          <w:szCs w:val="24"/>
        </w:rPr>
        <w:t xml:space="preserve"> RAZLOZI ZA DONOŠENJE ZAKONA</w:t>
      </w:r>
    </w:p>
    <w:p w:rsidR="004F163E" w:rsidRPr="00A808E5" w:rsidRDefault="004F163E" w:rsidP="009819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A808E5">
        <w:rPr>
          <w:rFonts w:ascii="Arial" w:hAnsi="Arial" w:cs="Arial"/>
          <w:sz w:val="24"/>
          <w:szCs w:val="24"/>
          <w:lang w:val="pl-PL"/>
        </w:rPr>
        <w:t>Izmjene i dopune Zakona o izvršenju i obezbjeđ</w:t>
      </w:r>
      <w:r>
        <w:rPr>
          <w:rFonts w:ascii="Arial" w:hAnsi="Arial" w:cs="Arial"/>
          <w:sz w:val="24"/>
          <w:szCs w:val="24"/>
          <w:lang w:val="pl-PL"/>
        </w:rPr>
        <w:t>enju neophodno je izvršiti radi njegovog usklađivanja sa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</w:t>
      </w:r>
      <w:r w:rsidRPr="00796672">
        <w:rPr>
          <w:rFonts w:ascii="Arial" w:hAnsi="Arial" w:cs="Arial"/>
          <w:sz w:val="24"/>
          <w:szCs w:val="24"/>
        </w:rPr>
        <w:t>Regulativom Evropskog parlamenta i Savjeta (EZ) br. 655/214 od 15.05.2014. godine o uspostavljanju postupka za evropski nalog za blokadu računa kako bi se pojednostavila prekogran</w:t>
      </w:r>
      <w:r w:rsidR="00D5681E">
        <w:rPr>
          <w:rFonts w:ascii="Arial" w:hAnsi="Arial" w:cs="Arial"/>
          <w:sz w:val="24"/>
          <w:szCs w:val="24"/>
        </w:rPr>
        <w:t>ična naplata duga u građanskim i</w:t>
      </w:r>
      <w:r w:rsidRPr="00796672">
        <w:rPr>
          <w:rFonts w:ascii="Arial" w:hAnsi="Arial" w:cs="Arial"/>
          <w:sz w:val="24"/>
          <w:szCs w:val="24"/>
        </w:rPr>
        <w:t xml:space="preserve"> trgovački stvarima</w:t>
      </w:r>
      <w:r w:rsidRPr="00054ACC">
        <w:rPr>
          <w:rFonts w:ascii="Arial" w:hAnsi="Arial" w:cs="Arial"/>
          <w:sz w:val="24"/>
          <w:szCs w:val="24"/>
          <w:lang w:val="pl-PL"/>
        </w:rPr>
        <w:t xml:space="preserve">, </w:t>
      </w:r>
      <w:r>
        <w:rPr>
          <w:rFonts w:ascii="Arial" w:hAnsi="Arial" w:cs="Arial"/>
          <w:sz w:val="24"/>
          <w:szCs w:val="24"/>
          <w:lang w:val="pl-PL"/>
        </w:rPr>
        <w:t xml:space="preserve">kako bi se stvorili neophodni uslovi za njihovu nesmetanu primjenu, nakon pristupanja </w:t>
      </w:r>
      <w:r w:rsidRPr="00A808E5">
        <w:rPr>
          <w:rFonts w:ascii="Arial" w:hAnsi="Arial" w:cs="Arial"/>
          <w:sz w:val="24"/>
          <w:szCs w:val="24"/>
          <w:lang w:val="pl-PL"/>
        </w:rPr>
        <w:t>Crne Gore Evropskoj uniji.</w:t>
      </w:r>
    </w:p>
    <w:p w:rsidR="004F163E" w:rsidRPr="00A808E5" w:rsidRDefault="004F163E" w:rsidP="009819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Regulative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Evropske unije su obavezujući zakonodavni akti koji se moraju u cjelosti primjenjivati na teritoriji svih zemalja članica Evropske unije, pa je neophodno stvoriti sve potrebne uslove za njihovu nesmetanu primjenu u Crnoj Gori</w:t>
      </w:r>
      <w:r>
        <w:rPr>
          <w:rFonts w:ascii="Arial" w:hAnsi="Arial" w:cs="Arial"/>
          <w:sz w:val="24"/>
          <w:szCs w:val="24"/>
          <w:lang w:val="pl-PL"/>
        </w:rPr>
        <w:t>,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nakon njenog pristupanja Evropskoj uniji.  </w:t>
      </w:r>
    </w:p>
    <w:p w:rsidR="004F163E" w:rsidRPr="00A808E5" w:rsidRDefault="004F163E" w:rsidP="009819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A808E5">
        <w:rPr>
          <w:rFonts w:ascii="Arial" w:hAnsi="Arial" w:cs="Arial"/>
          <w:sz w:val="24"/>
          <w:szCs w:val="24"/>
          <w:lang w:val="pl-PL"/>
        </w:rPr>
        <w:t>Iz navedenih razloga,</w:t>
      </w:r>
      <w:r>
        <w:rPr>
          <w:rFonts w:ascii="Arial" w:hAnsi="Arial" w:cs="Arial"/>
          <w:sz w:val="24"/>
          <w:szCs w:val="24"/>
          <w:lang w:val="pl-PL"/>
        </w:rPr>
        <w:t xml:space="preserve"> a radi usklađivanja sa navedenom Regulativom,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Programom rada Vlade Crne Gore za </w:t>
      </w:r>
      <w:r w:rsidR="00322A51">
        <w:rPr>
          <w:rFonts w:ascii="Arial" w:hAnsi="Arial" w:cs="Arial"/>
          <w:sz w:val="24"/>
          <w:szCs w:val="24"/>
          <w:lang w:val="pl-PL"/>
        </w:rPr>
        <w:t>2022</w:t>
      </w:r>
      <w:r w:rsidRPr="00A808E5">
        <w:rPr>
          <w:rFonts w:ascii="Arial" w:hAnsi="Arial" w:cs="Arial"/>
          <w:sz w:val="24"/>
          <w:szCs w:val="24"/>
          <w:lang w:val="pl-PL"/>
        </w:rPr>
        <w:t>. god</w:t>
      </w:r>
      <w:r>
        <w:rPr>
          <w:rFonts w:ascii="Arial" w:hAnsi="Arial" w:cs="Arial"/>
          <w:sz w:val="24"/>
          <w:szCs w:val="24"/>
          <w:lang w:val="pl-PL"/>
        </w:rPr>
        <w:t>inu, predviđeno je utvrđivanje P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redloga </w:t>
      </w:r>
      <w:r>
        <w:rPr>
          <w:rFonts w:ascii="Arial" w:hAnsi="Arial" w:cs="Arial"/>
          <w:sz w:val="24"/>
          <w:szCs w:val="24"/>
          <w:lang w:val="pl-PL"/>
        </w:rPr>
        <w:t>Zakona o izmjenama i dopunama Zakona o izvršenju i obezbjeđenju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za I</w:t>
      </w:r>
      <w:r w:rsidR="00322A51">
        <w:rPr>
          <w:rFonts w:ascii="Arial" w:hAnsi="Arial" w:cs="Arial"/>
          <w:sz w:val="24"/>
          <w:szCs w:val="24"/>
          <w:lang w:val="pl-PL"/>
        </w:rPr>
        <w:t>I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 kvartal 20</w:t>
      </w:r>
      <w:r w:rsidR="00322A51">
        <w:rPr>
          <w:rFonts w:ascii="Arial" w:hAnsi="Arial" w:cs="Arial"/>
          <w:sz w:val="24"/>
          <w:szCs w:val="24"/>
          <w:lang w:val="pl-PL"/>
        </w:rPr>
        <w:t>22</w:t>
      </w:r>
      <w:r w:rsidRPr="00A808E5">
        <w:rPr>
          <w:rFonts w:ascii="Arial" w:hAnsi="Arial" w:cs="Arial"/>
          <w:sz w:val="24"/>
          <w:szCs w:val="24"/>
          <w:lang w:val="pl-PL"/>
        </w:rPr>
        <w:t xml:space="preserve">. godine. </w:t>
      </w:r>
    </w:p>
    <w:p w:rsidR="004F163E" w:rsidRDefault="004F163E" w:rsidP="00981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Prilikom pripreme ovog Predloga ocijenjeno je da je, pored potrebe usklađivanja Zakona o izvršenju i obezbjeđenju sa predmetnom Regulativom</w:t>
      </w:r>
      <w:r w:rsidRPr="00A80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potrebno izmijeniti i dopuniti njegove pojedine odredbe radi </w:t>
      </w:r>
      <w:r w:rsidR="00322A51">
        <w:rPr>
          <w:rFonts w:ascii="Arial" w:hAnsi="Arial" w:cs="Arial"/>
          <w:sz w:val="24"/>
          <w:szCs w:val="24"/>
        </w:rPr>
        <w:t>njihovog unapr</w:t>
      </w:r>
      <w:r w:rsidR="00684148">
        <w:rPr>
          <w:rFonts w:ascii="Arial" w:hAnsi="Arial" w:cs="Arial"/>
          <w:sz w:val="24"/>
          <w:szCs w:val="24"/>
        </w:rPr>
        <w:t>j</w:t>
      </w:r>
      <w:r w:rsidR="00322A51">
        <w:rPr>
          <w:rFonts w:ascii="Arial" w:hAnsi="Arial" w:cs="Arial"/>
          <w:sz w:val="24"/>
          <w:szCs w:val="24"/>
        </w:rPr>
        <w:t xml:space="preserve">eđenja </w:t>
      </w:r>
      <w:r w:rsidR="00684148">
        <w:rPr>
          <w:rFonts w:ascii="Arial" w:hAnsi="Arial" w:cs="Arial"/>
          <w:sz w:val="24"/>
          <w:szCs w:val="24"/>
        </w:rPr>
        <w:t>i</w:t>
      </w:r>
      <w:r w:rsidR="0032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otklanjanja nedoumica u praktičnoj primjeni, zbog čega se pristupilo njihovim izmjenama i dopunama. </w:t>
      </w:r>
    </w:p>
    <w:p w:rsidR="004F163E" w:rsidRPr="002633AD" w:rsidRDefault="004F163E" w:rsidP="004F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63E" w:rsidRPr="00A808E5" w:rsidRDefault="004F163E" w:rsidP="004F16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A808E5">
        <w:rPr>
          <w:rFonts w:ascii="Arial" w:hAnsi="Arial" w:cs="Arial"/>
          <w:b/>
          <w:sz w:val="24"/>
          <w:szCs w:val="24"/>
        </w:rPr>
        <w:t xml:space="preserve"> USAGLAŠENOST SA EVROPSKIM ZAKONODAVSTVOM I POTVRĐENIM MEĐUNARODNIM KONVENCIJAMA</w:t>
      </w:r>
    </w:p>
    <w:p w:rsidR="004F163E" w:rsidRDefault="004F163E" w:rsidP="0098193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8E5">
        <w:rPr>
          <w:rFonts w:ascii="Arial" w:hAnsi="Arial" w:cs="Arial"/>
          <w:sz w:val="24"/>
          <w:szCs w:val="24"/>
        </w:rPr>
        <w:t xml:space="preserve">Ovaj zakon je </w:t>
      </w:r>
      <w:r>
        <w:rPr>
          <w:rFonts w:ascii="Arial" w:hAnsi="Arial" w:cs="Arial"/>
          <w:sz w:val="24"/>
          <w:szCs w:val="24"/>
        </w:rPr>
        <w:t>usklađen</w:t>
      </w:r>
      <w:r w:rsidRPr="00A808E5">
        <w:rPr>
          <w:rFonts w:ascii="Arial" w:hAnsi="Arial" w:cs="Arial"/>
          <w:sz w:val="24"/>
          <w:szCs w:val="24"/>
        </w:rPr>
        <w:t xml:space="preserve"> sa</w:t>
      </w:r>
      <w:r w:rsidRPr="00A808E5">
        <w:rPr>
          <w:rFonts w:ascii="Arial" w:hAnsi="Arial" w:cs="Arial"/>
          <w:b/>
          <w:sz w:val="24"/>
          <w:szCs w:val="24"/>
        </w:rPr>
        <w:t xml:space="preserve"> </w:t>
      </w:r>
      <w:r w:rsidRPr="007E2841">
        <w:rPr>
          <w:rFonts w:ascii="Arial" w:hAnsi="Arial" w:cs="Arial"/>
          <w:sz w:val="24"/>
          <w:szCs w:val="24"/>
        </w:rPr>
        <w:t>Regulativom Evropskog parlamenta i Savjeta (EZ) br. 655/214 od 15.05.2014. godine o uspostavljanju postupka za evropski nalog za blokadu računa kako bi se pojednostavila prekogran</w:t>
      </w:r>
      <w:r w:rsidR="00D5681E">
        <w:rPr>
          <w:rFonts w:ascii="Arial" w:hAnsi="Arial" w:cs="Arial"/>
          <w:sz w:val="24"/>
          <w:szCs w:val="24"/>
        </w:rPr>
        <w:t>ična naplata duga u građanskim i</w:t>
      </w:r>
      <w:r w:rsidRPr="007E2841">
        <w:rPr>
          <w:rFonts w:ascii="Arial" w:hAnsi="Arial" w:cs="Arial"/>
          <w:sz w:val="24"/>
          <w:szCs w:val="24"/>
        </w:rPr>
        <w:t xml:space="preserve"> trgovački</w:t>
      </w:r>
      <w:r w:rsidR="00D5681E">
        <w:rPr>
          <w:rFonts w:ascii="Arial" w:hAnsi="Arial" w:cs="Arial"/>
          <w:sz w:val="24"/>
          <w:szCs w:val="24"/>
        </w:rPr>
        <w:t>m</w:t>
      </w:r>
      <w:r w:rsidRPr="007E2841">
        <w:rPr>
          <w:rFonts w:ascii="Arial" w:hAnsi="Arial" w:cs="Arial"/>
          <w:sz w:val="24"/>
          <w:szCs w:val="24"/>
        </w:rPr>
        <w:t xml:space="preserve"> stvarima</w:t>
      </w:r>
      <w:r w:rsidR="00D5681E">
        <w:rPr>
          <w:rFonts w:ascii="Arial" w:hAnsi="Arial" w:cs="Arial"/>
          <w:sz w:val="24"/>
          <w:szCs w:val="24"/>
        </w:rPr>
        <w:t>.</w:t>
      </w:r>
    </w:p>
    <w:p w:rsidR="00851609" w:rsidRDefault="00851609" w:rsidP="0098193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</w:p>
    <w:p w:rsidR="004F163E" w:rsidRDefault="004F163E" w:rsidP="004F16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A1F2A">
        <w:rPr>
          <w:rFonts w:ascii="Arial" w:hAnsi="Arial" w:cs="Arial"/>
          <w:b/>
          <w:sz w:val="24"/>
          <w:szCs w:val="24"/>
        </w:rPr>
        <w:t>V</w:t>
      </w:r>
      <w:r w:rsidRPr="00A808E5">
        <w:rPr>
          <w:rFonts w:ascii="Arial" w:hAnsi="Arial" w:cs="Arial"/>
          <w:b/>
          <w:sz w:val="24"/>
          <w:szCs w:val="24"/>
        </w:rPr>
        <w:t xml:space="preserve"> OBRAZLOŽENJE OSNOVNIH PRAVNIH INSTITUTA</w:t>
      </w:r>
    </w:p>
    <w:p w:rsidR="003B134C" w:rsidRDefault="00684148" w:rsidP="00354A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4148">
        <w:rPr>
          <w:rFonts w:ascii="Arial" w:hAnsi="Arial" w:cs="Arial"/>
          <w:sz w:val="24"/>
          <w:szCs w:val="24"/>
        </w:rPr>
        <w:t xml:space="preserve">Članom 1 Nacrta </w:t>
      </w:r>
      <w:r>
        <w:rPr>
          <w:rFonts w:ascii="Arial" w:hAnsi="Arial" w:cs="Arial"/>
          <w:sz w:val="24"/>
          <w:szCs w:val="24"/>
        </w:rPr>
        <w:t xml:space="preserve">izvršena je izmjena u članu 45 </w:t>
      </w:r>
      <w:r w:rsidR="00D5681E">
        <w:rPr>
          <w:rFonts w:ascii="Arial" w:hAnsi="Arial" w:cs="Arial"/>
          <w:sz w:val="24"/>
          <w:szCs w:val="24"/>
        </w:rPr>
        <w:t xml:space="preserve">važećeg zakona </w:t>
      </w:r>
      <w:r>
        <w:rPr>
          <w:rFonts w:ascii="Arial" w:hAnsi="Arial" w:cs="Arial"/>
          <w:sz w:val="24"/>
          <w:szCs w:val="24"/>
        </w:rPr>
        <w:t>na način što je u stavu drugom predviđeno da se dostavlja</w:t>
      </w:r>
      <w:r w:rsidR="00851609">
        <w:rPr>
          <w:rFonts w:ascii="Arial" w:hAnsi="Arial" w:cs="Arial"/>
          <w:sz w:val="24"/>
          <w:szCs w:val="24"/>
        </w:rPr>
        <w:t xml:space="preserve">nje javnim objavljivanjem vrši </w:t>
      </w:r>
      <w:r>
        <w:rPr>
          <w:rFonts w:ascii="Arial" w:hAnsi="Arial" w:cs="Arial"/>
          <w:sz w:val="24"/>
          <w:szCs w:val="24"/>
        </w:rPr>
        <w:t>objavljivanjem u “Službenom listu Crne Gore”</w:t>
      </w:r>
      <w:r w:rsidR="00981938">
        <w:rPr>
          <w:rFonts w:ascii="Arial" w:hAnsi="Arial" w:cs="Arial"/>
          <w:sz w:val="24"/>
          <w:szCs w:val="24"/>
        </w:rPr>
        <w:t>. Ocijenjeno je da će uređenje javnog objavljivanja na predloženi način doprinijeti većoj transparentnosti i ujednačavanju prakse javnog objavljivanja, te većoj do</w:t>
      </w:r>
      <w:r w:rsidR="00851609">
        <w:rPr>
          <w:rFonts w:ascii="Arial" w:hAnsi="Arial" w:cs="Arial"/>
          <w:sz w:val="24"/>
          <w:szCs w:val="24"/>
        </w:rPr>
        <w:t>stupnosti građanima obzirom da,</w:t>
      </w:r>
      <w:r w:rsidR="00E375EF">
        <w:rPr>
          <w:rFonts w:ascii="Arial" w:hAnsi="Arial" w:cs="Arial"/>
          <w:sz w:val="24"/>
          <w:szCs w:val="24"/>
        </w:rPr>
        <w:t xml:space="preserve"> shodno Zakonu o objavljivanju propisa i drugih akata</w:t>
      </w:r>
      <w:r w:rsidR="00851609">
        <w:rPr>
          <w:rFonts w:ascii="Arial" w:hAnsi="Arial" w:cs="Arial"/>
          <w:sz w:val="24"/>
          <w:szCs w:val="24"/>
        </w:rPr>
        <w:t>,</w:t>
      </w:r>
      <w:r w:rsidR="00E375EF">
        <w:rPr>
          <w:rFonts w:ascii="Arial" w:hAnsi="Arial" w:cs="Arial"/>
          <w:sz w:val="24"/>
          <w:szCs w:val="24"/>
        </w:rPr>
        <w:t xml:space="preserve"> Služben</w:t>
      </w:r>
      <w:r w:rsidR="00275AFC">
        <w:rPr>
          <w:rFonts w:ascii="Arial" w:hAnsi="Arial" w:cs="Arial"/>
          <w:sz w:val="24"/>
          <w:szCs w:val="24"/>
        </w:rPr>
        <w:t>i list</w:t>
      </w:r>
      <w:r w:rsidR="00851609">
        <w:rPr>
          <w:rFonts w:ascii="Arial" w:hAnsi="Arial" w:cs="Arial"/>
          <w:sz w:val="24"/>
          <w:szCs w:val="24"/>
        </w:rPr>
        <w:t xml:space="preserve"> se</w:t>
      </w:r>
      <w:r w:rsidR="00275AFC">
        <w:rPr>
          <w:rFonts w:ascii="Arial" w:hAnsi="Arial" w:cs="Arial"/>
          <w:sz w:val="24"/>
          <w:szCs w:val="24"/>
        </w:rPr>
        <w:t xml:space="preserve"> izdaje u</w:t>
      </w:r>
      <w:r w:rsidR="00E375EF">
        <w:rPr>
          <w:rFonts w:ascii="Arial" w:hAnsi="Arial" w:cs="Arial"/>
          <w:sz w:val="24"/>
          <w:szCs w:val="24"/>
        </w:rPr>
        <w:t xml:space="preserve"> elektronskoj i</w:t>
      </w:r>
      <w:r w:rsidR="00275AFC">
        <w:rPr>
          <w:rFonts w:ascii="Arial" w:hAnsi="Arial" w:cs="Arial"/>
          <w:sz w:val="24"/>
          <w:szCs w:val="24"/>
        </w:rPr>
        <w:t xml:space="preserve"> </w:t>
      </w:r>
      <w:r w:rsidR="00275AFC">
        <w:rPr>
          <w:rFonts w:ascii="Arial" w:hAnsi="Arial" w:cs="Arial"/>
          <w:sz w:val="24"/>
          <w:szCs w:val="24"/>
        </w:rPr>
        <w:lastRenderedPageBreak/>
        <w:t xml:space="preserve">pismenoj formi, dok se shodno članu 19 pomenutog zakona, propisi i akti iz člana 5 obavezno objavljuju u štampanom i elektronskom izdanju Službenog lista. </w:t>
      </w:r>
      <w:r w:rsidR="00007746">
        <w:rPr>
          <w:rFonts w:ascii="Arial" w:hAnsi="Arial" w:cs="Arial"/>
          <w:sz w:val="24"/>
          <w:szCs w:val="24"/>
        </w:rPr>
        <w:t>Imajući u vidu djelatnost ove Javne ustanove</w:t>
      </w:r>
      <w:r w:rsidR="003B134C">
        <w:rPr>
          <w:rFonts w:ascii="Arial" w:hAnsi="Arial" w:cs="Arial"/>
          <w:sz w:val="24"/>
          <w:szCs w:val="24"/>
        </w:rPr>
        <w:t>,</w:t>
      </w:r>
      <w:r w:rsidR="00007746">
        <w:rPr>
          <w:rFonts w:ascii="Arial" w:hAnsi="Arial" w:cs="Arial"/>
          <w:sz w:val="24"/>
          <w:szCs w:val="24"/>
        </w:rPr>
        <w:t xml:space="preserve"> koja je definisana u članu 24 Zakona o objavljivanju propisa i drugih akata, odnosno da je izdavanje Službenog lista prioritetna djelatnost ove ustanove, ocijenjeno je da će javno objavljivanje akata koje su doneseni od strane javnih izvršitelja</w:t>
      </w:r>
      <w:r w:rsidR="003B134C">
        <w:rPr>
          <w:rFonts w:ascii="Arial" w:hAnsi="Arial" w:cs="Arial"/>
          <w:sz w:val="24"/>
          <w:szCs w:val="24"/>
        </w:rPr>
        <w:t>,</w:t>
      </w:r>
      <w:r w:rsidR="00007746">
        <w:rPr>
          <w:rFonts w:ascii="Arial" w:hAnsi="Arial" w:cs="Arial"/>
          <w:sz w:val="24"/>
          <w:szCs w:val="24"/>
        </w:rPr>
        <w:t xml:space="preserve"> kao nosilaca javnih ovlašćenja</w:t>
      </w:r>
      <w:r w:rsidR="003B134C">
        <w:rPr>
          <w:rFonts w:ascii="Arial" w:hAnsi="Arial" w:cs="Arial"/>
          <w:sz w:val="24"/>
          <w:szCs w:val="24"/>
        </w:rPr>
        <w:t>,</w:t>
      </w:r>
      <w:r w:rsidR="00007746">
        <w:rPr>
          <w:rFonts w:ascii="Arial" w:hAnsi="Arial" w:cs="Arial"/>
          <w:sz w:val="24"/>
          <w:szCs w:val="24"/>
        </w:rPr>
        <w:t xml:space="preserve"> doprinijeti većoj pravnoj sigurnosti</w:t>
      </w:r>
      <w:r w:rsidR="003B134C">
        <w:rPr>
          <w:rFonts w:ascii="Arial" w:hAnsi="Arial" w:cs="Arial"/>
          <w:sz w:val="24"/>
          <w:szCs w:val="24"/>
        </w:rPr>
        <w:t>, obzirom da će oglašavanje biti koncentrisano u jednom mediju koji je široko dostupan</w:t>
      </w:r>
      <w:r w:rsidR="00007746">
        <w:rPr>
          <w:rFonts w:ascii="Arial" w:hAnsi="Arial" w:cs="Arial"/>
          <w:sz w:val="24"/>
          <w:szCs w:val="24"/>
        </w:rPr>
        <w:t xml:space="preserve">. </w:t>
      </w:r>
    </w:p>
    <w:p w:rsidR="006F673A" w:rsidRDefault="006F673A" w:rsidP="00354A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članu 2 Nacrta predviđena je shodna primjena zakona o izvršenju kazne zatvora, novčane kazne i mjere bezbjednosti na izvršenje kazne</w:t>
      </w:r>
      <w:r w:rsidR="003B134C">
        <w:rPr>
          <w:rFonts w:ascii="Arial" w:hAnsi="Arial" w:cs="Arial"/>
          <w:sz w:val="24"/>
          <w:szCs w:val="24"/>
        </w:rPr>
        <w:t xml:space="preserve"> zatvora kao sredstva izvršenja, koja je nedostajala u važećem zakonskom rješenju.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4A71" w:rsidRDefault="00915FE1" w:rsidP="00354A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Odredbom člana 3 izvršeno je usklađivanje sa </w:t>
      </w:r>
      <w:r w:rsidRPr="00796672">
        <w:rPr>
          <w:rFonts w:ascii="Arial" w:hAnsi="Arial" w:cs="Arial"/>
          <w:sz w:val="24"/>
          <w:szCs w:val="24"/>
        </w:rPr>
        <w:t>Regulativom Evropskog parlamenta i Savjeta (EZ) br. 655/214 od 15.05.2014. godine o uspostavljanju postupka za evropski nalog za blokadu računa kako bi se pojednostavila prekogran</w:t>
      </w:r>
      <w:r>
        <w:rPr>
          <w:rFonts w:ascii="Arial" w:hAnsi="Arial" w:cs="Arial"/>
          <w:sz w:val="24"/>
          <w:szCs w:val="24"/>
        </w:rPr>
        <w:t>ična naplata duga u građanskim i</w:t>
      </w:r>
      <w:r w:rsidRPr="00796672">
        <w:rPr>
          <w:rFonts w:ascii="Arial" w:hAnsi="Arial" w:cs="Arial"/>
          <w:sz w:val="24"/>
          <w:szCs w:val="24"/>
        </w:rPr>
        <w:t xml:space="preserve"> trgovački stvarima</w:t>
      </w:r>
      <w:r>
        <w:rPr>
          <w:rFonts w:ascii="Arial" w:hAnsi="Arial" w:cs="Arial"/>
          <w:sz w:val="24"/>
          <w:szCs w:val="24"/>
        </w:rPr>
        <w:t xml:space="preserve">. </w:t>
      </w:r>
      <w:r w:rsidR="00262EB0">
        <w:rPr>
          <w:rFonts w:ascii="Arial" w:hAnsi="Arial" w:cs="Arial"/>
          <w:sz w:val="24"/>
          <w:szCs w:val="24"/>
        </w:rPr>
        <w:t>Tako je predviđena nadležnost za izdavanje i slanje evropskog naloga za blokadu, nadležnost za odlučivanju po prigovoru povjerioca ili dužnika protiv odluke o odbijanju ili usvajanju naloga za blokadu, kao i sredstva koja su izuzeta od blokade i ograničenje blokade. Takođe je uređena nadležnost za sprovođenje evropskog naloga za blokad</w:t>
      </w:r>
      <w:r w:rsidR="00A4137F">
        <w:rPr>
          <w:rFonts w:ascii="Arial" w:hAnsi="Arial" w:cs="Arial"/>
          <w:sz w:val="24"/>
          <w:szCs w:val="24"/>
        </w:rPr>
        <w:t>u, tijelo za davanje informacija</w:t>
      </w:r>
      <w:bookmarkStart w:id="0" w:name="_GoBack"/>
      <w:bookmarkEnd w:id="0"/>
      <w:r w:rsidR="00262EB0">
        <w:rPr>
          <w:rFonts w:ascii="Arial" w:hAnsi="Arial" w:cs="Arial"/>
          <w:sz w:val="24"/>
          <w:szCs w:val="24"/>
        </w:rPr>
        <w:t xml:space="preserve"> potrebni</w:t>
      </w:r>
      <w:r w:rsidR="003B134C">
        <w:rPr>
          <w:rFonts w:ascii="Arial" w:hAnsi="Arial" w:cs="Arial"/>
          <w:sz w:val="24"/>
          <w:szCs w:val="24"/>
        </w:rPr>
        <w:t>h</w:t>
      </w:r>
      <w:r w:rsidR="00262EB0">
        <w:rPr>
          <w:rFonts w:ascii="Arial" w:hAnsi="Arial" w:cs="Arial"/>
          <w:sz w:val="24"/>
          <w:szCs w:val="24"/>
        </w:rPr>
        <w:t xml:space="preserve"> za identifikaciju banke </w:t>
      </w:r>
      <w:r w:rsidR="00CA1F2A">
        <w:rPr>
          <w:rFonts w:ascii="Arial" w:hAnsi="Arial" w:cs="Arial"/>
          <w:sz w:val="24"/>
          <w:szCs w:val="24"/>
        </w:rPr>
        <w:t>i</w:t>
      </w:r>
      <w:r w:rsidR="00262EB0">
        <w:rPr>
          <w:rFonts w:ascii="Arial" w:hAnsi="Arial" w:cs="Arial"/>
          <w:sz w:val="24"/>
          <w:szCs w:val="24"/>
        </w:rPr>
        <w:t xml:space="preserve"> računa dužnika u smislu člana 14 Regulative, kao i određivanje sudskih naknada i jezika k</w:t>
      </w:r>
      <w:r w:rsidR="00CA1F2A">
        <w:rPr>
          <w:rFonts w:ascii="Arial" w:hAnsi="Arial" w:cs="Arial"/>
          <w:sz w:val="24"/>
          <w:szCs w:val="24"/>
        </w:rPr>
        <w:t>o</w:t>
      </w:r>
      <w:r w:rsidR="00262EB0">
        <w:rPr>
          <w:rFonts w:ascii="Arial" w:hAnsi="Arial" w:cs="Arial"/>
          <w:sz w:val="24"/>
          <w:szCs w:val="24"/>
        </w:rPr>
        <w:t xml:space="preserve">ji je prihvaćen za prevod pismena. </w:t>
      </w:r>
    </w:p>
    <w:p w:rsidR="004F163E" w:rsidRDefault="004F163E" w:rsidP="004F16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F163E" w:rsidRDefault="004F163E" w:rsidP="004F163E">
      <w:pPr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V  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>PROCJENA FINANSIJSKIH SREDSTAVA ZA SPROVOĐENJE ZAKONA</w:t>
      </w:r>
    </w:p>
    <w:p w:rsidR="004F163E" w:rsidRDefault="004F163E" w:rsidP="00CA1F2A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       Za sprovođenje ovog zakona nije potrebno obezbjeđivati finansijska sredstva u Budžetu Crne Gore.</w:t>
      </w:r>
    </w:p>
    <w:p w:rsidR="004F163E" w:rsidRDefault="004F163E" w:rsidP="004F163E"/>
    <w:p w:rsidR="000C3C12" w:rsidRDefault="000C3C12"/>
    <w:sectPr w:rsidR="000C3C12" w:rsidSect="00322A51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C7" w:rsidRDefault="001C0BC7" w:rsidP="00684148">
      <w:pPr>
        <w:spacing w:after="0" w:line="240" w:lineRule="auto"/>
      </w:pPr>
      <w:r>
        <w:separator/>
      </w:r>
    </w:p>
  </w:endnote>
  <w:endnote w:type="continuationSeparator" w:id="0">
    <w:p w:rsidR="001C0BC7" w:rsidRDefault="001C0BC7" w:rsidP="0068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C7" w:rsidRDefault="001C0BC7" w:rsidP="00684148">
      <w:pPr>
        <w:spacing w:after="0" w:line="240" w:lineRule="auto"/>
      </w:pPr>
      <w:r>
        <w:separator/>
      </w:r>
    </w:p>
  </w:footnote>
  <w:footnote w:type="continuationSeparator" w:id="0">
    <w:p w:rsidR="001C0BC7" w:rsidRDefault="001C0BC7" w:rsidP="0068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5F"/>
    <w:rsid w:val="00007746"/>
    <w:rsid w:val="000668DC"/>
    <w:rsid w:val="000C3C12"/>
    <w:rsid w:val="001625F6"/>
    <w:rsid w:val="001C0BC7"/>
    <w:rsid w:val="00262EB0"/>
    <w:rsid w:val="00275AFC"/>
    <w:rsid w:val="002A5A5F"/>
    <w:rsid w:val="00322A51"/>
    <w:rsid w:val="00354A71"/>
    <w:rsid w:val="003B134C"/>
    <w:rsid w:val="0040180B"/>
    <w:rsid w:val="00416A28"/>
    <w:rsid w:val="00424909"/>
    <w:rsid w:val="00466ECE"/>
    <w:rsid w:val="004F163E"/>
    <w:rsid w:val="00527376"/>
    <w:rsid w:val="00541DB6"/>
    <w:rsid w:val="005B4841"/>
    <w:rsid w:val="005F594E"/>
    <w:rsid w:val="00643305"/>
    <w:rsid w:val="00684148"/>
    <w:rsid w:val="006F673A"/>
    <w:rsid w:val="008476F0"/>
    <w:rsid w:val="00851609"/>
    <w:rsid w:val="00915FE1"/>
    <w:rsid w:val="00981938"/>
    <w:rsid w:val="00A4137F"/>
    <w:rsid w:val="00A77977"/>
    <w:rsid w:val="00B17656"/>
    <w:rsid w:val="00B31FC7"/>
    <w:rsid w:val="00CA1F2A"/>
    <w:rsid w:val="00CF6B61"/>
    <w:rsid w:val="00D0302F"/>
    <w:rsid w:val="00D5681E"/>
    <w:rsid w:val="00DD797E"/>
    <w:rsid w:val="00E10F28"/>
    <w:rsid w:val="00E145FB"/>
    <w:rsid w:val="00E375EF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D23E"/>
  <w15:chartTrackingRefBased/>
  <w15:docId w15:val="{61341D7E-44A7-451D-8BF9-6DA0DC01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3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C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32</cp:revision>
  <cp:lastPrinted>2022-03-30T10:17:00Z</cp:lastPrinted>
  <dcterms:created xsi:type="dcterms:W3CDTF">2021-10-18T07:01:00Z</dcterms:created>
  <dcterms:modified xsi:type="dcterms:W3CDTF">2022-03-30T12:12:00Z</dcterms:modified>
</cp:coreProperties>
</file>