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4" w:rsidRPr="00D02914" w:rsidRDefault="00D02914" w:rsidP="00D029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CS"/>
        </w:rPr>
      </w:pPr>
      <w:r w:rsidRPr="00D02914">
        <w:rPr>
          <w:rFonts w:ascii="Arial" w:eastAsia="Times New Roman" w:hAnsi="Arial" w:cs="Arial"/>
          <w:vanish/>
          <w:sz w:val="16"/>
          <w:szCs w:val="16"/>
          <w:lang w:eastAsia="sr-Latn-CS"/>
        </w:rPr>
        <w:t>Top of Form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670"/>
        <w:gridCol w:w="1287"/>
        <w:gridCol w:w="905"/>
        <w:gridCol w:w="1261"/>
        <w:gridCol w:w="1125"/>
        <w:gridCol w:w="307"/>
        <w:gridCol w:w="322"/>
      </w:tblGrid>
      <w:tr w:rsidR="00D02914" w:rsidRPr="00D02914" w:rsidTr="00D02914">
        <w:trPr>
          <w:tblCellSpacing w:w="15" w:type="dxa"/>
        </w:trPr>
        <w:tc>
          <w:tcPr>
            <w:tcW w:w="2404" w:type="dxa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</w:tcPr>
          <w:p w:rsidR="00D02914" w:rsidRPr="00D02914" w:rsidRDefault="00D02914" w:rsidP="00D02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640" w:type="dxa"/>
            <w:vAlign w:val="center"/>
          </w:tcPr>
          <w:p w:rsidR="00D02914" w:rsidRPr="00D02914" w:rsidRDefault="00D02914" w:rsidP="00D0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57" w:type="dxa"/>
            <w:vAlign w:val="center"/>
          </w:tcPr>
          <w:p w:rsidR="00D02914" w:rsidRPr="00D02914" w:rsidRDefault="00D02914" w:rsidP="00D0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875" w:type="dxa"/>
            <w:vAlign w:val="center"/>
          </w:tcPr>
          <w:p w:rsidR="00D02914" w:rsidRPr="00D02914" w:rsidRDefault="00D02914" w:rsidP="00D0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231" w:type="dxa"/>
            <w:vAlign w:val="center"/>
          </w:tcPr>
          <w:p w:rsidR="00D02914" w:rsidRPr="00D02914" w:rsidRDefault="00D02914" w:rsidP="00D0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095" w:type="dxa"/>
            <w:vAlign w:val="center"/>
          </w:tcPr>
          <w:p w:rsidR="00D02914" w:rsidRPr="00D02914" w:rsidRDefault="00D02914" w:rsidP="00D0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77" w:type="dxa"/>
            <w:vAlign w:val="center"/>
          </w:tcPr>
          <w:p w:rsidR="00D02914" w:rsidRPr="00D02914" w:rsidRDefault="00D02914" w:rsidP="00D0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77" w:type="dxa"/>
            <w:vAlign w:val="center"/>
            <w:hideMark/>
          </w:tcPr>
          <w:p w:rsidR="00D02914" w:rsidRPr="00D02914" w:rsidRDefault="00D02914" w:rsidP="00D0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Latn-CS"/>
              </w:rPr>
              <w:drawing>
                <wp:inline distT="0" distB="0" distL="0" distR="0" wp14:anchorId="1D4339DE" wp14:editId="370FBFDB">
                  <wp:extent cx="156845" cy="156845"/>
                  <wp:effectExtent l="0" t="0" r="0" b="0"/>
                  <wp:docPr id="1" name="Picture 1" descr="http://www.propisi.net/jasip92_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Doc" descr="http://www.propisi.net/jasip92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 osnovu člana 15 Zakona o graničnoj kontroli ("Službeni list CG", br. 72/09 i 39/13), Vlada Crne Gore, na sjednici od 28. novembra 2013. godine, donijela je</w:t>
      </w:r>
    </w:p>
    <w:p w:rsidR="00D02914" w:rsidRPr="00D02914" w:rsidRDefault="00D02914" w:rsidP="00D02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3CC"/>
          <w:sz w:val="53"/>
          <w:szCs w:val="53"/>
          <w:lang w:eastAsia="sr-Latn-CS"/>
        </w:rPr>
      </w:pPr>
      <w:bookmarkStart w:id="0" w:name="sadrzaj_1"/>
      <w:bookmarkStart w:id="1" w:name="_GoBack"/>
      <w:bookmarkEnd w:id="0"/>
      <w:r w:rsidRPr="00D02914">
        <w:rPr>
          <w:rFonts w:ascii="Times New Roman" w:eastAsia="Times New Roman" w:hAnsi="Times New Roman" w:cs="Times New Roman"/>
          <w:color w:val="0033CC"/>
          <w:sz w:val="53"/>
          <w:szCs w:val="53"/>
          <w:lang w:eastAsia="sr-Latn-CS"/>
        </w:rPr>
        <w:t>Odluku o otvaranju graničnih prelaza za međunarodni pomorski, vazdušni i željeznički saobraćaj</w:t>
      </w:r>
    </w:p>
    <w:p w:rsidR="00D02914" w:rsidRPr="00D02914" w:rsidRDefault="00D02914" w:rsidP="00D02914">
      <w:pPr>
        <w:spacing w:after="0" w:line="240" w:lineRule="auto"/>
        <w:ind w:left="1650" w:right="1650"/>
        <w:jc w:val="center"/>
        <w:rPr>
          <w:rFonts w:ascii="Times New Roman" w:eastAsia="Times New Roman" w:hAnsi="Times New Roman" w:cs="Times New Roman"/>
          <w:i/>
          <w:iCs/>
          <w:sz w:val="29"/>
          <w:szCs w:val="29"/>
          <w:lang w:eastAsia="sr-Latn-CS"/>
        </w:rPr>
      </w:pPr>
      <w:bookmarkStart w:id="2" w:name="sadrzaj_2"/>
      <w:bookmarkEnd w:id="2"/>
      <w:bookmarkEnd w:id="1"/>
      <w:r w:rsidRPr="00D02914">
        <w:rPr>
          <w:rFonts w:ascii="Times New Roman" w:eastAsia="Times New Roman" w:hAnsi="Times New Roman" w:cs="Times New Roman"/>
          <w:i/>
          <w:iCs/>
          <w:sz w:val="29"/>
          <w:szCs w:val="29"/>
          <w:lang w:eastAsia="sr-Latn-CS"/>
        </w:rPr>
        <w:t>Odluka je objavljena u "Službenom listu CG", br. 3/2014 od 21.1.2014. godine, a stupila je na snagu 29.1.2014.</w:t>
      </w:r>
    </w:p>
    <w:p w:rsidR="00D02914" w:rsidRPr="00D02914" w:rsidRDefault="00D02914" w:rsidP="00D029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</w:pPr>
      <w:bookmarkStart w:id="3" w:name="sadrzaj_3"/>
      <w:bookmarkEnd w:id="3"/>
      <w:r w:rsidRPr="00D02914"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  <w:t>Član 1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Otvaraju se granični prelazi, i to za: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međunarodni pomorski saobraćaj: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Luka Bar,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Luka Kotor,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Luka Zelenika,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Luka Budva;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međunarodni vazdušni saobraćaj: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Aerodrom Podgorica,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Aerodrom Tivat;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 međunarodni željeznički saobraćaj: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Željeznička stanica Tuzi,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Željeznička stanica Bijelo Polje.</w:t>
      </w:r>
    </w:p>
    <w:p w:rsidR="00D02914" w:rsidRPr="00D02914" w:rsidRDefault="00D02914" w:rsidP="00D029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</w:pPr>
      <w:bookmarkStart w:id="4" w:name="sadrzaj_4"/>
      <w:bookmarkEnd w:id="4"/>
      <w:r w:rsidRPr="00D02914"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  <w:t>Član 2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Granični prelazi iz člana 1 ove odluke su stalni granični prelazi, osim graničnog prelaza za međunarodni pomorski saobraćaj Luka Budva, koji je sezonski granični prelaz i otvoren je od 1. maja do 31. oktobra.</w:t>
      </w:r>
    </w:p>
    <w:p w:rsidR="00D02914" w:rsidRPr="00D02914" w:rsidRDefault="00D02914" w:rsidP="00D029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</w:pPr>
      <w:bookmarkStart w:id="5" w:name="sadrzaj_5"/>
      <w:bookmarkEnd w:id="5"/>
      <w:r w:rsidRPr="00D02914"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  <w:t>Član 3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Granični prelazi iz člana 1 ove odluke, otvoreni su 24 časa dnevno za saobraćaj putnika i roba.</w:t>
      </w:r>
    </w:p>
    <w:p w:rsidR="00D02914" w:rsidRPr="00D02914" w:rsidRDefault="00D02914" w:rsidP="00D029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</w:pPr>
      <w:bookmarkStart w:id="6" w:name="sadrzaj_6"/>
      <w:bookmarkEnd w:id="6"/>
      <w:r w:rsidRPr="00D02914"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  <w:t>Član 4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Prelazak državne granice na graničnim prelazima iz člana 1 ove odluke, odvijaće se u skladu sa važećim propisima.</w:t>
      </w:r>
    </w:p>
    <w:p w:rsidR="00D02914" w:rsidRPr="00D02914" w:rsidRDefault="00D02914" w:rsidP="00D029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</w:pPr>
      <w:bookmarkStart w:id="7" w:name="sadrzaj_7"/>
      <w:bookmarkEnd w:id="7"/>
      <w:r w:rsidRPr="00D02914"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  <w:t>Član 5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Danom stupanja na snagu ove odluke prestaju da se primjenjuju Rješenje o određivanju stalnih graničnih prelaza za međunarodni saobraćaj ("Službeni list SFRJ", broj 8/74), u dijelu koji se odnosi na pomorski granični prelaz Bar i aerodromski granični prelaz Golubovci-Titograd i Tivat i Rješenje o određivanju stalnog graničnog prelaza za međunarodni pomorski saobraćaj Kotor ("Službeni list SFRJ", broj 3/92).</w:t>
      </w:r>
    </w:p>
    <w:p w:rsidR="00D02914" w:rsidRPr="00D02914" w:rsidRDefault="00D02914" w:rsidP="00D029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</w:pPr>
      <w:bookmarkStart w:id="8" w:name="sadrzaj_8"/>
      <w:bookmarkEnd w:id="8"/>
      <w:r w:rsidRPr="00D02914">
        <w:rPr>
          <w:rFonts w:ascii="Times New Roman" w:eastAsia="Times New Roman" w:hAnsi="Times New Roman" w:cs="Times New Roman"/>
          <w:b/>
          <w:bCs/>
          <w:sz w:val="26"/>
          <w:szCs w:val="26"/>
          <w:lang w:eastAsia="sr-Latn-CS"/>
        </w:rPr>
        <w:t>Član 6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Ova odluka stupa na snagu osmog dana od dana objavljivanja u "Službenom listu Crne Gore".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Broj: 08-2777/4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Podgorica, 28. novembra 2013. godine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Vlada Crne Gore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right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Predsjednik,</w:t>
      </w:r>
    </w:p>
    <w:p w:rsidR="00D02914" w:rsidRPr="00D02914" w:rsidRDefault="00D02914" w:rsidP="00D02914">
      <w:pPr>
        <w:spacing w:after="0" w:line="240" w:lineRule="auto"/>
        <w:ind w:left="525" w:right="525" w:firstLine="240"/>
        <w:jc w:val="right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Milo Đukanović</w:t>
      </w: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s.r.</w:t>
      </w:r>
    </w:p>
    <w:p w:rsidR="00D02914" w:rsidRPr="00D02914" w:rsidRDefault="00D02914" w:rsidP="00D0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02914">
        <w:rPr>
          <w:rFonts w:ascii="Times New Roman" w:eastAsia="Times New Roman" w:hAnsi="Times New Roman" w:cs="Times New Roman"/>
          <w:sz w:val="24"/>
          <w:szCs w:val="24"/>
          <w:lang w:eastAsia="sr-Latn-C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.55pt;height:.55pt" o:ole="">
            <v:imagedata r:id="rId6" o:title=""/>
          </v:shape>
          <w:control r:id="rId7" w:name="_dp_swf_engine" w:shapeid="_x0000_i1035"/>
        </w:object>
      </w:r>
    </w:p>
    <w:sectPr w:rsidR="00D02914" w:rsidRPr="00D0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14"/>
    <w:rsid w:val="00BE1D00"/>
    <w:rsid w:val="00D02914"/>
    <w:rsid w:val="00F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914"/>
    <w:rPr>
      <w:color w:val="000080"/>
      <w:u w:val="single"/>
    </w:rPr>
  </w:style>
  <w:style w:type="paragraph" w:customStyle="1" w:styleId="stil1tekst">
    <w:name w:val="stil_1tekst"/>
    <w:basedOn w:val="Normal"/>
    <w:rsid w:val="00D0291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til2zakon">
    <w:name w:val="stil_2zakon"/>
    <w:basedOn w:val="Normal"/>
    <w:rsid w:val="00D029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CC"/>
      <w:sz w:val="53"/>
      <w:szCs w:val="53"/>
      <w:lang w:eastAsia="sr-Latn-CS"/>
    </w:rPr>
  </w:style>
  <w:style w:type="paragraph" w:customStyle="1" w:styleId="stil3mesto">
    <w:name w:val="stil_3mesto"/>
    <w:basedOn w:val="Normal"/>
    <w:rsid w:val="00D02914"/>
    <w:pPr>
      <w:spacing w:after="0" w:line="240" w:lineRule="auto"/>
      <w:ind w:left="1650" w:right="1650"/>
      <w:jc w:val="center"/>
    </w:pPr>
    <w:rPr>
      <w:rFonts w:ascii="Times New Roman" w:eastAsia="Times New Roman" w:hAnsi="Times New Roman" w:cs="Times New Roman"/>
      <w:i/>
      <w:iCs/>
      <w:sz w:val="29"/>
      <w:szCs w:val="29"/>
      <w:lang w:eastAsia="sr-Latn-CS"/>
    </w:rPr>
  </w:style>
  <w:style w:type="paragraph" w:customStyle="1" w:styleId="stil4clan">
    <w:name w:val="stil_4clan"/>
    <w:basedOn w:val="Normal"/>
    <w:rsid w:val="00D0291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sr-Latn-CS"/>
    </w:rPr>
  </w:style>
  <w:style w:type="paragraph" w:customStyle="1" w:styleId="szakon">
    <w:name w:val="s_zakon"/>
    <w:basedOn w:val="Normal"/>
    <w:rsid w:val="00D02914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b/>
      <w:bCs/>
      <w:smallCaps/>
      <w:sz w:val="23"/>
      <w:szCs w:val="23"/>
      <w:lang w:eastAsia="sr-Latn-CS"/>
    </w:rPr>
  </w:style>
  <w:style w:type="paragraph" w:customStyle="1" w:styleId="smesto">
    <w:name w:val="s_mesto"/>
    <w:basedOn w:val="Normal"/>
    <w:rsid w:val="00D02914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b/>
      <w:bCs/>
      <w:i/>
      <w:iCs/>
      <w:color w:val="000080"/>
      <w:sz w:val="18"/>
      <w:szCs w:val="18"/>
      <w:lang w:eastAsia="sr-Latn-CS"/>
    </w:rPr>
  </w:style>
  <w:style w:type="paragraph" w:customStyle="1" w:styleId="sclan">
    <w:name w:val="s_clan"/>
    <w:basedOn w:val="Normal"/>
    <w:rsid w:val="00D02914"/>
    <w:pPr>
      <w:spacing w:after="100" w:afterAutospacing="1" w:line="240" w:lineRule="auto"/>
    </w:pPr>
    <w:rPr>
      <w:rFonts w:ascii="Times New Roman" w:eastAsia="Times New Roman" w:hAnsi="Times New Roman" w:cs="Times New Roman"/>
      <w:color w:val="000080"/>
      <w:sz w:val="18"/>
      <w:szCs w:val="18"/>
      <w:lang w:eastAsia="sr-Latn-C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29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C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2914"/>
    <w:rPr>
      <w:rFonts w:ascii="Arial" w:eastAsia="Times New Roman" w:hAnsi="Arial" w:cs="Arial"/>
      <w:vanish/>
      <w:sz w:val="16"/>
      <w:szCs w:val="16"/>
      <w:lang w:eastAsia="sr-Latn-C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29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C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2914"/>
    <w:rPr>
      <w:rFonts w:ascii="Arial" w:eastAsia="Times New Roman" w:hAnsi="Arial" w:cs="Arial"/>
      <w:vanish/>
      <w:sz w:val="16"/>
      <w:szCs w:val="1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914"/>
    <w:rPr>
      <w:color w:val="000080"/>
      <w:u w:val="single"/>
    </w:rPr>
  </w:style>
  <w:style w:type="paragraph" w:customStyle="1" w:styleId="stil1tekst">
    <w:name w:val="stil_1tekst"/>
    <w:basedOn w:val="Normal"/>
    <w:rsid w:val="00D0291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til2zakon">
    <w:name w:val="stil_2zakon"/>
    <w:basedOn w:val="Normal"/>
    <w:rsid w:val="00D029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33CC"/>
      <w:sz w:val="53"/>
      <w:szCs w:val="53"/>
      <w:lang w:eastAsia="sr-Latn-CS"/>
    </w:rPr>
  </w:style>
  <w:style w:type="paragraph" w:customStyle="1" w:styleId="stil3mesto">
    <w:name w:val="stil_3mesto"/>
    <w:basedOn w:val="Normal"/>
    <w:rsid w:val="00D02914"/>
    <w:pPr>
      <w:spacing w:after="0" w:line="240" w:lineRule="auto"/>
      <w:ind w:left="1650" w:right="1650"/>
      <w:jc w:val="center"/>
    </w:pPr>
    <w:rPr>
      <w:rFonts w:ascii="Times New Roman" w:eastAsia="Times New Roman" w:hAnsi="Times New Roman" w:cs="Times New Roman"/>
      <w:i/>
      <w:iCs/>
      <w:sz w:val="29"/>
      <w:szCs w:val="29"/>
      <w:lang w:eastAsia="sr-Latn-CS"/>
    </w:rPr>
  </w:style>
  <w:style w:type="paragraph" w:customStyle="1" w:styleId="stil4clan">
    <w:name w:val="stil_4clan"/>
    <w:basedOn w:val="Normal"/>
    <w:rsid w:val="00D0291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sr-Latn-CS"/>
    </w:rPr>
  </w:style>
  <w:style w:type="paragraph" w:customStyle="1" w:styleId="szakon">
    <w:name w:val="s_zakon"/>
    <w:basedOn w:val="Normal"/>
    <w:rsid w:val="00D02914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b/>
      <w:bCs/>
      <w:smallCaps/>
      <w:sz w:val="23"/>
      <w:szCs w:val="23"/>
      <w:lang w:eastAsia="sr-Latn-CS"/>
    </w:rPr>
  </w:style>
  <w:style w:type="paragraph" w:customStyle="1" w:styleId="smesto">
    <w:name w:val="s_mesto"/>
    <w:basedOn w:val="Normal"/>
    <w:rsid w:val="00D02914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b/>
      <w:bCs/>
      <w:i/>
      <w:iCs/>
      <w:color w:val="000080"/>
      <w:sz w:val="18"/>
      <w:szCs w:val="18"/>
      <w:lang w:eastAsia="sr-Latn-CS"/>
    </w:rPr>
  </w:style>
  <w:style w:type="paragraph" w:customStyle="1" w:styleId="sclan">
    <w:name w:val="s_clan"/>
    <w:basedOn w:val="Normal"/>
    <w:rsid w:val="00D02914"/>
    <w:pPr>
      <w:spacing w:after="100" w:afterAutospacing="1" w:line="240" w:lineRule="auto"/>
    </w:pPr>
    <w:rPr>
      <w:rFonts w:ascii="Times New Roman" w:eastAsia="Times New Roman" w:hAnsi="Times New Roman" w:cs="Times New Roman"/>
      <w:color w:val="000080"/>
      <w:sz w:val="18"/>
      <w:szCs w:val="18"/>
      <w:lang w:eastAsia="sr-Latn-C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29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C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2914"/>
    <w:rPr>
      <w:rFonts w:ascii="Arial" w:eastAsia="Times New Roman" w:hAnsi="Arial" w:cs="Arial"/>
      <w:vanish/>
      <w:sz w:val="16"/>
      <w:szCs w:val="16"/>
      <w:lang w:eastAsia="sr-Latn-C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29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C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2914"/>
    <w:rPr>
      <w:rFonts w:ascii="Arial" w:eastAsia="Times New Roman" w:hAnsi="Arial" w:cs="Arial"/>
      <w:vanish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9823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28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772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6289759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13213667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17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UserF5R</dc:creator>
  <cp:lastModifiedBy>UserF5R</cp:lastModifiedBy>
  <cp:revision>1</cp:revision>
  <dcterms:created xsi:type="dcterms:W3CDTF">2014-10-29T14:19:00Z</dcterms:created>
  <dcterms:modified xsi:type="dcterms:W3CDTF">2014-10-29T14:20:00Z</dcterms:modified>
</cp:coreProperties>
</file>