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2A" w:rsidRDefault="00644F2A" w:rsidP="003A17F1">
      <w:pPr>
        <w:pStyle w:val="Heading1"/>
      </w:pPr>
      <w:bookmarkStart w:id="0" w:name="_GoBack"/>
      <w:bookmarkEnd w:id="0"/>
    </w:p>
    <w:p w:rsidR="00644F2A" w:rsidRDefault="00644F2A" w:rsidP="00644F2A">
      <w:pPr>
        <w:pStyle w:val="BasicParagraph"/>
        <w:suppressAutoHyphens/>
        <w:jc w:val="center"/>
        <w:rPr>
          <w:rFonts w:ascii="Garamond" w:hAnsi="Garamond" w:cs="Garamond"/>
          <w:b/>
          <w:bCs/>
          <w:sz w:val="32"/>
          <w:szCs w:val="32"/>
        </w:rPr>
      </w:pPr>
    </w:p>
    <w:p w:rsidR="00644F2A" w:rsidRDefault="00644F2A" w:rsidP="00644F2A">
      <w:pPr>
        <w:pStyle w:val="BasicParagraph"/>
        <w:suppressAutoHyphens/>
        <w:jc w:val="center"/>
        <w:rPr>
          <w:rFonts w:ascii="Garamond" w:hAnsi="Garamond" w:cs="Garamond"/>
          <w:b/>
          <w:bCs/>
          <w:sz w:val="32"/>
          <w:szCs w:val="32"/>
        </w:rPr>
      </w:pPr>
    </w:p>
    <w:p w:rsidR="00644F2A" w:rsidRDefault="00644F2A" w:rsidP="00644F2A">
      <w:pPr>
        <w:pStyle w:val="BasicParagraph"/>
        <w:suppressAutoHyphens/>
        <w:jc w:val="center"/>
        <w:rPr>
          <w:rFonts w:ascii="Garamond" w:hAnsi="Garamond" w:cs="Garamond"/>
          <w:b/>
          <w:bCs/>
          <w:sz w:val="32"/>
          <w:szCs w:val="32"/>
        </w:rPr>
      </w:pPr>
    </w:p>
    <w:p w:rsidR="00644F2A" w:rsidRDefault="00644F2A" w:rsidP="00644F2A">
      <w:pPr>
        <w:pStyle w:val="BasicParagraph"/>
        <w:suppressAutoHyphens/>
        <w:jc w:val="center"/>
        <w:rPr>
          <w:rFonts w:ascii="Garamond" w:hAnsi="Garamond" w:cs="Garamond"/>
          <w:b/>
          <w:bCs/>
          <w:sz w:val="32"/>
          <w:szCs w:val="32"/>
        </w:rPr>
      </w:pPr>
    </w:p>
    <w:p w:rsidR="00644F2A" w:rsidRDefault="00644F2A" w:rsidP="00644F2A">
      <w:pPr>
        <w:pStyle w:val="BasicParagraph"/>
        <w:suppressAutoHyphens/>
        <w:jc w:val="center"/>
        <w:rPr>
          <w:rFonts w:ascii="Garamond" w:hAnsi="Garamond" w:cs="Garamond"/>
          <w:b/>
          <w:bCs/>
          <w:sz w:val="32"/>
          <w:szCs w:val="32"/>
        </w:rPr>
      </w:pPr>
    </w:p>
    <w:p w:rsidR="00644F2A" w:rsidRDefault="00644F2A" w:rsidP="00644F2A">
      <w:pPr>
        <w:pStyle w:val="BasicParagraph"/>
        <w:suppressAutoHyphens/>
        <w:jc w:val="center"/>
        <w:rPr>
          <w:rFonts w:ascii="Garamond" w:hAnsi="Garamond" w:cs="Garamond"/>
          <w:b/>
          <w:bCs/>
          <w:sz w:val="32"/>
          <w:szCs w:val="32"/>
        </w:rPr>
      </w:pPr>
      <w:r>
        <w:rPr>
          <w:rFonts w:ascii="Garamond" w:hAnsi="Garamond" w:cs="Garamond"/>
          <w:b/>
          <w:bCs/>
          <w:sz w:val="32"/>
          <w:szCs w:val="32"/>
        </w:rPr>
        <w:t xml:space="preserve">STRATEGIJA VISOKOG OBRAZOVANJA CRNE GORE </w:t>
      </w:r>
    </w:p>
    <w:p w:rsidR="00644F2A" w:rsidRDefault="00644F2A" w:rsidP="00644F2A">
      <w:pPr>
        <w:pStyle w:val="BasicParagraph"/>
        <w:suppressAutoHyphens/>
        <w:jc w:val="center"/>
        <w:rPr>
          <w:rFonts w:ascii="Garamond" w:hAnsi="Garamond" w:cs="Garamond"/>
          <w:b/>
          <w:bCs/>
          <w:sz w:val="28"/>
          <w:szCs w:val="28"/>
        </w:rPr>
      </w:pPr>
      <w:r>
        <w:rPr>
          <w:rFonts w:ascii="Garamond" w:hAnsi="Garamond" w:cs="Garamond"/>
          <w:b/>
          <w:bCs/>
          <w:sz w:val="32"/>
          <w:szCs w:val="32"/>
        </w:rPr>
        <w:t>ZA PERIOD 2021–2025</w:t>
      </w: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right"/>
        <w:rPr>
          <w:rFonts w:ascii="Garamond" w:hAnsi="Garamond" w:cs="Garamond"/>
          <w:b/>
          <w:bCs/>
          <w:sz w:val="28"/>
          <w:szCs w:val="28"/>
          <w:u w:val="thick"/>
        </w:rPr>
      </w:pPr>
    </w:p>
    <w:p w:rsidR="00644F2A" w:rsidRDefault="00EB53DC" w:rsidP="00644F2A">
      <w:pPr>
        <w:pStyle w:val="BasicParagraph"/>
        <w:suppressAutoHyphens/>
        <w:jc w:val="right"/>
        <w:rPr>
          <w:rFonts w:ascii="Garamond" w:hAnsi="Garamond" w:cs="Garamond"/>
          <w:b/>
          <w:bCs/>
          <w:sz w:val="28"/>
          <w:szCs w:val="28"/>
          <w:u w:val="thick"/>
        </w:rPr>
      </w:pPr>
      <w:r>
        <w:rPr>
          <w:rFonts w:ascii="Garamond" w:hAnsi="Garamond" w:cs="Garamond"/>
          <w:b/>
          <w:bCs/>
          <w:sz w:val="28"/>
          <w:szCs w:val="28"/>
          <w:u w:val="thick"/>
        </w:rPr>
        <w:t>Nacrt</w:t>
      </w: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r>
        <w:rPr>
          <w:rFonts w:ascii="Garamond" w:hAnsi="Garamond" w:cs="Garamond"/>
          <w:b/>
          <w:bCs/>
          <w:sz w:val="28"/>
          <w:szCs w:val="28"/>
        </w:rPr>
        <w:t xml:space="preserve">Uvodna riječ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r>
        <w:rPr>
          <w:rFonts w:ascii="Garamond" w:hAnsi="Garamond" w:cs="Garamond"/>
          <w:sz w:val="28"/>
          <w:szCs w:val="28"/>
        </w:rPr>
        <w:t>Zahvalnost za izutetnu stručnu pomoć u izradi Strategije za razvoj visokog obrazovanja</w:t>
      </w:r>
      <w:r w:rsidR="002F2EC9">
        <w:rPr>
          <w:rFonts w:ascii="Garamond" w:hAnsi="Garamond" w:cs="Garamond"/>
          <w:sz w:val="28"/>
          <w:szCs w:val="28"/>
        </w:rPr>
        <w:t xml:space="preserve"> 2021-25</w:t>
      </w:r>
      <w:r>
        <w:rPr>
          <w:rFonts w:ascii="Garamond" w:hAnsi="Garamond" w:cs="Garamond"/>
          <w:sz w:val="28"/>
          <w:szCs w:val="28"/>
        </w:rPr>
        <w:t xml:space="preserve"> dugujemo konsultantima koji su angažovani u okviru projekta Savjeta Evrope „Jačanje integriteta i borba protiv korupcije u visokom obrazovanju”. </w:t>
      </w:r>
    </w:p>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1. UVOD</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b/>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ab/>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Strateško planiranje razvoja visokog obrazovanja ima za cilj da u skladu sa nacionalnim i međunarodnim politikama i prioritetima postavi smjernice i definiše ciljeve za održivi, dugoročni i progresivni razvojni put u ovoj oblasti. Kreatori politika u visokom obrazovanju i uprave univerziteta donose obrazovne politike u skladu sa globalnim promjenama, kao što su: ubrzani razvoj digitalnog podučavanja, učenja i ocjenjivanja, nezaustavljiv razvoj nove tehnologije, pandemije, masovne migracije i globalne promjene na tržištu rada. Strategija, kao </w:t>
      </w:r>
      <w:r w:rsidRPr="00821309">
        <w:rPr>
          <w:rFonts w:ascii="Garamond" w:hAnsi="Garamond" w:cs="Garamond"/>
          <w:iCs/>
          <w:sz w:val="28"/>
          <w:szCs w:val="28"/>
        </w:rPr>
        <w:t>efikasan instrument</w:t>
      </w:r>
      <w:r>
        <w:rPr>
          <w:rFonts w:ascii="Garamond" w:hAnsi="Garamond" w:cs="Garamond"/>
          <w:sz w:val="28"/>
          <w:szCs w:val="28"/>
        </w:rPr>
        <w:t xml:space="preserve"> s jasno definisanim, ciljevima, aktivnostima i mjerama, ima za cilj da u planiranom petogodišnjem periodu unaprijedi sprovođenje razvojnih politika u visokom obrazovanju.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Strateški cilj Crne Gore je da razvija sistem visokog obrazovanja, istraživanja i umjetničkog stvaralaštva koji će:</w:t>
      </w:r>
    </w:p>
    <w:p w:rsidR="00644F2A" w:rsidRDefault="00204C8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w:t>
      </w:r>
      <w:r w:rsidR="00644F2A">
        <w:rPr>
          <w:rFonts w:ascii="Garamond" w:hAnsi="Garamond" w:cs="Garamond"/>
          <w:sz w:val="28"/>
          <w:szCs w:val="28"/>
        </w:rPr>
        <w:t>unaprijediti društveni, ekonomski i kulturni razvoj;</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osigurati ravnopravne mogućnosti za sve, u skladu s principima slobode i demokratije;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zahtijevati zajednički prihvaćena i integrisana načela kulture kvaliteta u organizaciji i upravljanju sistemom i ustanovama visokog obrazovanja;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imati održivo i stabilno finansiranje i</w:t>
      </w:r>
    </w:p>
    <w:p w:rsidR="00644F2A" w:rsidRDefault="00204C8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w:t>
      </w:r>
      <w:r w:rsidR="00644F2A">
        <w:rPr>
          <w:rFonts w:ascii="Garamond" w:hAnsi="Garamond" w:cs="Garamond"/>
          <w:sz w:val="28"/>
          <w:szCs w:val="28"/>
        </w:rPr>
        <w:t>garantovati profesionalno izvršavanje zadataka u nadležnom ministarstvu</w:t>
      </w:r>
      <w:r w:rsidR="00644F2A">
        <w:rPr>
          <w:rFonts w:ascii="Garamond" w:hAnsi="Garamond" w:cs="Garamond"/>
          <w:sz w:val="28"/>
          <w:szCs w:val="28"/>
          <w:vertAlign w:val="superscript"/>
        </w:rPr>
        <w:footnoteReference w:id="1"/>
      </w:r>
      <w:r w:rsidR="00644F2A">
        <w:rPr>
          <w:rFonts w:ascii="Garamond" w:hAnsi="Garamond" w:cs="Garamond"/>
          <w:sz w:val="28"/>
          <w:szCs w:val="28"/>
        </w:rPr>
        <w:t>, savjetima</w:t>
      </w:r>
      <w:r w:rsidR="00644F2A">
        <w:rPr>
          <w:rFonts w:ascii="Garamond" w:hAnsi="Garamond" w:cs="Garamond"/>
          <w:sz w:val="28"/>
          <w:szCs w:val="28"/>
          <w:vertAlign w:val="superscript"/>
        </w:rPr>
        <w:footnoteReference w:id="2"/>
      </w:r>
      <w:r w:rsidR="00644F2A">
        <w:rPr>
          <w:rFonts w:ascii="Garamond" w:hAnsi="Garamond" w:cs="Garamond"/>
          <w:sz w:val="28"/>
          <w:szCs w:val="28"/>
        </w:rPr>
        <w:t xml:space="preserve"> i Agencijama</w:t>
      </w:r>
      <w:r w:rsidR="00644F2A">
        <w:rPr>
          <w:rFonts w:ascii="Garamond" w:hAnsi="Garamond" w:cs="Garamond"/>
          <w:sz w:val="28"/>
          <w:szCs w:val="28"/>
          <w:vertAlign w:val="superscript"/>
        </w:rPr>
        <w:footnoteReference w:id="3"/>
      </w:r>
      <w:r w:rsidR="00644F2A">
        <w:rPr>
          <w:rFonts w:ascii="Garamond" w:hAnsi="Garamond" w:cs="Garamond"/>
          <w:sz w:val="28"/>
          <w:szCs w:val="28"/>
        </w:rPr>
        <w:t xml:space="preserve">  koji su u funkciji ostvarivanja strateških ciljeva.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1.1 Usklađenost sa nacionalnim strateškim okvirom</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Crna Gora je država u regionu Zapadnog Balkana s populacijom od oko 620.000 stanovnika. Bruto domaći proizvod (BDP) Crne Gore u 2018. godini iznosio je 4,663 milijardi eura, odnosno 7.495 eura po stanovniku. Realni rast BDP bio je od 1,8% u 2014 do 5,1% u 2018. godini, dok je u 2019. godini rast iznosio 4.1%. Nakon pada BDP u 2020. godini od 15,2%, koji je uzrokovan Kovid pandemijom, BDP je imao značajan rast u 2021.godini.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Brojni ekonomski i neekonomski činioci su u prethodnom periodu uticali na raspoložive faktore razvoja i stanje nacionalnih resursa, kao i na primjenu i kvalitet realizacije različitih razvojnih koncepata. Poslije perioda tzv. tranzicione recesije (1990-1999), period od početka ovog vijeka do obnove nezavisnosti karakterisao je postepeni izlazak iz tranzicione recesije (prosječna stopa rasta BDP-a je 2,8). U navedenom periodu značajno se mijenjala i struktura crnogorske ekonomije, što se može vidjeti u Tabeli 3.</w:t>
      </w:r>
      <w:r>
        <w:rPr>
          <w:rFonts w:ascii="Garamond" w:hAnsi="Garamond" w:cs="Garamond"/>
          <w:sz w:val="28"/>
          <w:szCs w:val="28"/>
          <w:vertAlign w:val="superscript"/>
        </w:rPr>
        <w:footnoteReference w:id="4"/>
      </w:r>
      <w:r>
        <w:rPr>
          <w:rFonts w:ascii="Garamond" w:hAnsi="Garamond" w:cs="Garamond"/>
          <w:sz w:val="28"/>
          <w:szCs w:val="28"/>
        </w:rPr>
        <w:t xml:space="preserve"> </w:t>
      </w:r>
    </w:p>
    <w:p w:rsidR="00644F2A" w:rsidRPr="009D282E" w:rsidRDefault="00644F2A" w:rsidP="00644F2A">
      <w:pPr>
        <w:pStyle w:val="BasicParagraph"/>
        <w:suppressAutoHyphens/>
        <w:ind w:firstLine="567"/>
        <w:jc w:val="both"/>
        <w:rPr>
          <w:rFonts w:ascii="Garamond" w:hAnsi="Garamond" w:cs="Garamond"/>
          <w:sz w:val="28"/>
          <w:szCs w:val="28"/>
          <w:lang w:val="fr-FR"/>
        </w:rPr>
      </w:pPr>
      <w:r>
        <w:rPr>
          <w:rFonts w:ascii="Garamond" w:hAnsi="Garamond" w:cs="Garamond"/>
          <w:sz w:val="28"/>
          <w:szCs w:val="28"/>
        </w:rPr>
        <w:t>Učešće poljoprivrede, a posebno industrije, značajno se smanjilo i u BDV-u i u zaposlenosti, dok je</w:t>
      </w:r>
      <w:r w:rsidR="00476AC8">
        <w:rPr>
          <w:rFonts w:ascii="Garamond" w:hAnsi="Garamond" w:cs="Garamond"/>
          <w:sz w:val="28"/>
          <w:szCs w:val="28"/>
        </w:rPr>
        <w:t xml:space="preserve"> u sektoru</w:t>
      </w:r>
      <w:r>
        <w:rPr>
          <w:rFonts w:ascii="Garamond" w:hAnsi="Garamond" w:cs="Garamond"/>
          <w:sz w:val="28"/>
          <w:szCs w:val="28"/>
        </w:rPr>
        <w:t xml:space="preserve"> industrij</w:t>
      </w:r>
      <w:r w:rsidR="00476AC8">
        <w:rPr>
          <w:rFonts w:ascii="Garamond" w:hAnsi="Garamond" w:cs="Garamond"/>
          <w:sz w:val="28"/>
          <w:szCs w:val="28"/>
        </w:rPr>
        <w:t>e registrovan</w:t>
      </w:r>
      <w:r>
        <w:rPr>
          <w:rFonts w:ascii="Garamond" w:hAnsi="Garamond" w:cs="Garamond"/>
          <w:sz w:val="28"/>
          <w:szCs w:val="28"/>
        </w:rPr>
        <w:t xml:space="preserve"> najv</w:t>
      </w:r>
      <w:r w:rsidR="00476AC8">
        <w:rPr>
          <w:rFonts w:ascii="Garamond" w:hAnsi="Garamond" w:cs="Garamond"/>
          <w:sz w:val="28"/>
          <w:szCs w:val="28"/>
        </w:rPr>
        <w:t>eci</w:t>
      </w:r>
      <w:r>
        <w:rPr>
          <w:rFonts w:ascii="Garamond" w:hAnsi="Garamond" w:cs="Garamond"/>
          <w:sz w:val="28"/>
          <w:szCs w:val="28"/>
        </w:rPr>
        <w:t xml:space="preserve"> rast nezaposlenosti. </w:t>
      </w:r>
      <w:r w:rsidRPr="009D282E">
        <w:rPr>
          <w:rFonts w:ascii="Garamond" w:hAnsi="Garamond" w:cs="Garamond"/>
          <w:sz w:val="28"/>
          <w:szCs w:val="28"/>
          <w:lang w:val="fr-FR"/>
        </w:rPr>
        <w:t>Industrija je smanjila svoje učešće u BDV-u sa 20,8% (1990) na svega 12,9% (2015). Po strateškom dokumentu „Industrijska politika Crne Gore do 2020. godine” očekivan je njen postepeni oporavak (do 20% u BDP-u), pa se može očekivati njen postepeni rast u strukturi BDV-a u 2030. godini do 22%, uz rast zaposlenosti u ovom sektoru do 13% od ukupne registrovane zaposlenosti.</w:t>
      </w:r>
    </w:p>
    <w:p w:rsidR="00644F2A" w:rsidRPr="009D282E" w:rsidRDefault="00644F2A" w:rsidP="00644F2A">
      <w:pPr>
        <w:pStyle w:val="BasicParagraph"/>
        <w:rPr>
          <w:sz w:val="28"/>
          <w:szCs w:val="28"/>
          <w:lang w:val="fr-FR"/>
        </w:rPr>
      </w:pPr>
    </w:p>
    <w:p w:rsidR="00644F2A" w:rsidRPr="009D282E" w:rsidRDefault="00644F2A" w:rsidP="00644F2A">
      <w:pPr>
        <w:pStyle w:val="BasicParagraph"/>
        <w:spacing w:after="113"/>
        <w:jc w:val="center"/>
        <w:rPr>
          <w:sz w:val="28"/>
          <w:szCs w:val="28"/>
          <w:lang w:val="fr-FR"/>
        </w:rPr>
      </w:pPr>
      <w:r w:rsidRPr="009D282E">
        <w:rPr>
          <w:b/>
          <w:bCs/>
          <w:lang w:val="fr-FR"/>
        </w:rPr>
        <w:t>Tabela 1. Učešće sektora u bruto dodatoj vrijednosti (BDV) i zaposlenosti  od 1990. do 2015. godine i projekcije za 2030. godinu.</w:t>
      </w:r>
    </w:p>
    <w:tbl>
      <w:tblPr>
        <w:tblW w:w="0" w:type="auto"/>
        <w:tblInd w:w="-20" w:type="dxa"/>
        <w:tblLayout w:type="fixed"/>
        <w:tblCellMar>
          <w:left w:w="0" w:type="dxa"/>
          <w:right w:w="0" w:type="dxa"/>
        </w:tblCellMar>
        <w:tblLook w:val="0000" w:firstRow="0" w:lastRow="0" w:firstColumn="0" w:lastColumn="0" w:noHBand="0" w:noVBand="0"/>
      </w:tblPr>
      <w:tblGrid>
        <w:gridCol w:w="1832"/>
        <w:gridCol w:w="831"/>
        <w:gridCol w:w="719"/>
        <w:gridCol w:w="963"/>
        <w:gridCol w:w="756"/>
        <w:gridCol w:w="964"/>
        <w:gridCol w:w="794"/>
        <w:gridCol w:w="1001"/>
        <w:gridCol w:w="794"/>
        <w:gridCol w:w="944"/>
      </w:tblGrid>
      <w:tr w:rsidR="00644F2A">
        <w:trPr>
          <w:trHeight w:val="350"/>
        </w:trPr>
        <w:tc>
          <w:tcPr>
            <w:tcW w:w="1832"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Struktura / djelatnosti</w:t>
            </w:r>
          </w:p>
        </w:tc>
        <w:tc>
          <w:tcPr>
            <w:tcW w:w="831"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1990.</w:t>
            </w:r>
          </w:p>
        </w:tc>
        <w:tc>
          <w:tcPr>
            <w:tcW w:w="1682"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2000.</w:t>
            </w:r>
          </w:p>
        </w:tc>
        <w:tc>
          <w:tcPr>
            <w:tcW w:w="1720"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2010.</w:t>
            </w:r>
          </w:p>
        </w:tc>
        <w:tc>
          <w:tcPr>
            <w:tcW w:w="1795"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2015.</w:t>
            </w:r>
          </w:p>
        </w:tc>
        <w:tc>
          <w:tcPr>
            <w:tcW w:w="1738"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2030.*</w:t>
            </w:r>
          </w:p>
        </w:tc>
      </w:tr>
      <w:tr w:rsidR="00644F2A">
        <w:trPr>
          <w:trHeight w:val="865"/>
        </w:trPr>
        <w:tc>
          <w:tcPr>
            <w:tcW w:w="1832"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831"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 xml:space="preserve">% </w:t>
            </w:r>
          </w:p>
          <w:p w:rsidR="00644F2A" w:rsidRDefault="00644F2A">
            <w:pPr>
              <w:pStyle w:val="BasicParagraph"/>
              <w:jc w:val="center"/>
            </w:pPr>
            <w:r>
              <w:rPr>
                <w:rFonts w:ascii="Garamond" w:hAnsi="Garamond" w:cs="Garamond"/>
                <w:b/>
                <w:bCs/>
                <w:sz w:val="26"/>
                <w:szCs w:val="26"/>
              </w:rPr>
              <w:t>BDV</w:t>
            </w:r>
          </w:p>
        </w:tc>
        <w:tc>
          <w:tcPr>
            <w:tcW w:w="71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 xml:space="preserve">% </w:t>
            </w:r>
          </w:p>
          <w:p w:rsidR="00644F2A" w:rsidRDefault="00644F2A">
            <w:pPr>
              <w:pStyle w:val="BasicParagraph"/>
              <w:jc w:val="center"/>
            </w:pPr>
            <w:r>
              <w:rPr>
                <w:rFonts w:ascii="Garamond" w:hAnsi="Garamond" w:cs="Garamond"/>
                <w:b/>
                <w:bCs/>
                <w:sz w:val="26"/>
                <w:szCs w:val="26"/>
              </w:rPr>
              <w:t>BDV</w:t>
            </w:r>
          </w:p>
        </w:tc>
        <w:tc>
          <w:tcPr>
            <w:tcW w:w="96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w:t>
            </w:r>
          </w:p>
          <w:p w:rsidR="00644F2A" w:rsidRDefault="00644F2A">
            <w:pPr>
              <w:pStyle w:val="BasicParagraph"/>
              <w:jc w:val="center"/>
            </w:pPr>
            <w:r>
              <w:rPr>
                <w:rFonts w:ascii="Garamond" w:hAnsi="Garamond" w:cs="Garamond"/>
                <w:b/>
                <w:bCs/>
                <w:sz w:val="26"/>
                <w:szCs w:val="26"/>
              </w:rPr>
              <w:t>zaposl.</w:t>
            </w:r>
          </w:p>
        </w:tc>
        <w:tc>
          <w:tcPr>
            <w:tcW w:w="75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 xml:space="preserve">% </w:t>
            </w:r>
          </w:p>
          <w:p w:rsidR="00644F2A" w:rsidRDefault="00644F2A">
            <w:pPr>
              <w:pStyle w:val="BasicParagraph"/>
              <w:jc w:val="center"/>
            </w:pPr>
            <w:r>
              <w:rPr>
                <w:rFonts w:ascii="Garamond" w:hAnsi="Garamond" w:cs="Garamond"/>
                <w:b/>
                <w:bCs/>
                <w:sz w:val="26"/>
                <w:szCs w:val="26"/>
              </w:rPr>
              <w:t>BDV</w:t>
            </w:r>
          </w:p>
        </w:tc>
        <w:tc>
          <w:tcPr>
            <w:tcW w:w="96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w:t>
            </w:r>
          </w:p>
          <w:p w:rsidR="00644F2A" w:rsidRDefault="00644F2A">
            <w:pPr>
              <w:pStyle w:val="BasicParagraph"/>
              <w:jc w:val="center"/>
            </w:pPr>
            <w:r>
              <w:rPr>
                <w:rFonts w:ascii="Garamond" w:hAnsi="Garamond" w:cs="Garamond"/>
                <w:b/>
                <w:bCs/>
                <w:sz w:val="26"/>
                <w:szCs w:val="26"/>
              </w:rPr>
              <w:t>zaposl.</w:t>
            </w:r>
          </w:p>
        </w:tc>
        <w:tc>
          <w:tcPr>
            <w:tcW w:w="79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 xml:space="preserve">% </w:t>
            </w:r>
          </w:p>
          <w:p w:rsidR="00644F2A" w:rsidRDefault="00644F2A">
            <w:pPr>
              <w:pStyle w:val="BasicParagraph"/>
              <w:jc w:val="center"/>
            </w:pPr>
            <w:r>
              <w:rPr>
                <w:rFonts w:ascii="Garamond" w:hAnsi="Garamond" w:cs="Garamond"/>
                <w:b/>
                <w:bCs/>
                <w:sz w:val="26"/>
                <w:szCs w:val="26"/>
              </w:rPr>
              <w:t>BDV</w:t>
            </w:r>
          </w:p>
        </w:tc>
        <w:tc>
          <w:tcPr>
            <w:tcW w:w="1001"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w:t>
            </w:r>
          </w:p>
          <w:p w:rsidR="00644F2A" w:rsidRDefault="00644F2A">
            <w:pPr>
              <w:pStyle w:val="BasicParagraph"/>
              <w:jc w:val="center"/>
            </w:pPr>
            <w:r>
              <w:rPr>
                <w:rFonts w:ascii="Garamond" w:hAnsi="Garamond" w:cs="Garamond"/>
                <w:b/>
                <w:bCs/>
                <w:sz w:val="26"/>
                <w:szCs w:val="26"/>
              </w:rPr>
              <w:t>zaposl.</w:t>
            </w:r>
          </w:p>
        </w:tc>
        <w:tc>
          <w:tcPr>
            <w:tcW w:w="79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 xml:space="preserve">% </w:t>
            </w:r>
          </w:p>
          <w:p w:rsidR="00644F2A" w:rsidRDefault="00644F2A">
            <w:pPr>
              <w:pStyle w:val="BasicParagraph"/>
              <w:jc w:val="center"/>
            </w:pPr>
            <w:r>
              <w:rPr>
                <w:rFonts w:ascii="Garamond" w:hAnsi="Garamond" w:cs="Garamond"/>
                <w:b/>
                <w:bCs/>
                <w:sz w:val="26"/>
                <w:szCs w:val="26"/>
              </w:rPr>
              <w:t>BDV</w:t>
            </w:r>
          </w:p>
        </w:tc>
        <w:tc>
          <w:tcPr>
            <w:tcW w:w="94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w:t>
            </w:r>
          </w:p>
          <w:p w:rsidR="00644F2A" w:rsidRDefault="00644F2A">
            <w:pPr>
              <w:pStyle w:val="BasicParagraph"/>
              <w:jc w:val="center"/>
            </w:pPr>
            <w:r>
              <w:rPr>
                <w:rFonts w:ascii="Garamond" w:hAnsi="Garamond" w:cs="Garamond"/>
                <w:b/>
                <w:bCs/>
                <w:sz w:val="26"/>
                <w:szCs w:val="26"/>
              </w:rPr>
              <w:t>zaposl.</w:t>
            </w:r>
          </w:p>
        </w:tc>
      </w:tr>
      <w:tr w:rsidR="00644F2A">
        <w:trPr>
          <w:trHeight w:val="603"/>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Poljopriveda i šumarstvo</w:t>
            </w:r>
          </w:p>
        </w:tc>
        <w:tc>
          <w:tcPr>
            <w:tcW w:w="831"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12,2</w:t>
            </w:r>
          </w:p>
        </w:tc>
        <w:tc>
          <w:tcPr>
            <w:tcW w:w="71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12,5</w:t>
            </w:r>
          </w:p>
        </w:tc>
        <w:tc>
          <w:tcPr>
            <w:tcW w:w="963"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w:t>
            </w:r>
          </w:p>
        </w:tc>
        <w:tc>
          <w:tcPr>
            <w:tcW w:w="75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9,2</w:t>
            </w:r>
          </w:p>
        </w:tc>
        <w:tc>
          <w:tcPr>
            <w:tcW w:w="96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w:t>
            </w:r>
          </w:p>
        </w:tc>
        <w:tc>
          <w:tcPr>
            <w:tcW w:w="79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9,8</w:t>
            </w:r>
          </w:p>
        </w:tc>
        <w:tc>
          <w:tcPr>
            <w:tcW w:w="100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w:t>
            </w:r>
          </w:p>
        </w:tc>
        <w:tc>
          <w:tcPr>
            <w:tcW w:w="79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6,0</w:t>
            </w:r>
          </w:p>
        </w:tc>
        <w:tc>
          <w:tcPr>
            <w:tcW w:w="944"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w:t>
            </w:r>
          </w:p>
        </w:tc>
      </w:tr>
      <w:tr w:rsidR="00644F2A">
        <w:trPr>
          <w:trHeight w:val="391"/>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Industrija</w:t>
            </w:r>
          </w:p>
        </w:tc>
        <w:tc>
          <w:tcPr>
            <w:tcW w:w="83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20,8</w:t>
            </w:r>
          </w:p>
        </w:tc>
        <w:tc>
          <w:tcPr>
            <w:tcW w:w="7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19,1</w:t>
            </w:r>
          </w:p>
        </w:tc>
        <w:tc>
          <w:tcPr>
            <w:tcW w:w="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25,3</w:t>
            </w:r>
          </w:p>
        </w:tc>
        <w:tc>
          <w:tcPr>
            <w:tcW w:w="7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14,6</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15,3</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12,9</w:t>
            </w:r>
          </w:p>
        </w:tc>
        <w:tc>
          <w:tcPr>
            <w:tcW w:w="1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11,9</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22,0</w:t>
            </w:r>
          </w:p>
        </w:tc>
        <w:tc>
          <w:tcPr>
            <w:tcW w:w="944"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13,0</w:t>
            </w:r>
          </w:p>
        </w:tc>
      </w:tr>
      <w:tr w:rsidR="00644F2A">
        <w:trPr>
          <w:trHeight w:val="359"/>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Građevinarstvo</w:t>
            </w:r>
          </w:p>
        </w:tc>
        <w:tc>
          <w:tcPr>
            <w:tcW w:w="83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4,0</w:t>
            </w:r>
          </w:p>
        </w:tc>
        <w:tc>
          <w:tcPr>
            <w:tcW w:w="7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4,3</w:t>
            </w:r>
          </w:p>
        </w:tc>
        <w:tc>
          <w:tcPr>
            <w:tcW w:w="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4,8</w:t>
            </w:r>
          </w:p>
        </w:tc>
        <w:tc>
          <w:tcPr>
            <w:tcW w:w="7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5,9</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5,0</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4,6</w:t>
            </w:r>
          </w:p>
        </w:tc>
        <w:tc>
          <w:tcPr>
            <w:tcW w:w="1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5,3</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5,0</w:t>
            </w:r>
          </w:p>
        </w:tc>
        <w:tc>
          <w:tcPr>
            <w:tcW w:w="944"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6,0</w:t>
            </w:r>
          </w:p>
        </w:tc>
      </w:tr>
      <w:tr w:rsidR="00644F2A">
        <w:trPr>
          <w:trHeight w:val="377"/>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Ostale usluge</w:t>
            </w:r>
          </w:p>
        </w:tc>
        <w:tc>
          <w:tcPr>
            <w:tcW w:w="83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63,0</w:t>
            </w:r>
          </w:p>
        </w:tc>
        <w:tc>
          <w:tcPr>
            <w:tcW w:w="7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64,1</w:t>
            </w:r>
          </w:p>
        </w:tc>
        <w:tc>
          <w:tcPr>
            <w:tcW w:w="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67,8</w:t>
            </w:r>
          </w:p>
        </w:tc>
        <w:tc>
          <w:tcPr>
            <w:tcW w:w="7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70,3</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78,3</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72,7</w:t>
            </w:r>
          </w:p>
        </w:tc>
        <w:tc>
          <w:tcPr>
            <w:tcW w:w="1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81,3</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67,0</w:t>
            </w:r>
          </w:p>
        </w:tc>
        <w:tc>
          <w:tcPr>
            <w:tcW w:w="944"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79,0</w:t>
            </w:r>
          </w:p>
        </w:tc>
      </w:tr>
      <w:tr w:rsidR="00644F2A">
        <w:trPr>
          <w:trHeight w:val="60"/>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Ukupno (mil.  €; hiljada  zapos.)</w:t>
            </w:r>
          </w:p>
        </w:tc>
        <w:tc>
          <w:tcPr>
            <w:tcW w:w="83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1.618</w:t>
            </w:r>
          </w:p>
        </w:tc>
        <w:tc>
          <w:tcPr>
            <w:tcW w:w="7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966</w:t>
            </w:r>
          </w:p>
        </w:tc>
        <w:tc>
          <w:tcPr>
            <w:tcW w:w="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140,7</w:t>
            </w:r>
          </w:p>
        </w:tc>
        <w:tc>
          <w:tcPr>
            <w:tcW w:w="7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2.608</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161,7</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2.992</w:t>
            </w:r>
          </w:p>
        </w:tc>
        <w:tc>
          <w:tcPr>
            <w:tcW w:w="10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175,6</w:t>
            </w:r>
          </w:p>
        </w:tc>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100</w:t>
            </w:r>
          </w:p>
        </w:tc>
        <w:tc>
          <w:tcPr>
            <w:tcW w:w="944"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210</w:t>
            </w:r>
          </w:p>
        </w:tc>
      </w:tr>
      <w:tr w:rsidR="00644F2A">
        <w:trPr>
          <w:trHeight w:val="60"/>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Registrovana nezaposlenost</w:t>
            </w:r>
          </w:p>
        </w:tc>
        <w:tc>
          <w:tcPr>
            <w:tcW w:w="83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53,700</w:t>
            </w:r>
          </w:p>
        </w:tc>
        <w:tc>
          <w:tcPr>
            <w:tcW w:w="168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81,100</w:t>
            </w:r>
          </w:p>
        </w:tc>
        <w:tc>
          <w:tcPr>
            <w:tcW w:w="17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32,026</w:t>
            </w:r>
          </w:p>
        </w:tc>
        <w:tc>
          <w:tcPr>
            <w:tcW w:w="17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39,991</w:t>
            </w:r>
          </w:p>
        </w:tc>
        <w:tc>
          <w:tcPr>
            <w:tcW w:w="17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24,000</w:t>
            </w:r>
          </w:p>
        </w:tc>
      </w:tr>
      <w:tr w:rsidR="00644F2A">
        <w:trPr>
          <w:trHeight w:val="60"/>
        </w:trPr>
        <w:tc>
          <w:tcPr>
            <w:tcW w:w="183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lastRenderedPageBreak/>
              <w:t>Stopa nezaposlenosti</w:t>
            </w:r>
          </w:p>
        </w:tc>
        <w:tc>
          <w:tcPr>
            <w:tcW w:w="831"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24,1</w:t>
            </w:r>
          </w:p>
        </w:tc>
        <w:tc>
          <w:tcPr>
            <w:tcW w:w="1682" w:type="dxa"/>
            <w:gridSpan w:val="2"/>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36,6</w:t>
            </w:r>
          </w:p>
        </w:tc>
        <w:tc>
          <w:tcPr>
            <w:tcW w:w="1720" w:type="dxa"/>
            <w:gridSpan w:val="2"/>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16,5</w:t>
            </w:r>
          </w:p>
        </w:tc>
        <w:tc>
          <w:tcPr>
            <w:tcW w:w="1795" w:type="dxa"/>
            <w:gridSpan w:val="2"/>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18,5</w:t>
            </w:r>
          </w:p>
        </w:tc>
        <w:tc>
          <w:tcPr>
            <w:tcW w:w="1738" w:type="dxa"/>
            <w:gridSpan w:val="2"/>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9,5 - 10,3</w:t>
            </w:r>
          </w:p>
        </w:tc>
      </w:tr>
      <w:tr w:rsidR="00644F2A">
        <w:trPr>
          <w:trHeight w:val="631"/>
        </w:trPr>
        <w:tc>
          <w:tcPr>
            <w:tcW w:w="9598" w:type="dxa"/>
            <w:gridSpan w:val="10"/>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b/>
                <w:bCs/>
                <w:sz w:val="26"/>
                <w:szCs w:val="26"/>
              </w:rPr>
            </w:pPr>
            <w:r>
              <w:rPr>
                <w:rFonts w:ascii="Garamond" w:hAnsi="Garamond" w:cs="Garamond"/>
                <w:b/>
                <w:bCs/>
                <w:sz w:val="26"/>
                <w:szCs w:val="26"/>
              </w:rPr>
              <w:t xml:space="preserve">BDV (eng. GVA - Gross Value Added) Bruto dodata vrijednost = BDP + (porezi </w:t>
            </w:r>
          </w:p>
          <w:p w:rsidR="00644F2A" w:rsidRDefault="00644F2A">
            <w:pPr>
              <w:pStyle w:val="BasicParagraph"/>
              <w:suppressAutoHyphens/>
              <w:jc w:val="center"/>
            </w:pPr>
            <w:r>
              <w:rPr>
                <w:rFonts w:ascii="Garamond" w:hAnsi="Garamond" w:cs="Garamond"/>
                <w:b/>
                <w:bCs/>
                <w:sz w:val="26"/>
                <w:szCs w:val="26"/>
              </w:rPr>
              <w:t>- subvencije na proizvode)</w:t>
            </w:r>
          </w:p>
        </w:tc>
      </w:tr>
      <w:tr w:rsidR="00644F2A">
        <w:trPr>
          <w:trHeight w:val="386"/>
        </w:trPr>
        <w:tc>
          <w:tcPr>
            <w:tcW w:w="9598" w:type="dxa"/>
            <w:gridSpan w:val="10"/>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i/>
                <w:iCs/>
                <w:sz w:val="26"/>
                <w:szCs w:val="26"/>
              </w:rPr>
              <w:t>Izvor: Monstat, Unstat (BDV za 1990.) i projekcije za 2030. godinu</w:t>
            </w:r>
          </w:p>
        </w:tc>
      </w:tr>
    </w:tbl>
    <w:p w:rsidR="00644F2A" w:rsidRDefault="00644F2A" w:rsidP="00644F2A">
      <w:pPr>
        <w:pStyle w:val="BasicParagraph"/>
        <w:rPr>
          <w:sz w:val="28"/>
          <w:szCs w:val="28"/>
        </w:rPr>
      </w:pPr>
    </w:p>
    <w:p w:rsidR="00644F2A" w:rsidRDefault="00644F2A" w:rsidP="00644F2A">
      <w:pPr>
        <w:pStyle w:val="BasicParagraph"/>
        <w:rPr>
          <w:sz w:val="28"/>
          <w:szCs w:val="28"/>
        </w:rPr>
      </w:pPr>
    </w:p>
    <w:p w:rsidR="00644F2A" w:rsidRPr="009D282E" w:rsidRDefault="00644F2A" w:rsidP="00644F2A">
      <w:pPr>
        <w:pStyle w:val="BasicParagraph"/>
        <w:suppressAutoHyphens/>
        <w:ind w:firstLine="567"/>
        <w:jc w:val="both"/>
        <w:rPr>
          <w:rFonts w:ascii="Garamond" w:hAnsi="Garamond" w:cs="Garamond"/>
          <w:sz w:val="28"/>
          <w:szCs w:val="28"/>
          <w:lang w:val="fr-FR"/>
        </w:rPr>
      </w:pPr>
      <w:r>
        <w:rPr>
          <w:rFonts w:ascii="Garamond" w:hAnsi="Garamond" w:cs="Garamond"/>
          <w:sz w:val="28"/>
          <w:szCs w:val="28"/>
        </w:rPr>
        <w:t xml:space="preserve">Projekcije za 2030. godinu ukazuju da će najveći doprinos BDV-u biti od sektora usluga (relativno smanjenje na 67% u BDV, a u zaposlenosti do 79%). S postepenim oporavkom ekonomije, uz prosječnu stopu rasta od 3,5% u periodu nakon 2022. godine, očekuje se i smanjenje registrovane nezaposlenosti, a krajnji cilj bi bio smanjenje stope nezaposlenosti na jednocifren broj do kraja posmatranog perioda (9,5-10,3%). </w:t>
      </w:r>
      <w:r w:rsidRPr="009D282E">
        <w:rPr>
          <w:rFonts w:ascii="Garamond" w:hAnsi="Garamond" w:cs="Garamond"/>
          <w:sz w:val="28"/>
          <w:szCs w:val="28"/>
          <w:lang w:val="fr-FR"/>
        </w:rPr>
        <w:t>Broj zaposlenih u industriji povećao bi se sa 20.900 u 2015. godini na 27.000 u 2030. godini.</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xml:space="preserve">Planirani rast ekonomske aktivnosti u periodu 2017-2030. godine bazira se na prioritetnim razvojnim projektima u oblasti proizvodnje energije (velike i male hidroelektrane, vjetroelektrane, fotonaponske elektrane, termoelektrana Pljevlja II, programi energetske efikasnosti i sl.), saobraćaja (autoput i ostali projekti), industrije (posebno metalske industrije), turizma (turistički kompleksi i hoteli), kao i u oblasti poljoprivrede. </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Dugoročni projekti obuhvaćeni su posebnim studijama i sektorskim strategijama, kao i Nacionalnom strategijom održivog razvoja Crne Gore do 2030. godine i Nacionalnom strategijom klimatskih promjena do 2030. godine. Srednjoročne projekcije date su u Razvojnim smjernicama Crne Gore, Programu ekonomskih reformi i Industrijskoj politici 2019-2023. godine.</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Jedna od preporuka koje je Evropska komisija dala za razvoj Programa ekonomskih reformi za 2021. godinu je da se poboljša kvalitet visokog obrazovanja i razvijaju vještine usklađene sa potrebama tržišta rada. Ne treba zanemariti ni preporuke iz prethodne godine - da se unaprijedi koordinacija između servisa za zapošljavanje i socijalne zaštite</w:t>
      </w:r>
      <w:r w:rsidR="00D14E85" w:rsidRPr="009D282E">
        <w:rPr>
          <w:rFonts w:ascii="Garamond" w:hAnsi="Garamond" w:cs="Garamond"/>
          <w:sz w:val="28"/>
          <w:szCs w:val="28"/>
          <w:lang w:val="fr-FR"/>
        </w:rPr>
        <w:t xml:space="preserve"> i</w:t>
      </w:r>
      <w:r w:rsidRPr="009D282E">
        <w:rPr>
          <w:rFonts w:ascii="Garamond" w:hAnsi="Garamond" w:cs="Garamond"/>
          <w:sz w:val="28"/>
          <w:szCs w:val="28"/>
          <w:lang w:val="fr-FR"/>
        </w:rPr>
        <w:t xml:space="preserve"> uspostavi čvrst m</w:t>
      </w:r>
      <w:r w:rsidR="00E61EEA" w:rsidRPr="009D282E">
        <w:rPr>
          <w:rFonts w:ascii="Garamond" w:hAnsi="Garamond" w:cs="Garamond"/>
          <w:sz w:val="28"/>
          <w:szCs w:val="28"/>
          <w:lang w:val="fr-FR"/>
        </w:rPr>
        <w:t xml:space="preserve">ehanizam praćenja i evaluacije </w:t>
      </w:r>
      <w:r w:rsidRPr="009D282E">
        <w:rPr>
          <w:rFonts w:ascii="Garamond" w:hAnsi="Garamond" w:cs="Garamond"/>
          <w:sz w:val="28"/>
          <w:szCs w:val="28"/>
          <w:lang w:val="fr-FR"/>
        </w:rPr>
        <w:t xml:space="preserve">praktičnog učenja u stručnom i visokom obrazovanju. U skladu sa navedenim nastaviće se sa a) unapređenjem praktične nastave u visokom obrazovanju i b) daljim unapređenjem mehanizama za obezbjeđenje kvaliteta kroz </w:t>
      </w:r>
      <w:r w:rsidR="00E61EEA" w:rsidRPr="009D282E">
        <w:rPr>
          <w:rFonts w:ascii="Garamond" w:hAnsi="Garamond" w:cs="Garamond"/>
          <w:sz w:val="28"/>
          <w:szCs w:val="28"/>
          <w:lang w:val="fr-FR"/>
        </w:rPr>
        <w:t>potpunu usklađenost propisa sa Evropskim</w:t>
      </w:r>
      <w:r w:rsidRPr="009D282E">
        <w:rPr>
          <w:rFonts w:ascii="Garamond" w:hAnsi="Garamond" w:cs="Garamond"/>
          <w:sz w:val="28"/>
          <w:szCs w:val="28"/>
          <w:lang w:val="fr-FR"/>
        </w:rPr>
        <w:t xml:space="preserve"> standardima</w:t>
      </w:r>
      <w:r w:rsidR="00E61EEA" w:rsidRPr="009D282E">
        <w:rPr>
          <w:rFonts w:ascii="Garamond" w:hAnsi="Garamond" w:cs="Garamond"/>
          <w:sz w:val="28"/>
          <w:szCs w:val="28"/>
          <w:lang w:val="fr-FR"/>
        </w:rPr>
        <w:t xml:space="preserve"> i smjernicama za obezbjeđenje kvaliteta u Evropskom prostoru visokog obrazovanja (u nastavku teksta: evropski standardi i smjernice)</w:t>
      </w:r>
      <w:r w:rsidRPr="009D282E">
        <w:rPr>
          <w:rFonts w:ascii="Garamond" w:hAnsi="Garamond" w:cs="Garamond"/>
          <w:sz w:val="28"/>
          <w:szCs w:val="28"/>
          <w:lang w:val="fr-FR"/>
        </w:rPr>
        <w:t xml:space="preserve">, kako bi se obezbijedila bolja zapošljivost i kvalitetniji kadar.  </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xml:space="preserve">Nacionalna strategija održivog razvoja do 2030. godine navodi da je za unapređenje sistema visokog obrazovanja od presudne važnosti rad na prevazilaženju četiri sistemske slabosti sektora visokog obrazovanja u Crnoj Gori: 1) preveliki broj malih ustanova (napomena: ovaj problem je djelimično prevaziđen sinergijom velikog broja fakulteta u univerzitete); 2) previše ustanova koje se </w:t>
      </w:r>
      <w:r w:rsidRPr="009D282E">
        <w:rPr>
          <w:rFonts w:ascii="Garamond" w:hAnsi="Garamond" w:cs="Garamond"/>
          <w:sz w:val="28"/>
          <w:szCs w:val="28"/>
          <w:lang w:val="fr-FR"/>
        </w:rPr>
        <w:lastRenderedPageBreak/>
        <w:t xml:space="preserve">fokusiraju na obuku za poslovni menadžment; 3) </w:t>
      </w:r>
      <w:r w:rsidR="002A5E38" w:rsidRPr="009D282E">
        <w:rPr>
          <w:rFonts w:ascii="Garamond" w:hAnsi="Garamond" w:cs="Garamond"/>
          <w:sz w:val="28"/>
          <w:szCs w:val="28"/>
          <w:lang w:val="fr-FR"/>
        </w:rPr>
        <w:t>intenzivnija saradnja</w:t>
      </w:r>
      <w:r w:rsidR="00D5639D" w:rsidRPr="009D282E">
        <w:rPr>
          <w:rFonts w:ascii="Garamond" w:hAnsi="Garamond" w:cs="Garamond"/>
          <w:sz w:val="28"/>
          <w:szCs w:val="28"/>
          <w:lang w:val="fr-FR"/>
        </w:rPr>
        <w:t xml:space="preserve"> Univerziteta Crne Gore</w:t>
      </w:r>
      <w:r w:rsidRPr="009D282E">
        <w:rPr>
          <w:rFonts w:ascii="Garamond" w:hAnsi="Garamond" w:cs="Garamond"/>
          <w:sz w:val="28"/>
          <w:szCs w:val="28"/>
          <w:lang w:val="fr-FR"/>
        </w:rPr>
        <w:t xml:space="preserve"> </w:t>
      </w:r>
      <w:r w:rsidR="002A5E38" w:rsidRPr="009D282E">
        <w:rPr>
          <w:rFonts w:ascii="Garamond" w:hAnsi="Garamond" w:cs="Garamond"/>
          <w:sz w:val="28"/>
          <w:szCs w:val="28"/>
          <w:lang w:val="fr-FR"/>
        </w:rPr>
        <w:t>i</w:t>
      </w:r>
      <w:r w:rsidRPr="009D282E">
        <w:rPr>
          <w:rFonts w:ascii="Garamond" w:hAnsi="Garamond" w:cs="Garamond"/>
          <w:sz w:val="28"/>
          <w:szCs w:val="28"/>
          <w:lang w:val="fr-FR"/>
        </w:rPr>
        <w:t xml:space="preserve"> drugi</w:t>
      </w:r>
      <w:r w:rsidR="002A5E38" w:rsidRPr="009D282E">
        <w:rPr>
          <w:rFonts w:ascii="Garamond" w:hAnsi="Garamond" w:cs="Garamond"/>
          <w:sz w:val="28"/>
          <w:szCs w:val="28"/>
          <w:lang w:val="fr-FR"/>
        </w:rPr>
        <w:t>h</w:t>
      </w:r>
      <w:r w:rsidRPr="009D282E">
        <w:rPr>
          <w:rFonts w:ascii="Garamond" w:hAnsi="Garamond" w:cs="Garamond"/>
          <w:sz w:val="28"/>
          <w:szCs w:val="28"/>
          <w:lang w:val="fr-FR"/>
        </w:rPr>
        <w:t xml:space="preserve"> ustanova</w:t>
      </w:r>
      <w:r w:rsidR="002A5E38" w:rsidRPr="009D282E">
        <w:rPr>
          <w:rFonts w:ascii="Garamond" w:hAnsi="Garamond" w:cs="Garamond"/>
          <w:sz w:val="28"/>
          <w:szCs w:val="28"/>
          <w:lang w:val="fr-FR"/>
        </w:rPr>
        <w:t xml:space="preserve"> visokog obrazovanja</w:t>
      </w:r>
      <w:r w:rsidRPr="009D282E">
        <w:rPr>
          <w:rFonts w:ascii="Garamond" w:hAnsi="Garamond" w:cs="Garamond"/>
          <w:sz w:val="28"/>
          <w:szCs w:val="28"/>
          <w:lang w:val="fr-FR"/>
        </w:rPr>
        <w:t xml:space="preserve"> kako bi se obezbijedio visok kvalitet u cijelom sektoru; 4) </w:t>
      </w:r>
      <w:r w:rsidR="002A5E38" w:rsidRPr="009D282E">
        <w:rPr>
          <w:rFonts w:ascii="Garamond" w:hAnsi="Garamond" w:cs="Garamond"/>
          <w:sz w:val="28"/>
          <w:szCs w:val="28"/>
          <w:lang w:val="fr-FR"/>
        </w:rPr>
        <w:t>nedovoljan razvoj strateskih kapaciteta</w:t>
      </w:r>
      <w:r w:rsidR="005D0316" w:rsidRPr="009D282E">
        <w:rPr>
          <w:rFonts w:ascii="Garamond" w:hAnsi="Garamond" w:cs="Garamond"/>
          <w:sz w:val="28"/>
          <w:szCs w:val="28"/>
          <w:lang w:val="fr-FR"/>
        </w:rPr>
        <w:t xml:space="preserve"> ustanova visokog obrazovanja</w:t>
      </w:r>
      <w:r w:rsidR="002A5E38" w:rsidRPr="009D282E">
        <w:rPr>
          <w:rFonts w:ascii="Garamond" w:hAnsi="Garamond" w:cs="Garamond"/>
          <w:sz w:val="28"/>
          <w:szCs w:val="28"/>
          <w:lang w:val="fr-FR"/>
        </w:rPr>
        <w:t>,</w:t>
      </w:r>
      <w:r w:rsidRPr="009D282E">
        <w:rPr>
          <w:rFonts w:ascii="Garamond" w:hAnsi="Garamond" w:cs="Garamond"/>
          <w:sz w:val="28"/>
          <w:szCs w:val="28"/>
          <w:lang w:val="fr-FR"/>
        </w:rPr>
        <w:t xml:space="preserve"> </w:t>
      </w:r>
      <w:r w:rsidR="002A5E38" w:rsidRPr="009D282E">
        <w:rPr>
          <w:rFonts w:ascii="Garamond" w:hAnsi="Garamond" w:cs="Garamond"/>
          <w:sz w:val="28"/>
          <w:szCs w:val="28"/>
          <w:lang w:val="fr-FR"/>
        </w:rPr>
        <w:t>kako bi mogle da</w:t>
      </w:r>
      <w:r w:rsidRPr="009D282E">
        <w:rPr>
          <w:rFonts w:ascii="Garamond" w:hAnsi="Garamond" w:cs="Garamond"/>
          <w:sz w:val="28"/>
          <w:szCs w:val="28"/>
          <w:lang w:val="fr-FR"/>
        </w:rPr>
        <w:t xml:space="preserve"> artikulišu i realizuju ciljeve u svim pomenutim oblastima, što je identifikovano i kroz eksternu evaluaciju sprovedenu 2013/2014. i 2017/2018. godine. Neke od aktivnosti koje vode otklanjanju ovih nedostataka su već sprovedene dok će se u narednom periodu nastaviti sa aktivnostima koje vode boljoj usklađenosti sa potrebama tržišta rada, većoj transparentnosti i boljoj saradnji ustanova.</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U programu rada Vlade Crne Gore za 2021. godinu, kao jedan od ciljeva se, takođe, navodi unapređenje praktične nastave u visokom obrazovanju, učenje uz rad u realnom radnom okruženju</w:t>
      </w:r>
      <w:r w:rsidR="005D0316" w:rsidRPr="009D282E">
        <w:rPr>
          <w:rFonts w:ascii="Garamond" w:hAnsi="Garamond" w:cs="Garamond"/>
          <w:sz w:val="28"/>
          <w:szCs w:val="28"/>
          <w:lang w:val="fr-FR"/>
        </w:rPr>
        <w:t>, sto je definisano i novim Zakonomo visokom obrazovanju (2021)</w:t>
      </w:r>
      <w:r w:rsidRPr="009D282E">
        <w:rPr>
          <w:rFonts w:ascii="Garamond" w:hAnsi="Garamond" w:cs="Garamond"/>
          <w:sz w:val="28"/>
          <w:szCs w:val="28"/>
          <w:lang w:val="fr-FR"/>
        </w:rPr>
        <w:t xml:space="preserve">. </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Visoko obrazovanje je Strategijom pametne specijalizacije 2019-2024. godine, prepoznato kao jedan od 12 stubova konkurentnosti. Jačanje istraživačke komponente i stvaranje uslova za adekvatnije bavljenje naučno-istraživačkim radom je, kao i do sada, oblast kojoj će i u narednom periodu biti posvećena pažnja uz ključnu ulogu ustanova visokog obrazovanja i akademske zajednice.</w:t>
      </w:r>
    </w:p>
    <w:p w:rsidR="00A4389A" w:rsidRPr="009D282E" w:rsidRDefault="00A4389A" w:rsidP="00A8618D">
      <w:pPr>
        <w:pStyle w:val="BasicParagraph"/>
        <w:suppressAutoHyphens/>
        <w:jc w:val="both"/>
        <w:rPr>
          <w:sz w:val="28"/>
          <w:szCs w:val="28"/>
          <w:lang w:val="fr-FR"/>
        </w:rPr>
      </w:pPr>
    </w:p>
    <w:p w:rsidR="00A4389A" w:rsidRPr="009D282E" w:rsidRDefault="00A4389A" w:rsidP="00A8618D">
      <w:pPr>
        <w:pStyle w:val="BasicParagraph"/>
        <w:suppressAutoHyphens/>
        <w:jc w:val="both"/>
        <w:rPr>
          <w:sz w:val="28"/>
          <w:szCs w:val="28"/>
          <w:lang w:val="fr-FR"/>
        </w:rPr>
      </w:pPr>
      <w:r>
        <w:rPr>
          <w:noProof/>
        </w:rPr>
        <w:drawing>
          <wp:anchor distT="0" distB="0" distL="114300" distR="114300" simplePos="0" relativeHeight="251657216" behindDoc="0" locked="0" layoutInCell="1" allowOverlap="1">
            <wp:simplePos x="457200" y="3105150"/>
            <wp:positionH relativeFrom="column">
              <wp:align>left</wp:align>
            </wp:positionH>
            <wp:positionV relativeFrom="paragraph">
              <wp:align>top</wp:align>
            </wp:positionV>
            <wp:extent cx="5096510" cy="3324225"/>
            <wp:effectExtent l="0" t="0" r="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9D282E">
        <w:rPr>
          <w:sz w:val="28"/>
          <w:szCs w:val="28"/>
          <w:lang w:val="fr-FR"/>
        </w:rPr>
        <w:br w:type="textWrapping" w:clear="all"/>
      </w:r>
    </w:p>
    <w:p w:rsidR="00A4389A" w:rsidRPr="009D282E" w:rsidRDefault="00A4389A" w:rsidP="00A8618D">
      <w:pPr>
        <w:pStyle w:val="BasicParagraph"/>
        <w:suppressAutoHyphens/>
        <w:jc w:val="both"/>
        <w:rPr>
          <w:sz w:val="28"/>
          <w:szCs w:val="28"/>
          <w:lang w:val="fr-FR"/>
        </w:rPr>
      </w:pPr>
    </w:p>
    <w:p w:rsidR="00A4389A" w:rsidRPr="009D282E" w:rsidRDefault="00A4389A" w:rsidP="00A8618D">
      <w:pPr>
        <w:pStyle w:val="BasicParagraph"/>
        <w:suppressAutoHyphens/>
        <w:jc w:val="both"/>
        <w:rPr>
          <w:sz w:val="28"/>
          <w:szCs w:val="28"/>
          <w:lang w:val="fr-FR"/>
        </w:rPr>
      </w:pPr>
    </w:p>
    <w:p w:rsidR="00A4389A" w:rsidRPr="009D282E" w:rsidRDefault="00A4389A" w:rsidP="00A8618D">
      <w:pPr>
        <w:pStyle w:val="BasicParagraph"/>
        <w:suppressAutoHyphens/>
        <w:jc w:val="both"/>
        <w:rPr>
          <w:sz w:val="28"/>
          <w:szCs w:val="28"/>
          <w:lang w:val="fr-FR"/>
        </w:rPr>
      </w:pPr>
    </w:p>
    <w:p w:rsidR="00A4389A" w:rsidRPr="009D282E" w:rsidRDefault="00A4389A" w:rsidP="00A8618D">
      <w:pPr>
        <w:pStyle w:val="BasicParagraph"/>
        <w:suppressAutoHyphens/>
        <w:jc w:val="both"/>
        <w:rPr>
          <w:sz w:val="28"/>
          <w:szCs w:val="28"/>
          <w:lang w:val="fr-FR"/>
        </w:rPr>
      </w:pPr>
    </w:p>
    <w:p w:rsidR="00A4389A" w:rsidRPr="009D282E" w:rsidRDefault="00A4389A" w:rsidP="00A8618D">
      <w:pPr>
        <w:pStyle w:val="BasicParagraph"/>
        <w:suppressAutoHyphens/>
        <w:jc w:val="both"/>
        <w:rPr>
          <w:sz w:val="28"/>
          <w:szCs w:val="28"/>
          <w:lang w:val="fr-FR"/>
        </w:rPr>
      </w:pPr>
    </w:p>
    <w:p w:rsidR="00A8618D" w:rsidRPr="009D282E" w:rsidRDefault="00A8618D" w:rsidP="00A8618D">
      <w:pPr>
        <w:pStyle w:val="BasicParagraph"/>
        <w:suppressAutoHyphens/>
        <w:jc w:val="both"/>
        <w:rPr>
          <w:sz w:val="28"/>
          <w:szCs w:val="28"/>
          <w:lang w:val="fr-FR"/>
        </w:rPr>
      </w:pPr>
    </w:p>
    <w:p w:rsidR="00644F2A" w:rsidRPr="009D282E" w:rsidRDefault="00644F2A" w:rsidP="00A8618D">
      <w:pPr>
        <w:pStyle w:val="BasicParagraph"/>
        <w:suppressAutoHyphens/>
        <w:ind w:firstLine="567"/>
        <w:jc w:val="both"/>
        <w:rPr>
          <w:rFonts w:ascii="Garamond" w:hAnsi="Garamond" w:cs="Garamond"/>
          <w:b/>
          <w:bCs/>
          <w:sz w:val="28"/>
          <w:szCs w:val="28"/>
          <w:lang w:val="fr-FR"/>
        </w:rPr>
      </w:pPr>
      <w:r w:rsidRPr="009D282E">
        <w:rPr>
          <w:rFonts w:ascii="Garamond" w:hAnsi="Garamond" w:cs="Garamond"/>
          <w:b/>
          <w:bCs/>
          <w:sz w:val="28"/>
          <w:szCs w:val="28"/>
          <w:lang w:val="fr-FR"/>
        </w:rPr>
        <w:lastRenderedPageBreak/>
        <w:t xml:space="preserve">1.2 Usklađenost sa međunarodnim obavezama </w:t>
      </w:r>
    </w:p>
    <w:p w:rsidR="00644F2A" w:rsidRPr="009D282E" w:rsidRDefault="00644F2A" w:rsidP="00644F2A">
      <w:pPr>
        <w:pStyle w:val="BasicParagraph"/>
        <w:suppressAutoHyphens/>
        <w:ind w:firstLine="567"/>
        <w:jc w:val="both"/>
        <w:rPr>
          <w:rFonts w:ascii="Garamond" w:hAnsi="Garamond" w:cs="Garamond"/>
          <w:sz w:val="28"/>
          <w:szCs w:val="28"/>
          <w:lang w:val="fr-FR"/>
        </w:rPr>
      </w:pP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Strategija uvažava postojeća dokumenta koja su usvojena u Evropskom prostoru visokog obrazovanja i Evropskom istraživačkom prostoru da bi se, prenošenjem dobre evropske prakse, postigli očekivani rezultati u ukupnom razvoju društva. Strateški ciljevi su usklađeni:</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xml:space="preserve">- sa Globalnom EU strategijom, strategijama i dokumentima Evropskog prostora visokog obrazovanja (EHEA) i Evropskog istraživačkog prostora (ERA); </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sa principima Bolonjske deklaracije;</w:t>
      </w: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xml:space="preserve">- sa preporukama eksternih provjera visokog obrazovanja od strane komisija Programa za insticionalnu evaluaciju - IEP.  </w:t>
      </w:r>
    </w:p>
    <w:p w:rsidR="00644F2A" w:rsidRPr="009D282E" w:rsidRDefault="00644F2A" w:rsidP="00644F2A">
      <w:pPr>
        <w:pStyle w:val="BasicParagraph"/>
        <w:suppressAutoHyphens/>
        <w:ind w:firstLine="567"/>
        <w:jc w:val="both"/>
        <w:rPr>
          <w:rFonts w:ascii="Garamond" w:hAnsi="Garamond" w:cs="Garamond"/>
          <w:sz w:val="28"/>
          <w:szCs w:val="28"/>
          <w:lang w:val="fr-FR"/>
        </w:rPr>
      </w:pP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xml:space="preserve">Crna Gora je usvajanjem Bolonjske deklaracije 2003. godine zaopočela usaglašavanje sa EU politikom u oblasti visokog obrazovanja. Zakoni i podzakonska akta se, u kontinuitetu, usklađuju sa svim važećim dokumentima za Evropski prostor visokog obrazovanja (EHEA) i Evropski istraživački prostor (ERA). Kontinuitet se odnosi i na redovno izvještavanje (o usvojenim dokumentima, postignutim rezultatima, ocjenama aktuelnog stanja, izazovima...) kako bi nadležna EU tijela sagledala sve aspekte i potvrdila usaglašenost sa EU dokumentima i planovima, </w:t>
      </w:r>
      <w:r w:rsidR="00B9207D" w:rsidRPr="009D282E">
        <w:rPr>
          <w:rFonts w:ascii="Garamond" w:hAnsi="Garamond" w:cs="Garamond"/>
          <w:sz w:val="28"/>
          <w:szCs w:val="28"/>
          <w:lang w:val="fr-FR"/>
        </w:rPr>
        <w:t>uzimajuci u obzir</w:t>
      </w:r>
      <w:r w:rsidRPr="009D282E">
        <w:rPr>
          <w:rFonts w:ascii="Garamond" w:hAnsi="Garamond" w:cs="Garamond"/>
          <w:sz w:val="28"/>
          <w:szCs w:val="28"/>
          <w:lang w:val="fr-FR"/>
        </w:rPr>
        <w:t xml:space="preserve"> da zemlja </w:t>
      </w:r>
      <w:r w:rsidR="00B9207D" w:rsidRPr="009D282E">
        <w:rPr>
          <w:rFonts w:ascii="Garamond" w:hAnsi="Garamond" w:cs="Garamond"/>
          <w:sz w:val="28"/>
          <w:szCs w:val="28"/>
          <w:lang w:val="fr-FR"/>
        </w:rPr>
        <w:t>treba</w:t>
      </w:r>
      <w:r w:rsidRPr="009D282E">
        <w:rPr>
          <w:rFonts w:ascii="Garamond" w:hAnsi="Garamond" w:cs="Garamond"/>
          <w:sz w:val="28"/>
          <w:szCs w:val="28"/>
          <w:lang w:val="fr-FR"/>
        </w:rPr>
        <w:t xml:space="preserve"> voditi računa o specifičnostima svog </w:t>
      </w:r>
      <w:r w:rsidR="00B9207D" w:rsidRPr="009D282E">
        <w:rPr>
          <w:rFonts w:ascii="Garamond" w:hAnsi="Garamond" w:cs="Garamond"/>
          <w:sz w:val="28"/>
          <w:szCs w:val="28"/>
          <w:lang w:val="fr-FR"/>
        </w:rPr>
        <w:t xml:space="preserve">Sistema obrazovanja. </w:t>
      </w:r>
      <w:r w:rsidRPr="009D282E">
        <w:rPr>
          <w:rFonts w:ascii="Garamond" w:hAnsi="Garamond" w:cs="Garamond"/>
          <w:sz w:val="28"/>
          <w:szCs w:val="28"/>
          <w:lang w:val="fr-FR"/>
        </w:rPr>
        <w:t>Ocjene realnog stanja sadrže izvještaji Evropske komisije.</w:t>
      </w:r>
    </w:p>
    <w:p w:rsidR="00644F2A" w:rsidRPr="009D282E" w:rsidRDefault="00644F2A" w:rsidP="00644F2A">
      <w:pPr>
        <w:pStyle w:val="BasicParagraph"/>
        <w:suppressAutoHyphens/>
        <w:ind w:firstLine="567"/>
        <w:jc w:val="both"/>
        <w:rPr>
          <w:rFonts w:ascii="Garamond" w:hAnsi="Garamond" w:cs="Garamond"/>
          <w:sz w:val="28"/>
          <w:szCs w:val="28"/>
          <w:lang w:val="fr-FR"/>
        </w:rPr>
      </w:pPr>
    </w:p>
    <w:p w:rsidR="00644F2A" w:rsidRPr="009D282E" w:rsidRDefault="00644F2A" w:rsidP="00644F2A">
      <w:pPr>
        <w:pStyle w:val="BasicParagraph"/>
        <w:suppressAutoHyphens/>
        <w:ind w:firstLine="567"/>
        <w:jc w:val="both"/>
        <w:rPr>
          <w:rFonts w:ascii="Garamond" w:hAnsi="Garamond" w:cs="Garamond"/>
          <w:sz w:val="28"/>
          <w:szCs w:val="28"/>
          <w:lang w:val="fr-FR"/>
        </w:rPr>
      </w:pPr>
      <w:r w:rsidRPr="009D282E">
        <w:rPr>
          <w:rFonts w:ascii="Garamond" w:hAnsi="Garamond" w:cs="Garamond"/>
          <w:sz w:val="28"/>
          <w:szCs w:val="28"/>
          <w:lang w:val="fr-FR"/>
        </w:rPr>
        <w:t xml:space="preserve"> U Izvještaju Evropske komisije za 2019. godinu za Poglavlje 26 - Obrazovanje i kultura - konstatovano je da postoji dobar nivo spremnosti Crne Gore u oblasti obrazovanja, da je postignut određeni napredak u pogledu ishoda učenja, inkluzije, kao i da su preduzeti prvi koraci ka poboljšanju upravljanja u sektoru obrazovanja. Uopšteno, ostaju izazovi kada je riječ o daljem sprovođenju reformi, kao što su ograničeni institucionalni kapaciteti za reviziju i praćenje</w:t>
      </w:r>
      <w:r w:rsidR="00B9207D" w:rsidRPr="009D282E">
        <w:rPr>
          <w:rFonts w:ascii="Garamond" w:hAnsi="Garamond" w:cs="Garamond"/>
          <w:sz w:val="28"/>
          <w:szCs w:val="28"/>
          <w:lang w:val="fr-FR"/>
        </w:rPr>
        <w:t>, kao</w:t>
      </w:r>
      <w:r w:rsidRPr="009D282E">
        <w:rPr>
          <w:rFonts w:ascii="Garamond" w:hAnsi="Garamond" w:cs="Garamond"/>
          <w:sz w:val="28"/>
          <w:szCs w:val="28"/>
          <w:lang w:val="fr-FR"/>
        </w:rPr>
        <w:t xml:space="preserve"> i izrada izvodljivih srednjoročnih planova koji se temelje na rezultatima. Bolje definisani ishodi učenja i njihova usklađenost sa novim izazovima na tržištu rada, nedovoljno razvijen koncept praktične nastave i dualnog obrazovanja i kontinuirano praćenje i ocjenjivanaje postignutih rezultata </w:t>
      </w:r>
      <w:r w:rsidR="00B9207D" w:rsidRPr="009D282E">
        <w:rPr>
          <w:rFonts w:ascii="Garamond" w:hAnsi="Garamond" w:cs="Garamond"/>
          <w:sz w:val="28"/>
          <w:szCs w:val="28"/>
          <w:lang w:val="fr-FR"/>
        </w:rPr>
        <w:t>obl</w:t>
      </w:r>
      <w:r w:rsidR="00DF7D58" w:rsidRPr="009D282E">
        <w:rPr>
          <w:rFonts w:ascii="Garamond" w:hAnsi="Garamond" w:cs="Garamond"/>
          <w:sz w:val="28"/>
          <w:szCs w:val="28"/>
          <w:lang w:val="fr-FR"/>
        </w:rPr>
        <w:t>a</w:t>
      </w:r>
      <w:r w:rsidR="00B9207D" w:rsidRPr="009D282E">
        <w:rPr>
          <w:rFonts w:ascii="Garamond" w:hAnsi="Garamond" w:cs="Garamond"/>
          <w:sz w:val="28"/>
          <w:szCs w:val="28"/>
          <w:lang w:val="fr-FR"/>
        </w:rPr>
        <w:t>sti</w:t>
      </w:r>
      <w:r w:rsidRPr="009D282E">
        <w:rPr>
          <w:rFonts w:ascii="Garamond" w:hAnsi="Garamond" w:cs="Garamond"/>
          <w:sz w:val="28"/>
          <w:szCs w:val="28"/>
          <w:lang w:val="fr-FR"/>
        </w:rPr>
        <w:t xml:space="preserve"> su koj</w:t>
      </w:r>
      <w:r w:rsidR="00B9207D" w:rsidRPr="009D282E">
        <w:rPr>
          <w:rFonts w:ascii="Garamond" w:hAnsi="Garamond" w:cs="Garamond"/>
          <w:sz w:val="28"/>
          <w:szCs w:val="28"/>
          <w:lang w:val="fr-FR"/>
        </w:rPr>
        <w:t>e</w:t>
      </w:r>
      <w:r w:rsidRPr="009D282E">
        <w:rPr>
          <w:rFonts w:ascii="Garamond" w:hAnsi="Garamond" w:cs="Garamond"/>
          <w:sz w:val="28"/>
          <w:szCs w:val="28"/>
          <w:lang w:val="fr-FR"/>
        </w:rPr>
        <w:t xml:space="preserve"> treba unaprijediti. Izazovi koje treba rješavati odnose se na sve faze visokog obrazovanja: od planiranja obrazovanja/karijere, upisa do zapošljavanja i ispunjenosti očekivanja na tržištu rada.</w:t>
      </w:r>
    </w:p>
    <w:p w:rsidR="00644F2A" w:rsidRPr="009D282E"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Kada je riječ o Instrumentu za pretpristupnu pomoć (IPA), programima IPA 2021 i IPA 2022 predviđeno je da će se uspješnom realizacijom planiranih aktivnosti doprinijeti socijalnom i ekonomskom rastu Crne Gore, smanjenjem jaza između obrazovne ponude i potreba tržišta rada. Predviđene aktivnosti obuhvataju tri prioritetne oblasti: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lastRenderedPageBreak/>
        <w:t>1. Jačanje veza između obrazovanja i privrede, sa ciljem da se unaprijedi kvalitet stručnog obrazovanja i relevantnost ishoda učenja u stručnom obrazovanju.</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2. Cjeloživotno učenje i obrazovanje odraslih, sa ciljem da se stvore fleksibilni uslovi i mogućnosti za prekvalifikacije i dokvalifikacije mladih i odraslih.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3. Modernizacija visokog obrazovanja, sa ciljem unapređenja kvaliteta i relevantnosti praktičnog obrazovanja i obuke u visokom obrazovanju, kako bi se povećala zapošljivost i smanjio jaz između vještina stečenih tokom obrazovanja i</w:t>
      </w:r>
      <w:r w:rsidR="00A8618D" w:rsidRPr="005D5EC6">
        <w:rPr>
          <w:rFonts w:ascii="Garamond" w:hAnsi="Garamond" w:cs="Garamond"/>
          <w:sz w:val="28"/>
          <w:szCs w:val="28"/>
          <w:lang w:val="fr-FR"/>
        </w:rPr>
        <w:t xml:space="preserve"> </w:t>
      </w:r>
      <w:r w:rsidRPr="005D5EC6">
        <w:rPr>
          <w:rFonts w:ascii="Garamond" w:hAnsi="Garamond" w:cs="Garamond"/>
          <w:sz w:val="28"/>
          <w:szCs w:val="28"/>
          <w:lang w:val="fr-FR"/>
        </w:rPr>
        <w:t>vještina potrebnih na tržištu rada.</w:t>
      </w:r>
    </w:p>
    <w:p w:rsidR="00DF7D58"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Struktura istraživanja je, primarno, povezana sa visokim obrazovanjem, budući da istraživači na ustanovama visokog obrazovanja realizuju i nastavu i istraživanje. Politike, dokumenti i programi koji su značajni i određujući za naučno-istraživačku djelatnost u evropskom kontekstu i u Crnoj Gori su: Digitalna agenda i digitalni evropski istraživački prostor za zemlje Zapadnog Balkana, koju je pokrenula Evropska komisija na Digitalnoj skupštini u Sofiji 2018.</w:t>
      </w:r>
      <w:r w:rsidR="00A8618D" w:rsidRPr="005D5EC6">
        <w:rPr>
          <w:rFonts w:ascii="Garamond" w:hAnsi="Garamond" w:cs="Garamond"/>
          <w:sz w:val="28"/>
          <w:szCs w:val="28"/>
          <w:lang w:val="fr-FR"/>
        </w:rPr>
        <w:t xml:space="preserve"> </w:t>
      </w:r>
      <w:r w:rsidR="00DF7D58" w:rsidRPr="005D5EC6">
        <w:rPr>
          <w:rFonts w:ascii="Garamond" w:hAnsi="Garamond" w:cs="Garamond"/>
          <w:sz w:val="28"/>
          <w:szCs w:val="28"/>
          <w:lang w:val="fr-FR"/>
        </w:rPr>
        <w:t>g</w:t>
      </w:r>
      <w:r w:rsidRPr="005D5EC6">
        <w:rPr>
          <w:rFonts w:ascii="Garamond" w:hAnsi="Garamond" w:cs="Garamond"/>
          <w:sz w:val="28"/>
          <w:szCs w:val="28"/>
          <w:lang w:val="fr-FR"/>
        </w:rPr>
        <w:t>odine</w:t>
      </w:r>
      <w:r w:rsidR="00A8618D" w:rsidRPr="005D5EC6">
        <w:rPr>
          <w:rFonts w:ascii="Garamond" w:hAnsi="Garamond" w:cs="Garamond"/>
          <w:sz w:val="28"/>
          <w:szCs w:val="28"/>
          <w:lang w:val="fr-FR"/>
        </w:rPr>
        <w:t xml:space="preserve">. </w:t>
      </w:r>
      <w:r w:rsidRPr="005D5EC6">
        <w:rPr>
          <w:rFonts w:ascii="Garamond" w:hAnsi="Garamond" w:cs="Garamond"/>
          <w:sz w:val="28"/>
          <w:szCs w:val="28"/>
          <w:lang w:val="fr-FR"/>
        </w:rPr>
        <w:t xml:space="preserve">Cilj agende je da podrži tranziciju regiona u digitalnoj ekonomiji i ostvari digitalnu transformaciju, kao uslov za brži ekonomski rast, veću zaposlenost i bolje usluge. Važni segementi, izdvojeni u Agendi, su ulaganja u širokopojasnu povezanost, povećanje sajber sigurnosti, povjerenje i digitalizacija industrije, jačanje digitalne privrede i društva i podsticanje istraživanja i inovacija. Digitalna agenda treba da omogući razvoj najsavremenije         e-infrastrukture na Zapadnom Balkanu i integriše crnogorski istraživački resurs u digitalni evropski istraživački prostor; </w:t>
      </w:r>
    </w:p>
    <w:p w:rsidR="00DF7D58"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ERA chairs program, koji ima za cilj afirmaciju izvrsnosti u istraživanju i okupljanje visokostručnog ljudskog kapitala i prepoznatih istraživača pod rukovodstvom vrhunskog istraživača („Nosioca ERA stolice”), uz istovremeno pokretanje strukturnih reformi neophodnih za postizanje održive izvrsnosti; i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EU4TECH PoC WB program specijalizovane podrške za 40 projekata baziranih na tehnologijama, koji imaju najbolje izglede za uspjeh. Projekti se razvijaju u naučnoistraživačkim ustanovama ili mikro, malim i srednjim preduzećima zemalja Zapadnog Balkana, i u stadijumu su ’provjere koncepta’ (Technology Readiness Level 3).  Projekat pruža mogućnost da se radi s ekspertima iz EU ili Regiona, koji imaju visok nivo ekspertize, kako bi se pomoglo u provjeri i zaštiti sopstvene tehnologije, razvio čvrst poslovni model i projekat ponudio tržištu. Za projekat su kvalifikovani timovi sa univerziteta, instituta, malih i srednjih preduzeća ili startapova, iz Albanije, Bosne i Hercegovine, Kosova, Crne Gore, Sjeverne Makedonije i Srbije.</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Izrada nove strategije prepoznata je i Programom pristupanja Crne Gore Evropskoj uniji (2020-2022), kroz dalje usaglašavanje sa preporukama u ovoj oblasti koje će doprinijeti boljem servisiranju tržišta rada i unapređenju mehanizama za obezbjeđenje kvaliteta u visokom obrazovanju.</w:t>
      </w:r>
    </w:p>
    <w:p w:rsidR="00C560C4" w:rsidRPr="005D5EC6" w:rsidRDefault="00C560C4">
      <w:pPr>
        <w:rPr>
          <w:lang w:val="fr-FR"/>
        </w:rPr>
      </w:pPr>
    </w:p>
    <w:p w:rsidR="00C560C4" w:rsidRPr="00C560C4" w:rsidRDefault="00C560C4">
      <w:pPr>
        <w:rPr>
          <w:rFonts w:ascii="Garmond" w:hAnsi="Garmond"/>
          <w:color w:val="FF0000"/>
          <w:sz w:val="28"/>
          <w:szCs w:val="28"/>
        </w:rPr>
      </w:pPr>
      <w:r w:rsidRPr="00C560C4">
        <w:rPr>
          <w:rFonts w:ascii="Garmond" w:hAnsi="Garmond"/>
          <w:color w:val="FF0000"/>
          <w:sz w:val="28"/>
          <w:szCs w:val="28"/>
        </w:rPr>
        <w:t xml:space="preserve">GRAFIKON </w:t>
      </w:r>
    </w:p>
    <w:p w:rsidR="00C560C4" w:rsidRDefault="00C560C4"/>
    <w:p w:rsidR="00C560C4" w:rsidRDefault="00C560C4" w:rsidP="00D859BA">
      <w:pPr>
        <w:jc w:val="center"/>
      </w:pPr>
      <w:r>
        <w:rPr>
          <w:noProof/>
        </w:rPr>
        <w:drawing>
          <wp:inline distT="0" distB="0" distL="0" distR="0">
            <wp:extent cx="4919980" cy="3218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9980" cy="3218815"/>
                    </a:xfrm>
                    <a:prstGeom prst="rect">
                      <a:avLst/>
                    </a:prstGeom>
                    <a:noFill/>
                  </pic:spPr>
                </pic:pic>
              </a:graphicData>
            </a:graphic>
          </wp:inline>
        </w:drawing>
      </w:r>
    </w:p>
    <w:p w:rsidR="00C560C4" w:rsidRDefault="00C560C4"/>
    <w:p w:rsidR="00C560C4" w:rsidRDefault="00C560C4"/>
    <w:p w:rsidR="00644F2A" w:rsidRDefault="00644F2A"/>
    <w:p w:rsidR="00C01B84" w:rsidRDefault="00C01B84"/>
    <w:p w:rsidR="00C01B84" w:rsidRDefault="00C01B84"/>
    <w:p w:rsidR="00C01B84" w:rsidRDefault="00C01B84"/>
    <w:p w:rsidR="00C01B84" w:rsidRDefault="00C01B84"/>
    <w:p w:rsidR="00C01B84" w:rsidRDefault="00C01B84"/>
    <w:p w:rsidR="00C01B84" w:rsidRDefault="00C01B84"/>
    <w:p w:rsidR="00C01B84" w:rsidRDefault="00C01B84"/>
    <w:p w:rsidR="00C01B84" w:rsidRDefault="00C01B84"/>
    <w:p w:rsidR="00C01B84" w:rsidRDefault="00C01B84"/>
    <w:p w:rsidR="00C01B84" w:rsidRDefault="00C01B84"/>
    <w:p w:rsidR="00C01B84" w:rsidRDefault="00C01B84"/>
    <w:p w:rsidR="00C01B84" w:rsidRDefault="00C01B84"/>
    <w:p w:rsidR="00644F2A" w:rsidRDefault="00954298" w:rsidP="00A8618D">
      <w:pPr>
        <w:pStyle w:val="BasicParagraph"/>
        <w:suppressAutoHyphens/>
        <w:jc w:val="both"/>
        <w:rPr>
          <w:rFonts w:ascii="Garamond" w:hAnsi="Garamond" w:cs="Garamond"/>
          <w:b/>
          <w:bCs/>
          <w:sz w:val="28"/>
          <w:szCs w:val="28"/>
        </w:rPr>
      </w:pPr>
      <w:r>
        <w:rPr>
          <w:rFonts w:ascii="Garamond" w:hAnsi="Garamond" w:cs="Garamond"/>
          <w:b/>
          <w:bCs/>
          <w:sz w:val="28"/>
          <w:szCs w:val="28"/>
        </w:rPr>
        <w:t xml:space="preserve">       </w:t>
      </w:r>
      <w:r w:rsidR="00644F2A">
        <w:rPr>
          <w:rFonts w:ascii="Garamond" w:hAnsi="Garamond" w:cs="Garamond"/>
          <w:b/>
          <w:bCs/>
          <w:sz w:val="28"/>
          <w:szCs w:val="28"/>
        </w:rPr>
        <w:t xml:space="preserve">2. ANALIZA STANJA </w:t>
      </w:r>
    </w:p>
    <w:p w:rsidR="00644F2A" w:rsidRDefault="00644F2A"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 xml:space="preserve">2.1 Postignuti rezultati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Strategija razvoja visokog obrazovanja u Crnoj Gori (2016-2020)</w:t>
      </w:r>
      <w:r>
        <w:rPr>
          <w:rFonts w:ascii="Garamond" w:hAnsi="Garamond" w:cs="Garamond"/>
          <w:sz w:val="28"/>
          <w:szCs w:val="28"/>
          <w:vertAlign w:val="superscript"/>
        </w:rPr>
        <w:footnoteReference w:id="5"/>
      </w:r>
      <w:r>
        <w:rPr>
          <w:rFonts w:ascii="Garamond" w:hAnsi="Garamond" w:cs="Garamond"/>
          <w:sz w:val="28"/>
          <w:szCs w:val="28"/>
        </w:rPr>
        <w:t xml:space="preserve">  postavila je sljedeće ciljeve: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Unapređenje kvaliteta visokog obrazovanja i stvaranje konkurentnog kadra.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 Usklađivanje obrazovanja sa potrebama tržišta rada.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 Unapređenje naučnoistraživačkog rada i povećan nivo učešća u EU projektima.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 Internacionalizacija visokog obrazovanja.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 Cjeloživotno obrazovanje.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Uspostavljanje održivog modela finansiranja.</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Detaljna analiza postignutih rezultata za realizaciju postavljenih ciljeva data je u Završnom izvještaju o realizaciji Strategije razvoja visokog obrazovanja u Crnoj Gori 2016-2020. godine, koji je Vlada Crne Gore usvojila u decembru 2019. godine.</w:t>
      </w:r>
      <w:r>
        <w:rPr>
          <w:rFonts w:ascii="Garamond" w:hAnsi="Garamond" w:cs="Garamond"/>
          <w:sz w:val="28"/>
          <w:szCs w:val="28"/>
          <w:vertAlign w:val="superscript"/>
        </w:rPr>
        <w:footnoteReference w:id="6"/>
      </w:r>
      <w:r w:rsidRPr="005D5EC6">
        <w:rPr>
          <w:rFonts w:ascii="Garamond" w:hAnsi="Garamond" w:cs="Garamond"/>
          <w:sz w:val="28"/>
          <w:szCs w:val="28"/>
          <w:lang w:val="fr-FR"/>
        </w:rPr>
        <w:t xml:space="preserv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Zaključeno je da su planirane aktivnosti najvećim dijelom realizovane, budući da je u potpunosti sprovedeno 85,7% planiranih obaveza, djelimično je realizovano 10,7%, a 3,6% obaveza nije realizovano. Realizacija strateških opredjeljenja započeta je usvajanjem Zakona o visokom obrazovanju 2017. godine. Ovim Zakonom je definisan model studiranja 3+2+3, osim za studijske programe iz oblasti regulisanih profesija; uvedena je obavezna praktična nastava kao sastavni dio studijskih programa u minimalnom obimu od 25%; definisana je obaveza za prihvatanje Evropskih standarda i smjernica za obezbjeđenje kvalieta i za osnivanje Agencije za kontrolu i obezbjeđenje kvaliteta visokog obrazovanja. Osnivanje Agencije je ubrzo realizovano.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U cilju cjelovitog sagledavanja stanja i realne ocjene kvaliteta visokog obrazovanja u Crnoj Gori je, kroz HERIC projekat „Visoko obrazovanje i istraživanje za inovacije i konkurentnost”, 2013/2014. godine sprovedena eksterna evaluacija ustanova visokog obrazovanja od strane tima međunarodnih eksperata koje je angažovala nezavisna agencija za institucionalnu evaluacije visokog obrazovanja Evropske asocijacije univerziteta (EUA) „Program za institucionalnu evaluaciju - IEP”. U skladu sa metodologijom IEP evaluacije, 2017/2018. godine je sprovedena ponovna eksterna evaluacija ustanova, tzv. follow-up evaluacija. Follow-up evaluacija je sprovedena na šest ustanova visokog obrazovanja (Univerzitet Crne Gore, Univerzitet Donja Gorica, Univerzitet Mediteran, Fakultet za državne i evropske studije Podgorica, Fakultet za poslovni menadžment Bar i Fakultet za saobraćaj, komunikacije i logistiku Budva), a početna evaluacija je sprovedena na tri ustanove visokog obrazovanja (Univerzitet Adriatik Bar, Fakultet za internacionalni menadžment u turizmu i hotelijerstvu Miločer i Fakultet za crnogorski jezik i književnost Cetinje) koje nijesu bile obuhvaćene </w:t>
      </w:r>
      <w:r w:rsidRPr="005D5EC6">
        <w:rPr>
          <w:rFonts w:ascii="Garamond" w:hAnsi="Garamond" w:cs="Garamond"/>
          <w:sz w:val="28"/>
          <w:szCs w:val="28"/>
          <w:lang w:val="fr-FR"/>
        </w:rPr>
        <w:lastRenderedPageBreak/>
        <w:t>evaluacijom 2013/2014. godine. Rezultati IEP evaluacije su pripremljeni kao set preporuka za ustanove visokog obrazovanja i nadležne državne organe.</w:t>
      </w:r>
      <w:r>
        <w:rPr>
          <w:rFonts w:ascii="Garamond" w:hAnsi="Garamond" w:cs="Garamond"/>
          <w:sz w:val="28"/>
          <w:szCs w:val="28"/>
          <w:vertAlign w:val="superscript"/>
        </w:rPr>
        <w:footnoteReference w:id="7"/>
      </w:r>
      <w:r w:rsidRPr="005D5EC6">
        <w:rPr>
          <w:rFonts w:ascii="Garamond" w:hAnsi="Garamond" w:cs="Garamond"/>
          <w:sz w:val="28"/>
          <w:szCs w:val="28"/>
          <w:lang w:val="fr-FR"/>
        </w:rPr>
        <w:t xml:space="preserv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Takođe, kroz HERIC projekat je sprovedena Studija praćenja (Tracer Study), odnosno praćenje karijere visokoškolaca, što je dalo važne ocjene visokog obrazovanja.</w:t>
      </w:r>
      <w:r>
        <w:rPr>
          <w:rFonts w:ascii="Garamond" w:hAnsi="Garamond" w:cs="Garamond"/>
          <w:sz w:val="28"/>
          <w:szCs w:val="28"/>
          <w:vertAlign w:val="superscript"/>
        </w:rPr>
        <w:footnoteReference w:id="8"/>
      </w:r>
      <w:r w:rsidRPr="005D5EC6">
        <w:rPr>
          <w:rFonts w:ascii="Garamond" w:hAnsi="Garamond" w:cs="Garamond"/>
          <w:sz w:val="28"/>
          <w:szCs w:val="28"/>
          <w:lang w:val="fr-FR"/>
        </w:rPr>
        <w:t xml:space="preserve">  Sprovedeno je anketiranje visokoškolaca koji su diplomirali 2009. i 2013. godine na ustanovama visokog obrazovanja u Crnoj Gori, kako bi se dobila povratna informacija o uspjehu i zadovoljstvu na poslu, karijernom putu, zadovoljstvu studijama i o drugim oblastima od značaja za rad ustanova visokog obrazovanja i kreiranje obrazovnih politika. Istraživanje je pokazalo da su 3 od 4 ispitanika završili osnovne studije u roku predviđenom pravilima studija, kao i da je dvije trećine diplomaca nastavilo školovanja upisom specijalističkih, magistarskih ili doktorskih studija. Od ukupnog broja anketiranih studenata 82% je bilo zaposleno nakon diplomiranja 2009. godine, a 66% nakon diplomiranja 2013. godine. Studenti su umjereno zadovoljni organizacijom nastave na studijskim programima koje su završili (prosječne ocjene su od 2,9 - 3,9, na skali od 1 do 5), dok je ocjena zadovoljstva kvalitetom studijskih programa 6,8 (2009) i 6,6 (2013) na skali od 1 do 10.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Plan da se ova studija kontinuirano realizuje svake godine, za dvije generacije diplomiranih visokoškolaca, u proteklom period nije realizovana. Rezultati dobijeni redovnim praćanjem karijere visokoškolaca bi bili od velikog značaja za adekvatno planiranje i razvoj visokog obrazovanja. Treba razmotriti mogućnosti u pogledu kadrovske, tehničke i institucionalne osposobljonosti za sprovođenje Studije praćenja svake godine ili svake druge godine sa obuhvatom od dvije generacije studenata.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Unapređenje naučnoistraživačkog rada povećanjem baze aktivnih istraživača planirano je i započeto dodjelom nacionalnih stipendija za izvrsnost (za magistarske, doktorske i postdoktorske studije) studentima koji studiraju na renomiranim univerzitetima u inostranstvu. Ova aktivnost se, takođe, realizovala kroz HERIC projekat. Nacionalnu stipendiju za izvrsnost za magistarske studije dobilo je 49 kandidata, za doktorske studije sedam kandidata i za postdoktorske studije deset kandidata. U okviru HERIC projekta opredijeljeni su grantovi za opremanje ustanova kroz sedam odobrenih projekata (tri sa Univerziteta Crne Gore, dva sa Univerziteta Donja Gorica, jedan sa Univerziteta Mediteran i jedan sa Fakulteta za crnogorski jezik i književnost). Uporedo je dodijeljen značajan broj grantova za unapređenje same naučnoistraživačke djelatnosti.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Treba razmotriti mogućnost nastavka realizacije Programa stipendija za izvrsnost, da bi se motivisali mladi talentovani visokoškolci da svoje studije nastave na svjetskim renomiranim ustanovama visokog obrazovanja i tako steknu neprocjenjivo akademsko, stručno, profesionalno i </w:t>
      </w:r>
      <w:r w:rsidRPr="005D5EC6">
        <w:rPr>
          <w:rFonts w:ascii="Garamond" w:hAnsi="Garamond" w:cs="Garamond"/>
          <w:sz w:val="28"/>
          <w:szCs w:val="28"/>
          <w:lang w:val="fr-FR"/>
        </w:rPr>
        <w:lastRenderedPageBreak/>
        <w:t xml:space="preserve">multikulturalno iskustvo koje po povratku u svoju zemlju ili radom u inostranom okruženju mogu iskoristiti za ekonomski i društveni razvoj svoje zemlje.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Razvoj istraživanja prepoznat je i po povećanom učešću u međunarodnim istraživačkim programima i poboljšanom pristupu EU fondovima. Najznačajniji program je HORIZONT Evropa, u kojem Crne Gora već realizuje projekte. Takođe, EUREKA program omogućava finansiranje tržišno orijentisanih projekata istraživanja i razvoja, s ciljem jačanja konkurentnosti kroz podršku preduzetništvu, istraživačkim centrima i univerzitetima.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Vlada Crne Gore i Univerzitet Crne Gore osnovali su Naučno-tehnološki park (NTP CG doo), kako bi se pokrenule aktivnosti na uspostavljanju modela podrške za integraciju inovativnih, naučnih, preduzetničkih i privrednih kapaciteta u Crnoj Gori.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U proteklom periodu sproveden je značajan broj aktivnosti koji se odnosio na unapređenje internacionalizacije i mobilnosti studenata i akademskog osoblja što je doprinijelo i većem broju projekata, sporazuma, kao i odlazne i dolazne mobilnosti.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Internacionalizacija je prepoznata kao važno opredjeljenje na svim ustanovama visokog obrazovanja. Za institucionalno jačanje, kao i bolje pozicioniranje na međunarodnim rang listama, Univerzitet Crne Gore i Univerzitet Mediteran su usvojili Strategiju internacionalizacije 2021-2026.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Sistemsku podršku za Erasmus plus programe u visokom obrazovanju (CBHE, Erasmus kreditna mobilnost, promocija zajedničkih master programa i EU politika i praksi u evropskom prostoru visokog obrazovanja) pruža Erasmus plus kancelarija. U okviru programa izgradnje kapaciteta u visokom obrazovanju (CBHE) do sada je odobreno 35 projekata od kojih su univerziteti iz Crne Gore koordinatori za 8 projekata, dok su u preostalih 27 uključeni kao partneri. U pozivu za 2015. godinu odobrena su četiri projekta, za 2019. godinu odobreno je devet projekata, a za 2020. godinu odobreno je osam projekata. Preporučuje se da se dalja snažna opredjeljenost svih ustanova visokog obrazovanja ka jačanju međunarodne saradnje razvojem naučno istraživačkih projekata, razvojnih i strukturnih projekata, kao i programa mobilnosti studenata i nastavnog osoblja.   </w:t>
      </w:r>
    </w:p>
    <w:p w:rsidR="00B93E4B" w:rsidRPr="005D5EC6" w:rsidRDefault="00644F2A" w:rsidP="00B93E4B">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Erasmus međunarodna kreditna mobilnost (ICM) predstavlja saradnju ustanova visokog obrazovanja iz Crne Gore sa oko 200 univerziteta iz Evrope. Broj bilateralnih ugovora za kreditnu mobilnost u okviru Erasmus programa je u konstantnom porastu. U konkursu za 2015. godinu potpisano je 49 bilateralnih ugovora, u konkursu za 2019. godinu potpisano je 117 bilateralnih ugovora, a u konkursu za 2021. godinu potpisano je 139 bilateralnih ugovora. U okviru ovih programa mobilnosti realizovano je oko 3.200 odlaznih i dolaznih mobilnosti studenata, nastavn</w:t>
      </w:r>
      <w:r w:rsidR="00B93E4B" w:rsidRPr="005D5EC6">
        <w:rPr>
          <w:rFonts w:ascii="Garamond" w:hAnsi="Garamond" w:cs="Garamond"/>
          <w:sz w:val="28"/>
          <w:szCs w:val="28"/>
          <w:lang w:val="fr-FR"/>
        </w:rPr>
        <w:t xml:space="preserve">og i administrativnog osoblja. </w:t>
      </w:r>
    </w:p>
    <w:p w:rsidR="00644F2A" w:rsidRPr="005D5EC6" w:rsidRDefault="00644F2A" w:rsidP="00B93E4B">
      <w:pPr>
        <w:pStyle w:val="BasicParagraph"/>
        <w:suppressAutoHyphens/>
        <w:ind w:firstLine="567"/>
        <w:jc w:val="both"/>
        <w:rPr>
          <w:rFonts w:ascii="Garamond" w:hAnsi="Garamond" w:cs="Garamond"/>
          <w:sz w:val="28"/>
          <w:szCs w:val="28"/>
          <w:lang w:val="fr-FR"/>
        </w:rPr>
      </w:pPr>
      <w:r w:rsidRPr="005D5EC6">
        <w:rPr>
          <w:rFonts w:ascii="Garamond" w:hAnsi="Garamond" w:cs="Garamond"/>
          <w:color w:val="auto"/>
          <w:sz w:val="28"/>
          <w:szCs w:val="28"/>
          <w:lang w:val="fr-FR"/>
        </w:rPr>
        <w:t>Erasmus Mundus zajedničke master programe ustanove visokog obrazovanja iz Crne Gore realizuju kroz dva projekta razvoja zajedničkih master programa: Studija za Jugoistočnu Evropu i Studije za Centralnu i Istočnu Evropu, Rusiju i Evroaziju (CEERES</w:t>
      </w:r>
      <w:r w:rsidR="00B93E4B" w:rsidRPr="005D5EC6">
        <w:rPr>
          <w:rFonts w:ascii="Garamond" w:hAnsi="Garamond" w:cs="Garamond"/>
          <w:color w:val="auto"/>
          <w:sz w:val="28"/>
          <w:szCs w:val="28"/>
          <w:lang w:val="fr-FR"/>
        </w:rPr>
        <w:t xml:space="preserve">, </w:t>
      </w:r>
      <w:hyperlink r:id="rId14" w:history="1">
        <w:r w:rsidR="00B93E4B" w:rsidRPr="005D5EC6">
          <w:rPr>
            <w:rStyle w:val="Hyperlink"/>
            <w:rFonts w:ascii="Garamond" w:hAnsi="Garamond" w:cs="Garamond"/>
            <w:lang w:val="fr-FR"/>
          </w:rPr>
          <w:t>https://www.gla.ac.uk/postgraduate/erasmusmundus/ceeres/associatepartners/</w:t>
        </w:r>
      </w:hyperlink>
      <w:r w:rsidR="00B93E4B" w:rsidRPr="005D5EC6">
        <w:rPr>
          <w:rFonts w:ascii="Garamond" w:hAnsi="Garamond" w:cs="Garamond"/>
          <w:color w:val="auto"/>
          <w:sz w:val="28"/>
          <w:szCs w:val="28"/>
          <w:lang w:val="fr-FR"/>
        </w:rPr>
        <w:t xml:space="preserve">) i </w:t>
      </w:r>
      <w:r w:rsidRPr="005D5EC6">
        <w:rPr>
          <w:rFonts w:ascii="Garamond" w:hAnsi="Garamond" w:cs="Garamond"/>
          <w:color w:val="auto"/>
          <w:sz w:val="28"/>
          <w:szCs w:val="28"/>
          <w:lang w:val="fr-FR"/>
        </w:rPr>
        <w:t xml:space="preserve"> </w:t>
      </w:r>
      <w:r w:rsidR="00B93E4B" w:rsidRPr="00B93E4B">
        <w:rPr>
          <w:rFonts w:ascii="Garamond" w:hAnsi="Garamond" w:cs="Garamond"/>
          <w:color w:val="auto"/>
          <w:sz w:val="28"/>
          <w:szCs w:val="28"/>
          <w:lang w:val="fr-FR"/>
        </w:rPr>
        <w:t xml:space="preserve">Međunarodni master </w:t>
      </w:r>
      <w:r w:rsidR="00B93E4B" w:rsidRPr="00B93E4B">
        <w:rPr>
          <w:rFonts w:ascii="Garamond" w:hAnsi="Garamond" w:cs="Garamond"/>
          <w:color w:val="auto"/>
          <w:sz w:val="28"/>
          <w:szCs w:val="28"/>
          <w:lang w:val="fr-FR"/>
        </w:rPr>
        <w:lastRenderedPageBreak/>
        <w:t>program u oblasti studija jugoistočne Evrope (EUROSUD</w:t>
      </w:r>
      <w:r w:rsidR="00B93E4B">
        <w:rPr>
          <w:rFonts w:ascii="Garamond" w:hAnsi="Garamond" w:cs="Garamond"/>
          <w:color w:val="auto"/>
          <w:sz w:val="28"/>
          <w:szCs w:val="28"/>
          <w:lang w:val="fr-FR"/>
        </w:rPr>
        <w:t>,</w:t>
      </w:r>
      <w:r w:rsidR="00B93E4B" w:rsidRPr="00B93E4B">
        <w:rPr>
          <w:rFonts w:ascii="Garamond" w:hAnsi="Garamond" w:cs="Garamond"/>
          <w:color w:val="auto"/>
          <w:sz w:val="28"/>
          <w:szCs w:val="28"/>
          <w:lang w:val="fr-FR"/>
        </w:rPr>
        <w:t xml:space="preserve"> </w:t>
      </w:r>
      <w:hyperlink r:id="rId15" w:history="1">
        <w:r w:rsidR="00B93E4B" w:rsidRPr="005D5EC6">
          <w:rPr>
            <w:rStyle w:val="Hyperlink"/>
            <w:rFonts w:ascii="Garamond" w:hAnsi="Garamond" w:cs="Garamond"/>
            <w:lang w:val="fr-FR"/>
          </w:rPr>
          <w:t>https://www.southeuropeanstudies.eu/our-partners/associate-partners/</w:t>
        </w:r>
      </w:hyperlink>
      <w:r w:rsidR="00B93E4B" w:rsidRPr="00B93E4B">
        <w:rPr>
          <w:rFonts w:ascii="Garamond" w:hAnsi="Garamond" w:cs="Garamond"/>
          <w:color w:val="auto"/>
          <w:sz w:val="28"/>
          <w:szCs w:val="28"/>
          <w:lang w:val="fr-FR"/>
        </w:rPr>
        <w:t>)</w:t>
      </w:r>
      <w:r w:rsidR="00B93E4B">
        <w:rPr>
          <w:rFonts w:ascii="Garamond" w:hAnsi="Garamond" w:cs="Garamond"/>
          <w:color w:val="auto"/>
          <w:sz w:val="28"/>
          <w:szCs w:val="28"/>
          <w:lang w:val="fr-FR"/>
        </w:rPr>
        <w:t xml:space="preserve">. </w:t>
      </w:r>
      <w:r w:rsidR="00BE7B60">
        <w:rPr>
          <w:rFonts w:ascii="Garamond" w:hAnsi="Garamond" w:cs="Garamond"/>
          <w:color w:val="auto"/>
          <w:sz w:val="28"/>
          <w:szCs w:val="28"/>
          <w:lang w:val="fr-FR"/>
        </w:rPr>
        <w:t xml:space="preserve">Programi još uvijek nisu akreditovani.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Ministarstvo prosvjete, nauke, kulture i sporta oglašava i administrira veliki broj programa stipendija stranih vlada, bilateralnih stipendija i programa razmjene. Informacije o stipendijama se objavljuju na web adresi Ministarstva i publikuju u priručniku za mlade Studija o programima mobilnosti i stipendiranja za studente i akademsko osoblje. Na osnovu bilateralnih programa i programa stipendija stranih vlada realizuje se godišnje oko 100 stipendija za studiranje u NR Kini, Italiji, Mađarskoj, Japanu, Ruskoj Federaciji, Francuskoj, Velikoj Britaniji, Slovačkoj, Sloveniji, Hrvatskoj, Grčkoj, Turskoj itd.</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 okviru Centralnoevropskog programa univerzitetske razmjene (CEEPUS), koji se realizuje na osnovu multilateralnog sporazuma o univerzitetskoj saradnji centralno-evropskih zemalja, kvota razmjene od 165 mjeseci se uglavnom ostvaruje u većem obimu od predviđene (120%). Godišnje se odobri oko 150 stipendija za odlaznu i dolaznu mobilnost u okviru ovog Programa. Programi razmjene se, takođe, realizuju u okviru IFMSA programa, Visegrad programa, Go Styria programa, Ugrad programa, DAAD programa, Maria Sklodowska Kiri programa, Fulbrajt programa, za koje studenti samostalno apliciraju ili preko ambasada zemalja koje nude stipendije.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Ministarstvo prosvjete, nauke, kulture i sporta kroz godišnje konkurse sufinansira magistarske i doktorske studije crnogorskim studentima i sufinansira putne trškove za korisnike stipendija stranih vlada i programa mobilnosti. Kroz nacionalni program stipendija za najbolje studente dodjeljuju se godišnje oko 300 stipendija, za studente koji studiraju u Crnoj Gori ili inostranstvu.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Za uspješnu internacionalizaciju od posebnog značaja je položaj ustanova na međunarodnim rang listama. Times Higher Education (THE) je svrstao Univerzitet Crne Gore u kategoriju 1001+ najboljih svjetskih univerziteta za 2020. godinu (između 1001 i 1396. pozicije na rang listi), što je njegovo prvo pojavljivanje među najboljim svjetskim univerzitetima. Times Higher Education rangiranje predstavlja značajno rangiranja univerziteta u svijetu. Dobru poziciju Univerzitet Crne Gore zauzeo je i na Webometriks rangirenju, posebno u kategoriji najvećeg broja citata naučnika (1.694 pozicija na listi).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Cjeloživotno obrazovanje ocijenjeno je kao posebno bitan element za odgovor na potrebe tržišta rada i smanjenje nezaposlenosti. Dobri rezultati u ovoj oblasti zahtijevaju sinergiju između Zavoda za zapošljavanje, organizatora obrazovanja odraslih, karijernih centara, ustanova visokog obrazovanja, Ministarstva prosvjete, nauke, kulture i sporta i Ministarstva ekonomskog razvoja. Posebno je značajno razvijati nove kvalifikacije, usklađene sa potrebama tržišta rada. Trenutno ima 117 licenciranih organizatora obrazovanja odraslih. </w:t>
      </w:r>
    </w:p>
    <w:p w:rsidR="00644F2A" w:rsidRPr="00821309" w:rsidRDefault="00644F2A" w:rsidP="00644F2A">
      <w:pPr>
        <w:pStyle w:val="BasicParagraph"/>
        <w:suppressAutoHyphens/>
        <w:ind w:firstLine="567"/>
        <w:jc w:val="both"/>
        <w:rPr>
          <w:rFonts w:ascii="Garamond" w:hAnsi="Garamond" w:cs="Garamond"/>
          <w:b/>
          <w:sz w:val="28"/>
          <w:szCs w:val="28"/>
        </w:rPr>
      </w:pPr>
      <w:r w:rsidRPr="00E61EEA">
        <w:rPr>
          <w:rFonts w:ascii="Garamond" w:hAnsi="Garamond" w:cs="Garamond"/>
          <w:color w:val="auto"/>
          <w:sz w:val="28"/>
          <w:szCs w:val="28"/>
        </w:rPr>
        <w:t xml:space="preserve">Ustanove visokog obrazovanja imaju mogućnost da realizuju </w:t>
      </w:r>
      <w:r w:rsidR="00E61EEA" w:rsidRPr="00E61EEA">
        <w:rPr>
          <w:rFonts w:ascii="Garamond" w:hAnsi="Garamond" w:cs="Garamond"/>
          <w:color w:val="auto"/>
          <w:sz w:val="28"/>
          <w:szCs w:val="28"/>
        </w:rPr>
        <w:t>programe cjeloživotnog učenja kao organizatori</w:t>
      </w:r>
      <w:r w:rsidR="00E61EEA">
        <w:rPr>
          <w:rFonts w:ascii="Garamond" w:hAnsi="Garamond" w:cs="Garamond"/>
          <w:color w:val="auto"/>
          <w:sz w:val="28"/>
          <w:szCs w:val="28"/>
        </w:rPr>
        <w:t xml:space="preserve"> obrazovanja odraslih</w:t>
      </w:r>
      <w:r w:rsidR="00777682">
        <w:rPr>
          <w:rFonts w:ascii="Garamond" w:hAnsi="Garamond" w:cs="Garamond"/>
          <w:color w:val="auto"/>
          <w:sz w:val="28"/>
          <w:szCs w:val="28"/>
        </w:rPr>
        <w:t>, u skladu sa Zakonom o visokom obrazovanju</w:t>
      </w:r>
      <w:r w:rsidR="00E61EEA">
        <w:rPr>
          <w:rFonts w:ascii="Garamond" w:hAnsi="Garamond" w:cs="Garamond"/>
          <w:color w:val="auto"/>
          <w:sz w:val="28"/>
          <w:szCs w:val="28"/>
        </w:rPr>
        <w:t>.</w:t>
      </w:r>
      <w:r w:rsidR="00777682">
        <w:rPr>
          <w:rFonts w:ascii="Garamond" w:hAnsi="Garamond" w:cs="Garamond"/>
          <w:color w:val="auto"/>
          <w:sz w:val="28"/>
          <w:szCs w:val="28"/>
        </w:rPr>
        <w:t xml:space="preserve"> Programe </w:t>
      </w:r>
      <w:r w:rsidR="00777682">
        <w:rPr>
          <w:rFonts w:ascii="Garamond" w:hAnsi="Garamond" w:cs="Garamond"/>
          <w:color w:val="auto"/>
          <w:sz w:val="28"/>
          <w:szCs w:val="28"/>
        </w:rPr>
        <w:lastRenderedPageBreak/>
        <w:t>cjeloživotnog visokog obrazovanja akredituje Agencija za kontrolu i obezbjeđenje lvaliteta visokog obrazovanja</w:t>
      </w:r>
      <w:r w:rsidR="00777682" w:rsidRPr="00801454">
        <w:rPr>
          <w:rFonts w:ascii="Garamond" w:hAnsi="Garamond" w:cs="Garamond"/>
          <w:color w:val="auto"/>
          <w:sz w:val="28"/>
          <w:szCs w:val="28"/>
        </w:rPr>
        <w:t xml:space="preserve">. </w:t>
      </w:r>
      <w:r w:rsidRPr="00801454">
        <w:rPr>
          <w:rFonts w:ascii="Garamond" w:hAnsi="Garamond" w:cs="Garamond"/>
          <w:color w:val="auto"/>
          <w:sz w:val="28"/>
          <w:szCs w:val="28"/>
        </w:rPr>
        <w:t xml:space="preserve"> Univerzitet Crne Gore </w:t>
      </w:r>
      <w:r w:rsidR="00204C8A" w:rsidRPr="00801454">
        <w:rPr>
          <w:rFonts w:ascii="Garamond" w:hAnsi="Garamond" w:cs="Garamond"/>
          <w:color w:val="auto"/>
          <w:sz w:val="28"/>
          <w:szCs w:val="28"/>
        </w:rPr>
        <w:t>realizuje dva</w:t>
      </w:r>
      <w:r w:rsidR="00E61EEA" w:rsidRPr="00801454">
        <w:rPr>
          <w:rFonts w:ascii="Garamond" w:hAnsi="Garamond" w:cs="Garamond"/>
          <w:color w:val="auto"/>
          <w:sz w:val="28"/>
          <w:szCs w:val="28"/>
        </w:rPr>
        <w:t xml:space="preserve"> </w:t>
      </w:r>
      <w:r w:rsidR="00777682" w:rsidRPr="00801454">
        <w:rPr>
          <w:rFonts w:ascii="Garamond" w:hAnsi="Garamond" w:cs="Garamond"/>
          <w:color w:val="auto"/>
          <w:sz w:val="28"/>
          <w:szCs w:val="28"/>
        </w:rPr>
        <w:t>programa za cjeloživotno učenje</w:t>
      </w:r>
      <w:r w:rsidRPr="00801454">
        <w:rPr>
          <w:rFonts w:ascii="Garamond" w:hAnsi="Garamond" w:cs="Garamond"/>
          <w:color w:val="auto"/>
          <w:sz w:val="28"/>
          <w:szCs w:val="28"/>
        </w:rPr>
        <w:t xml:space="preserve">, Univerzitet Donja Gorica </w:t>
      </w:r>
      <w:r w:rsidR="00777682" w:rsidRPr="00801454">
        <w:rPr>
          <w:rFonts w:ascii="Garamond" w:hAnsi="Garamond" w:cs="Garamond"/>
          <w:color w:val="auto"/>
          <w:sz w:val="28"/>
          <w:szCs w:val="28"/>
        </w:rPr>
        <w:t xml:space="preserve">realizuje </w:t>
      </w:r>
      <w:r w:rsidR="00F539AD">
        <w:rPr>
          <w:rFonts w:ascii="Garamond" w:hAnsi="Garamond" w:cs="Garamond"/>
          <w:color w:val="auto"/>
          <w:sz w:val="28"/>
          <w:szCs w:val="28"/>
        </w:rPr>
        <w:t xml:space="preserve">ukupno sedam programa, odnosno </w:t>
      </w:r>
      <w:r w:rsidR="00777682" w:rsidRPr="00801454">
        <w:rPr>
          <w:rFonts w:ascii="Garamond" w:hAnsi="Garamond" w:cs="Garamond"/>
          <w:color w:val="auto"/>
          <w:sz w:val="28"/>
          <w:szCs w:val="28"/>
        </w:rPr>
        <w:t>pet p</w:t>
      </w:r>
      <w:r w:rsidR="00F539AD">
        <w:rPr>
          <w:rFonts w:ascii="Garamond" w:hAnsi="Garamond" w:cs="Garamond"/>
          <w:color w:val="auto"/>
          <w:sz w:val="28"/>
          <w:szCs w:val="28"/>
        </w:rPr>
        <w:t xml:space="preserve">rograma </w:t>
      </w:r>
      <w:r w:rsidR="00777682" w:rsidRPr="00801454">
        <w:rPr>
          <w:rFonts w:ascii="Garamond" w:hAnsi="Garamond" w:cs="Garamond"/>
          <w:color w:val="auto"/>
          <w:sz w:val="28"/>
          <w:szCs w:val="28"/>
        </w:rPr>
        <w:t>u organizaciji</w:t>
      </w:r>
      <w:r w:rsidRPr="00801454">
        <w:rPr>
          <w:rFonts w:ascii="Garamond" w:hAnsi="Garamond" w:cs="Garamond"/>
          <w:color w:val="auto"/>
          <w:sz w:val="28"/>
          <w:szCs w:val="28"/>
        </w:rPr>
        <w:t xml:space="preserve"> Cen</w:t>
      </w:r>
      <w:r w:rsidR="00777682" w:rsidRPr="00801454">
        <w:rPr>
          <w:rFonts w:ascii="Garamond" w:hAnsi="Garamond" w:cs="Garamond"/>
          <w:color w:val="auto"/>
          <w:sz w:val="28"/>
          <w:szCs w:val="28"/>
        </w:rPr>
        <w:t>tra za strane jezike</w:t>
      </w:r>
      <w:r w:rsidR="00F539AD">
        <w:rPr>
          <w:rFonts w:ascii="Garamond" w:hAnsi="Garamond" w:cs="Garamond"/>
          <w:color w:val="auto"/>
          <w:sz w:val="28"/>
          <w:szCs w:val="28"/>
        </w:rPr>
        <w:t xml:space="preserve"> i dva programa Ekološki monitoring voda i Urbana poljoprivreda</w:t>
      </w:r>
      <w:r w:rsidRPr="00801454">
        <w:rPr>
          <w:rFonts w:ascii="Garamond" w:hAnsi="Garamond" w:cs="Garamond"/>
          <w:color w:val="auto"/>
          <w:sz w:val="28"/>
          <w:szCs w:val="28"/>
        </w:rPr>
        <w:t>, Univerzitet Mediteran</w:t>
      </w:r>
      <w:r w:rsidR="00777682" w:rsidRPr="00801454">
        <w:rPr>
          <w:rFonts w:ascii="Garamond" w:hAnsi="Garamond" w:cs="Garamond"/>
          <w:color w:val="auto"/>
          <w:sz w:val="28"/>
          <w:szCs w:val="28"/>
        </w:rPr>
        <w:t xml:space="preserve"> realizuje sedam programa</w:t>
      </w:r>
      <w:r w:rsidRPr="00801454">
        <w:rPr>
          <w:rFonts w:ascii="Garamond" w:hAnsi="Garamond" w:cs="Garamond"/>
          <w:color w:val="auto"/>
          <w:sz w:val="28"/>
          <w:szCs w:val="28"/>
        </w:rPr>
        <w:t>, Fakultet za crnogorski jezik i književnost</w:t>
      </w:r>
      <w:r w:rsidR="00777682" w:rsidRPr="00801454">
        <w:rPr>
          <w:rFonts w:ascii="Garamond" w:hAnsi="Garamond" w:cs="Garamond"/>
          <w:color w:val="auto"/>
          <w:sz w:val="28"/>
          <w:szCs w:val="28"/>
        </w:rPr>
        <w:t xml:space="preserve"> realizuje jedan program</w:t>
      </w:r>
      <w:r w:rsidRPr="00801454">
        <w:rPr>
          <w:rFonts w:ascii="Garamond" w:hAnsi="Garamond" w:cs="Garamond"/>
          <w:color w:val="auto"/>
          <w:sz w:val="28"/>
          <w:szCs w:val="28"/>
        </w:rPr>
        <w:t>, Fakultet za biznis i turiza</w:t>
      </w:r>
      <w:r w:rsidR="00777682" w:rsidRPr="00801454">
        <w:rPr>
          <w:rFonts w:ascii="Garamond" w:hAnsi="Garamond" w:cs="Garamond"/>
          <w:color w:val="auto"/>
          <w:sz w:val="28"/>
          <w:szCs w:val="28"/>
        </w:rPr>
        <w:t>m</w:t>
      </w:r>
      <w:r w:rsidRPr="00801454">
        <w:rPr>
          <w:rFonts w:ascii="Garamond" w:hAnsi="Garamond" w:cs="Garamond"/>
          <w:color w:val="auto"/>
          <w:sz w:val="28"/>
          <w:szCs w:val="28"/>
        </w:rPr>
        <w:t xml:space="preserve">, Budva </w:t>
      </w:r>
      <w:r w:rsidR="00801454">
        <w:rPr>
          <w:rFonts w:ascii="Garamond" w:hAnsi="Garamond" w:cs="Garamond"/>
          <w:color w:val="auto"/>
          <w:sz w:val="28"/>
          <w:szCs w:val="28"/>
        </w:rPr>
        <w:t>realizuje jedan</w:t>
      </w:r>
      <w:r w:rsidR="00777682" w:rsidRPr="00801454">
        <w:rPr>
          <w:rFonts w:ascii="Garamond" w:hAnsi="Garamond" w:cs="Garamond"/>
          <w:color w:val="auto"/>
          <w:sz w:val="28"/>
          <w:szCs w:val="28"/>
        </w:rPr>
        <w:t xml:space="preserve"> program</w:t>
      </w:r>
      <w:r w:rsidRPr="00801454">
        <w:rPr>
          <w:rFonts w:ascii="Garamond" w:hAnsi="Garamond" w:cs="Garamond"/>
          <w:color w:val="auto"/>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Posebnu ulogu u promociji cjeloživotnog obrazovanja imaju centri za karijerno vođenje i savjetovanje na svim nivoima obrazovanja. U okviru Ministarstva provjete, nauke, kulture i sporta se realizuje Erasmus plus projekat Euroguidance/Europass, koji ima za cilj razvoj i promociju karijernog vođenja i savjetovanja i Europass dokumenata i platformi. U okviru ovog projekta, koji se realizuje od 2018. godine, pripremljeni su korisni priručnici i studije: Karijerno savjetovanje u stručnim školama, Korišćenje društvenih mreža u vođenju karijere, Vođenje intervjua sa učenicima, Vodič kroz Europass, Vodič za Europass CV, Vodič za Europass mobilnost i Europass jezički pasoš, Vodič za Europass dodatak sertifikatu, Vodič o pravima iz učeničkog i studentskog standarda, Vodič o priznavanju inostranih obrazovnih isprava, istraživanje i studija Sistem karijernog vođenja i savjetovanja u Crnoj Gori, Strategija za promociju Europass dokumenata, upitnici za različite starosne grupe učenika u štampanoj i elektronskoj verziji. Organizovane su brojne obuke, treninzi, vebinari i sastanci.</w:t>
      </w:r>
      <w:r w:rsidR="00777682">
        <w:rPr>
          <w:rFonts w:ascii="Garamond" w:hAnsi="Garamond" w:cs="Garamond"/>
          <w:sz w:val="28"/>
          <w:szCs w:val="28"/>
        </w:rPr>
        <w:t xml:space="preserve"> U okviru Ministarstva</w:t>
      </w:r>
      <w:r>
        <w:rPr>
          <w:rFonts w:ascii="Garamond" w:hAnsi="Garamond" w:cs="Garamond"/>
          <w:sz w:val="28"/>
          <w:szCs w:val="28"/>
        </w:rPr>
        <w:t xml:space="preserve"> realizuju se i Erasmus plus projekti Agenda za obrazovanje odraslih i EPALE, koji imaju za cilj unapređenje politika i praksi u obrazovanju odraslih.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Preporučuje se bolje povezivanje svih relevantnih ustanova kako bi </w:t>
      </w:r>
      <w:r w:rsidR="00C763DC">
        <w:rPr>
          <w:rFonts w:ascii="Garamond" w:hAnsi="Garamond" w:cs="Garamond"/>
          <w:sz w:val="28"/>
          <w:szCs w:val="28"/>
        </w:rPr>
        <w:t xml:space="preserve">svaki </w:t>
      </w:r>
      <w:r>
        <w:rPr>
          <w:rFonts w:ascii="Garamond" w:hAnsi="Garamond" w:cs="Garamond"/>
          <w:sz w:val="28"/>
          <w:szCs w:val="28"/>
        </w:rPr>
        <w:t xml:space="preserve">pojedinac ostvario svoje pune potencijale u obrazovnom i karijernom putu. Ustanove koje treba aktivno da sarađuju i razvijaju sistem karijernog vođenja i savjetovanja su Ministarstvo prosvjete, nauke, kulture i sporta, Zavod za školstvo, Centar za stručno obrazovanje, škole, ustanove visokog obrazovanja, Ministarstvo ekonomskog razvoja, Zavod za zapošljavanje, Privredna komora i Unija poslodavaca.          </w:t>
      </w:r>
      <w:r>
        <w:rPr>
          <w:rFonts w:ascii="Garamond" w:hAnsi="Garamond" w:cs="Garamond"/>
          <w:sz w:val="28"/>
          <w:szCs w:val="28"/>
        </w:rPr>
        <w:tab/>
      </w:r>
      <w:r>
        <w:rPr>
          <w:rFonts w:ascii="Garamond" w:hAnsi="Garamond" w:cs="Garamond"/>
          <w:sz w:val="28"/>
          <w:szCs w:val="28"/>
        </w:rPr>
        <w:tab/>
      </w:r>
    </w:p>
    <w:p w:rsidR="00644F2A" w:rsidRDefault="00644F2A" w:rsidP="00644F2A">
      <w:pPr>
        <w:pStyle w:val="BasicParagraph"/>
        <w:suppressAutoHyphens/>
        <w:ind w:firstLine="567"/>
        <w:jc w:val="both"/>
        <w:rPr>
          <w:rFonts w:ascii="Garamond" w:hAnsi="Garamond" w:cs="Garamond"/>
          <w:sz w:val="28"/>
          <w:szCs w:val="28"/>
        </w:rPr>
      </w:pPr>
    </w:p>
    <w:p w:rsidR="005318ED" w:rsidRDefault="005318ED" w:rsidP="00644F2A">
      <w:pPr>
        <w:pStyle w:val="BasicParagraph"/>
        <w:suppressAutoHyphens/>
        <w:ind w:firstLine="567"/>
        <w:jc w:val="both"/>
        <w:rPr>
          <w:rFonts w:ascii="Garamond" w:hAnsi="Garamond" w:cs="Garamond"/>
          <w:sz w:val="28"/>
          <w:szCs w:val="28"/>
        </w:rPr>
      </w:pPr>
    </w:p>
    <w:p w:rsidR="005318ED" w:rsidRDefault="005318ED"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2.2 Izazovi i preporuke za unapređenje visokog obrazovanja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Izazovi i preporuke za budući razvoj u oblasti visokog obrazovanja obuhvataju sljedeće: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Formulisati i sprovesti jasne strategije za upravljanje ustanovama visokog obrazovanja, kako bi se postigla odgovarajuća ravnoteža između centralizovanog i decentralizovanog upravljanja.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Unaprijediti model praktične nastave, kako bi se svim studentima obezbijedila adekvatna praktična nastava i priprema za tržište rada.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w:t>
      </w:r>
      <w:r>
        <w:rPr>
          <w:rFonts w:ascii="Garamond" w:hAnsi="Garamond" w:cs="Garamond"/>
          <w:sz w:val="28"/>
          <w:szCs w:val="28"/>
        </w:rPr>
        <w:tab/>
      </w:r>
      <w:r w:rsidR="00C763DC">
        <w:rPr>
          <w:rFonts w:ascii="Garamond" w:hAnsi="Garamond" w:cs="Garamond"/>
          <w:sz w:val="28"/>
          <w:szCs w:val="28"/>
        </w:rPr>
        <w:t>Red</w:t>
      </w:r>
      <w:r>
        <w:rPr>
          <w:rFonts w:ascii="Garamond" w:hAnsi="Garamond" w:cs="Garamond"/>
          <w:sz w:val="28"/>
          <w:szCs w:val="28"/>
        </w:rPr>
        <w:t xml:space="preserve">efinisati i usvojiti kriterijume i uslove za upis na ustanove visokog obrazovanja.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Sprovesti analizu ishoda učenja i redefinisati ih ukoliko se pokaže opravdanim, kako bi u najboljoj mjeri odgovarali globalnim trendovima na tržištu rada.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Unaprijediti kvalitet u visokom obrazovanju u podučavanju, učenju i profesionalnom usavršavanju koristeći evropsku dobru praksu i savremene tehnologije. </w:t>
      </w:r>
    </w:p>
    <w:p w:rsidR="00644F2A" w:rsidRDefault="00C54E80"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Uskladiti sistem obezbjeđenja</w:t>
      </w:r>
      <w:r w:rsidR="00644F2A">
        <w:rPr>
          <w:rFonts w:ascii="Garamond" w:hAnsi="Garamond" w:cs="Garamond"/>
          <w:sz w:val="28"/>
          <w:szCs w:val="28"/>
        </w:rPr>
        <w:t xml:space="preserve"> kvaliteta visokog obrazovanja sa evropskim standardima i smjernicama.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Razvijati programe cjeloživotnog učenja, uz praćenje i kontrolu kvaliteta programa, uključujiući i obezbjeđenje uslova za priznavanja neformalnog i informalnog učenja.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Unaprijediti oblast studentskog standarda.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Afirmisati internacionalizaciju i usklađivanje sa EU preporukama i smjernicama koji su usvojeni primjenom Bolonjske deklaracije, kao i drugih deklaracija čiji je Crna Gora potpisnik.</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Uskladiti obrazovne politike s potrebama tržišta rada i time osigurati nisku stopu nezaposlenosti.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Razvijati konkurentan obrazovni kadar, ulaganjem u istraživanje i stručno usavršavanje.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Osigurati stabilno finansiranje.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Unaprijediti politiku cjeloživotnog učenja i karijernog savjetovanja.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Motivisati mlade za aktivno učešće u društvenim aktivnostima koje doprinose unapređenju kvaliteta života u lokalnoj zajednici i širem društvu.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Navedeni izazovi i preporuke biće detaljnije prikazani u narednim poglavljima.</w:t>
      </w:r>
    </w:p>
    <w:p w:rsidR="00644F2A" w:rsidRDefault="00644F2A" w:rsidP="00644F2A">
      <w:pPr>
        <w:pStyle w:val="BasicParagraph"/>
        <w:suppressAutoHyphens/>
        <w:jc w:val="both"/>
        <w:rPr>
          <w:rFonts w:ascii="Garamond" w:hAnsi="Garamond" w:cs="Garamond"/>
          <w:sz w:val="28"/>
          <w:szCs w:val="28"/>
        </w:rPr>
      </w:pPr>
    </w:p>
    <w:p w:rsidR="00C560C4" w:rsidRDefault="00C560C4" w:rsidP="00D859BA">
      <w:pPr>
        <w:pStyle w:val="BasicParagraph"/>
        <w:suppressAutoHyphens/>
        <w:spacing w:after="170"/>
        <w:rPr>
          <w:rFonts w:ascii="Garamond" w:hAnsi="Garamond" w:cs="Garamond"/>
          <w:b/>
          <w:bCs/>
          <w:sz w:val="26"/>
          <w:szCs w:val="26"/>
        </w:rPr>
      </w:pPr>
    </w:p>
    <w:p w:rsidR="005318ED" w:rsidRDefault="005318ED" w:rsidP="00D859BA">
      <w:pPr>
        <w:pStyle w:val="BasicParagraph"/>
        <w:suppressAutoHyphens/>
        <w:spacing w:after="170"/>
        <w:rPr>
          <w:rFonts w:ascii="Garamond" w:hAnsi="Garamond" w:cs="Garamond"/>
          <w:b/>
          <w:bCs/>
          <w:sz w:val="26"/>
          <w:szCs w:val="26"/>
        </w:rPr>
      </w:pPr>
    </w:p>
    <w:p w:rsidR="005318ED" w:rsidRDefault="005318ED" w:rsidP="00D859BA">
      <w:pPr>
        <w:pStyle w:val="BasicParagraph"/>
        <w:suppressAutoHyphens/>
        <w:spacing w:after="170"/>
        <w:rPr>
          <w:rFonts w:ascii="Garamond" w:hAnsi="Garamond" w:cs="Garamond"/>
          <w:b/>
          <w:bCs/>
          <w:sz w:val="26"/>
          <w:szCs w:val="26"/>
        </w:rPr>
      </w:pPr>
    </w:p>
    <w:p w:rsidR="005318ED" w:rsidRDefault="005318ED" w:rsidP="00D859BA">
      <w:pPr>
        <w:pStyle w:val="BasicParagraph"/>
        <w:suppressAutoHyphens/>
        <w:spacing w:after="170"/>
        <w:rPr>
          <w:rFonts w:ascii="Garamond" w:hAnsi="Garamond" w:cs="Garamond"/>
          <w:b/>
          <w:bCs/>
          <w:sz w:val="26"/>
          <w:szCs w:val="26"/>
        </w:rPr>
      </w:pPr>
    </w:p>
    <w:p w:rsidR="005318ED" w:rsidRDefault="005318ED" w:rsidP="00D859BA">
      <w:pPr>
        <w:pStyle w:val="BasicParagraph"/>
        <w:suppressAutoHyphens/>
        <w:spacing w:after="170"/>
        <w:rPr>
          <w:rFonts w:ascii="Garamond" w:hAnsi="Garamond" w:cs="Garamond"/>
          <w:b/>
          <w:bCs/>
          <w:sz w:val="26"/>
          <w:szCs w:val="26"/>
        </w:rPr>
      </w:pPr>
    </w:p>
    <w:p w:rsidR="005318ED" w:rsidRDefault="005318ED" w:rsidP="00D859BA">
      <w:pPr>
        <w:pStyle w:val="BasicParagraph"/>
        <w:suppressAutoHyphens/>
        <w:spacing w:after="170"/>
        <w:rPr>
          <w:rFonts w:ascii="Garamond" w:hAnsi="Garamond" w:cs="Garamond"/>
          <w:b/>
          <w:bCs/>
          <w:sz w:val="26"/>
          <w:szCs w:val="26"/>
        </w:rPr>
      </w:pPr>
    </w:p>
    <w:p w:rsidR="00C560C4" w:rsidRDefault="00C560C4" w:rsidP="00644F2A">
      <w:pPr>
        <w:pStyle w:val="BasicParagraph"/>
        <w:suppressAutoHyphens/>
        <w:spacing w:after="170"/>
        <w:jc w:val="center"/>
        <w:rPr>
          <w:rFonts w:ascii="Garamond" w:hAnsi="Garamond" w:cs="Garamond"/>
          <w:b/>
          <w:bCs/>
          <w:sz w:val="26"/>
          <w:szCs w:val="26"/>
        </w:rPr>
      </w:pPr>
    </w:p>
    <w:p w:rsidR="00644F2A" w:rsidRDefault="00644F2A" w:rsidP="00644F2A">
      <w:pPr>
        <w:pStyle w:val="BasicParagraph"/>
        <w:suppressAutoHyphens/>
        <w:spacing w:after="170"/>
        <w:jc w:val="center"/>
        <w:rPr>
          <w:rFonts w:ascii="Garamond" w:hAnsi="Garamond" w:cs="Garamond"/>
          <w:b/>
          <w:bCs/>
          <w:sz w:val="26"/>
          <w:szCs w:val="26"/>
        </w:rPr>
      </w:pPr>
      <w:r>
        <w:rPr>
          <w:rFonts w:ascii="Garamond" w:hAnsi="Garamond" w:cs="Garamond"/>
          <w:b/>
          <w:bCs/>
          <w:sz w:val="26"/>
          <w:szCs w:val="26"/>
        </w:rPr>
        <w:t>SWOT analiza</w:t>
      </w:r>
    </w:p>
    <w:tbl>
      <w:tblPr>
        <w:tblW w:w="0" w:type="auto"/>
        <w:tblInd w:w="-20" w:type="dxa"/>
        <w:tblLayout w:type="fixed"/>
        <w:tblCellMar>
          <w:left w:w="0" w:type="dxa"/>
          <w:right w:w="0" w:type="dxa"/>
        </w:tblCellMar>
        <w:tblLook w:val="0000" w:firstRow="0" w:lastRow="0" w:firstColumn="0" w:lastColumn="0" w:noHBand="0" w:noVBand="0"/>
      </w:tblPr>
      <w:tblGrid>
        <w:gridCol w:w="2438"/>
        <w:gridCol w:w="2438"/>
        <w:gridCol w:w="2437"/>
        <w:gridCol w:w="2438"/>
      </w:tblGrid>
      <w:tr w:rsidR="00644F2A">
        <w:trPr>
          <w:trHeight w:val="60"/>
        </w:trPr>
        <w:tc>
          <w:tcPr>
            <w:tcW w:w="24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Snage</w:t>
            </w:r>
          </w:p>
        </w:tc>
        <w:tc>
          <w:tcPr>
            <w:tcW w:w="24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Slabosti</w:t>
            </w:r>
          </w:p>
        </w:tc>
        <w:tc>
          <w:tcPr>
            <w:tcW w:w="243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Mogućnosti</w:t>
            </w:r>
          </w:p>
        </w:tc>
        <w:tc>
          <w:tcPr>
            <w:tcW w:w="24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Prijetnje</w:t>
            </w:r>
          </w:p>
        </w:tc>
      </w:tr>
      <w:tr w:rsidR="00644F2A">
        <w:trPr>
          <w:trHeight w:val="1412"/>
        </w:trPr>
        <w:tc>
          <w:tcPr>
            <w:tcW w:w="2438"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lastRenderedPageBreak/>
              <w:t>Usklađenost sa evropskim dokumentima i politikama</w:t>
            </w:r>
          </w:p>
        </w:tc>
        <w:tc>
          <w:tcPr>
            <w:tcW w:w="2438"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Praktična nastava i dualno obrazovanje</w:t>
            </w:r>
          </w:p>
        </w:tc>
        <w:tc>
          <w:tcPr>
            <w:tcW w:w="243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Pristup međunarodnim fondovima</w:t>
            </w:r>
          </w:p>
        </w:tc>
        <w:tc>
          <w:tcPr>
            <w:tcW w:w="2438"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Veće ulaganje u visoko obrazovanje i istraživanje</w:t>
            </w:r>
          </w:p>
        </w:tc>
      </w:tr>
      <w:tr w:rsidR="00644F2A">
        <w:trPr>
          <w:trHeight w:val="2087"/>
        </w:trPr>
        <w:tc>
          <w:tcPr>
            <w:tcW w:w="24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Međunarodna prepoznatljivost kvalifikacija, nivoa obrazovanja i referentnih nivoa okvira kvalifikacija</w:t>
            </w:r>
          </w:p>
        </w:tc>
        <w:tc>
          <w:tcPr>
            <w:tcW w:w="24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Usklađenost ishoda učenja sa zahtjevima tržišta rada</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Zakonski i institucionalni okvir</w:t>
            </w:r>
          </w:p>
        </w:tc>
        <w:tc>
          <w:tcPr>
            <w:tcW w:w="243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Ravnoteža između centralizovanog i decentralizovanog upravljanja ustanovama visokog obrazovanja</w:t>
            </w:r>
          </w:p>
        </w:tc>
      </w:tr>
      <w:tr w:rsidR="00644F2A" w:rsidRPr="005D5EC6">
        <w:trPr>
          <w:trHeight w:val="1473"/>
        </w:trPr>
        <w:tc>
          <w:tcPr>
            <w:tcW w:w="24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Veliki broj studijskih programa</w:t>
            </w:r>
          </w:p>
        </w:tc>
        <w:tc>
          <w:tcPr>
            <w:tcW w:w="24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Nedovoljan budžet za internacionalizaciju</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jc w:val="center"/>
              <w:rPr>
                <w:lang w:val="fr-FR"/>
              </w:rPr>
            </w:pPr>
            <w:r w:rsidRPr="005D5EC6">
              <w:rPr>
                <w:rFonts w:ascii="Garamond" w:hAnsi="Garamond" w:cs="Garamond"/>
                <w:sz w:val="26"/>
                <w:szCs w:val="26"/>
                <w:lang w:val="fr-FR"/>
              </w:rPr>
              <w:t>Primjena evropskih standarda za obezbjeđenje kvaliteta</w:t>
            </w:r>
          </w:p>
        </w:tc>
        <w:tc>
          <w:tcPr>
            <w:tcW w:w="243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Pr="005D5EC6" w:rsidRDefault="00644F2A">
            <w:pPr>
              <w:pStyle w:val="BasicParagraph"/>
              <w:suppressAutoHyphens/>
              <w:jc w:val="center"/>
              <w:rPr>
                <w:lang w:val="fr-FR"/>
              </w:rPr>
            </w:pPr>
            <w:r w:rsidRPr="005D5EC6">
              <w:rPr>
                <w:rFonts w:ascii="Garamond" w:hAnsi="Garamond" w:cs="Garamond"/>
                <w:sz w:val="26"/>
                <w:szCs w:val="26"/>
                <w:lang w:val="fr-FR"/>
              </w:rPr>
              <w:t>Vanredne društvene i zdravstvene okolnosti, koje traže novi koncept učenja</w:t>
            </w:r>
          </w:p>
        </w:tc>
      </w:tr>
      <w:tr w:rsidR="00644F2A">
        <w:trPr>
          <w:trHeight w:val="1757"/>
        </w:trPr>
        <w:tc>
          <w:tcPr>
            <w:tcW w:w="24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Kadrovski kapaciteti</w:t>
            </w:r>
          </w:p>
        </w:tc>
        <w:tc>
          <w:tcPr>
            <w:tcW w:w="24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Zajednički studijski program</w:t>
            </w:r>
            <w:r w:rsidR="004844B3">
              <w:rPr>
                <w:rFonts w:ascii="Garamond" w:hAnsi="Garamond" w:cs="Garamond"/>
                <w:sz w:val="26"/>
                <w:szCs w:val="26"/>
              </w:rPr>
              <w:t>i</w:t>
            </w:r>
            <w:r>
              <w:rPr>
                <w:rFonts w:ascii="Garamond" w:hAnsi="Garamond" w:cs="Garamond"/>
                <w:sz w:val="26"/>
                <w:szCs w:val="26"/>
              </w:rPr>
              <w:t xml:space="preserve"> koji vode do </w:t>
            </w:r>
            <w:r>
              <w:rPr>
                <w:rFonts w:ascii="Garamond" w:hAnsi="Garamond" w:cs="Garamond"/>
                <w:i/>
                <w:iCs/>
                <w:sz w:val="26"/>
                <w:szCs w:val="26"/>
              </w:rPr>
              <w:t>dvojne ili zajedničke diplome</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Servisi za studente razvijanjem karijernog centra</w:t>
            </w:r>
          </w:p>
        </w:tc>
        <w:tc>
          <w:tcPr>
            <w:tcW w:w="243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Neizvjesnost u pogledu brzog i adekvatnog zaposlenja visokoškolaca</w:t>
            </w:r>
          </w:p>
        </w:tc>
      </w:tr>
      <w:tr w:rsidR="00644F2A">
        <w:trPr>
          <w:trHeight w:val="2532"/>
        </w:trPr>
        <w:tc>
          <w:tcPr>
            <w:tcW w:w="24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Besplatna školarina</w:t>
            </w:r>
          </w:p>
        </w:tc>
        <w:tc>
          <w:tcPr>
            <w:tcW w:w="24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Studijski programi na engleskom jeziku</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Bilateralni, multilateralni i univerzitetski program saradnje</w:t>
            </w:r>
          </w:p>
        </w:tc>
        <w:tc>
          <w:tcPr>
            <w:tcW w:w="243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Nedostatak privrednih djelatnosti i zanimanja koja odgovaraju novim obrazovnim programima</w:t>
            </w:r>
          </w:p>
        </w:tc>
      </w:tr>
      <w:tr w:rsidR="00644F2A">
        <w:trPr>
          <w:trHeight w:val="2107"/>
        </w:trPr>
        <w:tc>
          <w:tcPr>
            <w:tcW w:w="24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Nadležna tijela za kontrolu i obezbjeđenje kvaliteta</w:t>
            </w:r>
          </w:p>
        </w:tc>
        <w:tc>
          <w:tcPr>
            <w:tcW w:w="24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Istraživački doprinos</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Povećana konkurentnost zbog većeg broja univerziteta</w:t>
            </w:r>
          </w:p>
        </w:tc>
        <w:tc>
          <w:tcPr>
            <w:tcW w:w="243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Odražavanje na kontinuitet i dužinu studiranja neselektivnog pristupa visokom obrazovanju</w:t>
            </w:r>
          </w:p>
        </w:tc>
      </w:tr>
      <w:tr w:rsidR="00644F2A" w:rsidRPr="005D5EC6">
        <w:trPr>
          <w:trHeight w:val="2154"/>
        </w:trPr>
        <w:tc>
          <w:tcPr>
            <w:tcW w:w="24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lastRenderedPageBreak/>
              <w:t>Fleksibilna primjena preporuka, standarda i smjernica u skladu sa nacionalnom politikom</w:t>
            </w:r>
          </w:p>
        </w:tc>
        <w:tc>
          <w:tcPr>
            <w:tcW w:w="24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Upisna politika</w:t>
            </w:r>
          </w:p>
        </w:tc>
        <w:tc>
          <w:tcPr>
            <w:tcW w:w="24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Prihvatanje novih informcionih i komunikacionih tehnologija</w:t>
            </w:r>
          </w:p>
        </w:tc>
        <w:tc>
          <w:tcPr>
            <w:tcW w:w="243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Pr="005D5EC6" w:rsidRDefault="005318ED" w:rsidP="004844B3">
            <w:pPr>
              <w:pStyle w:val="BasicParagraph"/>
              <w:suppressAutoHyphens/>
              <w:rPr>
                <w:lang w:val="fr-FR"/>
              </w:rPr>
            </w:pPr>
            <w:r>
              <w:rPr>
                <w:rFonts w:ascii="Garamond" w:hAnsi="Garamond" w:cs="Garamond"/>
                <w:sz w:val="26"/>
                <w:szCs w:val="26"/>
                <w:lang w:val="fr-FR"/>
              </w:rPr>
              <w:t>Oč</w:t>
            </w:r>
            <w:r w:rsidR="000260FA" w:rsidRPr="005D5EC6">
              <w:rPr>
                <w:rFonts w:ascii="Garamond" w:hAnsi="Garamond" w:cs="Garamond"/>
                <w:sz w:val="26"/>
                <w:szCs w:val="26"/>
                <w:lang w:val="fr-FR"/>
              </w:rPr>
              <w:t>uvanje kvaliteta obrazovanja u toku i nakon pandemije</w:t>
            </w:r>
          </w:p>
        </w:tc>
      </w:tr>
      <w:tr w:rsidR="00644F2A">
        <w:trPr>
          <w:trHeight w:val="2153"/>
        </w:trPr>
        <w:tc>
          <w:tcPr>
            <w:tcW w:w="2438"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Sistem integrisanog upravljanja</w:t>
            </w:r>
          </w:p>
        </w:tc>
        <w:tc>
          <w:tcPr>
            <w:tcW w:w="243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Nedostatak opreme za napredna istraživanja</w:t>
            </w:r>
          </w:p>
        </w:tc>
        <w:tc>
          <w:tcPr>
            <w:tcW w:w="243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Primjeri pozitivne prakse u zemljama EU kao model za praćenje i prilagođavanje sopstvenim uslovima</w:t>
            </w:r>
          </w:p>
        </w:tc>
        <w:tc>
          <w:tcPr>
            <w:tcW w:w="2438"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5318ED">
            <w:pPr>
              <w:pStyle w:val="BasicParagraph"/>
              <w:suppressAutoHyphens/>
              <w:jc w:val="center"/>
            </w:pPr>
            <w:r>
              <w:rPr>
                <w:rFonts w:ascii="Garamond" w:hAnsi="Garamond" w:cs="Garamond"/>
                <w:sz w:val="26"/>
                <w:szCs w:val="26"/>
              </w:rPr>
              <w:t>Usklađ</w:t>
            </w:r>
            <w:r w:rsidR="000260FA">
              <w:rPr>
                <w:rFonts w:ascii="Garamond" w:hAnsi="Garamond" w:cs="Garamond"/>
                <w:sz w:val="26"/>
                <w:szCs w:val="26"/>
              </w:rPr>
              <w:t>ivanje sa b</w:t>
            </w:r>
            <w:r w:rsidR="00644F2A">
              <w:rPr>
                <w:rFonts w:ascii="Garamond" w:hAnsi="Garamond" w:cs="Garamond"/>
                <w:sz w:val="26"/>
                <w:szCs w:val="26"/>
              </w:rPr>
              <w:t>rzi</w:t>
            </w:r>
            <w:r w:rsidR="000260FA">
              <w:rPr>
                <w:rFonts w:ascii="Garamond" w:hAnsi="Garamond" w:cs="Garamond"/>
                <w:sz w:val="26"/>
                <w:szCs w:val="26"/>
              </w:rPr>
              <w:t>m</w:t>
            </w:r>
            <w:r w:rsidR="00644F2A">
              <w:rPr>
                <w:rFonts w:ascii="Garamond" w:hAnsi="Garamond" w:cs="Garamond"/>
                <w:sz w:val="26"/>
                <w:szCs w:val="26"/>
              </w:rPr>
              <w:t xml:space="preserve"> naučni</w:t>
            </w:r>
            <w:r w:rsidR="000260FA">
              <w:rPr>
                <w:rFonts w:ascii="Garamond" w:hAnsi="Garamond" w:cs="Garamond"/>
                <w:sz w:val="26"/>
                <w:szCs w:val="26"/>
              </w:rPr>
              <w:t>m</w:t>
            </w:r>
            <w:r w:rsidR="00644F2A">
              <w:rPr>
                <w:rFonts w:ascii="Garamond" w:hAnsi="Garamond" w:cs="Garamond"/>
                <w:sz w:val="26"/>
                <w:szCs w:val="26"/>
              </w:rPr>
              <w:t xml:space="preserve"> i tehnološki</w:t>
            </w:r>
            <w:r w:rsidR="000260FA">
              <w:rPr>
                <w:rFonts w:ascii="Garamond" w:hAnsi="Garamond" w:cs="Garamond"/>
                <w:sz w:val="26"/>
                <w:szCs w:val="26"/>
              </w:rPr>
              <w:t>m</w:t>
            </w:r>
            <w:r w:rsidR="00644F2A">
              <w:rPr>
                <w:rFonts w:ascii="Garamond" w:hAnsi="Garamond" w:cs="Garamond"/>
                <w:sz w:val="26"/>
                <w:szCs w:val="26"/>
              </w:rPr>
              <w:t xml:space="preserve"> razvoj</w:t>
            </w:r>
            <w:r w:rsidR="000260FA">
              <w:rPr>
                <w:rFonts w:ascii="Garamond" w:hAnsi="Garamond" w:cs="Garamond"/>
                <w:sz w:val="26"/>
                <w:szCs w:val="26"/>
              </w:rPr>
              <w:t>em</w:t>
            </w:r>
          </w:p>
        </w:tc>
      </w:tr>
    </w:tbl>
    <w:p w:rsidR="00644F2A" w:rsidRDefault="00644F2A" w:rsidP="00644F2A">
      <w:pPr>
        <w:pStyle w:val="BasicParagraph"/>
        <w:suppressAutoHyphens/>
        <w:rPr>
          <w:rFonts w:ascii="Garamond" w:hAnsi="Garamond" w:cs="Garamond"/>
          <w:sz w:val="28"/>
          <w:szCs w:val="28"/>
        </w:rPr>
      </w:pPr>
    </w:p>
    <w:p w:rsidR="00644F2A" w:rsidRDefault="00644F2A" w:rsidP="00644F2A">
      <w:pPr>
        <w:pStyle w:val="BasicParagraph"/>
        <w:suppressAutoHyphens/>
        <w:rPr>
          <w:rFonts w:ascii="Garamond" w:hAnsi="Garamond" w:cs="Garamond"/>
          <w:sz w:val="28"/>
          <w:szCs w:val="28"/>
        </w:rPr>
      </w:pPr>
    </w:p>
    <w:p w:rsidR="00644F2A" w:rsidRDefault="00644F2A" w:rsidP="00644F2A">
      <w:pPr>
        <w:pStyle w:val="BasicParagraph"/>
        <w:suppressAutoHyphens/>
        <w:rPr>
          <w:rFonts w:ascii="Garamond" w:hAnsi="Garamond" w:cs="Garamond"/>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Pr="005D5EC6" w:rsidRDefault="00644F2A" w:rsidP="00644F2A">
      <w:pPr>
        <w:pStyle w:val="BasicParagraph"/>
        <w:suppressAutoHyphens/>
        <w:ind w:firstLine="567"/>
        <w:jc w:val="both"/>
        <w:rPr>
          <w:rFonts w:ascii="Garamond" w:hAnsi="Garamond" w:cs="Garamond"/>
          <w:b/>
          <w:bCs/>
          <w:sz w:val="28"/>
          <w:szCs w:val="28"/>
          <w:lang w:val="fr-FR"/>
        </w:rPr>
      </w:pPr>
      <w:r w:rsidRPr="005D5EC6">
        <w:rPr>
          <w:rFonts w:ascii="Garamond" w:hAnsi="Garamond" w:cs="Garamond"/>
          <w:b/>
          <w:bCs/>
          <w:sz w:val="28"/>
          <w:szCs w:val="28"/>
          <w:lang w:val="fr-FR"/>
        </w:rPr>
        <w:t xml:space="preserve">2.3 Analiza stanja - detaljni uvid. Usklađenosti sa EU politikama. Izazovi.  </w:t>
      </w: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Strateško planiranje razvoja Evropske unije započeto je donošenjem Lisabonske strategije 2000. godine, sa ciljem da EU u narednoj dekadi postane najkonkurentnija i najdinamičnija privreda svijeta, zasnovana na znanju, sposobna da ostvari održivi ekonomski rast sa kvalitetnijim i brojnijim radnim mjestima i jačom socijalnom kohezijom. Jedan od ključnih ciljeva Strategije - razvoj i unapređenje znanja - podrazumijevalo je veća ulaganja u obrazovanje, stručno usavršavanje, naučna i tehnološka istraživanja i inovacije.</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Ograničeni rezultati sprovođenja Lisabonske strategije ubrzo su uslovili da se široko postavljeni ciljevi redefinišu. Nakon ekonomske krize pripremljen je novi strateški okvir razvoja, a 2010. godine usvojen je do</w:t>
      </w:r>
      <w:r w:rsidR="00A01FE7" w:rsidRPr="005D5EC6">
        <w:rPr>
          <w:rFonts w:ascii="Garamond" w:hAnsi="Garamond" w:cs="Garamond"/>
          <w:sz w:val="28"/>
          <w:szCs w:val="28"/>
          <w:lang w:val="fr-FR"/>
        </w:rPr>
        <w:t>k</w:t>
      </w:r>
      <w:r w:rsidRPr="005D5EC6">
        <w:rPr>
          <w:rFonts w:ascii="Garamond" w:hAnsi="Garamond" w:cs="Garamond"/>
          <w:sz w:val="28"/>
          <w:szCs w:val="28"/>
          <w:lang w:val="fr-FR"/>
        </w:rPr>
        <w:t xml:space="preserve">ument „Evropa 2020: strategija za pametni, održivi i inkluzivni rast”, kao sveobuhvatni prikaz novog programa razvoja. Tri navedene prioritetne oblasti razvoja povezane su sa pet glavnih ciljeva, sedam vodećih inicijativa i deset integrisanih smjernica. Inoviran je sistem ekonomskog upravljanja, usvojeni su stabilni instrumenti praćenja ostvarivanja strateških ciljeva i jasno su podijeljene nadležnosti.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Od usvojenih ciljeva strategije Evropa 2020 dva cilja se neposredno odnose na visoko obrazovanje: povećanje procenta BDP koji se izdvaja za istraživanje i razvoj (IR) sa 1,9</w:t>
      </w:r>
      <w:r w:rsidR="00A01FE7" w:rsidRPr="005D5EC6">
        <w:rPr>
          <w:rFonts w:ascii="Garamond" w:hAnsi="Garamond" w:cs="Garamond"/>
          <w:sz w:val="28"/>
          <w:szCs w:val="28"/>
          <w:lang w:val="fr-FR"/>
        </w:rPr>
        <w:t>%</w:t>
      </w:r>
      <w:r w:rsidRPr="005D5EC6">
        <w:rPr>
          <w:rFonts w:ascii="Garamond" w:hAnsi="Garamond" w:cs="Garamond"/>
          <w:sz w:val="28"/>
          <w:szCs w:val="28"/>
          <w:lang w:val="fr-FR"/>
        </w:rPr>
        <w:t xml:space="preserve"> na 3% i povećanje procenta stanovništva starosti od 30 do 34 godine s diplomom visokog obrazovanja sa 31% na 40%. </w:t>
      </w:r>
    </w:p>
    <w:p w:rsidR="00644F2A" w:rsidRPr="005D5EC6" w:rsidRDefault="00644F2A" w:rsidP="00644F2A">
      <w:pPr>
        <w:pStyle w:val="BasicParagraph"/>
        <w:suppressAutoHyphens/>
        <w:rPr>
          <w:rFonts w:ascii="Garamond" w:hAnsi="Garamond" w:cs="Garamond"/>
          <w:sz w:val="28"/>
          <w:szCs w:val="28"/>
          <w:lang w:val="fr-FR"/>
        </w:rPr>
      </w:pPr>
    </w:p>
    <w:p w:rsidR="00644F2A" w:rsidRPr="005D5EC6" w:rsidRDefault="00644F2A" w:rsidP="00AA015D">
      <w:pPr>
        <w:pStyle w:val="BasicParagraph"/>
        <w:suppressAutoHyphens/>
        <w:rPr>
          <w:rFonts w:ascii="Garamond" w:hAnsi="Garamond" w:cs="Garamond"/>
          <w:b/>
          <w:bCs/>
          <w:sz w:val="26"/>
          <w:szCs w:val="26"/>
          <w:lang w:val="fr-FR"/>
        </w:rPr>
      </w:pPr>
    </w:p>
    <w:p w:rsidR="00644F2A" w:rsidRPr="005D5EC6" w:rsidRDefault="00644F2A" w:rsidP="00644F2A">
      <w:pPr>
        <w:pStyle w:val="BasicParagraph"/>
        <w:suppressAutoHyphens/>
        <w:jc w:val="center"/>
        <w:rPr>
          <w:rFonts w:ascii="Garamond" w:hAnsi="Garamond" w:cs="Garamond"/>
          <w:b/>
          <w:bCs/>
          <w:sz w:val="26"/>
          <w:szCs w:val="26"/>
          <w:lang w:val="fr-FR"/>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color w:val="FF00FF"/>
          <w:sz w:val="26"/>
          <w:szCs w:val="26"/>
        </w:rPr>
        <w:t>Tabela 1.</w:t>
      </w:r>
      <w:r>
        <w:rPr>
          <w:rFonts w:ascii="Garamond" w:hAnsi="Garamond" w:cs="Garamond"/>
          <w:b/>
          <w:bCs/>
          <w:sz w:val="26"/>
          <w:szCs w:val="26"/>
        </w:rPr>
        <w:t xml:space="preserve"> Postavljeni ciljevi EU 2020</w:t>
      </w:r>
    </w:p>
    <w:tbl>
      <w:tblPr>
        <w:tblW w:w="0" w:type="auto"/>
        <w:tblInd w:w="-20" w:type="dxa"/>
        <w:tblLayout w:type="fixed"/>
        <w:tblCellMar>
          <w:left w:w="0" w:type="dxa"/>
          <w:right w:w="0" w:type="dxa"/>
        </w:tblCellMar>
        <w:tblLook w:val="0000" w:firstRow="0" w:lastRow="0" w:firstColumn="0" w:lastColumn="0" w:noHBand="0" w:noVBand="0"/>
      </w:tblPr>
      <w:tblGrid>
        <w:gridCol w:w="1652"/>
        <w:gridCol w:w="709"/>
        <w:gridCol w:w="879"/>
        <w:gridCol w:w="907"/>
        <w:gridCol w:w="652"/>
        <w:gridCol w:w="1332"/>
        <w:gridCol w:w="907"/>
        <w:gridCol w:w="1162"/>
        <w:gridCol w:w="1436"/>
      </w:tblGrid>
      <w:tr w:rsidR="00644F2A">
        <w:trPr>
          <w:trHeight w:val="3106"/>
        </w:trPr>
        <w:tc>
          <w:tcPr>
            <w:tcW w:w="165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rPr>
                <w:rFonts w:ascii="Garamond" w:hAnsi="Garamond" w:cs="Garamond"/>
                <w:b/>
                <w:bCs/>
                <w:sz w:val="26"/>
                <w:szCs w:val="26"/>
              </w:rPr>
            </w:pPr>
            <w:r>
              <w:rPr>
                <w:rFonts w:ascii="Garamond" w:hAnsi="Garamond" w:cs="Garamond"/>
                <w:b/>
                <w:bCs/>
                <w:sz w:val="26"/>
                <w:szCs w:val="26"/>
              </w:rPr>
              <w:t>EU ciljevi zemalja</w:t>
            </w:r>
          </w:p>
          <w:p w:rsidR="00644F2A" w:rsidRDefault="00644F2A">
            <w:pPr>
              <w:pStyle w:val="BasicParagraph"/>
              <w:suppressAutoHyphens/>
              <w:jc w:val="center"/>
            </w:pPr>
            <w:r>
              <w:rPr>
                <w:rFonts w:ascii="Garamond" w:hAnsi="Garamond" w:cs="Garamond"/>
                <w:b/>
                <w:bCs/>
                <w:sz w:val="26"/>
                <w:szCs w:val="26"/>
              </w:rPr>
              <w:t>Članica</w:t>
            </w:r>
          </w:p>
        </w:tc>
        <w:tc>
          <w:tcPr>
            <w:tcW w:w="7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pPr>
            <w:r>
              <w:rPr>
                <w:rFonts w:ascii="Garamond" w:hAnsi="Garamond" w:cs="Garamond"/>
                <w:b/>
                <w:bCs/>
                <w:sz w:val="26"/>
                <w:szCs w:val="26"/>
              </w:rPr>
              <w:t>Stopa zaposlenosti, %</w:t>
            </w:r>
          </w:p>
        </w:tc>
        <w:tc>
          <w:tcPr>
            <w:tcW w:w="87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pPr>
            <w:r>
              <w:rPr>
                <w:rFonts w:ascii="Garamond" w:hAnsi="Garamond" w:cs="Garamond"/>
                <w:b/>
                <w:bCs/>
                <w:sz w:val="26"/>
                <w:szCs w:val="26"/>
              </w:rPr>
              <w:t>Istraživanje i razvoj (IR), % BDB-a</w:t>
            </w:r>
          </w:p>
        </w:tc>
        <w:tc>
          <w:tcPr>
            <w:tcW w:w="90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pPr>
            <w:r>
              <w:rPr>
                <w:rFonts w:ascii="Garamond" w:hAnsi="Garamond" w:cs="Garamond"/>
                <w:b/>
                <w:bCs/>
                <w:sz w:val="26"/>
                <w:szCs w:val="26"/>
              </w:rPr>
              <w:t>Smanjnje emisije CO2, % u odnosu na 1999.</w:t>
            </w:r>
          </w:p>
        </w:tc>
        <w:tc>
          <w:tcPr>
            <w:tcW w:w="65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pPr>
            <w:r>
              <w:rPr>
                <w:rFonts w:ascii="Garamond" w:hAnsi="Garamond" w:cs="Garamond"/>
                <w:b/>
                <w:bCs/>
                <w:sz w:val="26"/>
                <w:szCs w:val="26"/>
              </w:rPr>
              <w:t>Obnovljiva energija,%</w:t>
            </w:r>
          </w:p>
        </w:tc>
        <w:tc>
          <w:tcPr>
            <w:tcW w:w="133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rPr>
                <w:rFonts w:ascii="Garamond" w:hAnsi="Garamond" w:cs="Garamond"/>
                <w:b/>
                <w:bCs/>
                <w:sz w:val="26"/>
                <w:szCs w:val="26"/>
              </w:rPr>
            </w:pPr>
            <w:r>
              <w:rPr>
                <w:rFonts w:ascii="Garamond" w:hAnsi="Garamond" w:cs="Garamond"/>
                <w:b/>
                <w:bCs/>
                <w:sz w:val="26"/>
                <w:szCs w:val="26"/>
              </w:rPr>
              <w:t>Energetska efikasnost</w:t>
            </w:r>
          </w:p>
          <w:p w:rsidR="00644F2A" w:rsidRDefault="00644F2A">
            <w:pPr>
              <w:pStyle w:val="BasicParagraph"/>
              <w:suppressAutoHyphens/>
              <w:jc w:val="center"/>
            </w:pPr>
            <w:r>
              <w:rPr>
                <w:rFonts w:ascii="Garamond" w:hAnsi="Garamond" w:cs="Garamond"/>
                <w:b/>
                <w:bCs/>
                <w:sz w:val="26"/>
                <w:szCs w:val="26"/>
              </w:rPr>
              <w:t>-smanjenje upotrebe energije, %</w:t>
            </w:r>
          </w:p>
        </w:tc>
        <w:tc>
          <w:tcPr>
            <w:tcW w:w="90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pPr>
            <w:r>
              <w:rPr>
                <w:rFonts w:ascii="Garamond" w:hAnsi="Garamond" w:cs="Garamond"/>
                <w:b/>
                <w:bCs/>
                <w:sz w:val="26"/>
                <w:szCs w:val="26"/>
              </w:rPr>
              <w:t>Prerano napuštanje škole, %</w:t>
            </w:r>
          </w:p>
        </w:tc>
        <w:tc>
          <w:tcPr>
            <w:tcW w:w="116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pPr>
            <w:r>
              <w:rPr>
                <w:rFonts w:ascii="Garamond" w:hAnsi="Garamond" w:cs="Garamond"/>
                <w:b/>
                <w:bCs/>
                <w:sz w:val="26"/>
                <w:szCs w:val="26"/>
              </w:rPr>
              <w:t>Stanovništvo sa visokim obrazovanjem u dobi od 30 do 34 godine, %</w:t>
            </w:r>
          </w:p>
        </w:tc>
        <w:tc>
          <w:tcPr>
            <w:tcW w:w="143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textDirection w:val="btLr"/>
            <w:vAlign w:val="center"/>
          </w:tcPr>
          <w:p w:rsidR="00644F2A" w:rsidRDefault="00644F2A">
            <w:pPr>
              <w:pStyle w:val="BasicParagraph"/>
              <w:suppressAutoHyphens/>
              <w:jc w:val="center"/>
              <w:rPr>
                <w:rFonts w:ascii="Garamond" w:hAnsi="Garamond" w:cs="Garamond"/>
                <w:b/>
                <w:bCs/>
                <w:sz w:val="26"/>
                <w:szCs w:val="26"/>
              </w:rPr>
            </w:pPr>
            <w:r>
              <w:rPr>
                <w:rFonts w:ascii="Garamond" w:hAnsi="Garamond" w:cs="Garamond"/>
                <w:b/>
                <w:bCs/>
                <w:sz w:val="26"/>
                <w:szCs w:val="26"/>
              </w:rPr>
              <w:t xml:space="preserve">Smanjnje stanovništva u rizuku od siromaštva </w:t>
            </w:r>
          </w:p>
          <w:p w:rsidR="00644F2A" w:rsidRDefault="00644F2A">
            <w:pPr>
              <w:pStyle w:val="BasicParagraph"/>
              <w:suppressAutoHyphens/>
              <w:jc w:val="center"/>
              <w:rPr>
                <w:rFonts w:ascii="Garamond" w:hAnsi="Garamond" w:cs="Garamond"/>
                <w:b/>
                <w:bCs/>
                <w:sz w:val="26"/>
                <w:szCs w:val="26"/>
              </w:rPr>
            </w:pPr>
            <w:r>
              <w:rPr>
                <w:rFonts w:ascii="Garamond" w:hAnsi="Garamond" w:cs="Garamond"/>
                <w:b/>
                <w:bCs/>
                <w:sz w:val="26"/>
                <w:szCs w:val="26"/>
              </w:rPr>
              <w:t>(ili društvene isključenosti)</w:t>
            </w:r>
          </w:p>
          <w:p w:rsidR="00644F2A" w:rsidRDefault="00644F2A">
            <w:pPr>
              <w:pStyle w:val="BasicParagraph"/>
              <w:suppressAutoHyphens/>
              <w:jc w:val="center"/>
            </w:pPr>
          </w:p>
        </w:tc>
      </w:tr>
      <w:tr w:rsidR="00644F2A">
        <w:trPr>
          <w:trHeight w:val="60"/>
        </w:trPr>
        <w:tc>
          <w:tcPr>
            <w:tcW w:w="165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Pr="005D5EC6" w:rsidRDefault="00644F2A">
            <w:pPr>
              <w:pStyle w:val="BasicParagraph"/>
              <w:suppressAutoHyphens/>
              <w:jc w:val="center"/>
              <w:rPr>
                <w:lang w:val="fr-FR"/>
              </w:rPr>
            </w:pPr>
            <w:r w:rsidRPr="005D5EC6">
              <w:rPr>
                <w:rFonts w:ascii="Garamond" w:hAnsi="Garamond" w:cs="Garamond"/>
                <w:b/>
                <w:bCs/>
                <w:sz w:val="26"/>
                <w:szCs w:val="26"/>
                <w:lang w:val="fr-FR"/>
              </w:rPr>
              <w:t>Osnovni cilj na nivou EU</w:t>
            </w:r>
          </w:p>
        </w:tc>
        <w:tc>
          <w:tcPr>
            <w:tcW w:w="709" w:type="dxa"/>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75</w:t>
            </w:r>
          </w:p>
        </w:tc>
        <w:tc>
          <w:tcPr>
            <w:tcW w:w="879"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3</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20</w:t>
            </w:r>
          </w:p>
        </w:tc>
        <w:tc>
          <w:tcPr>
            <w:tcW w:w="652"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20</w:t>
            </w:r>
          </w:p>
        </w:tc>
        <w:tc>
          <w:tcPr>
            <w:tcW w:w="1332"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sz w:val="26"/>
                <w:szCs w:val="26"/>
              </w:rPr>
            </w:pPr>
            <w:r>
              <w:rPr>
                <w:rFonts w:ascii="Garamond" w:hAnsi="Garamond" w:cs="Garamond"/>
                <w:sz w:val="26"/>
                <w:szCs w:val="26"/>
              </w:rPr>
              <w:t>20</w:t>
            </w:r>
          </w:p>
          <w:p w:rsidR="00644F2A" w:rsidRDefault="00644F2A">
            <w:pPr>
              <w:pStyle w:val="BasicParagraph"/>
              <w:suppressAutoHyphens/>
              <w:jc w:val="center"/>
              <w:rPr>
                <w:rFonts w:ascii="Garamond" w:hAnsi="Garamond" w:cs="Garamond"/>
                <w:sz w:val="26"/>
                <w:szCs w:val="26"/>
              </w:rPr>
            </w:pPr>
            <w:r>
              <w:rPr>
                <w:rFonts w:ascii="Garamond" w:hAnsi="Garamond" w:cs="Garamond"/>
                <w:sz w:val="26"/>
                <w:szCs w:val="26"/>
              </w:rPr>
              <w:t xml:space="preserve">povećanje energetske efikasnosti  </w:t>
            </w:r>
          </w:p>
          <w:p w:rsidR="00644F2A" w:rsidRDefault="00644F2A">
            <w:pPr>
              <w:pStyle w:val="BasicParagraph"/>
              <w:suppressAutoHyphens/>
              <w:jc w:val="center"/>
            </w:pPr>
            <w:r>
              <w:rPr>
                <w:rFonts w:ascii="Garamond" w:hAnsi="Garamond" w:cs="Garamond"/>
                <w:sz w:val="26"/>
                <w:szCs w:val="26"/>
              </w:rPr>
              <w:t>(368 Mtoe)</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10</w:t>
            </w:r>
          </w:p>
        </w:tc>
        <w:tc>
          <w:tcPr>
            <w:tcW w:w="1162"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40</w:t>
            </w:r>
          </w:p>
        </w:tc>
        <w:tc>
          <w:tcPr>
            <w:tcW w:w="1436"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sz w:val="26"/>
                <w:szCs w:val="26"/>
              </w:rPr>
            </w:pPr>
            <w:r>
              <w:rPr>
                <w:rFonts w:ascii="Garamond" w:hAnsi="Garamond" w:cs="Garamond"/>
                <w:sz w:val="26"/>
                <w:szCs w:val="26"/>
              </w:rPr>
              <w:t>20.000.000</w:t>
            </w:r>
          </w:p>
          <w:p w:rsidR="00644F2A" w:rsidRDefault="00644F2A">
            <w:pPr>
              <w:pStyle w:val="BasicParagraph"/>
              <w:suppressAutoHyphens/>
              <w:jc w:val="center"/>
            </w:pPr>
            <w:r>
              <w:rPr>
                <w:rFonts w:ascii="Garamond" w:hAnsi="Garamond" w:cs="Garamond"/>
                <w:sz w:val="26"/>
                <w:szCs w:val="26"/>
              </w:rPr>
              <w:t>(izraženo brojem osoba</w:t>
            </w:r>
          </w:p>
        </w:tc>
      </w:tr>
      <w:tr w:rsidR="00644F2A">
        <w:trPr>
          <w:trHeight w:val="1851"/>
        </w:trPr>
        <w:tc>
          <w:tcPr>
            <w:tcW w:w="1652"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Procijenjeno na nivou EU</w:t>
            </w:r>
          </w:p>
        </w:tc>
        <w:tc>
          <w:tcPr>
            <w:tcW w:w="709" w:type="dxa"/>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73,7 - 74</w:t>
            </w:r>
          </w:p>
        </w:tc>
        <w:tc>
          <w:tcPr>
            <w:tcW w:w="879"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sz w:val="26"/>
                <w:szCs w:val="26"/>
              </w:rPr>
            </w:pPr>
            <w:r>
              <w:rPr>
                <w:rFonts w:ascii="Garamond" w:hAnsi="Garamond" w:cs="Garamond"/>
                <w:sz w:val="26"/>
                <w:szCs w:val="26"/>
              </w:rPr>
              <w:t xml:space="preserve">2,65 </w:t>
            </w:r>
          </w:p>
          <w:p w:rsidR="00644F2A" w:rsidRDefault="00644F2A">
            <w:pPr>
              <w:pStyle w:val="BasicParagraph"/>
              <w:suppressAutoHyphens/>
              <w:jc w:val="center"/>
            </w:pPr>
            <w:r>
              <w:rPr>
                <w:rFonts w:ascii="Garamond" w:hAnsi="Garamond" w:cs="Garamond"/>
                <w:sz w:val="26"/>
                <w:szCs w:val="26"/>
              </w:rPr>
              <w:t>- 2,72</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20</w:t>
            </w:r>
          </w:p>
        </w:tc>
        <w:tc>
          <w:tcPr>
            <w:tcW w:w="652"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20</w:t>
            </w:r>
          </w:p>
        </w:tc>
        <w:tc>
          <w:tcPr>
            <w:tcW w:w="1332"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sz w:val="26"/>
                <w:szCs w:val="26"/>
              </w:rPr>
            </w:pPr>
            <w:r>
              <w:rPr>
                <w:rFonts w:ascii="Garamond" w:hAnsi="Garamond" w:cs="Garamond"/>
                <w:sz w:val="26"/>
                <w:szCs w:val="26"/>
              </w:rPr>
              <w:t xml:space="preserve">206,9 </w:t>
            </w:r>
          </w:p>
          <w:p w:rsidR="00644F2A" w:rsidRDefault="00644F2A">
            <w:pPr>
              <w:pStyle w:val="BasicParagraph"/>
              <w:suppressAutoHyphens/>
              <w:jc w:val="center"/>
            </w:pPr>
            <w:r>
              <w:rPr>
                <w:rFonts w:ascii="Garamond" w:hAnsi="Garamond" w:cs="Garamond"/>
                <w:sz w:val="26"/>
                <w:szCs w:val="26"/>
              </w:rPr>
              <w:t>Mtoe</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10,30 -10,50</w:t>
            </w:r>
          </w:p>
        </w:tc>
        <w:tc>
          <w:tcPr>
            <w:tcW w:w="1162"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31</w:t>
            </w:r>
          </w:p>
        </w:tc>
        <w:tc>
          <w:tcPr>
            <w:tcW w:w="1436"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w:t>
            </w:r>
          </w:p>
        </w:tc>
      </w:tr>
    </w:tbl>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A01FE7"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Inicijative za pametan, održivi i inkluzivan rast potpuno se oslanjaju na obrazovanje kao uslov za unapređenje znanja i razvoj</w:t>
      </w:r>
      <w:r w:rsidR="00A01FE7">
        <w:rPr>
          <w:rFonts w:ascii="Garamond" w:hAnsi="Garamond" w:cs="Garamond"/>
          <w:sz w:val="28"/>
          <w:szCs w:val="28"/>
        </w:rPr>
        <w:t xml:space="preserve">: </w:t>
      </w:r>
      <w:r>
        <w:rPr>
          <w:rFonts w:ascii="Garamond" w:hAnsi="Garamond" w:cs="Garamond"/>
          <w:sz w:val="28"/>
          <w:szCs w:val="28"/>
        </w:rPr>
        <w:t>Unija inovacija; Mladi u pokretu; Agenda za nove vještine i poslove</w:t>
      </w:r>
      <w:r w:rsidR="00A01FE7">
        <w:rPr>
          <w:rFonts w:ascii="Garamond" w:hAnsi="Garamond" w:cs="Garamond"/>
          <w:sz w:val="28"/>
          <w:szCs w:val="28"/>
        </w:rPr>
        <w:t>.</w:t>
      </w:r>
      <w:r>
        <w:rPr>
          <w:rFonts w:ascii="Garamond" w:hAnsi="Garamond" w:cs="Garamond"/>
          <w:sz w:val="28"/>
          <w:szCs w:val="28"/>
        </w:rPr>
        <w:t xml:space="preserve"> Isto važi za smjernice</w:t>
      </w:r>
      <w:r w:rsidR="00A01FE7">
        <w:rPr>
          <w:rFonts w:ascii="Garamond" w:hAnsi="Garamond" w:cs="Garamond"/>
          <w:sz w:val="28"/>
          <w:szCs w:val="28"/>
        </w:rPr>
        <w:t xml:space="preserve">: </w:t>
      </w:r>
      <w:r>
        <w:rPr>
          <w:rFonts w:ascii="Garamond" w:hAnsi="Garamond" w:cs="Garamond"/>
          <w:sz w:val="28"/>
          <w:szCs w:val="28"/>
        </w:rPr>
        <w:t xml:space="preserve">Optimizacija podrške za IR i inovacije, jačanje trougla znanja i oslobađanje potencijala digitalne ekonomije; Razvijanje kvalifikovane radne snage prema potrebama tržišta rada, unapređenje kvaliteta posla i cjeloživotno učenje; Poboljšanje sistema obrazovanja i obuke na svim nivoima i povećanje učešća u visokom obrazovanju).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Razvijeni su program</w:t>
      </w:r>
      <w:r w:rsidR="00A01FE7">
        <w:rPr>
          <w:rFonts w:ascii="Garamond" w:hAnsi="Garamond" w:cs="Garamond"/>
          <w:sz w:val="28"/>
          <w:szCs w:val="28"/>
        </w:rPr>
        <w:t>i</w:t>
      </w:r>
      <w:r>
        <w:rPr>
          <w:rFonts w:ascii="Garamond" w:hAnsi="Garamond" w:cs="Garamond"/>
          <w:sz w:val="28"/>
          <w:szCs w:val="28"/>
        </w:rPr>
        <w:t xml:space="preserve"> podrške za različite oblasti: za istraživanje i inovacije Horizont 2020; za obrazovanje Erasmus plus; za energetiku, transport i telekomunikacije Connecting Europe Facility; za životnu sredinu i klimatske promjene LIFE; za jačanje konkurentnosti COSME; za mlade Youth; za kulturu, kreativnu industriju i umjetničko stvaralaštvo Kreativna Evropa; za građanske v</w:t>
      </w:r>
      <w:r w:rsidR="00D8244A">
        <w:rPr>
          <w:rFonts w:ascii="Garamond" w:hAnsi="Garamond" w:cs="Garamond"/>
          <w:sz w:val="28"/>
          <w:szCs w:val="28"/>
        </w:rPr>
        <w:t>r</w:t>
      </w:r>
      <w:r>
        <w:rPr>
          <w:rFonts w:ascii="Garamond" w:hAnsi="Garamond" w:cs="Garamond"/>
          <w:sz w:val="28"/>
          <w:szCs w:val="28"/>
        </w:rPr>
        <w:t>ijednosti i društvo Evropa za građane itd.</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U strategiji Evropa 2020 izričito se ističe važnost programa za države kandidate i države susjede: „Strategija Evropa 2020 nije relevantna samo unutar Evropske unije, već nudi značajan potencijal zemljama kandidatima i našim susjedima i pomaže im da ubrzaju svoje reforme. Proširenje prostora na kojem se primjenjuju pravila EU kreiraće nove mogućnosti, kako za EU, tako i za njene susjede”.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Kroz svoja strateška i zakonska akta Crna Gora je prepoznala ciljeve Strategije Evropa 2020, posebno one koji se odnose na bolju zapošljivost, rano napuštanje obrazovanja i veći obuhvat visokim obrazovanjem. Izdvojeni izazovi za naredni period potvrđuju opredjeljenje za nastavak unapređenja obrazovanja, kako bi se odgovorilo potrebama tržišta rada i poveć</w:t>
      </w:r>
      <w:r w:rsidR="00D8244A">
        <w:rPr>
          <w:rFonts w:ascii="Garamond" w:hAnsi="Garamond" w:cs="Garamond"/>
          <w:sz w:val="28"/>
          <w:szCs w:val="28"/>
        </w:rPr>
        <w:t>a</w:t>
      </w:r>
      <w:r>
        <w:rPr>
          <w:rFonts w:ascii="Garamond" w:hAnsi="Garamond" w:cs="Garamond"/>
          <w:sz w:val="28"/>
          <w:szCs w:val="28"/>
        </w:rPr>
        <w:t>nom zapošljavanju.</w:t>
      </w:r>
    </w:p>
    <w:p w:rsidR="00644F2A" w:rsidRDefault="00644F2A"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2.3.1 Bolonjska deklaracija i Evropski prostor visokog obrazovanja (EHEA)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Evropski prostor visokog obrazovanja (EHEA) proiz</w:t>
      </w:r>
      <w:r w:rsidR="00D8244A">
        <w:rPr>
          <w:rFonts w:ascii="Garamond" w:hAnsi="Garamond" w:cs="Garamond"/>
          <w:sz w:val="28"/>
          <w:szCs w:val="28"/>
        </w:rPr>
        <w:t>i</w:t>
      </w:r>
      <w:r>
        <w:rPr>
          <w:rFonts w:ascii="Garamond" w:hAnsi="Garamond" w:cs="Garamond"/>
          <w:sz w:val="28"/>
          <w:szCs w:val="28"/>
        </w:rPr>
        <w:t xml:space="preserve">lazi iz Bolonjskog procesa, započetog usvajanjem Bolonjske deklaracije (1999). Proces je obimna i kompleksna reforma visokog obrazovanja u cilju stvaranja jedinstvenog prostora visokog obrazovanja.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Bolonjska deklaracija je definisala ciljeve koje treba dostići: 1) Usvajanje lako razumljivih i uporedivih sistema kvalifikacija; 2) Usvajanje sistema baziranog na dva glavna ciklusa studija - dodiplomskom i postdiplomskom; 3) Uvođenje sistema prenosa kredita (ECTS - European Credit Transfer System); 4) Promocija mobilnosti studenata, nastavnika, istraživača i administrativnog osoblja; 5) Promocija evropske saradnje u obezbjeđenju kvaliteta i 6) Promocija evropskih dimenzija u visokom obrazovanju, naročito u pogledu razvoja nastavnih planova i programa, međuinstitucionalne saradnje, mobilnosti i objedinjenih programa studija, praktične obuke i naučnog istraživanja.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Implementacija Deklaracije u prvoj dekadi rezultirala je formiranjem Evropskog prostora visokog obrazovanja (EHEA, 2010) da bi se stvorili uporedivi, kompatibilni i koherentni sistemi visokog obrazovanja u Evropi.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5318ED" w:rsidRDefault="005318ED"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r>
      <w:r w:rsidR="000466F8">
        <w:rPr>
          <w:rFonts w:ascii="Garamond" w:hAnsi="Garamond" w:cs="Garamond"/>
          <w:color w:val="00B0F0"/>
          <w:sz w:val="28"/>
          <w:szCs w:val="28"/>
        </w:rPr>
        <w:t>Rezime</w:t>
      </w:r>
      <w:r w:rsidRPr="00821309">
        <w:rPr>
          <w:rFonts w:ascii="Garamond" w:hAnsi="Garamond" w:cs="Garamond"/>
          <w:color w:val="00B0F0"/>
          <w:sz w:val="28"/>
          <w:szCs w:val="28"/>
        </w:rPr>
        <w:t>:</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r>
      <w:r w:rsidR="00D8244A">
        <w:rPr>
          <w:rFonts w:ascii="Garamond" w:hAnsi="Garamond" w:cs="Garamond"/>
          <w:color w:val="00B0F0"/>
          <w:sz w:val="28"/>
          <w:szCs w:val="28"/>
        </w:rPr>
        <w:t>Sprovodjenje s</w:t>
      </w:r>
      <w:r w:rsidRPr="00821309">
        <w:rPr>
          <w:rFonts w:ascii="Garamond" w:hAnsi="Garamond" w:cs="Garamond"/>
          <w:color w:val="00B0F0"/>
          <w:sz w:val="28"/>
          <w:szCs w:val="28"/>
        </w:rPr>
        <w:t>veobuhvatn</w:t>
      </w:r>
      <w:r w:rsidR="00D8244A">
        <w:rPr>
          <w:rFonts w:ascii="Garamond" w:hAnsi="Garamond" w:cs="Garamond"/>
          <w:color w:val="00B0F0"/>
          <w:sz w:val="28"/>
          <w:szCs w:val="28"/>
        </w:rPr>
        <w:t>e</w:t>
      </w:r>
      <w:r w:rsidRPr="00821309">
        <w:rPr>
          <w:rFonts w:ascii="Garamond" w:hAnsi="Garamond" w:cs="Garamond"/>
          <w:color w:val="00B0F0"/>
          <w:sz w:val="28"/>
          <w:szCs w:val="28"/>
        </w:rPr>
        <w:t xml:space="preserve"> reform</w:t>
      </w:r>
      <w:r w:rsidR="000466F8">
        <w:rPr>
          <w:rFonts w:ascii="Garamond" w:hAnsi="Garamond" w:cs="Garamond"/>
          <w:color w:val="00B0F0"/>
          <w:sz w:val="28"/>
          <w:szCs w:val="28"/>
        </w:rPr>
        <w:t>e</w:t>
      </w:r>
      <w:r w:rsidRPr="00821309">
        <w:rPr>
          <w:rFonts w:ascii="Garamond" w:hAnsi="Garamond" w:cs="Garamond"/>
          <w:color w:val="00B0F0"/>
          <w:sz w:val="28"/>
          <w:szCs w:val="28"/>
        </w:rPr>
        <w:t xml:space="preserve"> na principima Bolonjske deklaracije za kontinuirano unaprađenje statusa i kvaliteta visokog obrazovanja.</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r>
      <w:r w:rsidR="000466F8">
        <w:rPr>
          <w:rFonts w:ascii="Garamond" w:hAnsi="Garamond" w:cs="Garamond"/>
          <w:color w:val="00B0F0"/>
          <w:sz w:val="28"/>
          <w:szCs w:val="28"/>
        </w:rPr>
        <w:t>Ostvarenje i</w:t>
      </w:r>
      <w:r w:rsidRPr="00821309">
        <w:rPr>
          <w:rFonts w:ascii="Garamond" w:hAnsi="Garamond" w:cs="Garamond"/>
          <w:color w:val="00B0F0"/>
          <w:sz w:val="28"/>
          <w:szCs w:val="28"/>
        </w:rPr>
        <w:t>ntenzivn</w:t>
      </w:r>
      <w:r w:rsidR="000466F8">
        <w:rPr>
          <w:rFonts w:ascii="Garamond" w:hAnsi="Garamond" w:cs="Garamond"/>
          <w:color w:val="00B0F0"/>
          <w:sz w:val="28"/>
          <w:szCs w:val="28"/>
        </w:rPr>
        <w:t>e</w:t>
      </w:r>
      <w:r w:rsidRPr="00821309">
        <w:rPr>
          <w:rFonts w:ascii="Garamond" w:hAnsi="Garamond" w:cs="Garamond"/>
          <w:color w:val="00B0F0"/>
          <w:sz w:val="28"/>
          <w:szCs w:val="28"/>
        </w:rPr>
        <w:t xml:space="preserve"> saradnj</w:t>
      </w:r>
      <w:r w:rsidR="000466F8">
        <w:rPr>
          <w:rFonts w:ascii="Garamond" w:hAnsi="Garamond" w:cs="Garamond"/>
          <w:color w:val="00B0F0"/>
          <w:sz w:val="28"/>
          <w:szCs w:val="28"/>
        </w:rPr>
        <w:t>e</w:t>
      </w:r>
      <w:r w:rsidRPr="00821309">
        <w:rPr>
          <w:rFonts w:ascii="Garamond" w:hAnsi="Garamond" w:cs="Garamond"/>
          <w:color w:val="00B0F0"/>
          <w:sz w:val="28"/>
          <w:szCs w:val="28"/>
        </w:rPr>
        <w:t xml:space="preserve"> između ustanova visokog obrazovanja širom kontinenta kako bi se osnažila međunarodna konkurentnost univerziteta.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2.3.2 Evropski standardi i smjernice za obezbjeđenje kvaliteta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Kvalitet visokog obrazovanja i saradnja na polju obezbjeđenja kvaliteta predstavlja posebno značajnu reformsku oblast u skladu sa Bolonjskom deklaracijom. Usvojena dokumenta adekvatno i jedinstveno regulišu postupke rada i izvještavanja u ovoj oblasti, a formirane organizacije i tijela su nadležni da planiraju, sprovode, provjeravaju i ocjenjuju postupke obezbjeđenja kvaliteta ustanova i sistema visokog obrazovanja. Postignuti rezultati rada i ocjene su javno dostupni, čime se postiže transparentnost za sagledavanje svih aspekata kvaliteta visokog obrazovanja koje je presudno za oblasti međunarodne saradnj</w:t>
      </w:r>
      <w:r w:rsidR="000466F8">
        <w:rPr>
          <w:rFonts w:ascii="Garamond" w:hAnsi="Garamond" w:cs="Garamond"/>
          <w:sz w:val="28"/>
          <w:szCs w:val="28"/>
        </w:rPr>
        <w:t>e</w:t>
      </w:r>
      <w:r>
        <w:rPr>
          <w:rFonts w:ascii="Garamond" w:hAnsi="Garamond" w:cs="Garamond"/>
          <w:sz w:val="28"/>
          <w:szCs w:val="28"/>
        </w:rPr>
        <w:t xml:space="preserve"> i rangiranje ustanova.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Standardi i smjernice za obezbjeđenje kvaliteta</w:t>
      </w:r>
      <w:r>
        <w:rPr>
          <w:rFonts w:ascii="Garamond" w:hAnsi="Garamond" w:cs="Garamond"/>
          <w:sz w:val="28"/>
          <w:szCs w:val="28"/>
          <w:vertAlign w:val="superscript"/>
        </w:rPr>
        <w:footnoteReference w:id="9"/>
      </w:r>
      <w:r>
        <w:rPr>
          <w:rFonts w:ascii="Garamond" w:hAnsi="Garamond" w:cs="Garamond"/>
          <w:sz w:val="28"/>
          <w:szCs w:val="28"/>
        </w:rPr>
        <w:t xml:space="preserve"> usvojeni su 2005. godine. Od njihovog usvajanja učinjen je znatan napredak u obezbjeđenju kvaliteta visokog obrazovanja i drugim akcijskim linijama Bolonjskog procesa, kao što je razvoj okvira kvalifikacija, priznavanje kvalifikacija i razvoj ishoda učenja, što je doprinijelo prelasku na obrazovanje usmjereno na studenta. U julu 2019. godine u Poznanju je potpisana i Deklaracija o akademskom priznavanju kvalifikacija, u cilju olakšanog priznavanja kvalifikacija i veće mobilnosti među ekonomijama Zapadnog Balkana.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Inovirani evropski standardi i smjernice (ISG) usvojeni su na Ministarskoj konferenciji u Jerevanu 2015. godine. Inoviranje standarda i smjernica je izvršeno da bi se unaprijedila primjenjivost standarda, bolje definisala područja za korišćenje standarda i da bi ih preciznije opisali. Evropski standardi i smjernice doprinose zajedničkom razumijevanju sistema obezbjeđenja kvaliteta u svim zemljama. Ustanove visokog obrazovanja i agencije za obezbjeđenje kvaliteta koriste </w:t>
      </w:r>
      <w:r w:rsidR="000466F8">
        <w:rPr>
          <w:rFonts w:ascii="Garamond" w:hAnsi="Garamond" w:cs="Garamond"/>
          <w:sz w:val="28"/>
          <w:szCs w:val="28"/>
        </w:rPr>
        <w:t>evropske standare i smjernice</w:t>
      </w:r>
      <w:r>
        <w:rPr>
          <w:rFonts w:ascii="Garamond" w:hAnsi="Garamond" w:cs="Garamond"/>
          <w:sz w:val="28"/>
          <w:szCs w:val="28"/>
        </w:rPr>
        <w:t xml:space="preserve"> za razvoj internog i eksternog obezbjeđenja kvaliteta. U skladu sa </w:t>
      </w:r>
      <w:r w:rsidR="000466F8">
        <w:rPr>
          <w:rFonts w:ascii="Garamond" w:hAnsi="Garamond" w:cs="Garamond"/>
          <w:sz w:val="28"/>
          <w:szCs w:val="28"/>
        </w:rPr>
        <w:t>evropskim standardima i smjernicama</w:t>
      </w:r>
      <w:r>
        <w:rPr>
          <w:rFonts w:ascii="Garamond" w:hAnsi="Garamond" w:cs="Garamond"/>
          <w:sz w:val="28"/>
          <w:szCs w:val="28"/>
        </w:rPr>
        <w:t xml:space="preserve"> </w:t>
      </w:r>
      <w:r w:rsidR="0056733B">
        <w:rPr>
          <w:rFonts w:ascii="Garamond" w:hAnsi="Garamond" w:cs="Garamond"/>
          <w:sz w:val="28"/>
          <w:szCs w:val="28"/>
        </w:rPr>
        <w:t>djeluje EQAR (</w:t>
      </w:r>
      <w:r>
        <w:rPr>
          <w:rFonts w:ascii="Garamond" w:hAnsi="Garamond" w:cs="Garamond"/>
          <w:sz w:val="28"/>
          <w:szCs w:val="28"/>
        </w:rPr>
        <w:t>Regist</w:t>
      </w:r>
      <w:r w:rsidR="0056733B">
        <w:rPr>
          <w:rFonts w:ascii="Garamond" w:hAnsi="Garamond" w:cs="Garamond"/>
          <w:sz w:val="28"/>
          <w:szCs w:val="28"/>
        </w:rPr>
        <w:t>ar</w:t>
      </w:r>
      <w:r>
        <w:rPr>
          <w:rFonts w:ascii="Garamond" w:hAnsi="Garamond" w:cs="Garamond"/>
          <w:sz w:val="28"/>
          <w:szCs w:val="28"/>
        </w:rPr>
        <w:t xml:space="preserve"> agencija za obezbjeđenje kvaliteta</w:t>
      </w:r>
      <w:r w:rsidR="0056733B">
        <w:rPr>
          <w:rFonts w:ascii="Garamond" w:hAnsi="Garamond" w:cs="Garamond"/>
          <w:sz w:val="28"/>
          <w:szCs w:val="28"/>
        </w:rPr>
        <w:t>)</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Sve aktivnosti obezbjeđenja kvaliteta zasnivaju se na principima </w:t>
      </w:r>
      <w:r>
        <w:rPr>
          <w:rFonts w:ascii="Garamond" w:hAnsi="Garamond" w:cs="Garamond"/>
          <w:i/>
          <w:iCs/>
          <w:sz w:val="28"/>
          <w:szCs w:val="28"/>
        </w:rPr>
        <w:t>odgovornosti</w:t>
      </w:r>
      <w:r>
        <w:rPr>
          <w:rFonts w:ascii="Garamond" w:hAnsi="Garamond" w:cs="Garamond"/>
          <w:sz w:val="28"/>
          <w:szCs w:val="28"/>
        </w:rPr>
        <w:t xml:space="preserve"> i </w:t>
      </w:r>
      <w:r>
        <w:rPr>
          <w:rFonts w:ascii="Garamond" w:hAnsi="Garamond" w:cs="Garamond"/>
          <w:i/>
          <w:iCs/>
          <w:sz w:val="28"/>
          <w:szCs w:val="28"/>
        </w:rPr>
        <w:t>poboljšanja</w:t>
      </w:r>
      <w:r>
        <w:rPr>
          <w:rFonts w:ascii="Garamond" w:hAnsi="Garamond" w:cs="Garamond"/>
          <w:sz w:val="28"/>
          <w:szCs w:val="28"/>
        </w:rPr>
        <w:t>, koji zajedno stvaraju povjerenje u rad ustanova visokog obrazovanja. Svaki uspješno organizovan sistem obezbjeđenja kvaliteta pruža informacije kako bi se ustanova i javnost uvjerili u kvalitet rada (</w:t>
      </w:r>
      <w:r>
        <w:rPr>
          <w:rFonts w:ascii="Garamond" w:hAnsi="Garamond" w:cs="Garamond"/>
          <w:i/>
          <w:iCs/>
          <w:sz w:val="28"/>
          <w:szCs w:val="28"/>
        </w:rPr>
        <w:t>odgovornost</w:t>
      </w:r>
      <w:r>
        <w:rPr>
          <w:rFonts w:ascii="Garamond" w:hAnsi="Garamond" w:cs="Garamond"/>
          <w:sz w:val="28"/>
          <w:szCs w:val="28"/>
        </w:rPr>
        <w:t>) i koristili savjete i preporuke o tome što se može učiniti da bi se taj rad unaprijedio (</w:t>
      </w:r>
      <w:r>
        <w:rPr>
          <w:rFonts w:ascii="Garamond" w:hAnsi="Garamond" w:cs="Garamond"/>
          <w:i/>
          <w:iCs/>
          <w:sz w:val="28"/>
          <w:szCs w:val="28"/>
        </w:rPr>
        <w:t>poboljšanje</w:t>
      </w:r>
      <w:r>
        <w:rPr>
          <w:rFonts w:ascii="Garamond" w:hAnsi="Garamond" w:cs="Garamond"/>
          <w:sz w:val="28"/>
          <w:szCs w:val="28"/>
        </w:rPr>
        <w:t>). Tako su obezbjeđenje kvaliteta i unaprjeđenje kvaliteta međusobno povezani. Oni podržavaju razvoj kulture kvaliteta koju treba da prihvate svi učesnici sistema visokog obrazovanja (student, naučno-nastavno osoblje, administracija, rukovodstva i uprave ustanova).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Širenje pristupa visokom obrazovanju prilika je da ustanove iskoriste raznovrsna iskustva onih koji se upisuju na ustanove. Raznovrsnost kod pristupa i rastuća očekivanja od visokog obrazovanja zahtijevaju fundamentalnu promjenu u načinu na koje se ono izvodi: </w:t>
      </w:r>
      <w:r>
        <w:rPr>
          <w:rFonts w:ascii="Garamond" w:hAnsi="Garamond" w:cs="Garamond"/>
          <w:i/>
          <w:iCs/>
          <w:sz w:val="28"/>
          <w:szCs w:val="28"/>
        </w:rPr>
        <w:t>usmjeravanje nastave i učenja na studente, prihvatanje</w:t>
      </w:r>
      <w:r w:rsidR="0056733B">
        <w:rPr>
          <w:rFonts w:ascii="Garamond" w:hAnsi="Garamond" w:cs="Garamond"/>
          <w:i/>
          <w:iCs/>
          <w:sz w:val="28"/>
          <w:szCs w:val="28"/>
        </w:rPr>
        <w:t xml:space="preserve"> razlicitih</w:t>
      </w:r>
      <w:r>
        <w:rPr>
          <w:rFonts w:ascii="Garamond" w:hAnsi="Garamond" w:cs="Garamond"/>
          <w:i/>
          <w:iCs/>
          <w:sz w:val="28"/>
          <w:szCs w:val="28"/>
        </w:rPr>
        <w:t xml:space="preserve"> puteva učenja i priznavanje kompetencija stečenih neformalnim obrazovanjem</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3E333F">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Primjena evropskih standarda i smjernica pruža uslove da se objektivno ocjenjuju rezultati rada; da ocjene budu transparentne i javno dostupne za sagledavanje i stalno poboljša</w:t>
      </w:r>
      <w:r w:rsidR="003E333F">
        <w:rPr>
          <w:rFonts w:ascii="Garamond" w:hAnsi="Garamond" w:cs="Garamond"/>
          <w:color w:val="00B0F0"/>
          <w:sz w:val="28"/>
          <w:szCs w:val="28"/>
        </w:rPr>
        <w:t>n</w:t>
      </w:r>
      <w:r w:rsidRPr="00821309">
        <w:rPr>
          <w:rFonts w:ascii="Garamond" w:hAnsi="Garamond" w:cs="Garamond"/>
          <w:color w:val="00B0F0"/>
          <w:sz w:val="28"/>
          <w:szCs w:val="28"/>
        </w:rPr>
        <w:t xml:space="preserve">je kvaliteta visokog obrazovanja, kao preduslova za postizanje ciljeva obrazovanja, istraživanja, mobilnosti, saradnje i međunarodne prepoznatljivosti. </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 xml:space="preserve">Prihvatanjem evropskih standarda i smjernica za obezbjeđenje kvaliteta pruža se mogućnost </w:t>
      </w:r>
      <w:r w:rsidR="003E333F">
        <w:rPr>
          <w:rFonts w:ascii="Garamond" w:hAnsi="Garamond" w:cs="Garamond"/>
          <w:color w:val="00B0F0"/>
          <w:sz w:val="28"/>
          <w:szCs w:val="28"/>
        </w:rPr>
        <w:t>razvoja</w:t>
      </w:r>
      <w:r w:rsidRPr="00821309">
        <w:rPr>
          <w:rFonts w:ascii="Garamond" w:hAnsi="Garamond" w:cs="Garamond"/>
          <w:color w:val="00B0F0"/>
          <w:sz w:val="28"/>
          <w:szCs w:val="28"/>
        </w:rPr>
        <w:t xml:space="preserve"> </w:t>
      </w:r>
      <w:r w:rsidR="00C54E80">
        <w:rPr>
          <w:rFonts w:ascii="Garamond" w:hAnsi="Garamond" w:cs="Garamond"/>
          <w:color w:val="00B0F0"/>
          <w:sz w:val="28"/>
          <w:szCs w:val="28"/>
        </w:rPr>
        <w:t>kredibilno</w:t>
      </w:r>
      <w:r w:rsidR="003E333F">
        <w:rPr>
          <w:rFonts w:ascii="Garamond" w:hAnsi="Garamond" w:cs="Garamond"/>
          <w:color w:val="00B0F0"/>
          <w:sz w:val="28"/>
          <w:szCs w:val="28"/>
        </w:rPr>
        <w:t>g</w:t>
      </w:r>
      <w:r w:rsidR="00C54E80">
        <w:rPr>
          <w:rFonts w:ascii="Garamond" w:hAnsi="Garamond" w:cs="Garamond"/>
          <w:color w:val="00B0F0"/>
          <w:sz w:val="28"/>
          <w:szCs w:val="28"/>
        </w:rPr>
        <w:t>, međunarodno prepoznatljivo</w:t>
      </w:r>
      <w:r w:rsidR="003E333F">
        <w:rPr>
          <w:rFonts w:ascii="Garamond" w:hAnsi="Garamond" w:cs="Garamond"/>
          <w:color w:val="00B0F0"/>
          <w:sz w:val="28"/>
          <w:szCs w:val="28"/>
        </w:rPr>
        <w:t>g</w:t>
      </w:r>
      <w:r w:rsidR="00C54E80">
        <w:rPr>
          <w:rFonts w:ascii="Garamond" w:hAnsi="Garamond" w:cs="Garamond"/>
          <w:color w:val="00B0F0"/>
          <w:sz w:val="28"/>
          <w:szCs w:val="28"/>
        </w:rPr>
        <w:t xml:space="preserve"> i konkurentno</w:t>
      </w:r>
      <w:r w:rsidR="003E333F">
        <w:rPr>
          <w:rFonts w:ascii="Garamond" w:hAnsi="Garamond" w:cs="Garamond"/>
          <w:color w:val="00B0F0"/>
          <w:sz w:val="28"/>
          <w:szCs w:val="28"/>
        </w:rPr>
        <w:t>g</w:t>
      </w:r>
      <w:r w:rsidR="00C54E80">
        <w:rPr>
          <w:rFonts w:ascii="Garamond" w:hAnsi="Garamond" w:cs="Garamond"/>
          <w:color w:val="00B0F0"/>
          <w:sz w:val="28"/>
          <w:szCs w:val="28"/>
        </w:rPr>
        <w:t xml:space="preserve"> </w:t>
      </w:r>
      <w:r w:rsidRPr="00821309">
        <w:rPr>
          <w:rFonts w:ascii="Garamond" w:hAnsi="Garamond" w:cs="Garamond"/>
          <w:color w:val="00B0F0"/>
          <w:sz w:val="28"/>
          <w:szCs w:val="28"/>
        </w:rPr>
        <w:t>visoko</w:t>
      </w:r>
      <w:r w:rsidR="003E333F">
        <w:rPr>
          <w:rFonts w:ascii="Garamond" w:hAnsi="Garamond" w:cs="Garamond"/>
          <w:color w:val="00B0F0"/>
          <w:sz w:val="28"/>
          <w:szCs w:val="28"/>
        </w:rPr>
        <w:t>g</w:t>
      </w:r>
      <w:r w:rsidRPr="00821309">
        <w:rPr>
          <w:rFonts w:ascii="Garamond" w:hAnsi="Garamond" w:cs="Garamond"/>
          <w:color w:val="00B0F0"/>
          <w:sz w:val="28"/>
          <w:szCs w:val="28"/>
        </w:rPr>
        <w:t xml:space="preserve"> obrazovanju</w:t>
      </w:r>
      <w:r w:rsidR="003E333F">
        <w:rPr>
          <w:rFonts w:ascii="Garamond" w:hAnsi="Garamond" w:cs="Garamond"/>
          <w:color w:val="00B0F0"/>
          <w:sz w:val="28"/>
          <w:szCs w:val="28"/>
        </w:rPr>
        <w:t>.</w:t>
      </w:r>
      <w:r w:rsidR="00C54E80">
        <w:rPr>
          <w:rFonts w:ascii="Garamond" w:hAnsi="Garamond" w:cs="Garamond"/>
          <w:color w:val="00B0F0"/>
          <w:sz w:val="28"/>
          <w:szCs w:val="28"/>
        </w:rPr>
        <w:t xml:space="preserve"> </w:t>
      </w:r>
      <w:r w:rsidRPr="00821309">
        <w:rPr>
          <w:rFonts w:ascii="Garamond" w:hAnsi="Garamond" w:cs="Garamond"/>
          <w:color w:val="00B0F0"/>
          <w:sz w:val="28"/>
          <w:szCs w:val="28"/>
        </w:rPr>
        <w:t xml:space="preserve"> </w:t>
      </w:r>
    </w:p>
    <w:p w:rsidR="00644F2A" w:rsidRPr="00821309" w:rsidRDefault="00644F2A" w:rsidP="00644F2A">
      <w:pPr>
        <w:pStyle w:val="BasicParagraph"/>
        <w:suppressAutoHyphens/>
        <w:ind w:firstLine="567"/>
        <w:jc w:val="both"/>
        <w:rPr>
          <w:rFonts w:ascii="Garamond" w:hAnsi="Garamond" w:cs="Garamond"/>
          <w:color w:val="00B0F0"/>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2.3.3 Lisabonska strategija i Evropski istraživački prostor (ERA)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Lisabonska strategija je već navedena kao početak strateškog razvojnog planiranja Evropske unije. U kontekstu visokog obrazovanja Strategija je posebno ozvaničila važnost znanja, istraživanja i inovacija za podsticanje rasta, zapošljavanja i socijalne kohezije. Osnovna ideja je bila da se ogroman, ali suviše fragmentisan, naučnoistraživački potencijal Evropske unije integriše i koordinira, sa ciljem maksimalnog korišćenja njegovih kapaciteta i rezultata. Kao rezultat tih težnji stvoren je Evropski istraživački prostor (ERA). Akcionim planom je bilo predviđeno povećanje nivoa ulaganja u istraživanja sa 1,9 % BDP u 2001. godini na 3% BDP do 2010. godine.</w:t>
      </w:r>
      <w:r>
        <w:rPr>
          <w:rFonts w:ascii="Garamond" w:hAnsi="Garamond" w:cs="Garamond"/>
          <w:sz w:val="28"/>
          <w:szCs w:val="28"/>
          <w:vertAlign w:val="superscript"/>
        </w:rPr>
        <w:footnoteReference w:id="10"/>
      </w:r>
      <w:r>
        <w:rPr>
          <w:rFonts w:ascii="Garamond" w:hAnsi="Garamond" w:cs="Garamond"/>
          <w:sz w:val="28"/>
          <w:szCs w:val="28"/>
        </w:rPr>
        <w:t xml:space="preserve"> Konkretne preporuke su date i za povećanje broja istraživača, odnosno povećanje udjela istraživača u ukupnom broju radne snage. Podsticaj je bio nužan zbog evidentnog zaostajanja broja istraživača u ukupnoj radnoj snazi, naročito u industriji i drastičnog smanjenja interesovanja za bazna istraživanja (matematiku, fiziku) koje nosi rizik od pretjeranog smanjenja ljudskih resursa u ovim oblastima (penzionisanje generacija istraživača bez izgleda za njihovu zamjenu).</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2.3.4 Salzburške preporuke - doktorske škole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Značaj istraživanja, njihova primjena i organizacija u sistemima visokog obrazovanja predstavljena je u Salzburgškim preporukama EUA (</w:t>
      </w:r>
      <w:r>
        <w:rPr>
          <w:rFonts w:ascii="Garamond" w:hAnsi="Garamond" w:cs="Garamond"/>
          <w:i/>
          <w:iCs/>
          <w:sz w:val="28"/>
          <w:szCs w:val="28"/>
        </w:rPr>
        <w:t>Salzburg II Recommendations</w:t>
      </w:r>
      <w:r>
        <w:rPr>
          <w:rFonts w:ascii="Garamond" w:hAnsi="Garamond" w:cs="Garamond"/>
          <w:sz w:val="28"/>
          <w:szCs w:val="28"/>
        </w:rPr>
        <w:t>) s osnovnim principima koji bi trebalo da doprinesu ključnoj ulozi doktorskih programa i istraživanja u Bolonjskom procesu. Preporuke su smjernice za različite prakse, a ne standardi</w:t>
      </w:r>
      <w:r w:rsidR="003E333F">
        <w:rPr>
          <w:rFonts w:ascii="Garamond" w:hAnsi="Garamond" w:cs="Garamond"/>
          <w:sz w:val="28"/>
          <w:szCs w:val="28"/>
        </w:rPr>
        <w:t xml:space="preserve"> za</w:t>
      </w:r>
      <w:r>
        <w:rPr>
          <w:rFonts w:ascii="Garamond" w:hAnsi="Garamond" w:cs="Garamond"/>
          <w:sz w:val="28"/>
          <w:szCs w:val="28"/>
        </w:rPr>
        <w:t xml:space="preserve"> doktorsk</w:t>
      </w:r>
      <w:r w:rsidR="003E333F">
        <w:rPr>
          <w:rFonts w:ascii="Garamond" w:hAnsi="Garamond" w:cs="Garamond"/>
          <w:sz w:val="28"/>
          <w:szCs w:val="28"/>
        </w:rPr>
        <w:t>e</w:t>
      </w:r>
      <w:r>
        <w:rPr>
          <w:rFonts w:ascii="Garamond" w:hAnsi="Garamond" w:cs="Garamond"/>
          <w:sz w:val="28"/>
          <w:szCs w:val="28"/>
        </w:rPr>
        <w:t xml:space="preserve"> škol</w:t>
      </w:r>
      <w:r w:rsidR="003E333F">
        <w:rPr>
          <w:rFonts w:ascii="Garamond" w:hAnsi="Garamond" w:cs="Garamond"/>
          <w:sz w:val="28"/>
          <w:szCs w:val="28"/>
        </w:rPr>
        <w:t>e</w:t>
      </w:r>
      <w:r>
        <w:rPr>
          <w:rFonts w:ascii="Garamond" w:hAnsi="Garamond" w:cs="Garamond"/>
          <w:sz w:val="28"/>
          <w:szCs w:val="28"/>
        </w:rPr>
        <w:t>.</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Polazi se od uslova da društvo znanja zahtijeva kreativne i fleksibilne istraživače za veliki broj različitih funkcija i karijera, a doktorat se sve više prepoznaje kao ključni dio tog procesa. Iz tog razloga reforma doktorskog obrazovanja ima poseban značaj i za Evropski istraživački prostor i za Evropski prostor visokog obrazovanja.</w:t>
      </w:r>
      <w:r>
        <w:rPr>
          <w:rFonts w:ascii="Garamond" w:hAnsi="Garamond" w:cs="Garamond"/>
          <w:sz w:val="28"/>
          <w:szCs w:val="28"/>
          <w:vertAlign w:val="superscript"/>
        </w:rPr>
        <w:footnoteReference w:id="11"/>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Doktorsko obrazovanje se zasniva na istraživanjima zbog čega se bitno razlikuje od prethodnih ciklusa visokog obrazovanja. Doktorsko obrazovanje je individualno i, po definiciji, originalno, zbog čega studentima doktorskih studija treba</w:t>
      </w:r>
      <w:r w:rsidR="007B5968">
        <w:rPr>
          <w:rFonts w:ascii="Garamond" w:hAnsi="Garamond" w:cs="Garamond"/>
          <w:sz w:val="28"/>
          <w:szCs w:val="28"/>
        </w:rPr>
        <w:t xml:space="preserve"> </w:t>
      </w:r>
      <w:r>
        <w:rPr>
          <w:rFonts w:ascii="Garamond" w:hAnsi="Garamond" w:cs="Garamond"/>
          <w:sz w:val="28"/>
          <w:szCs w:val="28"/>
        </w:rPr>
        <w:t>omoguć</w:t>
      </w:r>
      <w:r w:rsidR="007B5968">
        <w:rPr>
          <w:rFonts w:ascii="Garamond" w:hAnsi="Garamond" w:cs="Garamond"/>
          <w:sz w:val="28"/>
          <w:szCs w:val="28"/>
        </w:rPr>
        <w:t>iti</w:t>
      </w:r>
      <w:r>
        <w:rPr>
          <w:rFonts w:ascii="Garamond" w:hAnsi="Garamond" w:cs="Garamond"/>
          <w:sz w:val="28"/>
          <w:szCs w:val="28"/>
        </w:rPr>
        <w:t xml:space="preserve"> nezavisnost i fleksibilnost za razvoj i usavršavanje. Put napretka pojedinca je jedinstven, kako u istraživačkom pogledu, tako i u pogledu profesionalnog razvoja. Konačno, doktorsko obrazovanje </w:t>
      </w:r>
      <w:r w:rsidR="007B5968">
        <w:rPr>
          <w:rFonts w:ascii="Garamond" w:hAnsi="Garamond" w:cs="Garamond"/>
          <w:sz w:val="28"/>
          <w:szCs w:val="28"/>
        </w:rPr>
        <w:t>bi trebalo da</w:t>
      </w:r>
      <w:r>
        <w:rPr>
          <w:rFonts w:ascii="Garamond" w:hAnsi="Garamond" w:cs="Garamond"/>
          <w:sz w:val="28"/>
          <w:szCs w:val="28"/>
        </w:rPr>
        <w:t xml:space="preserve"> razvi</w:t>
      </w:r>
      <w:r w:rsidR="007B5968">
        <w:rPr>
          <w:rFonts w:ascii="Garamond" w:hAnsi="Garamond" w:cs="Garamond"/>
          <w:sz w:val="28"/>
          <w:szCs w:val="28"/>
        </w:rPr>
        <w:t xml:space="preserve">jaju sve </w:t>
      </w:r>
      <w:r>
        <w:rPr>
          <w:rFonts w:ascii="Garamond" w:hAnsi="Garamond" w:cs="Garamond"/>
          <w:sz w:val="28"/>
          <w:szCs w:val="28"/>
        </w:rPr>
        <w:t>autonomne i odgovorne institucije</w:t>
      </w:r>
      <w:r w:rsidR="007B5968">
        <w:rPr>
          <w:rFonts w:ascii="Garamond" w:hAnsi="Garamond" w:cs="Garamond"/>
          <w:sz w:val="28"/>
          <w:szCs w:val="28"/>
        </w:rPr>
        <w:t xml:space="preserve">, kojima je </w:t>
      </w:r>
      <w:r>
        <w:rPr>
          <w:rFonts w:ascii="Garamond" w:hAnsi="Garamond" w:cs="Garamond"/>
          <w:sz w:val="28"/>
          <w:szCs w:val="28"/>
        </w:rPr>
        <w:t xml:space="preserve">potrebna fleksibilna regulativa kako bi stvorile posebne </w:t>
      </w:r>
      <w:r w:rsidR="007B5968">
        <w:rPr>
          <w:rFonts w:ascii="Garamond" w:hAnsi="Garamond" w:cs="Garamond"/>
          <w:sz w:val="28"/>
          <w:szCs w:val="28"/>
        </w:rPr>
        <w:t xml:space="preserve">preduslove za to.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Preporuke objašnjavaju, tačnije savjetuju, kako urediti značajne segmente (kritičn</w:t>
      </w:r>
      <w:r w:rsidR="007B5968">
        <w:rPr>
          <w:rFonts w:ascii="Garamond" w:hAnsi="Garamond" w:cs="Garamond"/>
          <w:sz w:val="28"/>
          <w:szCs w:val="28"/>
        </w:rPr>
        <w:t>a</w:t>
      </w:r>
      <w:r>
        <w:rPr>
          <w:rFonts w:ascii="Garamond" w:hAnsi="Garamond" w:cs="Garamond"/>
          <w:sz w:val="28"/>
          <w:szCs w:val="28"/>
        </w:rPr>
        <w:t xml:space="preserve"> mas</w:t>
      </w:r>
      <w:r w:rsidR="007B5968">
        <w:rPr>
          <w:rFonts w:ascii="Garamond" w:hAnsi="Garamond" w:cs="Garamond"/>
          <w:sz w:val="28"/>
          <w:szCs w:val="28"/>
        </w:rPr>
        <w:t>a</w:t>
      </w:r>
      <w:r>
        <w:rPr>
          <w:rFonts w:ascii="Garamond" w:hAnsi="Garamond" w:cs="Garamond"/>
          <w:sz w:val="28"/>
          <w:szCs w:val="28"/>
        </w:rPr>
        <w:t xml:space="preserve"> i kritičn</w:t>
      </w:r>
      <w:r w:rsidR="00330ED1">
        <w:rPr>
          <w:rFonts w:ascii="Garamond" w:hAnsi="Garamond" w:cs="Garamond"/>
          <w:sz w:val="28"/>
          <w:szCs w:val="28"/>
        </w:rPr>
        <w:t>a</w:t>
      </w:r>
      <w:r>
        <w:rPr>
          <w:rFonts w:ascii="Garamond" w:hAnsi="Garamond" w:cs="Garamond"/>
          <w:sz w:val="28"/>
          <w:szCs w:val="28"/>
        </w:rPr>
        <w:t xml:space="preserve"> raznovrsnost, regrutacij</w:t>
      </w:r>
      <w:r w:rsidR="00330ED1">
        <w:rPr>
          <w:rFonts w:ascii="Garamond" w:hAnsi="Garamond" w:cs="Garamond"/>
          <w:sz w:val="28"/>
          <w:szCs w:val="28"/>
        </w:rPr>
        <w:t>a</w:t>
      </w:r>
      <w:r>
        <w:rPr>
          <w:rFonts w:ascii="Garamond" w:hAnsi="Garamond" w:cs="Garamond"/>
          <w:sz w:val="28"/>
          <w:szCs w:val="28"/>
        </w:rPr>
        <w:t xml:space="preserve"> kandidata, upis i status, mentorstvo, ishod</w:t>
      </w:r>
      <w:r w:rsidR="00330ED1">
        <w:rPr>
          <w:rFonts w:ascii="Garamond" w:hAnsi="Garamond" w:cs="Garamond"/>
          <w:sz w:val="28"/>
          <w:szCs w:val="28"/>
        </w:rPr>
        <w:t>i</w:t>
      </w:r>
      <w:r>
        <w:rPr>
          <w:rFonts w:ascii="Garamond" w:hAnsi="Garamond" w:cs="Garamond"/>
          <w:sz w:val="28"/>
          <w:szCs w:val="28"/>
        </w:rPr>
        <w:t>...), kao i ukloniti prepreke (finansiranj</w:t>
      </w:r>
      <w:r w:rsidR="00330ED1">
        <w:rPr>
          <w:rFonts w:ascii="Garamond" w:hAnsi="Garamond" w:cs="Garamond"/>
          <w:sz w:val="28"/>
          <w:szCs w:val="28"/>
        </w:rPr>
        <w:t>e</w:t>
      </w:r>
      <w:r>
        <w:rPr>
          <w:rFonts w:ascii="Garamond" w:hAnsi="Garamond" w:cs="Garamond"/>
          <w:sz w:val="28"/>
          <w:szCs w:val="28"/>
        </w:rPr>
        <w:t>, autonomij</w:t>
      </w:r>
      <w:r w:rsidR="00330ED1">
        <w:rPr>
          <w:rFonts w:ascii="Garamond" w:hAnsi="Garamond" w:cs="Garamond"/>
          <w:sz w:val="28"/>
          <w:szCs w:val="28"/>
        </w:rPr>
        <w:t>a</w:t>
      </w:r>
      <w:r>
        <w:rPr>
          <w:rFonts w:ascii="Garamond" w:hAnsi="Garamond" w:cs="Garamond"/>
          <w:sz w:val="28"/>
          <w:szCs w:val="28"/>
        </w:rPr>
        <w:t>, pravn</w:t>
      </w:r>
      <w:r w:rsidR="00330ED1">
        <w:rPr>
          <w:rFonts w:ascii="Garamond" w:hAnsi="Garamond" w:cs="Garamond"/>
          <w:sz w:val="28"/>
          <w:szCs w:val="28"/>
        </w:rPr>
        <w:t>i</w:t>
      </w:r>
      <w:r>
        <w:rPr>
          <w:rFonts w:ascii="Garamond" w:hAnsi="Garamond" w:cs="Garamond"/>
          <w:sz w:val="28"/>
          <w:szCs w:val="28"/>
        </w:rPr>
        <w:t xml:space="preserve"> okvir, međusektorsk</w:t>
      </w:r>
      <w:r w:rsidR="00330ED1">
        <w:rPr>
          <w:rFonts w:ascii="Garamond" w:hAnsi="Garamond" w:cs="Garamond"/>
          <w:sz w:val="28"/>
          <w:szCs w:val="28"/>
        </w:rPr>
        <w:t>a</w:t>
      </w:r>
      <w:r>
        <w:rPr>
          <w:rFonts w:ascii="Garamond" w:hAnsi="Garamond" w:cs="Garamond"/>
          <w:sz w:val="28"/>
          <w:szCs w:val="28"/>
        </w:rPr>
        <w:t xml:space="preserve"> saradnj</w:t>
      </w:r>
      <w:r w:rsidR="00330ED1">
        <w:rPr>
          <w:rFonts w:ascii="Garamond" w:hAnsi="Garamond" w:cs="Garamond"/>
          <w:sz w:val="28"/>
          <w:szCs w:val="28"/>
        </w:rPr>
        <w:t>a</w:t>
      </w:r>
      <w:r>
        <w:rPr>
          <w:rFonts w:ascii="Garamond" w:hAnsi="Garamond" w:cs="Garamond"/>
          <w:sz w:val="28"/>
          <w:szCs w:val="28"/>
        </w:rPr>
        <w:t xml:space="preserve">), da bi doktorski programi suštinski bili uspješni. </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330ED1">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330ED1">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 xml:space="preserve">Stvaranjem preduslova da se u kontinuitetu razvija istraživanje kao sastavni dio obrazovanja, razvija se istraživački pristup kod mladih, osposobljavaju se istraživači i pruža se podrška rastu i zapošljavanju zasnovanim na istraživanjima i inovacijama. </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Razvijene doktorske studije su preduslov</w:t>
      </w:r>
      <w:r w:rsidR="00330ED1">
        <w:rPr>
          <w:rFonts w:ascii="Garamond" w:hAnsi="Garamond" w:cs="Garamond"/>
          <w:color w:val="00B0F0"/>
          <w:sz w:val="28"/>
          <w:szCs w:val="28"/>
        </w:rPr>
        <w:t>:</w:t>
      </w:r>
      <w:r w:rsidRPr="00821309">
        <w:rPr>
          <w:rFonts w:ascii="Garamond" w:hAnsi="Garamond" w:cs="Garamond"/>
          <w:color w:val="00B0F0"/>
          <w:sz w:val="28"/>
          <w:szCs w:val="28"/>
        </w:rPr>
        <w:t xml:space="preserve"> da bi se odgovorilo novim izazovima istraživanja koja treba da zadovolje visoke standard</w:t>
      </w:r>
      <w:r w:rsidR="00330ED1">
        <w:rPr>
          <w:rFonts w:ascii="Garamond" w:hAnsi="Garamond" w:cs="Garamond"/>
          <w:color w:val="00B0F0"/>
          <w:sz w:val="28"/>
          <w:szCs w:val="28"/>
        </w:rPr>
        <w:t>e</w:t>
      </w:r>
      <w:r w:rsidRPr="00821309">
        <w:rPr>
          <w:rFonts w:ascii="Garamond" w:hAnsi="Garamond" w:cs="Garamond"/>
          <w:color w:val="00B0F0"/>
          <w:sz w:val="28"/>
          <w:szCs w:val="28"/>
        </w:rPr>
        <w:t xml:space="preserve">; da bi se razvile karijere mladih istraživača; i da bi se podstakao razvoj društva u cjelini. </w:t>
      </w:r>
    </w:p>
    <w:p w:rsidR="00644F2A" w:rsidRDefault="00644F2A" w:rsidP="00644F2A">
      <w:pPr>
        <w:pStyle w:val="BasicParagraph"/>
        <w:suppressAutoHyphens/>
        <w:ind w:firstLine="567"/>
        <w:jc w:val="both"/>
        <w:rPr>
          <w:rFonts w:ascii="Garamond" w:hAnsi="Garamond" w:cs="Garamond"/>
          <w:sz w:val="28"/>
          <w:szCs w:val="28"/>
        </w:rPr>
      </w:pPr>
    </w:p>
    <w:p w:rsidR="00C01B84" w:rsidRDefault="00C01B84"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2.3.5 Mobilnost u visokom obrazovanju i istraživanju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b/>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Mobilnost u EHEA definisana je u Strategiji mobilnosti do 2020. godine za Evropski prostor visokog obrazovanja, usvojenoj u Bukureštu (2012)</w:t>
      </w:r>
      <w:r>
        <w:rPr>
          <w:rFonts w:ascii="Garamond" w:hAnsi="Garamond" w:cs="Garamond"/>
          <w:sz w:val="28"/>
          <w:szCs w:val="28"/>
          <w:vertAlign w:val="superscript"/>
        </w:rPr>
        <w:footnoteReference w:id="12"/>
      </w:r>
      <w:r>
        <w:rPr>
          <w:rFonts w:ascii="Garamond" w:hAnsi="Garamond" w:cs="Garamond"/>
          <w:sz w:val="28"/>
          <w:szCs w:val="28"/>
        </w:rPr>
        <w:t xml:space="preserve">, i obuhvata planove i ciljeve mobilnosti, polazeći od promovisanja visokog kvaliteta mobilnosti studenata, istraživača, nastavnika i ostalog osoblja.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Za visok kvalitet mobilnosti obrazovni ciljevi primarno treba da budu usmjereni na jačanje znanja, vještina i kompetencija. Unapređenjem mobilnosti sistemi visokog obrazovanja i ustanove visokog obrazovanja dodatno poboljšavaju svoj rad kroz međusobno poređenje i lični razvoj ljudi u pokretu, a kulturni identitet Evrope se dodatno osnažuje. U Kominikeu iz Luvena formulisan je cilj mobilnosti da u 2020. godini najmanje 20% studenata koji studiraju u Evropskom prostoru visokog obrazovanja treba da ima iskustvo u inostranstvu vezano za studiranje ili obuku.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promovisanje ciljeva mobilnosti, ova Strategija i Kominike su izdvojili niz mjera koje treba preduzeti na institucionalnom, nacionalnom i evropskom nivou. One polaze od potrebe da se pripreme strategije mobilnosti s mjerama praćenja, da se obezbijedi otvorenost sistema visokog obrazovanja s uklonjenim preprekama za mobilnost, razvijenim sistemom kvaliteta, poboljšanim informisanjem i komunikacijom.</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Polazeći od stava da je mobilnost vrijeme provedeno na studijama u inostranstvu za sticanje najmanje 15 ECTS kredita ili tri mjeseca (kraći studijski boravci), kao i boravci tokom kojih se stiče diploma u inostranstvu (kompletan ciklus studija), neophodno je da </w:t>
      </w:r>
      <w:r w:rsidR="000466F6">
        <w:rPr>
          <w:rFonts w:ascii="Garamond" w:hAnsi="Garamond" w:cs="Garamond"/>
          <w:sz w:val="28"/>
          <w:szCs w:val="28"/>
        </w:rPr>
        <w:t xml:space="preserve">sve </w:t>
      </w:r>
      <w:r>
        <w:rPr>
          <w:rFonts w:ascii="Garamond" w:hAnsi="Garamond" w:cs="Garamond"/>
          <w:sz w:val="28"/>
          <w:szCs w:val="28"/>
        </w:rPr>
        <w:t>ustanove visokog obrazovanje usvoje i realizuju svoje strategije za internacionalizaciju i promovisanje mobilnosti. Prit</w:t>
      </w:r>
      <w:r w:rsidR="006440F7">
        <w:rPr>
          <w:rFonts w:ascii="Garamond" w:hAnsi="Garamond" w:cs="Garamond"/>
          <w:sz w:val="28"/>
          <w:szCs w:val="28"/>
        </w:rPr>
        <w:t>om je posebno važno da procedure</w:t>
      </w:r>
      <w:r>
        <w:rPr>
          <w:rFonts w:ascii="Garamond" w:hAnsi="Garamond" w:cs="Garamond"/>
          <w:sz w:val="28"/>
          <w:szCs w:val="28"/>
        </w:rPr>
        <w:t xml:space="preserve"> i uslovi za realizaciju mobilnosti budu jednostavni</w:t>
      </w:r>
      <w:r w:rsidR="006440F7">
        <w:rPr>
          <w:rFonts w:ascii="Garamond" w:hAnsi="Garamond" w:cs="Garamond"/>
          <w:sz w:val="28"/>
          <w:szCs w:val="28"/>
        </w:rPr>
        <w:t xml:space="preserve"> i fleksibilni</w:t>
      </w:r>
      <w:r>
        <w:rPr>
          <w:rFonts w:ascii="Garamond" w:hAnsi="Garamond" w:cs="Garamond"/>
          <w:sz w:val="28"/>
          <w:szCs w:val="28"/>
        </w:rPr>
        <w:t>.</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Postoje brojni izazovi u ovoj oblasti:</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Usvojene strategije</w:t>
      </w:r>
      <w:r w:rsidR="000466F6">
        <w:rPr>
          <w:rFonts w:ascii="Garamond" w:hAnsi="Garamond" w:cs="Garamond"/>
          <w:color w:val="00B0F0"/>
          <w:sz w:val="28"/>
          <w:szCs w:val="28"/>
        </w:rPr>
        <w:t xml:space="preserve"> na svim ustanovama visokog obrazovanja, a </w:t>
      </w:r>
      <w:r w:rsidRPr="00821309">
        <w:rPr>
          <w:rFonts w:ascii="Garamond" w:hAnsi="Garamond" w:cs="Garamond"/>
          <w:color w:val="00B0F0"/>
          <w:sz w:val="28"/>
          <w:szCs w:val="28"/>
        </w:rPr>
        <w:t>mobilnost razvijena i prilagođena svim učesnicima procesa visokog obrazovanja (studentima, istraživačima u ranoj fazi, nastavnicima i drugom osoblju).</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r>
      <w:r w:rsidR="000466F6">
        <w:rPr>
          <w:rFonts w:ascii="Garamond" w:hAnsi="Garamond" w:cs="Garamond"/>
          <w:color w:val="00B0F0"/>
          <w:sz w:val="28"/>
          <w:szCs w:val="28"/>
        </w:rPr>
        <w:t>Osigurano f</w:t>
      </w:r>
      <w:r w:rsidRPr="00821309">
        <w:rPr>
          <w:rFonts w:ascii="Garamond" w:hAnsi="Garamond" w:cs="Garamond"/>
          <w:color w:val="00B0F0"/>
          <w:sz w:val="28"/>
          <w:szCs w:val="28"/>
        </w:rPr>
        <w:t>ormalno prizna</w:t>
      </w:r>
      <w:r w:rsidR="000466F6">
        <w:rPr>
          <w:rFonts w:ascii="Garamond" w:hAnsi="Garamond" w:cs="Garamond"/>
          <w:color w:val="00B0F0"/>
          <w:sz w:val="28"/>
          <w:szCs w:val="28"/>
        </w:rPr>
        <w:t>vanje</w:t>
      </w:r>
      <w:r w:rsidRPr="00821309">
        <w:rPr>
          <w:rFonts w:ascii="Garamond" w:hAnsi="Garamond" w:cs="Garamond"/>
          <w:color w:val="00B0F0"/>
          <w:sz w:val="28"/>
          <w:szCs w:val="28"/>
        </w:rPr>
        <w:t xml:space="preserve"> kompetencij</w:t>
      </w:r>
      <w:r w:rsidR="000466F6">
        <w:rPr>
          <w:rFonts w:ascii="Garamond" w:hAnsi="Garamond" w:cs="Garamond"/>
          <w:color w:val="00B0F0"/>
          <w:sz w:val="28"/>
          <w:szCs w:val="28"/>
        </w:rPr>
        <w:t>a</w:t>
      </w:r>
      <w:r w:rsidRPr="00821309">
        <w:rPr>
          <w:rFonts w:ascii="Garamond" w:hAnsi="Garamond" w:cs="Garamond"/>
          <w:color w:val="00B0F0"/>
          <w:sz w:val="28"/>
          <w:szCs w:val="28"/>
        </w:rPr>
        <w:t xml:space="preserve"> stečen</w:t>
      </w:r>
      <w:r w:rsidR="000466F6">
        <w:rPr>
          <w:rFonts w:ascii="Garamond" w:hAnsi="Garamond" w:cs="Garamond"/>
          <w:color w:val="00B0F0"/>
          <w:sz w:val="28"/>
          <w:szCs w:val="28"/>
        </w:rPr>
        <w:t>ih</w:t>
      </w:r>
      <w:r w:rsidRPr="00821309">
        <w:rPr>
          <w:rFonts w:ascii="Garamond" w:hAnsi="Garamond" w:cs="Garamond"/>
          <w:color w:val="00B0F0"/>
          <w:sz w:val="28"/>
          <w:szCs w:val="28"/>
        </w:rPr>
        <w:t xml:space="preserve"> u inostranstvu, kako bi ustanove razvijale podsticajne mjere za veće učešće u internacionalizaciji, mobilnosti i obezbjeđenju dobrih radnih uslova za mobilno osoblje. </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Međunarodno iskustvo koje se može sticati „kod kuće” razvijanjem virtuelne mobilnosti.</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Mobilnosti u ERA (mobilnost za istraživače) zasniva se na uspostavljanju i razvoju ambijenta koji će značajno afirmisati mobilnost istraživača i odnosi se na unapređenje zakonodavstva za prijem istraživača, pristup informacijama o zapošljavanju, socijalnoj zaštiti i oporezivanju, finansijsku podršku, kao i praktičnu pomoć kroz mreže centara mobilnosti (nacionalne kontakt tačke, CP).</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Posebna pažnja usmjerena je na intersektorsku mobilnost (akademija - industrija). Značaj ovog segmenta mobilnosti je izdvojen sa nizom preporuka — razvoj zajedničkih programa edukacije, priprema istraživača u ranoj fazi razvoja karijere u oba sektora, supervizija, radni odnos, partnerstvo, uklanjanje prepreka, obezbijeđeno finansiranje i aktivn</w:t>
      </w:r>
      <w:r w:rsidR="00085A81">
        <w:rPr>
          <w:rFonts w:ascii="Garamond" w:hAnsi="Garamond" w:cs="Garamond"/>
          <w:sz w:val="28"/>
          <w:szCs w:val="28"/>
        </w:rPr>
        <w:t>a</w:t>
      </w:r>
      <w:r>
        <w:rPr>
          <w:rFonts w:ascii="Garamond" w:hAnsi="Garamond" w:cs="Garamond"/>
          <w:sz w:val="28"/>
          <w:szCs w:val="28"/>
        </w:rPr>
        <w:t xml:space="preserve"> podrška implementaciji postojećih i budućih EU inicijativa, shema i instrumenata. </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r w:rsidR="00821309">
        <w:rPr>
          <w:rFonts w:ascii="Garamond" w:hAnsi="Garamond" w:cs="Garamond"/>
          <w:color w:val="00B0F0"/>
          <w:sz w:val="28"/>
          <w:szCs w:val="28"/>
        </w:rPr>
        <w:t>:</w:t>
      </w:r>
    </w:p>
    <w:p w:rsidR="00644F2A" w:rsidRPr="00821309" w:rsidRDefault="00644F2A" w:rsidP="00644F2A">
      <w:pPr>
        <w:pStyle w:val="BasicParagraph"/>
        <w:suppressAutoHyphens/>
        <w:ind w:left="1247" w:right="1134"/>
        <w:jc w:val="both"/>
        <w:rPr>
          <w:rFonts w:ascii="Garamond" w:hAnsi="Garamond" w:cs="Garamond"/>
          <w:color w:val="00B0F0"/>
          <w:sz w:val="28"/>
          <w:szCs w:val="28"/>
        </w:rPr>
      </w:pPr>
      <w:r w:rsidRPr="00821309">
        <w:rPr>
          <w:rFonts w:ascii="Garamond" w:hAnsi="Garamond" w:cs="Garamond"/>
          <w:color w:val="00B0F0"/>
          <w:sz w:val="28"/>
          <w:szCs w:val="28"/>
        </w:rPr>
        <w:t xml:space="preserve">Razvijena inersektorska mobilnost i saradnja ustanova i tržišta rada poželjna je za racionalno povezivanje potreba obrazovanja, istraživanja i razvoja društva. Razvijena saradnja pruža uslove za značajan napredak sa nizom pozitivnih rezultata, kako za ustanove (akademije) tako i za tržišta rada (industriju), posebno za adekvatno i blagovremeno prilagođavanje dinamičnim promjenama u svim oblastima tržišta rada. </w:t>
      </w:r>
    </w:p>
    <w:p w:rsidR="00644F2A" w:rsidRPr="00821309" w:rsidRDefault="00644F2A" w:rsidP="00644F2A">
      <w:pPr>
        <w:pStyle w:val="BasicParagraph"/>
        <w:suppressAutoHyphens/>
        <w:ind w:firstLine="567"/>
        <w:jc w:val="both"/>
        <w:rPr>
          <w:rFonts w:ascii="Garamond" w:hAnsi="Garamond" w:cs="Garamond"/>
          <w:color w:val="00B0F0"/>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 xml:space="preserve">2.4 Analiza stanja - detaljniji uvid. Usklađenosti sa crnogorskim normativnim/strateškim okvirom. Izazovi.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 xml:space="preserve">2.4.1 Normativni okvir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Normativni okvir visokog obrazovanja započet je usvajanjem Zakona o visokom obrazovanju 2003. godine. Značaj ovog Zakona je poseban, jer je predstavljao početak napora da se visoko obrazovanje u Crnoj Gori približi evropskim sistemima, ne zapostavljajući nacionalnu tradiciju koja nije protivurječna ovim principima.</w:t>
      </w:r>
      <w:r>
        <w:rPr>
          <w:rFonts w:ascii="Garamond" w:hAnsi="Garamond" w:cs="Garamond"/>
          <w:sz w:val="28"/>
          <w:szCs w:val="28"/>
          <w:vertAlign w:val="superscript"/>
        </w:rPr>
        <w:footnoteReference w:id="13"/>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Usaglašavanjem Statuta Univerziteta Crne Gore, tada jedine ustanove visokog obrazovanja u Crnoj Gori, sa Zakonom i usvajanjem ostalih podzakonskih akata stvoren je normativni institucionalni okvir i počela je organizacija visokog obrazovanja u Crnoj Gori u skladu s principima Bolonjskog  procesa (2004). Članstvo Crne Gore, kao samostalne i međunarodno priznate države, u tom procesu verifikovano je na Ministarskoj konferenciji u Londonu 2007. godine.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Dalje usaglašavanje s razvojnim potrebama visokog obrazovanja </w:t>
      </w:r>
      <w:r w:rsidR="00085A81">
        <w:rPr>
          <w:rFonts w:ascii="Garamond" w:hAnsi="Garamond" w:cs="Garamond"/>
          <w:sz w:val="28"/>
          <w:szCs w:val="28"/>
        </w:rPr>
        <w:t>iz</w:t>
      </w:r>
      <w:r>
        <w:rPr>
          <w:rFonts w:ascii="Garamond" w:hAnsi="Garamond" w:cs="Garamond"/>
          <w:sz w:val="28"/>
          <w:szCs w:val="28"/>
        </w:rPr>
        <w:t>vršeno je</w:t>
      </w:r>
      <w:r w:rsidR="00085A81">
        <w:rPr>
          <w:rFonts w:ascii="Garamond" w:hAnsi="Garamond" w:cs="Garamond"/>
          <w:sz w:val="28"/>
          <w:szCs w:val="28"/>
        </w:rPr>
        <w:t xml:space="preserve"> usvajanjem </w:t>
      </w:r>
      <w:r>
        <w:rPr>
          <w:rFonts w:ascii="Garamond" w:hAnsi="Garamond" w:cs="Garamond"/>
          <w:sz w:val="28"/>
          <w:szCs w:val="28"/>
        </w:rPr>
        <w:t>Zakon</w:t>
      </w:r>
      <w:r w:rsidR="0049413B">
        <w:rPr>
          <w:rFonts w:ascii="Garamond" w:hAnsi="Garamond" w:cs="Garamond"/>
          <w:sz w:val="28"/>
          <w:szCs w:val="28"/>
        </w:rPr>
        <w:t>a</w:t>
      </w:r>
      <w:r>
        <w:rPr>
          <w:rFonts w:ascii="Garamond" w:hAnsi="Garamond" w:cs="Garamond"/>
          <w:sz w:val="28"/>
          <w:szCs w:val="28"/>
        </w:rPr>
        <w:t xml:space="preserve"> 2014. godine i 2017. godine i </w:t>
      </w:r>
      <w:r w:rsidR="00085A81">
        <w:rPr>
          <w:rFonts w:ascii="Garamond" w:hAnsi="Garamond" w:cs="Garamond"/>
          <w:sz w:val="28"/>
          <w:szCs w:val="28"/>
        </w:rPr>
        <w:t>radom na novom</w:t>
      </w:r>
      <w:r>
        <w:rPr>
          <w:rFonts w:ascii="Garamond" w:hAnsi="Garamond" w:cs="Garamond"/>
          <w:sz w:val="28"/>
          <w:szCs w:val="28"/>
        </w:rPr>
        <w:t xml:space="preserve"> Zakon</w:t>
      </w:r>
      <w:r w:rsidR="0049413B">
        <w:rPr>
          <w:rFonts w:ascii="Garamond" w:hAnsi="Garamond" w:cs="Garamond"/>
          <w:sz w:val="28"/>
          <w:szCs w:val="28"/>
        </w:rPr>
        <w:t>u</w:t>
      </w:r>
      <w:r>
        <w:rPr>
          <w:rFonts w:ascii="Garamond" w:hAnsi="Garamond" w:cs="Garamond"/>
          <w:sz w:val="28"/>
          <w:szCs w:val="28"/>
        </w:rPr>
        <w:t xml:space="preserve"> o visokom obrazovanju</w:t>
      </w:r>
      <w:r w:rsidR="0049413B">
        <w:rPr>
          <w:rFonts w:ascii="Garamond" w:hAnsi="Garamond" w:cs="Garamond"/>
          <w:sz w:val="28"/>
          <w:szCs w:val="28"/>
        </w:rPr>
        <w:t xml:space="preserve">. </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Usvojeni su i ostali zakoni: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nacionalnom okviru kvalifikacija;</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nacionalnim stručnim kvalifikacijama;</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obrazovanju odraslih;</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priznavanju inostranih kvalifikacija za obavljanje regulisane profesije;</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priznavanju inostranih obrazovnih isprava i izjednačavanju kvalifikacija;</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Deklaracija o priznavanju kvalifikacija u visokom obrazovanju koja predviđa automatski model priznavanja visokoškolskih kvalifikacija i perioda studija provedenih u inostranstvu</w:t>
      </w:r>
      <w:r>
        <w:rPr>
          <w:rFonts w:ascii="Garamond" w:hAnsi="Garamond" w:cs="Garamond"/>
          <w:sz w:val="28"/>
          <w:szCs w:val="28"/>
          <w:vertAlign w:val="superscript"/>
        </w:rPr>
        <w:footnoteReference w:id="14"/>
      </w:r>
      <w:r w:rsidRPr="005D5EC6">
        <w:rPr>
          <w:rFonts w:ascii="Garamond" w:hAnsi="Garamond" w:cs="Garamond"/>
          <w:sz w:val="28"/>
          <w:szCs w:val="28"/>
          <w:lang w:val="fr-FR"/>
        </w:rPr>
        <w:t>;</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stručnom osposobljavanju lica sa stečenim visokim obrazovanjem;</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 xml:space="preserve">Zakon o akademskom integritetu;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t>Zakon o naučnoistraživačkoj djelatnosti;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kao i podzakonska akta koja regulišu funkcionisanje visokog obrazovanja (strategije, uredbe i pravilnici).</w:t>
      </w:r>
      <w:r>
        <w:rPr>
          <w:rFonts w:ascii="Garamond" w:hAnsi="Garamond" w:cs="Garamond"/>
          <w:sz w:val="28"/>
          <w:szCs w:val="28"/>
          <w:vertAlign w:val="superscript"/>
        </w:rPr>
        <w:footnoteReference w:id="15"/>
      </w:r>
      <w:r w:rsidRPr="005D5EC6">
        <w:rPr>
          <w:rFonts w:ascii="Garamond" w:hAnsi="Garamond" w:cs="Garamond"/>
          <w:sz w:val="28"/>
          <w:szCs w:val="28"/>
          <w:lang w:val="fr-FR"/>
        </w:rPr>
        <w:t xml:space="preserve"> Posebno treba naglasiti da je Agencija za kontrolu i obezbjeđenje kvaliteta visokog obrazovanja pripremila podzakonska akta koja regulišu postupke akreditacije i reakreditacije studijskih programa i ustanova, uključujući i programe cjeloživotnog učenja.</w:t>
      </w:r>
      <w:r>
        <w:rPr>
          <w:rFonts w:ascii="Garamond" w:hAnsi="Garamond" w:cs="Garamond"/>
          <w:sz w:val="28"/>
          <w:szCs w:val="28"/>
          <w:vertAlign w:val="superscript"/>
        </w:rPr>
        <w:footnoteReference w:id="16"/>
      </w:r>
      <w:r w:rsidRPr="005D5EC6">
        <w:rPr>
          <w:rFonts w:ascii="Garamond" w:hAnsi="Garamond" w:cs="Garamond"/>
          <w:sz w:val="28"/>
          <w:szCs w:val="28"/>
          <w:lang w:val="fr-FR"/>
        </w:rPr>
        <w:t xml:space="preserve">  </w:t>
      </w:r>
    </w:p>
    <w:p w:rsidR="00644F2A" w:rsidRPr="005D5EC6" w:rsidRDefault="00644F2A">
      <w:pPr>
        <w:rPr>
          <w:lang w:val="fr-FR"/>
        </w:rPr>
      </w:pPr>
    </w:p>
    <w:p w:rsidR="00644F2A" w:rsidRPr="005D5EC6" w:rsidRDefault="00644F2A" w:rsidP="00644F2A">
      <w:pPr>
        <w:pStyle w:val="BasicParagraph"/>
        <w:suppressAutoHyphens/>
        <w:ind w:firstLine="567"/>
        <w:jc w:val="both"/>
        <w:rPr>
          <w:rFonts w:ascii="Garamond" w:hAnsi="Garamond" w:cs="Garamond"/>
          <w:b/>
          <w:bCs/>
          <w:sz w:val="28"/>
          <w:szCs w:val="28"/>
          <w:lang w:val="fr-FR"/>
        </w:rPr>
      </w:pPr>
      <w:r w:rsidRPr="005D5EC6">
        <w:rPr>
          <w:rFonts w:ascii="Garamond" w:hAnsi="Garamond" w:cs="Garamond"/>
          <w:b/>
          <w:bCs/>
          <w:sz w:val="28"/>
          <w:szCs w:val="28"/>
          <w:lang w:val="fr-FR"/>
        </w:rPr>
        <w:t>2.4.2 Finansiranje</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884DBB" w:rsidP="00644F2A">
      <w:pPr>
        <w:pStyle w:val="BasicParagraph"/>
        <w:suppressAutoHyphens/>
        <w:ind w:firstLine="567"/>
        <w:jc w:val="both"/>
        <w:rPr>
          <w:rFonts w:ascii="Garamond" w:hAnsi="Garamond" w:cs="Garamond"/>
          <w:color w:val="auto"/>
          <w:sz w:val="28"/>
          <w:szCs w:val="28"/>
          <w:lang w:val="fr-FR"/>
        </w:rPr>
      </w:pPr>
      <w:r w:rsidRPr="005D5EC6">
        <w:rPr>
          <w:rFonts w:ascii="Garamond" w:hAnsi="Garamond" w:cs="Garamond"/>
          <w:sz w:val="28"/>
          <w:szCs w:val="28"/>
          <w:lang w:val="fr-FR"/>
        </w:rPr>
        <w:t xml:space="preserve">Ugovorno budžetsko finansiranje primjenjuje se od 2018. godine </w:t>
      </w:r>
      <w:r w:rsidR="00644F2A" w:rsidRPr="005D5EC6">
        <w:rPr>
          <w:rFonts w:ascii="Garamond" w:hAnsi="Garamond" w:cs="Garamond"/>
          <w:sz w:val="28"/>
          <w:szCs w:val="28"/>
          <w:lang w:val="fr-FR"/>
        </w:rPr>
        <w:t>za sve osnovne studije na Univerzitetu Crne Gore, a od 2021. godine primjenjuje se i za master studije. Budžet za finansiran</w:t>
      </w:r>
      <w:r w:rsidR="00225489" w:rsidRPr="005D5EC6">
        <w:rPr>
          <w:rFonts w:ascii="Garamond" w:hAnsi="Garamond" w:cs="Garamond"/>
          <w:sz w:val="28"/>
          <w:szCs w:val="28"/>
          <w:lang w:val="fr-FR"/>
        </w:rPr>
        <w:t>je Univerziteta Crne Gore kontinuirano se uvećava</w:t>
      </w:r>
      <w:r w:rsidR="00644F2A" w:rsidRPr="005D5EC6">
        <w:rPr>
          <w:rFonts w:ascii="Garamond" w:hAnsi="Garamond" w:cs="Garamond"/>
          <w:sz w:val="28"/>
          <w:szCs w:val="28"/>
          <w:lang w:val="fr-FR"/>
        </w:rPr>
        <w:t xml:space="preserve"> (sa 17,3 miliona u 2017; 19,3 miliona u 2018; </w:t>
      </w:r>
      <w:r w:rsidR="00225489" w:rsidRPr="005D5EC6">
        <w:rPr>
          <w:rFonts w:ascii="Garamond" w:hAnsi="Garamond" w:cs="Garamond"/>
          <w:color w:val="auto"/>
          <w:sz w:val="28"/>
          <w:szCs w:val="28"/>
          <w:lang w:val="fr-FR"/>
        </w:rPr>
        <w:t>20,6</w:t>
      </w:r>
      <w:r w:rsidR="002A1805" w:rsidRPr="005D5EC6">
        <w:rPr>
          <w:rFonts w:ascii="Garamond" w:hAnsi="Garamond" w:cs="Garamond"/>
          <w:color w:val="auto"/>
          <w:sz w:val="28"/>
          <w:szCs w:val="28"/>
          <w:lang w:val="fr-FR"/>
        </w:rPr>
        <w:t xml:space="preserve"> miliona 2020; </w:t>
      </w:r>
      <w:r w:rsidR="00225489" w:rsidRPr="005D5EC6">
        <w:rPr>
          <w:rFonts w:ascii="Garamond" w:hAnsi="Garamond" w:cs="Garamond"/>
          <w:color w:val="auto"/>
          <w:sz w:val="28"/>
          <w:szCs w:val="28"/>
          <w:lang w:val="fr-FR"/>
        </w:rPr>
        <w:t xml:space="preserve">20,6 miliona </w:t>
      </w:r>
      <w:r w:rsidR="003F19FD" w:rsidRPr="005D5EC6">
        <w:rPr>
          <w:rFonts w:ascii="Garamond" w:hAnsi="Garamond" w:cs="Garamond"/>
          <w:color w:val="auto"/>
          <w:sz w:val="28"/>
          <w:szCs w:val="28"/>
          <w:lang w:val="fr-FR"/>
        </w:rPr>
        <w:t>2021</w:t>
      </w:r>
      <w:r w:rsidR="00644F2A" w:rsidRPr="005D5EC6">
        <w:rPr>
          <w:rFonts w:ascii="Garamond" w:hAnsi="Garamond" w:cs="Garamond"/>
          <w:color w:val="auto"/>
          <w:sz w:val="28"/>
          <w:szCs w:val="28"/>
          <w:lang w:val="fr-FR"/>
        </w:rPr>
        <w:t xml:space="preserve">). </w:t>
      </w:r>
    </w:p>
    <w:p w:rsidR="002A1805" w:rsidRPr="005D5EC6" w:rsidRDefault="002A1805" w:rsidP="00644F2A">
      <w:pPr>
        <w:pStyle w:val="BasicParagraph"/>
        <w:suppressAutoHyphens/>
        <w:ind w:firstLine="567"/>
        <w:jc w:val="both"/>
        <w:rPr>
          <w:rFonts w:ascii="Garamond" w:hAnsi="Garamond" w:cs="Garamond"/>
          <w:color w:val="auto"/>
          <w:sz w:val="28"/>
          <w:szCs w:val="28"/>
          <w:lang w:val="fr-FR"/>
        </w:rPr>
      </w:pPr>
    </w:p>
    <w:p w:rsidR="002A1805" w:rsidRPr="005D5EC6" w:rsidRDefault="00225489"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U tabeli je prikazano ukupno izdvajanje za visoko obrazovanje, koje obuhvata rad Direktorata za visoko obrazovanje Ministarstva prosvjete, nauke, kulture i sporta, finansiranje Univerziteta Crne Gore, Fakulteta za crnogorski jezik i književnost i Policijske akademije. Pored izdvajanja, koje je navedeno u tabeli važno je napomenuti da se značajna finansijska sredstva izdvajaju za program </w:t>
      </w:r>
      <w:r w:rsidRPr="005D5EC6">
        <w:rPr>
          <w:rFonts w:ascii="Garamond" w:hAnsi="Garamond" w:cs="Garamond"/>
          <w:sz w:val="28"/>
          <w:szCs w:val="28"/>
          <w:lang w:val="fr-FR"/>
        </w:rPr>
        <w:lastRenderedPageBreak/>
        <w:t xml:space="preserve">stručnog osposobljavanja lica sa stečenim visokim obrazovanjem (7.5 milioa godišnje) i za direktorat za nauku.  </w:t>
      </w:r>
    </w:p>
    <w:p w:rsidR="002A1805" w:rsidRPr="005D5EC6" w:rsidRDefault="002A1805" w:rsidP="00644F2A">
      <w:pPr>
        <w:pStyle w:val="BasicParagraph"/>
        <w:suppressAutoHyphens/>
        <w:ind w:firstLine="567"/>
        <w:jc w:val="both"/>
        <w:rPr>
          <w:rFonts w:ascii="Garamond" w:hAnsi="Garamond" w:cs="Garamond"/>
          <w:sz w:val="28"/>
          <w:szCs w:val="28"/>
          <w:lang w:val="fr-FR"/>
        </w:rPr>
      </w:pPr>
    </w:p>
    <w:p w:rsidR="002A1805" w:rsidRPr="005D5EC6" w:rsidRDefault="002A1805" w:rsidP="00644F2A">
      <w:pPr>
        <w:pStyle w:val="BasicParagraph"/>
        <w:suppressAutoHyphens/>
        <w:ind w:firstLine="567"/>
        <w:jc w:val="both"/>
        <w:rPr>
          <w:rFonts w:ascii="Garamond" w:hAnsi="Garamond" w:cs="Garamond"/>
          <w:sz w:val="28"/>
          <w:szCs w:val="28"/>
          <w:lang w:val="fr-FR"/>
        </w:rPr>
      </w:pPr>
    </w:p>
    <w:tbl>
      <w:tblPr>
        <w:tblStyle w:val="TableGrid"/>
        <w:tblW w:w="0" w:type="auto"/>
        <w:tblLook w:val="04A0" w:firstRow="1" w:lastRow="0" w:firstColumn="1" w:lastColumn="0" w:noHBand="0" w:noVBand="1"/>
      </w:tblPr>
      <w:tblGrid>
        <w:gridCol w:w="2693"/>
        <w:gridCol w:w="2699"/>
        <w:gridCol w:w="2699"/>
        <w:gridCol w:w="2699"/>
      </w:tblGrid>
      <w:tr w:rsidR="002A1805" w:rsidTr="00E50E0D">
        <w:tc>
          <w:tcPr>
            <w:tcW w:w="2754" w:type="dxa"/>
            <w:shd w:val="clear" w:color="auto" w:fill="00B0F0"/>
          </w:tcPr>
          <w:p w:rsidR="002A1805" w:rsidRPr="005D5EC6" w:rsidRDefault="002A1805" w:rsidP="00644F2A">
            <w:pPr>
              <w:pStyle w:val="BasicParagraph"/>
              <w:suppressAutoHyphens/>
              <w:jc w:val="both"/>
              <w:rPr>
                <w:rFonts w:ascii="Garamond" w:hAnsi="Garamond" w:cs="Garamond"/>
                <w:color w:val="auto"/>
                <w:lang w:val="fr-FR"/>
              </w:rPr>
            </w:pPr>
          </w:p>
        </w:tc>
        <w:tc>
          <w:tcPr>
            <w:tcW w:w="2754" w:type="dxa"/>
            <w:shd w:val="clear" w:color="auto" w:fill="00B0F0"/>
          </w:tcPr>
          <w:p w:rsidR="002A1805" w:rsidRPr="00E50E0D" w:rsidRDefault="002A1805" w:rsidP="002A1805">
            <w:pPr>
              <w:pStyle w:val="BasicParagraph"/>
              <w:suppressAutoHyphens/>
              <w:jc w:val="center"/>
              <w:rPr>
                <w:rFonts w:ascii="Garamond" w:hAnsi="Garamond" w:cs="Garamond"/>
                <w:color w:val="auto"/>
              </w:rPr>
            </w:pPr>
            <w:r w:rsidRPr="00E50E0D">
              <w:rPr>
                <w:rFonts w:ascii="Garamond" w:hAnsi="Garamond" w:cs="Garamond"/>
                <w:color w:val="auto"/>
              </w:rPr>
              <w:t>2019</w:t>
            </w:r>
          </w:p>
        </w:tc>
        <w:tc>
          <w:tcPr>
            <w:tcW w:w="2754" w:type="dxa"/>
            <w:shd w:val="clear" w:color="auto" w:fill="00B0F0"/>
          </w:tcPr>
          <w:p w:rsidR="002A1805" w:rsidRPr="00E50E0D" w:rsidRDefault="002A1805" w:rsidP="002A1805">
            <w:pPr>
              <w:pStyle w:val="BasicParagraph"/>
              <w:suppressAutoHyphens/>
              <w:jc w:val="center"/>
              <w:rPr>
                <w:rFonts w:ascii="Garamond" w:hAnsi="Garamond" w:cs="Garamond"/>
                <w:color w:val="auto"/>
              </w:rPr>
            </w:pPr>
            <w:r w:rsidRPr="00E50E0D">
              <w:rPr>
                <w:rFonts w:ascii="Garamond" w:hAnsi="Garamond" w:cs="Garamond"/>
                <w:color w:val="auto"/>
              </w:rPr>
              <w:t>2020</w:t>
            </w:r>
          </w:p>
        </w:tc>
        <w:tc>
          <w:tcPr>
            <w:tcW w:w="2754" w:type="dxa"/>
            <w:shd w:val="clear" w:color="auto" w:fill="00B0F0"/>
          </w:tcPr>
          <w:p w:rsidR="002A1805" w:rsidRPr="00E50E0D" w:rsidRDefault="002A1805" w:rsidP="002A1805">
            <w:pPr>
              <w:pStyle w:val="BasicParagraph"/>
              <w:suppressAutoHyphens/>
              <w:jc w:val="center"/>
              <w:rPr>
                <w:rFonts w:ascii="Garamond" w:hAnsi="Garamond" w:cs="Garamond"/>
                <w:color w:val="auto"/>
              </w:rPr>
            </w:pPr>
            <w:r w:rsidRPr="00E50E0D">
              <w:rPr>
                <w:rFonts w:ascii="Garamond" w:hAnsi="Garamond" w:cs="Garamond"/>
                <w:color w:val="auto"/>
              </w:rPr>
              <w:t>2021</w:t>
            </w:r>
          </w:p>
        </w:tc>
      </w:tr>
      <w:tr w:rsidR="002A1805" w:rsidTr="002A1805">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 xml:space="preserve">Program visoko obrazovanje </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493.395,05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559.197,00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270.001,00 eura</w:t>
            </w:r>
          </w:p>
        </w:tc>
      </w:tr>
      <w:tr w:rsidR="002A1805" w:rsidTr="002A1805">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UCG</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19.357.229,00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20.648.727,00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20.648.727,00 eura</w:t>
            </w:r>
          </w:p>
        </w:tc>
      </w:tr>
      <w:tr w:rsidR="002A1805" w:rsidTr="002A1805">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FCJK</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591.834,40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629.944,40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561.646,10</w:t>
            </w:r>
          </w:p>
        </w:tc>
      </w:tr>
      <w:tr w:rsidR="002A1805" w:rsidTr="002A1805">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Policijska akademija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1.221.653,80</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1.296.495,80 eura</w:t>
            </w:r>
          </w:p>
        </w:tc>
        <w:tc>
          <w:tcPr>
            <w:tcW w:w="2754" w:type="dxa"/>
          </w:tcPr>
          <w:p w:rsidR="002A1805" w:rsidRPr="002A1805" w:rsidRDefault="002A1805" w:rsidP="00644F2A">
            <w:pPr>
              <w:pStyle w:val="BasicParagraph"/>
              <w:suppressAutoHyphens/>
              <w:jc w:val="both"/>
              <w:rPr>
                <w:rFonts w:ascii="Garamond" w:hAnsi="Garamond" w:cs="Garamond"/>
              </w:rPr>
            </w:pPr>
            <w:r w:rsidRPr="002A1805">
              <w:rPr>
                <w:rFonts w:ascii="Garamond" w:hAnsi="Garamond" w:cs="Garamond"/>
              </w:rPr>
              <w:t>1.171.192,90 eura</w:t>
            </w:r>
          </w:p>
        </w:tc>
      </w:tr>
    </w:tbl>
    <w:p w:rsidR="002A1805" w:rsidRDefault="002A1805" w:rsidP="00644F2A">
      <w:pPr>
        <w:pStyle w:val="BasicParagraph"/>
        <w:suppressAutoHyphens/>
        <w:ind w:firstLine="567"/>
        <w:jc w:val="both"/>
        <w:rPr>
          <w:rFonts w:ascii="Garamond" w:hAnsi="Garamond" w:cs="Garamond"/>
          <w:sz w:val="28"/>
          <w:szCs w:val="28"/>
        </w:rPr>
      </w:pPr>
    </w:p>
    <w:p w:rsidR="002A1805" w:rsidRDefault="002A1805" w:rsidP="00644F2A">
      <w:pPr>
        <w:pStyle w:val="BasicParagraph"/>
        <w:suppressAutoHyphens/>
        <w:ind w:firstLine="567"/>
        <w:jc w:val="both"/>
        <w:rPr>
          <w:rFonts w:ascii="Garamond" w:hAnsi="Garamond" w:cs="Garamond"/>
          <w:sz w:val="28"/>
          <w:szCs w:val="28"/>
        </w:rPr>
      </w:pPr>
    </w:p>
    <w:p w:rsidR="002A1805" w:rsidRDefault="002A1805" w:rsidP="00644F2A">
      <w:pPr>
        <w:pStyle w:val="BasicParagraph"/>
        <w:suppressAutoHyphens/>
        <w:ind w:firstLine="567"/>
        <w:jc w:val="both"/>
        <w:rPr>
          <w:rFonts w:ascii="Garamond" w:hAnsi="Garamond" w:cs="Garamond"/>
          <w:sz w:val="28"/>
          <w:szCs w:val="28"/>
        </w:rPr>
      </w:pPr>
    </w:p>
    <w:p w:rsidR="00644F2A" w:rsidRDefault="00644F2A" w:rsidP="00884DBB">
      <w:pPr>
        <w:pStyle w:val="BasicParagraph"/>
        <w:suppressAutoHyphens/>
        <w:ind w:firstLine="567"/>
        <w:jc w:val="both"/>
        <w:rPr>
          <w:rFonts w:ascii="Garamond" w:hAnsi="Garamond" w:cs="Garamond"/>
          <w:sz w:val="28"/>
          <w:szCs w:val="28"/>
        </w:rPr>
      </w:pPr>
      <w:r>
        <w:rPr>
          <w:rFonts w:ascii="Garamond" w:hAnsi="Garamond" w:cs="Garamond"/>
          <w:sz w:val="28"/>
          <w:szCs w:val="28"/>
        </w:rPr>
        <w:t>Ilustrativno je da se kompletan iznos opredijeljenih sredstava do 2017. godine koristio za pokrivan</w:t>
      </w:r>
      <w:r w:rsidR="00884DBB">
        <w:rPr>
          <w:rFonts w:ascii="Garamond" w:hAnsi="Garamond" w:cs="Garamond"/>
          <w:sz w:val="28"/>
          <w:szCs w:val="28"/>
        </w:rPr>
        <w:t xml:space="preserve">je troškova zarada zaposlenih.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Uporedni podaci za finansiranje visokog obrazovanja za EU pokazuju da prosječno budžetsko izdvajanje iznosi 1,1% BDP i da varira od 0,53% u Luksemburgu do 1,74% u Austriji (podaci za 2015). Međutim, sam % BDP ne pruža cjelovit prikaz finansiranja, budući da je u Luksemburgu izdvajanje najveće i iznosi 48.907$ po studentu, a u Austriji izdvajanje je 17.555$. Dodatno treba naglasiti da finansiranje sadrži ućešće javnih i privatnih izvora. Ove dvije zemlje su specifične jer se u Luksemburgu 92,4% finansira iz javnih izvora, a u Austriji to iznosi 37,8%.</w:t>
      </w:r>
      <w:r>
        <w:rPr>
          <w:rFonts w:ascii="Garamond" w:hAnsi="Garamond" w:cs="Garamond"/>
          <w:sz w:val="28"/>
          <w:szCs w:val="28"/>
          <w:vertAlign w:val="superscript"/>
        </w:rPr>
        <w:footnoteReference w:id="17"/>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2.4.3 Ustanove visokog obrazovanja - upisna struktura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Srednje škole (gimnazija i srednje stručne škole) pripremaju diplomce za tržište rada i nastavak školovanja. Izabrani uporedni pokazatelji za srednjoškolce i pristup visokom obrazovanju prikazani su u tabeli 5.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Podaci pokazuju da se generacije učenika u periodu od 2014. do 2018. godine ravnomjerno raspoređuju kod upisa u srednje škole tako da se približno 1/3 upiše u gimnaziju, a 2/3 u srednje stručne škole. Diplomci iz</w:t>
      </w:r>
      <w:r w:rsidR="00E24C10">
        <w:rPr>
          <w:rFonts w:ascii="Garamond" w:hAnsi="Garamond" w:cs="Garamond"/>
          <w:sz w:val="28"/>
          <w:szCs w:val="28"/>
        </w:rPr>
        <w:t xml:space="preserve"> </w:t>
      </w:r>
      <w:r>
        <w:rPr>
          <w:rFonts w:ascii="Garamond" w:hAnsi="Garamond" w:cs="Garamond"/>
          <w:sz w:val="28"/>
          <w:szCs w:val="28"/>
        </w:rPr>
        <w:t>obje grupe srednjih škola nastavljaju visoko obrazovanje. Tako je 55-57% upisanih na studije završilo srednje stručne škole.</w:t>
      </w:r>
    </w:p>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sz w:val="26"/>
          <w:szCs w:val="26"/>
        </w:rPr>
        <w:t>Tabela 5.  Pregled izabranih pokazatelja za srednje škole i pristup visokom obrazovanju</w:t>
      </w:r>
    </w:p>
    <w:tbl>
      <w:tblPr>
        <w:tblW w:w="0" w:type="auto"/>
        <w:tblInd w:w="-20" w:type="dxa"/>
        <w:tblLayout w:type="fixed"/>
        <w:tblCellMar>
          <w:left w:w="0" w:type="dxa"/>
          <w:right w:w="0" w:type="dxa"/>
        </w:tblCellMar>
        <w:tblLook w:val="0000" w:firstRow="0" w:lastRow="0" w:firstColumn="0" w:lastColumn="0" w:noHBand="0" w:noVBand="0"/>
      </w:tblPr>
      <w:tblGrid>
        <w:gridCol w:w="2919"/>
        <w:gridCol w:w="1115"/>
        <w:gridCol w:w="1096"/>
        <w:gridCol w:w="1040"/>
        <w:gridCol w:w="1171"/>
        <w:gridCol w:w="1134"/>
        <w:gridCol w:w="1011"/>
      </w:tblGrid>
      <w:tr w:rsidR="00644F2A">
        <w:trPr>
          <w:trHeight w:val="60"/>
        </w:trPr>
        <w:tc>
          <w:tcPr>
            <w:tcW w:w="2919"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lastRenderedPageBreak/>
              <w:t>Indikator</w:t>
            </w:r>
          </w:p>
        </w:tc>
        <w:tc>
          <w:tcPr>
            <w:tcW w:w="1115"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Pol</w:t>
            </w:r>
          </w:p>
        </w:tc>
        <w:tc>
          <w:tcPr>
            <w:tcW w:w="5452" w:type="dxa"/>
            <w:gridSpan w:val="5"/>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Godina</w:t>
            </w:r>
          </w:p>
        </w:tc>
      </w:tr>
      <w:tr w:rsidR="00644F2A">
        <w:trPr>
          <w:trHeight w:val="60"/>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09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2014.</w:t>
            </w:r>
          </w:p>
        </w:tc>
        <w:tc>
          <w:tcPr>
            <w:tcW w:w="1040"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2015.</w:t>
            </w:r>
          </w:p>
        </w:tc>
        <w:tc>
          <w:tcPr>
            <w:tcW w:w="1171"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2016.</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2017.</w:t>
            </w:r>
          </w:p>
        </w:tc>
        <w:tc>
          <w:tcPr>
            <w:tcW w:w="1011"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2018.</w:t>
            </w:r>
          </w:p>
        </w:tc>
      </w:tr>
      <w:tr w:rsidR="00644F2A">
        <w:trPr>
          <w:trHeight w:val="371"/>
        </w:trPr>
        <w:tc>
          <w:tcPr>
            <w:tcW w:w="2919" w:type="dxa"/>
            <w:vMerge w:val="restart"/>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 učenika u srednjim stručnim školama</w:t>
            </w: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M</w:t>
            </w:r>
          </w:p>
        </w:tc>
        <w:tc>
          <w:tcPr>
            <w:tcW w:w="1096"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04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17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72,10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72,08</w:t>
            </w:r>
          </w:p>
        </w:tc>
        <w:tc>
          <w:tcPr>
            <w:tcW w:w="1011"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72,80</w:t>
            </w:r>
          </w:p>
        </w:tc>
      </w:tr>
      <w:tr w:rsidR="00644F2A">
        <w:trPr>
          <w:trHeight w:val="368"/>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Ž</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61,39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62,42</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63,31</w:t>
            </w:r>
          </w:p>
        </w:tc>
      </w:tr>
      <w:tr w:rsidR="00644F2A">
        <w:trPr>
          <w:trHeight w:val="349"/>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w:t>
            </w:r>
          </w:p>
        </w:tc>
        <w:tc>
          <w:tcPr>
            <w:tcW w:w="1096" w:type="dxa"/>
            <w:tcBorders>
              <w:top w:val="single" w:sz="8"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67,18</w:t>
            </w:r>
          </w:p>
        </w:tc>
        <w:tc>
          <w:tcPr>
            <w:tcW w:w="1040"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67,07</w:t>
            </w:r>
          </w:p>
        </w:tc>
        <w:tc>
          <w:tcPr>
            <w:tcW w:w="1171"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66,91</w:t>
            </w:r>
          </w:p>
        </w:tc>
        <w:tc>
          <w:tcPr>
            <w:tcW w:w="1134"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67,43</w:t>
            </w:r>
          </w:p>
        </w:tc>
        <w:tc>
          <w:tcPr>
            <w:tcW w:w="1011" w:type="dxa"/>
            <w:tcBorders>
              <w:top w:val="single" w:sz="8"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68,22</w:t>
            </w:r>
          </w:p>
        </w:tc>
      </w:tr>
      <w:tr w:rsidR="00644F2A">
        <w:trPr>
          <w:trHeight w:val="415"/>
        </w:trPr>
        <w:tc>
          <w:tcPr>
            <w:tcW w:w="2919" w:type="dxa"/>
            <w:vMerge w:val="restart"/>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 učenika u gimnaziji</w:t>
            </w: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M</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27,90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27,92</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27,20</w:t>
            </w:r>
          </w:p>
        </w:tc>
      </w:tr>
      <w:tr w:rsidR="00644F2A">
        <w:trPr>
          <w:trHeight w:val="410"/>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Ž</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38,61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37,58</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36,69</w:t>
            </w:r>
          </w:p>
        </w:tc>
      </w:tr>
      <w:tr w:rsidR="00644F2A">
        <w:trPr>
          <w:trHeight w:val="405"/>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w:t>
            </w:r>
          </w:p>
        </w:tc>
        <w:tc>
          <w:tcPr>
            <w:tcW w:w="1096" w:type="dxa"/>
            <w:tcBorders>
              <w:top w:val="single" w:sz="8"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32,82</w:t>
            </w:r>
          </w:p>
        </w:tc>
        <w:tc>
          <w:tcPr>
            <w:tcW w:w="1040"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32,93</w:t>
            </w:r>
          </w:p>
        </w:tc>
        <w:tc>
          <w:tcPr>
            <w:tcW w:w="1171"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33,09</w:t>
            </w:r>
          </w:p>
        </w:tc>
        <w:tc>
          <w:tcPr>
            <w:tcW w:w="1134"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32,57</w:t>
            </w:r>
          </w:p>
        </w:tc>
        <w:tc>
          <w:tcPr>
            <w:tcW w:w="1011" w:type="dxa"/>
            <w:tcBorders>
              <w:top w:val="single" w:sz="8"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31,78</w:t>
            </w:r>
          </w:p>
        </w:tc>
      </w:tr>
      <w:tr w:rsidR="00644F2A">
        <w:trPr>
          <w:trHeight w:val="482"/>
        </w:trPr>
        <w:tc>
          <w:tcPr>
            <w:tcW w:w="2919" w:type="dxa"/>
            <w:vMerge w:val="restart"/>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 učenika sa završenim srednjom stručnom školom koji nastavlja visoko obrazovanje</w:t>
            </w: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M</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28,29</w:t>
            </w: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26,81</w:t>
            </w: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26,28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27,46</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538"/>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Ž</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29,34</w:t>
            </w: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28,21</w:t>
            </w: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28,89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30,24</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453"/>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w:t>
            </w:r>
          </w:p>
        </w:tc>
        <w:tc>
          <w:tcPr>
            <w:tcW w:w="1096" w:type="dxa"/>
            <w:tcBorders>
              <w:top w:val="single" w:sz="8"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57,63</w:t>
            </w:r>
          </w:p>
        </w:tc>
        <w:tc>
          <w:tcPr>
            <w:tcW w:w="1040"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55,02</w:t>
            </w:r>
          </w:p>
        </w:tc>
        <w:tc>
          <w:tcPr>
            <w:tcW w:w="1171"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55,17</w:t>
            </w:r>
          </w:p>
        </w:tc>
        <w:tc>
          <w:tcPr>
            <w:tcW w:w="1134"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57,70</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425"/>
        </w:trPr>
        <w:tc>
          <w:tcPr>
            <w:tcW w:w="2919" w:type="dxa"/>
            <w:vMerge w:val="restart"/>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 učenika sa završenom gimnazijom koji nastavlja visoko obrazovanje</w:t>
            </w: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M</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18,47</w:t>
            </w: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18,64</w:t>
            </w: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18,31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18,67</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91"/>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Ž</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23,90</w:t>
            </w: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26,33</w:t>
            </w: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26,52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23,62</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60"/>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w:t>
            </w:r>
          </w:p>
        </w:tc>
        <w:tc>
          <w:tcPr>
            <w:tcW w:w="1096" w:type="dxa"/>
            <w:tcBorders>
              <w:top w:val="single" w:sz="8"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42,37</w:t>
            </w:r>
          </w:p>
        </w:tc>
        <w:tc>
          <w:tcPr>
            <w:tcW w:w="1040"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44,97</w:t>
            </w:r>
          </w:p>
        </w:tc>
        <w:tc>
          <w:tcPr>
            <w:tcW w:w="1171"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44,83</w:t>
            </w:r>
          </w:p>
        </w:tc>
        <w:tc>
          <w:tcPr>
            <w:tcW w:w="1134" w:type="dxa"/>
            <w:tcBorders>
              <w:top w:val="single" w:sz="8"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42,29</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66"/>
        </w:trPr>
        <w:tc>
          <w:tcPr>
            <w:tcW w:w="2919" w:type="dxa"/>
            <w:vMerge w:val="restart"/>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 napuštanja školovanja (18-24)</w:t>
            </w: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M</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5,80</w:t>
            </w: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4,90</w:t>
            </w: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4,30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5,60</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4,40</w:t>
            </w:r>
          </w:p>
        </w:tc>
      </w:tr>
      <w:tr w:rsidR="00644F2A">
        <w:trPr>
          <w:trHeight w:val="359"/>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Ž</w:t>
            </w:r>
          </w:p>
        </w:tc>
        <w:tc>
          <w:tcPr>
            <w:tcW w:w="1096"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4,20</w:t>
            </w:r>
          </w:p>
        </w:tc>
        <w:tc>
          <w:tcPr>
            <w:tcW w:w="10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6,60</w:t>
            </w:r>
          </w:p>
        </w:tc>
        <w:tc>
          <w:tcPr>
            <w:tcW w:w="11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6,80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5,20</w:t>
            </w:r>
          </w:p>
        </w:tc>
        <w:tc>
          <w:tcPr>
            <w:tcW w:w="101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4,90</w:t>
            </w:r>
          </w:p>
        </w:tc>
      </w:tr>
      <w:tr w:rsidR="00644F2A">
        <w:trPr>
          <w:trHeight w:val="415"/>
        </w:trPr>
        <w:tc>
          <w:tcPr>
            <w:tcW w:w="2919"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115"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w:t>
            </w:r>
          </w:p>
        </w:tc>
        <w:tc>
          <w:tcPr>
            <w:tcW w:w="1096" w:type="dxa"/>
            <w:tcBorders>
              <w:top w:val="single" w:sz="8" w:space="0" w:color="000000"/>
              <w:left w:val="single" w:sz="16"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5,10</w:t>
            </w:r>
          </w:p>
        </w:tc>
        <w:tc>
          <w:tcPr>
            <w:tcW w:w="1040" w:type="dxa"/>
            <w:tcBorders>
              <w:top w:val="single" w:sz="8" w:space="0" w:color="000000"/>
              <w:left w:val="single" w:sz="8"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5,70</w:t>
            </w:r>
          </w:p>
        </w:tc>
        <w:tc>
          <w:tcPr>
            <w:tcW w:w="1171" w:type="dxa"/>
            <w:tcBorders>
              <w:top w:val="single" w:sz="8" w:space="0" w:color="000000"/>
              <w:left w:val="single" w:sz="8"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5,50</w:t>
            </w:r>
          </w:p>
        </w:tc>
        <w:tc>
          <w:tcPr>
            <w:tcW w:w="1134" w:type="dxa"/>
            <w:tcBorders>
              <w:top w:val="single" w:sz="8" w:space="0" w:color="000000"/>
              <w:left w:val="single" w:sz="8"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5,40</w:t>
            </w:r>
          </w:p>
        </w:tc>
        <w:tc>
          <w:tcPr>
            <w:tcW w:w="1011" w:type="dxa"/>
            <w:tcBorders>
              <w:top w:val="single" w:sz="8" w:space="0" w:color="000000"/>
              <w:left w:val="single" w:sz="8"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4,60</w:t>
            </w:r>
          </w:p>
        </w:tc>
      </w:tr>
      <w:tr w:rsidR="00644F2A">
        <w:trPr>
          <w:trHeight w:val="351"/>
        </w:trPr>
        <w:tc>
          <w:tcPr>
            <w:tcW w:w="9486" w:type="dxa"/>
            <w:gridSpan w:val="7"/>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i/>
                <w:iCs/>
                <w:sz w:val="26"/>
                <w:szCs w:val="26"/>
              </w:rPr>
              <w:t>Izvor: Ministarstvo prosvjete (M-muškarci, Ž-žene, ∑-ukupno)</w:t>
            </w:r>
          </w:p>
        </w:tc>
      </w:tr>
    </w:tbl>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 dalje je visok procenat srednjoškolaca koji završavaju stručne škole i nastavljaju studije, što predstavlja značajnu neusaglašenost s konceptom srednjih stručnih škola, budući da je njihova primarna uloga da obezbijede kvalifikovan stručni kadar za tržište rada, sa mogućnostima usavršavanja kroz više obrazovanje.</w:t>
      </w:r>
      <w:r w:rsidR="00465127">
        <w:rPr>
          <w:rFonts w:ascii="Garamond" w:hAnsi="Garamond" w:cs="Garamond"/>
          <w:sz w:val="28"/>
          <w:szCs w:val="28"/>
        </w:rPr>
        <w:t>Moze se reci da</w:t>
      </w:r>
      <w:r>
        <w:rPr>
          <w:rFonts w:ascii="Garamond" w:hAnsi="Garamond" w:cs="Garamond"/>
          <w:sz w:val="28"/>
          <w:szCs w:val="28"/>
        </w:rPr>
        <w:t xml:space="preserve"> je visok procenat napuštanja školovanja u periodu 18-24 godine (period godina starosti planiran za visoko obrazovanje) povezan s visokim procentom upisa na studije poslije završene srednje stručne škole (tabela 5).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644F2A">
      <w:pPr>
        <w:pStyle w:val="BasicParagraph"/>
        <w:suppressAutoHyphens/>
        <w:ind w:left="1247" w:right="1134"/>
        <w:jc w:val="both"/>
        <w:rPr>
          <w:rFonts w:ascii="Garamond" w:hAnsi="Garamond" w:cs="Garamond"/>
          <w:color w:val="00B0F0"/>
          <w:sz w:val="28"/>
          <w:szCs w:val="28"/>
        </w:rPr>
      </w:pPr>
      <w:r w:rsidRPr="00821309">
        <w:rPr>
          <w:rFonts w:ascii="Garamond" w:hAnsi="Garamond" w:cs="Garamond"/>
          <w:color w:val="00B0F0"/>
          <w:sz w:val="28"/>
          <w:szCs w:val="28"/>
        </w:rPr>
        <w:t xml:space="preserve">Analiza realnih efekata visokog procenta upisa na studijske programa poslije završetka srednjih stručnih škola može da pruži relevantne podatke o programima srednih stručnih škola, stanju na tržištu rada, kao i uslovima pristupa visokom obrazovanju.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2.4.4 Ustanove visokog obrazovanja - registar</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Ustanove visokog obrazovanja organizovane su kao univerziteti i samostalni fakulteti. Postoje četiri univerziteta i tri samostalna fakulteta. Nazivi ustanova, njihov status i godina osnivanja prikazani su u tabeli 6. </w:t>
      </w:r>
    </w:p>
    <w:p w:rsidR="00E24C10" w:rsidRDefault="00E24C10" w:rsidP="00644F2A">
      <w:pPr>
        <w:pStyle w:val="BasicParagraph"/>
        <w:suppressAutoHyphens/>
        <w:spacing w:after="113"/>
        <w:jc w:val="center"/>
        <w:rPr>
          <w:rFonts w:ascii="Garamond" w:hAnsi="Garamond" w:cs="Garamond"/>
          <w:b/>
          <w:bCs/>
          <w:sz w:val="26"/>
          <w:szCs w:val="26"/>
        </w:rPr>
      </w:pPr>
    </w:p>
    <w:p w:rsidR="00E24C10" w:rsidRDefault="00E24C10" w:rsidP="00644F2A">
      <w:pPr>
        <w:pStyle w:val="BasicParagraph"/>
        <w:suppressAutoHyphens/>
        <w:spacing w:after="113"/>
        <w:jc w:val="center"/>
        <w:rPr>
          <w:rFonts w:ascii="Garamond" w:hAnsi="Garamond" w:cs="Garamond"/>
          <w:b/>
          <w:bCs/>
          <w:sz w:val="26"/>
          <w:szCs w:val="26"/>
        </w:rPr>
      </w:pPr>
    </w:p>
    <w:p w:rsidR="00644F2A" w:rsidRDefault="00644F2A" w:rsidP="00644F2A">
      <w:pPr>
        <w:pStyle w:val="BasicParagraph"/>
        <w:suppressAutoHyphens/>
        <w:spacing w:after="113"/>
        <w:jc w:val="center"/>
        <w:rPr>
          <w:rFonts w:ascii="Garamond" w:hAnsi="Garamond" w:cs="Garamond"/>
          <w:sz w:val="28"/>
          <w:szCs w:val="28"/>
        </w:rPr>
      </w:pPr>
      <w:r>
        <w:rPr>
          <w:rFonts w:ascii="Garamond" w:hAnsi="Garamond" w:cs="Garamond"/>
          <w:b/>
          <w:bCs/>
          <w:sz w:val="26"/>
          <w:szCs w:val="26"/>
        </w:rPr>
        <w:t>Tabela 6. Ustanove visokog obrazovanja akreditovane u Crnoj Gori</w:t>
      </w:r>
    </w:p>
    <w:tbl>
      <w:tblPr>
        <w:tblW w:w="0" w:type="auto"/>
        <w:tblInd w:w="-20" w:type="dxa"/>
        <w:tblLayout w:type="fixed"/>
        <w:tblCellMar>
          <w:left w:w="0" w:type="dxa"/>
          <w:right w:w="0" w:type="dxa"/>
        </w:tblCellMar>
        <w:tblLook w:val="0000" w:firstRow="0" w:lastRow="0" w:firstColumn="0" w:lastColumn="0" w:noHBand="0" w:noVBand="0"/>
      </w:tblPr>
      <w:tblGrid>
        <w:gridCol w:w="1086"/>
        <w:gridCol w:w="2324"/>
        <w:gridCol w:w="1928"/>
        <w:gridCol w:w="2324"/>
        <w:gridCol w:w="1928"/>
      </w:tblGrid>
      <w:tr w:rsidR="00644F2A">
        <w:trPr>
          <w:trHeight w:val="441"/>
        </w:trPr>
        <w:tc>
          <w:tcPr>
            <w:tcW w:w="9590" w:type="dxa"/>
            <w:gridSpan w:val="5"/>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b/>
                <w:bCs/>
                <w:sz w:val="28"/>
                <w:szCs w:val="28"/>
              </w:rPr>
              <w:t>Univerziteti</w:t>
            </w:r>
          </w:p>
        </w:tc>
      </w:tr>
      <w:tr w:rsidR="00644F2A">
        <w:trPr>
          <w:trHeight w:val="60"/>
        </w:trPr>
        <w:tc>
          <w:tcPr>
            <w:tcW w:w="108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232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b/>
                <w:bCs/>
                <w:sz w:val="26"/>
                <w:szCs w:val="26"/>
              </w:rPr>
              <w:t>Naziv ustanove</w:t>
            </w:r>
          </w:p>
        </w:tc>
        <w:tc>
          <w:tcPr>
            <w:tcW w:w="192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b/>
                <w:bCs/>
                <w:sz w:val="26"/>
                <w:szCs w:val="26"/>
              </w:rPr>
              <w:t>Sjedište</w:t>
            </w:r>
          </w:p>
        </w:tc>
        <w:tc>
          <w:tcPr>
            <w:tcW w:w="232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b/>
                <w:bCs/>
                <w:sz w:val="26"/>
                <w:szCs w:val="26"/>
              </w:rPr>
              <w:t>Status ustanove</w:t>
            </w:r>
          </w:p>
        </w:tc>
        <w:tc>
          <w:tcPr>
            <w:tcW w:w="192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b/>
                <w:bCs/>
                <w:sz w:val="26"/>
                <w:szCs w:val="26"/>
              </w:rPr>
            </w:pPr>
            <w:r>
              <w:rPr>
                <w:b/>
                <w:bCs/>
                <w:sz w:val="26"/>
                <w:szCs w:val="26"/>
              </w:rPr>
              <w:t>Godina</w:t>
            </w:r>
          </w:p>
          <w:p w:rsidR="00644F2A" w:rsidRDefault="00644F2A">
            <w:pPr>
              <w:pStyle w:val="BasicParagraph"/>
              <w:jc w:val="center"/>
            </w:pPr>
            <w:r>
              <w:rPr>
                <w:b/>
                <w:bCs/>
                <w:sz w:val="26"/>
                <w:szCs w:val="26"/>
              </w:rPr>
              <w:t>osnivanja</w:t>
            </w:r>
          </w:p>
        </w:tc>
      </w:tr>
      <w:tr w:rsidR="00644F2A">
        <w:trPr>
          <w:trHeight w:val="398"/>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t>1.</w:t>
            </w:r>
          </w:p>
        </w:tc>
        <w:tc>
          <w:tcPr>
            <w:tcW w:w="2324"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Univerzitet Crne Gore</w:t>
            </w:r>
          </w:p>
        </w:tc>
        <w:tc>
          <w:tcPr>
            <w:tcW w:w="1928"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Podgorica</w:t>
            </w:r>
          </w:p>
        </w:tc>
        <w:tc>
          <w:tcPr>
            <w:tcW w:w="232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Državni univerzitet</w:t>
            </w:r>
          </w:p>
        </w:tc>
        <w:tc>
          <w:tcPr>
            <w:tcW w:w="1928"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1974.</w:t>
            </w:r>
          </w:p>
        </w:tc>
      </w:tr>
      <w:tr w:rsidR="00644F2A">
        <w:trPr>
          <w:trHeight w:val="396"/>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t>2.</w:t>
            </w:r>
          </w:p>
        </w:tc>
        <w:tc>
          <w:tcPr>
            <w:tcW w:w="232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Univerzitet Mediteran</w:t>
            </w:r>
          </w:p>
        </w:tc>
        <w:tc>
          <w:tcPr>
            <w:tcW w:w="19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Podgorica</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Privatni univerzitet</w:t>
            </w:r>
          </w:p>
        </w:tc>
        <w:tc>
          <w:tcPr>
            <w:tcW w:w="192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2006.</w:t>
            </w:r>
          </w:p>
        </w:tc>
      </w:tr>
      <w:tr w:rsidR="00644F2A">
        <w:trPr>
          <w:trHeight w:val="60"/>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t>3.</w:t>
            </w:r>
          </w:p>
        </w:tc>
        <w:tc>
          <w:tcPr>
            <w:tcW w:w="232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Univerzitet Donja Gorica</w:t>
            </w:r>
          </w:p>
        </w:tc>
        <w:tc>
          <w:tcPr>
            <w:tcW w:w="19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Podgorica</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Privatni univerzitet</w:t>
            </w:r>
          </w:p>
        </w:tc>
        <w:tc>
          <w:tcPr>
            <w:tcW w:w="192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2010.</w:t>
            </w:r>
          </w:p>
        </w:tc>
      </w:tr>
      <w:tr w:rsidR="00644F2A">
        <w:trPr>
          <w:trHeight w:val="397"/>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t>4.</w:t>
            </w:r>
          </w:p>
        </w:tc>
        <w:tc>
          <w:tcPr>
            <w:tcW w:w="2324"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Univerzitet Adriatik</w:t>
            </w:r>
          </w:p>
        </w:tc>
        <w:tc>
          <w:tcPr>
            <w:tcW w:w="192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Bar</w:t>
            </w:r>
          </w:p>
        </w:tc>
        <w:tc>
          <w:tcPr>
            <w:tcW w:w="232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Privatni univerzitet</w:t>
            </w:r>
          </w:p>
        </w:tc>
        <w:tc>
          <w:tcPr>
            <w:tcW w:w="1928"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2017.</w:t>
            </w:r>
          </w:p>
        </w:tc>
      </w:tr>
      <w:tr w:rsidR="00644F2A">
        <w:trPr>
          <w:trHeight w:val="60"/>
        </w:trPr>
        <w:tc>
          <w:tcPr>
            <w:tcW w:w="9590"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b/>
                <w:bCs/>
                <w:sz w:val="28"/>
                <w:szCs w:val="28"/>
              </w:rPr>
              <w:t>Samostalni fakulteti</w:t>
            </w:r>
          </w:p>
        </w:tc>
      </w:tr>
      <w:tr w:rsidR="00644F2A">
        <w:trPr>
          <w:trHeight w:val="60"/>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t>1.</w:t>
            </w:r>
          </w:p>
        </w:tc>
        <w:tc>
          <w:tcPr>
            <w:tcW w:w="2324"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Fakultet za poslovni menadžment</w:t>
            </w:r>
          </w:p>
        </w:tc>
        <w:tc>
          <w:tcPr>
            <w:tcW w:w="1928"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Bar</w:t>
            </w:r>
          </w:p>
        </w:tc>
        <w:tc>
          <w:tcPr>
            <w:tcW w:w="232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Samostalni privatni fakultet</w:t>
            </w:r>
          </w:p>
        </w:tc>
        <w:tc>
          <w:tcPr>
            <w:tcW w:w="1928"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2005.</w:t>
            </w:r>
          </w:p>
        </w:tc>
      </w:tr>
      <w:tr w:rsidR="00644F2A">
        <w:trPr>
          <w:trHeight w:val="60"/>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lastRenderedPageBreak/>
              <w:t>2.</w:t>
            </w:r>
          </w:p>
        </w:tc>
        <w:tc>
          <w:tcPr>
            <w:tcW w:w="232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Fakultet za državne i evropske studije</w:t>
            </w:r>
          </w:p>
        </w:tc>
        <w:tc>
          <w:tcPr>
            <w:tcW w:w="19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Podgorica</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Samostalni privatni fakultet</w:t>
            </w:r>
          </w:p>
        </w:tc>
        <w:tc>
          <w:tcPr>
            <w:tcW w:w="1928"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2006.</w:t>
            </w:r>
          </w:p>
        </w:tc>
      </w:tr>
      <w:tr w:rsidR="00644F2A">
        <w:trPr>
          <w:trHeight w:val="60"/>
        </w:trPr>
        <w:tc>
          <w:tcPr>
            <w:tcW w:w="1086"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b/>
                <w:bCs/>
                <w:sz w:val="26"/>
                <w:szCs w:val="26"/>
              </w:rPr>
              <w:t>3.</w:t>
            </w:r>
          </w:p>
        </w:tc>
        <w:tc>
          <w:tcPr>
            <w:tcW w:w="2324"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Fakultet za crnogorski jezik i književnost</w:t>
            </w:r>
          </w:p>
        </w:tc>
        <w:tc>
          <w:tcPr>
            <w:tcW w:w="192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Cetinje</w:t>
            </w:r>
          </w:p>
        </w:tc>
        <w:tc>
          <w:tcPr>
            <w:tcW w:w="232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Samostalni privatni fakultet</w:t>
            </w:r>
          </w:p>
        </w:tc>
        <w:tc>
          <w:tcPr>
            <w:tcW w:w="1928"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t>2014.</w:t>
            </w:r>
          </w:p>
        </w:tc>
      </w:tr>
      <w:tr w:rsidR="00644F2A">
        <w:trPr>
          <w:trHeight w:val="60"/>
        </w:trPr>
        <w:tc>
          <w:tcPr>
            <w:tcW w:w="9590"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i/>
                <w:iCs/>
              </w:rPr>
            </w:pPr>
            <w:r>
              <w:rPr>
                <w:i/>
                <w:iCs/>
              </w:rPr>
              <w:t>Izvor: Savjet za visoko obrazovanje www.svo.gov.me</w:t>
            </w:r>
          </w:p>
          <w:p w:rsidR="00644F2A" w:rsidRDefault="00644F2A">
            <w:pPr>
              <w:pStyle w:val="BasicParagraph"/>
              <w:jc w:val="center"/>
            </w:pPr>
            <w:r>
              <w:rPr>
                <w:i/>
                <w:iCs/>
              </w:rPr>
              <w:t>*Fakulteti koji su pristupili Univerzitetu Adriatik</w:t>
            </w:r>
          </w:p>
        </w:tc>
      </w:tr>
    </w:tbl>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Pr>
          <w:rFonts w:ascii="Garamond" w:hAnsi="Garamond" w:cs="Garamond"/>
          <w:sz w:val="28"/>
          <w:szCs w:val="28"/>
        </w:rPr>
        <w:t xml:space="preserve">Univerzitet Crne Gore je jedini državni univerzitet i najstarija ustanova visokog obrazovanja u Crnoj Gori. Formiran je objedinjavanjem tadašnjih obrazovnih i naučnoistraživačkih organizacija u Crnoj Gori (1974). U periodu do 2003. godine (kad je usvojen Zakon, usklađen sa principima Bolonjske deklaracije) bio je i jedina ustanova visokog obrazovanja. </w:t>
      </w:r>
      <w:r w:rsidRPr="005D5EC6">
        <w:rPr>
          <w:rFonts w:ascii="Garamond" w:hAnsi="Garamond" w:cs="Garamond"/>
          <w:sz w:val="28"/>
          <w:szCs w:val="28"/>
          <w:lang w:val="fr-FR"/>
        </w:rPr>
        <w:t>Ostala tri univerziteta su privatna. Univerzitet Adriatik je osnovan 2017. godine i predstavlja najmlađi univerzitet. Sjedište Adriatika je u Baru, a ostalim univerzitetima sjedište je u Podgorici.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Fakulteti su osnivani kao samostalne privatne ustanove, osim Fakulteta za crnogorski jezik i književnost koji je posljednja osnovana državna ustanova. </w:t>
      </w: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ind w:left="1247" w:right="1134" w:hanging="227"/>
        <w:jc w:val="both"/>
        <w:rPr>
          <w:rFonts w:ascii="Garamond" w:hAnsi="Garamond" w:cs="Garamond"/>
          <w:color w:val="00B0F0"/>
          <w:sz w:val="28"/>
          <w:szCs w:val="28"/>
          <w:lang w:val="fr-FR"/>
        </w:rPr>
      </w:pPr>
      <w:r w:rsidRPr="005D5EC6">
        <w:rPr>
          <w:rFonts w:ascii="Garamond" w:hAnsi="Garamond" w:cs="Garamond"/>
          <w:color w:val="00B0F0"/>
          <w:sz w:val="28"/>
          <w:szCs w:val="28"/>
          <w:lang w:val="fr-FR"/>
        </w:rPr>
        <w:t>Zaključak:</w:t>
      </w:r>
    </w:p>
    <w:p w:rsidR="00644F2A" w:rsidRPr="005D5EC6" w:rsidRDefault="00644F2A" w:rsidP="00644F2A">
      <w:pPr>
        <w:pStyle w:val="BasicParagraph"/>
        <w:suppressAutoHyphens/>
        <w:ind w:left="1247" w:right="1134" w:hanging="227"/>
        <w:jc w:val="both"/>
        <w:rPr>
          <w:rFonts w:ascii="Garamond" w:hAnsi="Garamond" w:cs="Garamond"/>
          <w:color w:val="00B0F0"/>
          <w:sz w:val="28"/>
          <w:szCs w:val="28"/>
          <w:lang w:val="fr-FR"/>
        </w:rPr>
      </w:pPr>
      <w:r w:rsidRPr="005D5EC6">
        <w:rPr>
          <w:rFonts w:ascii="Garamond" w:hAnsi="Garamond" w:cs="Garamond"/>
          <w:color w:val="00B0F0"/>
          <w:sz w:val="28"/>
          <w:szCs w:val="28"/>
          <w:lang w:val="fr-FR"/>
        </w:rPr>
        <w:t>» Visoko obrazovanje u Crnoj Gori organizuje se na četiri univerziteta i tri samostalna fakulteta (ukupno sedam ustanova).</w:t>
      </w:r>
    </w:p>
    <w:p w:rsidR="00644F2A" w:rsidRPr="005D5EC6" w:rsidRDefault="00644F2A" w:rsidP="00644F2A">
      <w:pPr>
        <w:pStyle w:val="BasicParagraph"/>
        <w:suppressAutoHyphens/>
        <w:ind w:left="1247" w:right="1134" w:hanging="227"/>
        <w:jc w:val="both"/>
        <w:rPr>
          <w:rFonts w:ascii="Garamond" w:hAnsi="Garamond" w:cs="Garamond"/>
          <w:color w:val="00B0F0"/>
          <w:sz w:val="28"/>
          <w:szCs w:val="28"/>
          <w:lang w:val="fr-FR"/>
        </w:rPr>
      </w:pPr>
      <w:r w:rsidRPr="005D5EC6">
        <w:rPr>
          <w:rFonts w:ascii="Garamond" w:hAnsi="Garamond" w:cs="Garamond"/>
          <w:color w:val="00B0F0"/>
          <w:sz w:val="28"/>
          <w:szCs w:val="28"/>
          <w:lang w:val="fr-FR"/>
        </w:rPr>
        <w:t xml:space="preserve">» Pristupanje (objedinjavanje) samostalnih fakulteta univerzitetima ima niz afirmativnih efekata u odnosu na samostalne ustanove kod upravljanja, realizacije procesa obrazovanja i istraživanja, kao i prenošenja dobre prakse. </w:t>
      </w:r>
    </w:p>
    <w:p w:rsidR="00644F2A" w:rsidRPr="005D5EC6" w:rsidRDefault="00644F2A" w:rsidP="00644F2A">
      <w:pPr>
        <w:pStyle w:val="BasicParagraph"/>
        <w:suppressAutoHyphens/>
        <w:ind w:left="1247" w:right="1134" w:hanging="227"/>
        <w:jc w:val="both"/>
        <w:rPr>
          <w:rFonts w:ascii="Garamond" w:hAnsi="Garamond" w:cs="Garamond"/>
          <w:color w:val="00B0F0"/>
          <w:sz w:val="28"/>
          <w:szCs w:val="28"/>
          <w:lang w:val="fr-FR"/>
        </w:rPr>
      </w:pPr>
      <w:r w:rsidRPr="005D5EC6">
        <w:rPr>
          <w:rFonts w:ascii="Garamond" w:hAnsi="Garamond" w:cs="Garamond"/>
          <w:color w:val="00B0F0"/>
          <w:sz w:val="28"/>
          <w:szCs w:val="28"/>
          <w:lang w:val="fr-FR"/>
        </w:rPr>
        <w:t>» U posljednjih pet godina faktički nije bilo osnivanja samostalnih ustanova koje realizuju nove studijske programe, pa se realno može očekivati da je faza povećenj</w:t>
      </w:r>
      <w:r w:rsidR="00465127" w:rsidRPr="005D5EC6">
        <w:rPr>
          <w:rFonts w:ascii="Garamond" w:hAnsi="Garamond" w:cs="Garamond"/>
          <w:color w:val="00B0F0"/>
          <w:sz w:val="28"/>
          <w:szCs w:val="28"/>
          <w:lang w:val="fr-FR"/>
        </w:rPr>
        <w:t xml:space="preserve">a </w:t>
      </w:r>
      <w:r w:rsidRPr="005D5EC6">
        <w:rPr>
          <w:rFonts w:ascii="Garamond" w:hAnsi="Garamond" w:cs="Garamond"/>
          <w:color w:val="00B0F0"/>
          <w:sz w:val="28"/>
          <w:szCs w:val="28"/>
          <w:lang w:val="fr-FR"/>
        </w:rPr>
        <w:t>broja ustanova visokog obrazovanja u Crnoj Gori završena.</w:t>
      </w:r>
    </w:p>
    <w:p w:rsidR="00644F2A" w:rsidRPr="005D5EC6" w:rsidRDefault="00644F2A" w:rsidP="00644F2A">
      <w:pPr>
        <w:pStyle w:val="BasicParagraph"/>
        <w:suppressAutoHyphens/>
        <w:jc w:val="both"/>
        <w:rPr>
          <w:rFonts w:ascii="Garamond" w:hAnsi="Garamond" w:cs="Garamond"/>
          <w:color w:val="00B0F0"/>
          <w:sz w:val="28"/>
          <w:szCs w:val="28"/>
          <w:lang w:val="fr-FR"/>
        </w:rPr>
      </w:pP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jc w:val="both"/>
        <w:rPr>
          <w:rFonts w:ascii="Garamond" w:hAnsi="Garamond" w:cs="Garamond"/>
          <w:sz w:val="28"/>
          <w:szCs w:val="28"/>
          <w:lang w:val="fr-FR"/>
        </w:rPr>
      </w:pPr>
    </w:p>
    <w:p w:rsidR="00884DBB" w:rsidRPr="005D5EC6" w:rsidRDefault="00884DBB"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jc w:val="both"/>
        <w:rPr>
          <w:rFonts w:ascii="Garamond" w:hAnsi="Garamond" w:cs="Garamond"/>
          <w:sz w:val="28"/>
          <w:szCs w:val="28"/>
          <w:lang w:val="fr-FR"/>
        </w:rPr>
      </w:pPr>
    </w:p>
    <w:p w:rsidR="00644F2A" w:rsidRDefault="00644F2A" w:rsidP="00E24C10">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2.4.5 Ustanove visokog obrazovanja</w:t>
      </w:r>
      <w:r w:rsidR="00E24C10">
        <w:rPr>
          <w:rFonts w:ascii="Garamond" w:hAnsi="Garamond" w:cs="Garamond"/>
          <w:b/>
          <w:bCs/>
          <w:sz w:val="28"/>
          <w:szCs w:val="28"/>
        </w:rPr>
        <w:t xml:space="preserve"> </w:t>
      </w:r>
      <w:r w:rsidR="00E24C10">
        <w:rPr>
          <w:rFonts w:ascii="Times New Roman" w:hAnsi="Times New Roman" w:cs="Times New Roman"/>
          <w:b/>
          <w:bCs/>
          <w:sz w:val="28"/>
          <w:szCs w:val="28"/>
        </w:rPr>
        <w:t>‒</w:t>
      </w:r>
      <w:r w:rsidR="00E24C10">
        <w:rPr>
          <w:rFonts w:ascii="Garamond" w:hAnsi="Garamond" w:cs="Garamond"/>
          <w:b/>
          <w:bCs/>
          <w:sz w:val="28"/>
          <w:szCs w:val="28"/>
        </w:rPr>
        <w:t xml:space="preserve"> </w:t>
      </w:r>
      <w:r>
        <w:rPr>
          <w:rFonts w:ascii="Garamond" w:hAnsi="Garamond" w:cs="Garamond"/>
          <w:b/>
          <w:bCs/>
          <w:sz w:val="28"/>
          <w:szCs w:val="28"/>
        </w:rPr>
        <w:t>oblasti studija i broj studenata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U tabeli 7 prikazani su podaci za oblasti studija, ukupan broj studenata na ustanovama i za organizacionu strukturu ustanova.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sz w:val="26"/>
          <w:szCs w:val="26"/>
        </w:rPr>
        <w:t>Tabela 7. Oblasti obrazovanja za koje su organizovani studijski programi, ukupan broj organizacionih jedinica i broj studenata na ustanovama u Crnoj Gori</w:t>
      </w:r>
    </w:p>
    <w:tbl>
      <w:tblPr>
        <w:tblW w:w="0" w:type="auto"/>
        <w:tblInd w:w="-20" w:type="dxa"/>
        <w:tblLayout w:type="fixed"/>
        <w:tblCellMar>
          <w:left w:w="0" w:type="dxa"/>
          <w:right w:w="0" w:type="dxa"/>
        </w:tblCellMar>
        <w:tblLook w:val="0000" w:firstRow="0" w:lastRow="0" w:firstColumn="0" w:lastColumn="0" w:noHBand="0" w:noVBand="0"/>
      </w:tblPr>
      <w:tblGrid>
        <w:gridCol w:w="907"/>
        <w:gridCol w:w="2495"/>
        <w:gridCol w:w="3004"/>
        <w:gridCol w:w="1588"/>
        <w:gridCol w:w="1587"/>
      </w:tblGrid>
      <w:tr w:rsidR="00644F2A">
        <w:trPr>
          <w:trHeight w:val="447"/>
        </w:trPr>
        <w:tc>
          <w:tcPr>
            <w:tcW w:w="9581" w:type="dxa"/>
            <w:gridSpan w:val="5"/>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Univerziteti</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2495"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Naziv ustanove</w:t>
            </w:r>
          </w:p>
        </w:tc>
        <w:tc>
          <w:tcPr>
            <w:tcW w:w="300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b/>
                <w:bCs/>
                <w:sz w:val="26"/>
                <w:szCs w:val="26"/>
              </w:rPr>
            </w:pPr>
            <w:r>
              <w:rPr>
                <w:rFonts w:ascii="Garamond" w:hAnsi="Garamond" w:cs="Garamond"/>
                <w:b/>
                <w:bCs/>
                <w:sz w:val="26"/>
                <w:szCs w:val="26"/>
              </w:rPr>
              <w:t>Oblasti obrazovanja (broj i naziv)</w:t>
            </w:r>
          </w:p>
          <w:p w:rsidR="00644F2A" w:rsidRDefault="00644F2A">
            <w:pPr>
              <w:pStyle w:val="BasicParagraph"/>
              <w:suppressAutoHyphens/>
              <w:jc w:val="center"/>
            </w:pPr>
            <w:r>
              <w:rPr>
                <w:rFonts w:ascii="Garamond" w:hAnsi="Garamond" w:cs="Garamond"/>
                <w:b/>
                <w:bCs/>
                <w:sz w:val="26"/>
                <w:szCs w:val="26"/>
              </w:rPr>
              <w:t>prema ISCED klasifikaciji od 2011.)</w:t>
            </w:r>
          </w:p>
        </w:tc>
        <w:tc>
          <w:tcPr>
            <w:tcW w:w="158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Broj organiz. jedinica</w:t>
            </w:r>
          </w:p>
        </w:tc>
        <w:tc>
          <w:tcPr>
            <w:tcW w:w="158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Broj studenata*</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1.</w:t>
            </w:r>
          </w:p>
        </w:tc>
        <w:tc>
          <w:tcPr>
            <w:tcW w:w="2495"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UNIVERZITET CRNE GORE</w:t>
            </w:r>
          </w:p>
        </w:tc>
        <w:tc>
          <w:tcPr>
            <w:tcW w:w="3004" w:type="dxa"/>
            <w:tcBorders>
              <w:top w:val="single" w:sz="16" w:space="0" w:color="000000"/>
              <w:left w:val="single" w:sz="8" w:space="0" w:color="000000"/>
              <w:bottom w:val="single" w:sz="8"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1 Obrazovanje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2 Umjetnost i humanističke nauke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3 Društvene nauke, poslovanje i pravo</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4 Prirodne nauke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5 Inženjerstvo, proizvodnja i konstrukcije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6 Poljoprivreda</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7 Zdravstvo i socijalna zaštita</w:t>
            </w:r>
          </w:p>
          <w:p w:rsidR="00644F2A" w:rsidRDefault="00644F2A">
            <w:pPr>
              <w:pStyle w:val="BasicParagraph"/>
              <w:suppressAutoHyphens/>
              <w:spacing w:after="57"/>
            </w:pPr>
            <w:r>
              <w:rPr>
                <w:rFonts w:ascii="Garamond" w:hAnsi="Garamond" w:cs="Garamond"/>
                <w:sz w:val="26"/>
                <w:szCs w:val="26"/>
              </w:rPr>
              <w:t>8 Usluge</w:t>
            </w:r>
          </w:p>
        </w:tc>
        <w:tc>
          <w:tcPr>
            <w:tcW w:w="1588"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18 fakulteta</w:t>
            </w:r>
          </w:p>
          <w:p w:rsidR="00644F2A" w:rsidRDefault="00644F2A">
            <w:pPr>
              <w:pStyle w:val="BasicParagraph"/>
              <w:jc w:val="center"/>
              <w:rPr>
                <w:rFonts w:ascii="Garamond" w:hAnsi="Garamond" w:cs="Garamond"/>
              </w:rPr>
            </w:pPr>
            <w:r>
              <w:rPr>
                <w:rFonts w:ascii="Garamond" w:hAnsi="Garamond" w:cs="Garamond"/>
              </w:rPr>
              <w:t>1 akademija</w:t>
            </w:r>
          </w:p>
          <w:p w:rsidR="00644F2A" w:rsidRDefault="00644F2A">
            <w:pPr>
              <w:pStyle w:val="BasicParagraph"/>
              <w:jc w:val="center"/>
              <w:rPr>
                <w:rFonts w:ascii="Garamond" w:hAnsi="Garamond" w:cs="Garamond"/>
              </w:rPr>
            </w:pPr>
            <w:r>
              <w:rPr>
                <w:rFonts w:ascii="Garamond" w:hAnsi="Garamond" w:cs="Garamond"/>
              </w:rPr>
              <w:t>3 instituta</w:t>
            </w:r>
          </w:p>
          <w:p w:rsidR="00644F2A" w:rsidRDefault="00644F2A">
            <w:pPr>
              <w:pStyle w:val="BasicParagraph"/>
              <w:jc w:val="center"/>
            </w:pPr>
          </w:p>
        </w:tc>
        <w:tc>
          <w:tcPr>
            <w:tcW w:w="158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5318ED">
            <w:pPr>
              <w:pStyle w:val="BasicParagraph"/>
              <w:jc w:val="center"/>
            </w:pPr>
            <w:r>
              <w:rPr>
                <w:rFonts w:ascii="Garamond" w:hAnsi="Garamond" w:cs="Garamond"/>
              </w:rPr>
              <w:t>18</w:t>
            </w:r>
            <w:r w:rsidR="00644F2A">
              <w:rPr>
                <w:rFonts w:ascii="Garamond" w:hAnsi="Garamond" w:cs="Garamond"/>
              </w:rPr>
              <w:t>.000</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2.</w:t>
            </w:r>
          </w:p>
        </w:tc>
        <w:tc>
          <w:tcPr>
            <w:tcW w:w="2495"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UNIVERZITET MEDITERAN</w:t>
            </w:r>
          </w:p>
        </w:tc>
        <w:tc>
          <w:tcPr>
            <w:tcW w:w="3004" w:type="dxa"/>
            <w:tcBorders>
              <w:top w:val="single" w:sz="8" w:space="0" w:color="000000"/>
              <w:left w:val="single" w:sz="8" w:space="0" w:color="000000"/>
              <w:bottom w:val="single" w:sz="8"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2 Umjetnost i humanističke nauke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3 Društvene nauke, poslovanje i pravo</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4 Prirodne nauke</w:t>
            </w:r>
          </w:p>
          <w:p w:rsidR="00644F2A" w:rsidRDefault="00644F2A">
            <w:pPr>
              <w:pStyle w:val="BasicParagraph"/>
              <w:suppressAutoHyphens/>
              <w:spacing w:after="57"/>
            </w:pPr>
            <w:r>
              <w:rPr>
                <w:rFonts w:ascii="Garamond" w:hAnsi="Garamond" w:cs="Garamond"/>
                <w:sz w:val="26"/>
                <w:szCs w:val="26"/>
              </w:rPr>
              <w:t>8 Usluge</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6 fakulteta</w:t>
            </w:r>
          </w:p>
        </w:tc>
        <w:tc>
          <w:tcPr>
            <w:tcW w:w="158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5318ED">
            <w:pPr>
              <w:pStyle w:val="BasicParagraph"/>
              <w:jc w:val="center"/>
            </w:pPr>
            <w:r>
              <w:rPr>
                <w:rFonts w:ascii="Garamond" w:hAnsi="Garamond" w:cs="Garamond"/>
              </w:rPr>
              <w:t>1.0</w:t>
            </w:r>
            <w:r w:rsidR="00644F2A">
              <w:rPr>
                <w:rFonts w:ascii="Garamond" w:hAnsi="Garamond" w:cs="Garamond"/>
              </w:rPr>
              <w:t>00</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3.</w:t>
            </w:r>
          </w:p>
        </w:tc>
        <w:tc>
          <w:tcPr>
            <w:tcW w:w="2495"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UNIVERZITET DONJA GORICA</w:t>
            </w:r>
          </w:p>
        </w:tc>
        <w:tc>
          <w:tcPr>
            <w:tcW w:w="3004" w:type="dxa"/>
            <w:tcBorders>
              <w:top w:val="single" w:sz="8" w:space="0" w:color="000000"/>
              <w:left w:val="single" w:sz="8" w:space="0" w:color="000000"/>
              <w:bottom w:val="single" w:sz="8"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2 Umjetnost i humanističke nauke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3 Društvene nauke, poslovanje i pravo</w:t>
            </w:r>
          </w:p>
          <w:p w:rsidR="005318ED" w:rsidRDefault="005318ED">
            <w:pPr>
              <w:pStyle w:val="BasicParagraph"/>
              <w:suppressAutoHyphens/>
              <w:spacing w:after="57"/>
              <w:rPr>
                <w:rFonts w:ascii="Garamond" w:hAnsi="Garamond" w:cs="Garamond"/>
                <w:sz w:val="26"/>
                <w:szCs w:val="26"/>
              </w:rPr>
            </w:pPr>
            <w:r>
              <w:rPr>
                <w:rFonts w:ascii="Garamond" w:hAnsi="Garamond" w:cs="Garamond"/>
                <w:sz w:val="26"/>
                <w:szCs w:val="26"/>
              </w:rPr>
              <w:lastRenderedPageBreak/>
              <w:t>4 Prirodne nauke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5 Inženjerstvo, proizvodnja i konstrukcije</w:t>
            </w: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6 Poljoprivreda</w:t>
            </w:r>
          </w:p>
          <w:p w:rsidR="00644F2A" w:rsidRDefault="00644F2A">
            <w:pPr>
              <w:pStyle w:val="BasicParagraph"/>
              <w:suppressAutoHyphens/>
              <w:spacing w:after="57"/>
            </w:pPr>
            <w:r>
              <w:rPr>
                <w:rFonts w:ascii="Garamond" w:hAnsi="Garamond" w:cs="Garamond"/>
                <w:sz w:val="26"/>
                <w:szCs w:val="26"/>
              </w:rPr>
              <w:t>8 Usluge</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lastRenderedPageBreak/>
              <w:t>12 fakulteta</w:t>
            </w:r>
          </w:p>
          <w:p w:rsidR="00644F2A" w:rsidRDefault="00644F2A">
            <w:pPr>
              <w:pStyle w:val="BasicParagraph"/>
              <w:jc w:val="center"/>
            </w:pPr>
            <w:r>
              <w:rPr>
                <w:rFonts w:ascii="Garamond" w:hAnsi="Garamond" w:cs="Garamond"/>
              </w:rPr>
              <w:t>1 centar</w:t>
            </w:r>
          </w:p>
        </w:tc>
        <w:tc>
          <w:tcPr>
            <w:tcW w:w="158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2.600</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lastRenderedPageBreak/>
              <w:t>4.</w:t>
            </w:r>
          </w:p>
        </w:tc>
        <w:tc>
          <w:tcPr>
            <w:tcW w:w="2495"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UNIVERZITET ADRIATIK</w:t>
            </w:r>
          </w:p>
        </w:tc>
        <w:tc>
          <w:tcPr>
            <w:tcW w:w="3004" w:type="dxa"/>
            <w:tcBorders>
              <w:top w:val="single" w:sz="8" w:space="0" w:color="000000"/>
              <w:left w:val="single" w:sz="8" w:space="0" w:color="000000"/>
              <w:bottom w:val="single" w:sz="16"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3 Društvene nauke, poslovanje i pravo</w:t>
            </w:r>
          </w:p>
          <w:p w:rsidR="00644F2A" w:rsidRDefault="00644F2A">
            <w:pPr>
              <w:pStyle w:val="BasicParagraph"/>
              <w:suppressAutoHyphens/>
              <w:spacing w:after="57"/>
            </w:pPr>
            <w:r>
              <w:rPr>
                <w:rFonts w:ascii="Garamond" w:hAnsi="Garamond" w:cs="Garamond"/>
                <w:sz w:val="26"/>
                <w:szCs w:val="26"/>
              </w:rPr>
              <w:t>8 Usluge</w:t>
            </w:r>
          </w:p>
        </w:tc>
        <w:tc>
          <w:tcPr>
            <w:tcW w:w="158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8 fakulteta</w:t>
            </w:r>
          </w:p>
        </w:tc>
        <w:tc>
          <w:tcPr>
            <w:tcW w:w="158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1.700</w:t>
            </w:r>
          </w:p>
        </w:tc>
      </w:tr>
      <w:tr w:rsidR="00644F2A">
        <w:trPr>
          <w:trHeight w:val="383"/>
        </w:trPr>
        <w:tc>
          <w:tcPr>
            <w:tcW w:w="9581"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Samostalni fakulteti</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1.</w:t>
            </w:r>
          </w:p>
        </w:tc>
        <w:tc>
          <w:tcPr>
            <w:tcW w:w="2495"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Fakultet za poslovni menadžment</w:t>
            </w:r>
          </w:p>
        </w:tc>
        <w:tc>
          <w:tcPr>
            <w:tcW w:w="3004" w:type="dxa"/>
            <w:tcBorders>
              <w:top w:val="single" w:sz="16" w:space="0" w:color="000000"/>
              <w:left w:val="single" w:sz="8" w:space="0" w:color="000000"/>
              <w:bottom w:val="single" w:sz="8"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pPr>
            <w:r>
              <w:rPr>
                <w:rFonts w:ascii="Garamond" w:hAnsi="Garamond" w:cs="Garamond"/>
                <w:sz w:val="26"/>
                <w:szCs w:val="26"/>
              </w:rPr>
              <w:t>3 Društvene nauke, poslovanje i pravo</w:t>
            </w:r>
          </w:p>
        </w:tc>
        <w:tc>
          <w:tcPr>
            <w:tcW w:w="1588"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 fakultet</w:t>
            </w:r>
          </w:p>
        </w:tc>
        <w:tc>
          <w:tcPr>
            <w:tcW w:w="158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450</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2.</w:t>
            </w:r>
          </w:p>
        </w:tc>
        <w:tc>
          <w:tcPr>
            <w:tcW w:w="2495"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Fakultet za državne i evropske studije</w:t>
            </w:r>
          </w:p>
        </w:tc>
        <w:tc>
          <w:tcPr>
            <w:tcW w:w="3004" w:type="dxa"/>
            <w:tcBorders>
              <w:top w:val="single" w:sz="8" w:space="0" w:color="000000"/>
              <w:left w:val="single" w:sz="8" w:space="0" w:color="000000"/>
              <w:bottom w:val="single" w:sz="8"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pPr>
            <w:r>
              <w:rPr>
                <w:rFonts w:ascii="Garamond" w:hAnsi="Garamond" w:cs="Garamond"/>
                <w:sz w:val="26"/>
                <w:szCs w:val="26"/>
              </w:rPr>
              <w:t>3 Društvene nauke, poslovanje i pravo</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 fakultet</w:t>
            </w:r>
          </w:p>
        </w:tc>
        <w:tc>
          <w:tcPr>
            <w:tcW w:w="158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210</w:t>
            </w:r>
          </w:p>
        </w:tc>
      </w:tr>
      <w:tr w:rsidR="00644F2A">
        <w:trPr>
          <w:trHeight w:val="60"/>
        </w:trPr>
        <w:tc>
          <w:tcPr>
            <w:tcW w:w="907"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3.</w:t>
            </w:r>
          </w:p>
        </w:tc>
        <w:tc>
          <w:tcPr>
            <w:tcW w:w="2495"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sz w:val="26"/>
                <w:szCs w:val="26"/>
              </w:rPr>
              <w:t>Fakultet za crnogorski jezik i književnost</w:t>
            </w:r>
          </w:p>
        </w:tc>
        <w:tc>
          <w:tcPr>
            <w:tcW w:w="3004" w:type="dxa"/>
            <w:tcBorders>
              <w:top w:val="single" w:sz="8" w:space="0" w:color="000000"/>
              <w:left w:val="single" w:sz="8" w:space="0" w:color="000000"/>
              <w:bottom w:val="single" w:sz="16" w:space="0" w:color="000000"/>
              <w:right w:val="single" w:sz="8" w:space="0" w:color="000000"/>
            </w:tcBorders>
            <w:tcMar>
              <w:top w:w="113" w:type="dxa"/>
              <w:left w:w="170" w:type="dxa"/>
              <w:bottom w:w="170" w:type="dxa"/>
              <w:right w:w="113" w:type="dxa"/>
            </w:tcMar>
            <w:vAlign w:val="center"/>
          </w:tcPr>
          <w:p w:rsidR="00644F2A" w:rsidRDefault="00644F2A">
            <w:pPr>
              <w:pStyle w:val="BasicParagraph"/>
              <w:suppressAutoHyphens/>
              <w:spacing w:after="57"/>
            </w:pPr>
            <w:r>
              <w:rPr>
                <w:rFonts w:ascii="Garamond" w:hAnsi="Garamond" w:cs="Garamond"/>
                <w:sz w:val="26"/>
                <w:szCs w:val="26"/>
              </w:rPr>
              <w:t>2 Umjetnost i humanističke nauke</w:t>
            </w:r>
          </w:p>
        </w:tc>
        <w:tc>
          <w:tcPr>
            <w:tcW w:w="158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 fakultet</w:t>
            </w:r>
          </w:p>
        </w:tc>
        <w:tc>
          <w:tcPr>
            <w:tcW w:w="158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115</w:t>
            </w:r>
          </w:p>
        </w:tc>
      </w:tr>
      <w:tr w:rsidR="00644F2A">
        <w:trPr>
          <w:trHeight w:val="372"/>
        </w:trPr>
        <w:tc>
          <w:tcPr>
            <w:tcW w:w="9581"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both"/>
            </w:pPr>
            <w:r>
              <w:rPr>
                <w:rFonts w:ascii="Garamond" w:hAnsi="Garamond" w:cs="Garamond"/>
                <w:b/>
                <w:bCs/>
                <w:sz w:val="26"/>
                <w:szCs w:val="26"/>
              </w:rPr>
              <w:t>UKUPAN BROJ STUDENATA (zaokruženo):                                                              26.600</w:t>
            </w:r>
          </w:p>
        </w:tc>
      </w:tr>
      <w:tr w:rsidR="00644F2A">
        <w:trPr>
          <w:trHeight w:val="645"/>
        </w:trPr>
        <w:tc>
          <w:tcPr>
            <w:tcW w:w="9581"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i/>
                <w:iCs/>
                <w:sz w:val="26"/>
                <w:szCs w:val="26"/>
              </w:rPr>
              <w:t xml:space="preserve">Izvor: Dr Thomas Ekman Jørgensen, Evaluacija devet ustanova visokog obrazovanja u Crnoj Gori, Izvještaj o analizi sistema, septembar 2018. godine, </w:t>
            </w:r>
            <w:hyperlink r:id="rId16" w:history="1">
              <w:r w:rsidR="00E24C10" w:rsidRPr="00D17249">
                <w:rPr>
                  <w:rStyle w:val="Hyperlink"/>
                  <w:rFonts w:ascii="Garamond" w:hAnsi="Garamond" w:cs="Garamond"/>
                  <w:i/>
                  <w:iCs/>
                  <w:sz w:val="26"/>
                  <w:szCs w:val="26"/>
                </w:rPr>
                <w:t>www.svo.gov.me</w:t>
              </w:r>
            </w:hyperlink>
          </w:p>
        </w:tc>
      </w:tr>
    </w:tbl>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Rezultati u tabeli 7 pokazuju da je Univerzitet Crne Gore najveća ustanova sa studijama organizovanim iz svih oblasti (sistematizovanih u ISCED klasifikaciji), fakultetima i akademijama kao organizacionim cjelinama koji realizuju nastavu i istraživanje i tri instituta za namjenska istraživanja</w:t>
      </w:r>
      <w:r w:rsidR="005318ED">
        <w:rPr>
          <w:rFonts w:ascii="Garamond" w:hAnsi="Garamond" w:cs="Garamond"/>
          <w:sz w:val="28"/>
          <w:szCs w:val="28"/>
        </w:rPr>
        <w:t>. Na Univerzitetu studira oko 18</w:t>
      </w:r>
      <w:r>
        <w:rPr>
          <w:rFonts w:ascii="Garamond" w:hAnsi="Garamond" w:cs="Garamond"/>
          <w:sz w:val="28"/>
          <w:szCs w:val="28"/>
        </w:rPr>
        <w:t>.000 studenata, što predstavlja 75% ukupnog broja studenata u Crnoj Gori.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Univerzitet Donja Gorica je drugi po veličini sa 2.600 studenata (oko 10% uku</w:t>
      </w:r>
      <w:r w:rsidR="005318ED">
        <w:rPr>
          <w:rFonts w:ascii="Garamond" w:hAnsi="Garamond" w:cs="Garamond"/>
          <w:sz w:val="28"/>
          <w:szCs w:val="28"/>
        </w:rPr>
        <w:t>pnog broja) na programima iz šest</w:t>
      </w:r>
      <w:r>
        <w:rPr>
          <w:rFonts w:ascii="Garamond" w:hAnsi="Garamond" w:cs="Garamond"/>
          <w:sz w:val="28"/>
          <w:szCs w:val="28"/>
        </w:rPr>
        <w:t xml:space="preserve"> oblasti obrazovanja. Organizovan je sa 12 fakulteta i jednim centrom.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 Un</w:t>
      </w:r>
      <w:r w:rsidR="005318ED">
        <w:rPr>
          <w:rFonts w:ascii="Garamond" w:hAnsi="Garamond" w:cs="Garamond"/>
          <w:sz w:val="28"/>
          <w:szCs w:val="28"/>
        </w:rPr>
        <w:t>iverzitetu Mediteran studira 1.0</w:t>
      </w:r>
      <w:r>
        <w:rPr>
          <w:rFonts w:ascii="Garamond" w:hAnsi="Garamond" w:cs="Garamond"/>
          <w:sz w:val="28"/>
          <w:szCs w:val="28"/>
        </w:rPr>
        <w:t>00 (oko 6%) studenata na programima iz četiri oblasti obrazovanja. Slično je na Univerzitetu Adriatik sa 1.700 (oko 6%) studenata na programima iz dvije oblasti ISCED klasifikacije.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Na samostalnim fakultetima studira oko 3% ukupnog broja studenata na programima iz oblasti društvenih nauka, poslovanja i prava i humanističkih nauka.</w:t>
      </w: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r w:rsidR="00821309">
        <w:rPr>
          <w:rFonts w:ascii="Garamond" w:hAnsi="Garamond" w:cs="Garamond"/>
          <w:color w:val="00B0F0"/>
          <w:sz w:val="28"/>
          <w:szCs w:val="28"/>
        </w:rPr>
        <w:t>:</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 xml:space="preserve">» Oko 50 fakulteta realizuju nastavu i istraživanje kao organizacione cjeline univerziteta ili samostalne ustanove. </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 xml:space="preserve">» Ukupan broj studenata na ustanovama </w:t>
      </w:r>
      <w:r w:rsidR="00DE6131">
        <w:rPr>
          <w:rFonts w:ascii="Garamond" w:hAnsi="Garamond" w:cs="Garamond"/>
          <w:color w:val="00B0F0"/>
          <w:sz w:val="28"/>
          <w:szCs w:val="28"/>
        </w:rPr>
        <w:t xml:space="preserve">visokog obrazovanja </w:t>
      </w:r>
      <w:r w:rsidRPr="00821309">
        <w:rPr>
          <w:rFonts w:ascii="Garamond" w:hAnsi="Garamond" w:cs="Garamond"/>
          <w:color w:val="00B0F0"/>
          <w:sz w:val="28"/>
          <w:szCs w:val="28"/>
        </w:rPr>
        <w:t>u Crnoj Gori je oko 26.500. U odnosu na ukupnu populaciju stanovništva Crne Gore (oko 622.000) broj studenata je iznad 4%, od čega je više od 3% na Univerzitetu Crne Gore. Budući da jedan broj studenata odlazi na studije u inostranstvo (u zemlje regiona i EU), ukupan broj studenata može dostići 4,5%.</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 S obzirom na pokazatelje broja mladih i ukupnog stanovništva nije realno očekivati da se ovakvi odnosi izmijene u periodu za koji se donosi strategija.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2.4.6 Ustanove visokog obrazovanja - Studijski programi i nivoi studija</w:t>
      </w:r>
      <w:r>
        <w:rPr>
          <w:rFonts w:ascii="Garamond" w:hAnsi="Garamond" w:cs="Garamond"/>
          <w:b/>
          <w:bCs/>
          <w:sz w:val="28"/>
          <w:szCs w:val="28"/>
        </w:rPr>
        <w:tab/>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Pregled studijskih program</w:t>
      </w:r>
      <w:r w:rsidR="00DE6131">
        <w:rPr>
          <w:rFonts w:ascii="Garamond" w:hAnsi="Garamond" w:cs="Garamond"/>
          <w:sz w:val="28"/>
          <w:szCs w:val="28"/>
        </w:rPr>
        <w:t>a</w:t>
      </w:r>
      <w:r>
        <w:rPr>
          <w:rFonts w:ascii="Garamond" w:hAnsi="Garamond" w:cs="Garamond"/>
          <w:sz w:val="28"/>
          <w:szCs w:val="28"/>
        </w:rPr>
        <w:t xml:space="preserve"> po oblastima obrazovanja i ciklusima studija za koje se organizuje nastava na ustanovama u Crnoj Gori prikazan je u tabeli 8. Podaci pokazuju da su studijski programi akreditovani za sve oblasti obrazovanja (po ISCED klasifikaciji), a kod obrazovnih grana nedostaje veterina.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Drugi ciklus studija (master studije) organizuju se za sve oblasti gdje su organizovane osnovne studije.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Treći ciklus studija (doktorske studije) na Univerzitetu Crne Gore ogranizovan je za sve naučne discipline. Na ostalim univerzitetima treći ciklus studija je organizovan za društvene nauke, poslovnu administraciju i pravo.</w:t>
      </w:r>
    </w:p>
    <w:p w:rsidR="00644F2A" w:rsidRDefault="00644F2A" w:rsidP="00644F2A">
      <w:pPr>
        <w:pStyle w:val="BasicParagraph"/>
        <w:suppressAutoHyphens/>
        <w:spacing w:after="113"/>
        <w:jc w:val="center"/>
        <w:rPr>
          <w:rFonts w:ascii="Garamond" w:hAnsi="Garamond" w:cs="Garamond"/>
          <w:b/>
          <w:bCs/>
          <w:sz w:val="26"/>
          <w:szCs w:val="26"/>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sz w:val="26"/>
          <w:szCs w:val="26"/>
        </w:rPr>
        <w:t>Tabela 8. Pregled pripadnosti studijskih programa oblastima i ciklusima</w:t>
      </w:r>
    </w:p>
    <w:tbl>
      <w:tblPr>
        <w:tblW w:w="0" w:type="auto"/>
        <w:tblInd w:w="-20" w:type="dxa"/>
        <w:tblLayout w:type="fixed"/>
        <w:tblCellMar>
          <w:left w:w="0" w:type="dxa"/>
          <w:right w:w="0" w:type="dxa"/>
        </w:tblCellMar>
        <w:tblLook w:val="0000" w:firstRow="0" w:lastRow="0" w:firstColumn="0" w:lastColumn="0" w:noHBand="0" w:noVBand="0"/>
      </w:tblPr>
      <w:tblGrid>
        <w:gridCol w:w="3402"/>
        <w:gridCol w:w="3401"/>
        <w:gridCol w:w="907"/>
        <w:gridCol w:w="907"/>
        <w:gridCol w:w="907"/>
      </w:tblGrid>
      <w:tr w:rsidR="00644F2A">
        <w:trPr>
          <w:trHeight w:val="731"/>
        </w:trPr>
        <w:tc>
          <w:tcPr>
            <w:tcW w:w="3402"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sz w:val="26"/>
                <w:szCs w:val="26"/>
              </w:rPr>
              <w:t>Oblasti obrazovanja (broj i naziv) prema ISCED klasifikaciji (2011)</w:t>
            </w:r>
          </w:p>
        </w:tc>
        <w:tc>
          <w:tcPr>
            <w:tcW w:w="3401"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Uže oblasti</w:t>
            </w:r>
          </w:p>
        </w:tc>
        <w:tc>
          <w:tcPr>
            <w:tcW w:w="2721" w:type="dxa"/>
            <w:gridSpan w:val="3"/>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rPr>
                <w:rFonts w:ascii="Garamond" w:hAnsi="Garamond" w:cs="Garamond"/>
                <w:b/>
                <w:bCs/>
                <w:sz w:val="26"/>
                <w:szCs w:val="26"/>
              </w:rPr>
            </w:pPr>
            <w:r>
              <w:rPr>
                <w:rFonts w:ascii="Garamond" w:hAnsi="Garamond" w:cs="Garamond"/>
                <w:b/>
                <w:bCs/>
                <w:sz w:val="26"/>
                <w:szCs w:val="26"/>
              </w:rPr>
              <w:t>Studijski programi</w:t>
            </w:r>
          </w:p>
          <w:p w:rsidR="00644F2A" w:rsidRDefault="00644F2A">
            <w:pPr>
              <w:pStyle w:val="BasicParagraph"/>
              <w:jc w:val="center"/>
            </w:pPr>
            <w:r>
              <w:rPr>
                <w:rFonts w:ascii="Garamond" w:hAnsi="Garamond" w:cs="Garamond"/>
                <w:b/>
                <w:bCs/>
                <w:sz w:val="26"/>
                <w:szCs w:val="26"/>
              </w:rPr>
              <w:t>po ciklusima studija</w:t>
            </w:r>
          </w:p>
        </w:tc>
      </w:tr>
      <w:tr w:rsidR="00644F2A">
        <w:trPr>
          <w:trHeight w:val="515"/>
        </w:trPr>
        <w:tc>
          <w:tcPr>
            <w:tcW w:w="3402"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I</w:t>
            </w:r>
          </w:p>
        </w:tc>
        <w:tc>
          <w:tcPr>
            <w:tcW w:w="90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II</w:t>
            </w:r>
          </w:p>
        </w:tc>
        <w:tc>
          <w:tcPr>
            <w:tcW w:w="907"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III</w:t>
            </w:r>
          </w:p>
        </w:tc>
      </w:tr>
      <w:tr w:rsidR="00644F2A">
        <w:trPr>
          <w:trHeight w:val="483"/>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UNIVERZITET CRNE GORE</w:t>
            </w:r>
          </w:p>
        </w:tc>
      </w:tr>
      <w:tr w:rsidR="00644F2A">
        <w:trPr>
          <w:trHeight w:val="446"/>
        </w:trPr>
        <w:tc>
          <w:tcPr>
            <w:tcW w:w="3402" w:type="dxa"/>
            <w:vMerge w:val="restart"/>
            <w:tcBorders>
              <w:top w:val="single" w:sz="16" w:space="0" w:color="000000"/>
              <w:left w:val="single" w:sz="16" w:space="0" w:color="000000"/>
              <w:bottom w:val="single" w:sz="8" w:space="0" w:color="000000"/>
              <w:right w:val="single" w:sz="8" w:space="0" w:color="000000"/>
            </w:tcBorders>
            <w:tcMar>
              <w:top w:w="0" w:type="dxa"/>
              <w:left w:w="170" w:type="dxa"/>
              <w:bottom w:w="170" w:type="dxa"/>
              <w:right w:w="170" w:type="dxa"/>
            </w:tcMar>
          </w:tcPr>
          <w:p w:rsidR="00644F2A" w:rsidRDefault="00644F2A">
            <w:pPr>
              <w:pStyle w:val="BasicParagraph"/>
              <w:suppressAutoHyphens/>
              <w:spacing w:after="57"/>
              <w:rPr>
                <w:rFonts w:ascii="Garamond" w:hAnsi="Garamond" w:cs="Garamond"/>
                <w:sz w:val="44"/>
                <w:szCs w:val="44"/>
              </w:rPr>
            </w:pPr>
            <w:r>
              <w:rPr>
                <w:rFonts w:ascii="Garamond" w:hAnsi="Garamond" w:cs="Garamond"/>
                <w:sz w:val="26"/>
                <w:szCs w:val="26"/>
              </w:rPr>
              <w:lastRenderedPageBreak/>
              <w:t>1 Obrazovanje</w:t>
            </w:r>
          </w:p>
          <w:p w:rsidR="00644F2A" w:rsidRDefault="00644F2A">
            <w:pPr>
              <w:pStyle w:val="BasicParagraph"/>
              <w:suppressAutoHyphens/>
              <w:spacing w:before="227" w:after="57"/>
              <w:rPr>
                <w:rFonts w:ascii="Garamond" w:hAnsi="Garamond" w:cs="Garamond"/>
                <w:sz w:val="26"/>
                <w:szCs w:val="26"/>
              </w:rPr>
            </w:pPr>
            <w:r>
              <w:rPr>
                <w:rFonts w:ascii="Garamond" w:hAnsi="Garamond" w:cs="Garamond"/>
                <w:sz w:val="26"/>
                <w:szCs w:val="26"/>
              </w:rPr>
              <w:t>2 Umjetnost i humanističke nauke</w:t>
            </w:r>
          </w:p>
          <w:p w:rsidR="00644F2A" w:rsidRDefault="00644F2A">
            <w:pPr>
              <w:pStyle w:val="BasicParagraph"/>
              <w:suppressAutoHyphens/>
              <w:spacing w:before="283" w:after="57"/>
              <w:rPr>
                <w:rFonts w:ascii="Garamond" w:hAnsi="Garamond" w:cs="Garamond"/>
                <w:sz w:val="26"/>
                <w:szCs w:val="26"/>
              </w:rPr>
            </w:pPr>
            <w:r>
              <w:rPr>
                <w:rFonts w:ascii="Garamond" w:hAnsi="Garamond" w:cs="Garamond"/>
                <w:sz w:val="26"/>
                <w:szCs w:val="26"/>
              </w:rPr>
              <w:t>3 Društvene nauke, poslovanje i pravo</w:t>
            </w:r>
          </w:p>
          <w:p w:rsidR="00644F2A" w:rsidRDefault="00644F2A">
            <w:pPr>
              <w:pStyle w:val="BasicParagraph"/>
              <w:suppressAutoHyphens/>
              <w:spacing w:after="57"/>
              <w:rPr>
                <w:rFonts w:ascii="Garamond" w:hAnsi="Garamond" w:cs="Garamond"/>
                <w:sz w:val="26"/>
                <w:szCs w:val="26"/>
              </w:rPr>
            </w:pPr>
          </w:p>
          <w:p w:rsidR="00644F2A" w:rsidRDefault="00644F2A">
            <w:pPr>
              <w:pStyle w:val="BasicParagraph"/>
              <w:suppressAutoHyphens/>
              <w:spacing w:after="57"/>
              <w:rPr>
                <w:rFonts w:ascii="Garamond" w:hAnsi="Garamond" w:cs="Garamond"/>
                <w:sz w:val="26"/>
                <w:szCs w:val="26"/>
              </w:rPr>
            </w:pPr>
          </w:p>
          <w:p w:rsidR="00644F2A" w:rsidRDefault="00644F2A">
            <w:pPr>
              <w:pStyle w:val="BasicParagraph"/>
              <w:suppressAutoHyphens/>
              <w:spacing w:before="227" w:after="57"/>
              <w:rPr>
                <w:rFonts w:ascii="Garamond" w:hAnsi="Garamond" w:cs="Garamond"/>
                <w:sz w:val="26"/>
                <w:szCs w:val="26"/>
              </w:rPr>
            </w:pPr>
            <w:r>
              <w:rPr>
                <w:rFonts w:ascii="Garamond" w:hAnsi="Garamond" w:cs="Garamond"/>
                <w:sz w:val="26"/>
                <w:szCs w:val="26"/>
              </w:rPr>
              <w:t>4 Prirodne nauke</w:t>
            </w:r>
          </w:p>
          <w:p w:rsidR="00644F2A" w:rsidRDefault="00644F2A">
            <w:pPr>
              <w:pStyle w:val="BasicParagraph"/>
              <w:suppressAutoHyphens/>
              <w:spacing w:after="57"/>
              <w:rPr>
                <w:rFonts w:ascii="Garamond" w:hAnsi="Garamond" w:cs="Garamond"/>
                <w:sz w:val="26"/>
                <w:szCs w:val="26"/>
              </w:rPr>
            </w:pPr>
          </w:p>
          <w:p w:rsidR="00644F2A" w:rsidRDefault="00644F2A">
            <w:pPr>
              <w:pStyle w:val="BasicParagraph"/>
              <w:suppressAutoHyphens/>
              <w:spacing w:after="57"/>
              <w:rPr>
                <w:rFonts w:ascii="Garamond" w:hAnsi="Garamond" w:cs="Garamond"/>
                <w:sz w:val="26"/>
                <w:szCs w:val="26"/>
              </w:rPr>
            </w:pPr>
          </w:p>
          <w:p w:rsidR="00644F2A" w:rsidRDefault="00644F2A">
            <w:pPr>
              <w:pStyle w:val="BasicParagraph"/>
              <w:suppressAutoHyphens/>
              <w:spacing w:before="227" w:after="57"/>
              <w:rPr>
                <w:rFonts w:ascii="Garamond" w:hAnsi="Garamond" w:cs="Garamond"/>
                <w:sz w:val="26"/>
                <w:szCs w:val="26"/>
              </w:rPr>
            </w:pPr>
            <w:r>
              <w:rPr>
                <w:rFonts w:ascii="Garamond" w:hAnsi="Garamond" w:cs="Garamond"/>
                <w:sz w:val="26"/>
                <w:szCs w:val="26"/>
              </w:rPr>
              <w:t>5 Inženjerstvo, proizvodnja i konstrukcije</w:t>
            </w:r>
          </w:p>
          <w:p w:rsidR="00644F2A" w:rsidRDefault="00644F2A">
            <w:pPr>
              <w:pStyle w:val="BasicParagraph"/>
              <w:suppressAutoHyphens/>
              <w:spacing w:before="170" w:after="57"/>
              <w:rPr>
                <w:rFonts w:ascii="Garamond" w:hAnsi="Garamond" w:cs="Garamond"/>
                <w:sz w:val="26"/>
                <w:szCs w:val="26"/>
              </w:rPr>
            </w:pPr>
            <w:r>
              <w:rPr>
                <w:rFonts w:ascii="Garamond" w:hAnsi="Garamond" w:cs="Garamond"/>
                <w:sz w:val="26"/>
                <w:szCs w:val="26"/>
              </w:rPr>
              <w:t>6 Poljoprivreda</w:t>
            </w:r>
          </w:p>
          <w:p w:rsidR="00644F2A" w:rsidRDefault="00644F2A">
            <w:pPr>
              <w:pStyle w:val="BasicParagraph"/>
              <w:suppressAutoHyphens/>
              <w:spacing w:after="57"/>
              <w:rPr>
                <w:rFonts w:ascii="Garamond" w:hAnsi="Garamond" w:cs="Garamond"/>
                <w:sz w:val="26"/>
                <w:szCs w:val="26"/>
              </w:rPr>
            </w:pPr>
          </w:p>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7 Zdravstvo i socijalna zaštita</w:t>
            </w:r>
          </w:p>
          <w:p w:rsidR="00644F2A" w:rsidRDefault="00644F2A">
            <w:pPr>
              <w:pStyle w:val="BasicParagraph"/>
              <w:suppressAutoHyphens/>
              <w:spacing w:after="57"/>
              <w:rPr>
                <w:rFonts w:ascii="Garamond" w:hAnsi="Garamond" w:cs="Garamond"/>
                <w:sz w:val="26"/>
                <w:szCs w:val="26"/>
              </w:rPr>
            </w:pPr>
          </w:p>
          <w:p w:rsidR="00644F2A" w:rsidRDefault="00644F2A">
            <w:pPr>
              <w:pStyle w:val="BasicParagraph"/>
              <w:suppressAutoHyphens/>
              <w:spacing w:before="227" w:after="57"/>
              <w:rPr>
                <w:rFonts w:ascii="Garamond" w:hAnsi="Garamond" w:cs="Garamond"/>
                <w:sz w:val="26"/>
                <w:szCs w:val="26"/>
              </w:rPr>
            </w:pPr>
            <w:r>
              <w:rPr>
                <w:rFonts w:ascii="Garamond" w:hAnsi="Garamond" w:cs="Garamond"/>
                <w:sz w:val="26"/>
                <w:szCs w:val="26"/>
              </w:rPr>
              <w:t>8 Usluge</w:t>
            </w:r>
          </w:p>
          <w:p w:rsidR="00644F2A" w:rsidRDefault="00644F2A">
            <w:pPr>
              <w:pStyle w:val="BasicParagraph"/>
              <w:suppressAutoHyphens/>
              <w:spacing w:before="227" w:after="57"/>
            </w:pPr>
          </w:p>
        </w:tc>
        <w:tc>
          <w:tcPr>
            <w:tcW w:w="340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Obrazovanje učitelja</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Umjetnost</w:t>
            </w:r>
          </w:p>
          <w:p w:rsidR="00644F2A" w:rsidRDefault="00644F2A">
            <w:pPr>
              <w:pStyle w:val="BasicParagraph"/>
              <w:jc w:val="center"/>
            </w:pPr>
            <w:r>
              <w:rPr>
                <w:rFonts w:ascii="Garamond" w:hAnsi="Garamond" w:cs="Garamond"/>
              </w:rPr>
              <w:t>Humanističke nauke</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457"/>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Društvene i biheviorističke nauke</w:t>
            </w:r>
          </w:p>
          <w:p w:rsidR="00644F2A" w:rsidRDefault="00644F2A">
            <w:pPr>
              <w:pStyle w:val="BasicParagraph"/>
              <w:jc w:val="center"/>
              <w:rPr>
                <w:rFonts w:ascii="Garamond" w:hAnsi="Garamond" w:cs="Garamond"/>
              </w:rPr>
            </w:pPr>
            <w:r>
              <w:rPr>
                <w:rFonts w:ascii="Garamond" w:hAnsi="Garamond" w:cs="Garamond"/>
              </w:rPr>
              <w:t>Novinarstvo i informacije</w:t>
            </w:r>
          </w:p>
          <w:p w:rsidR="00644F2A" w:rsidRDefault="00644F2A">
            <w:pPr>
              <w:pStyle w:val="BasicParagraph"/>
              <w:jc w:val="center"/>
              <w:rPr>
                <w:rFonts w:ascii="Garamond" w:hAnsi="Garamond" w:cs="Garamond"/>
              </w:rPr>
            </w:pPr>
            <w:r>
              <w:rPr>
                <w:rFonts w:ascii="Garamond" w:hAnsi="Garamond" w:cs="Garamond"/>
              </w:rPr>
              <w:t>Poslovna administracija</w:t>
            </w:r>
          </w:p>
          <w:p w:rsidR="00644F2A" w:rsidRDefault="00644F2A">
            <w:pPr>
              <w:pStyle w:val="BasicParagraph"/>
              <w:jc w:val="center"/>
            </w:pPr>
            <w:r>
              <w:rPr>
                <w:rFonts w:ascii="Garamond" w:hAnsi="Garamond" w:cs="Garamond"/>
              </w:rPr>
              <w:t>Pravo</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394"/>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Biologija</w:t>
            </w:r>
          </w:p>
          <w:p w:rsidR="00644F2A" w:rsidRDefault="00644F2A">
            <w:pPr>
              <w:pStyle w:val="BasicParagraph"/>
              <w:jc w:val="center"/>
              <w:rPr>
                <w:rFonts w:ascii="Garamond" w:hAnsi="Garamond" w:cs="Garamond"/>
              </w:rPr>
            </w:pPr>
            <w:r>
              <w:rPr>
                <w:rFonts w:ascii="Garamond" w:hAnsi="Garamond" w:cs="Garamond"/>
              </w:rPr>
              <w:t>Fizičke nauke</w:t>
            </w:r>
          </w:p>
          <w:p w:rsidR="00644F2A" w:rsidRDefault="00644F2A">
            <w:pPr>
              <w:pStyle w:val="BasicParagraph"/>
              <w:jc w:val="center"/>
              <w:rPr>
                <w:rFonts w:ascii="Garamond" w:hAnsi="Garamond" w:cs="Garamond"/>
              </w:rPr>
            </w:pPr>
            <w:r>
              <w:rPr>
                <w:rFonts w:ascii="Garamond" w:hAnsi="Garamond" w:cs="Garamond"/>
              </w:rPr>
              <w:t>Matematika i statistika</w:t>
            </w:r>
          </w:p>
          <w:p w:rsidR="00644F2A" w:rsidRDefault="00644F2A">
            <w:pPr>
              <w:pStyle w:val="BasicParagraph"/>
              <w:jc w:val="center"/>
            </w:pPr>
            <w:r>
              <w:rPr>
                <w:rFonts w:ascii="Garamond" w:hAnsi="Garamond" w:cs="Garamond"/>
              </w:rPr>
              <w:t>Kompjuterske nauke</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358"/>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Inženjerstvo</w:t>
            </w:r>
          </w:p>
          <w:p w:rsidR="00644F2A" w:rsidRDefault="00644F2A">
            <w:pPr>
              <w:pStyle w:val="BasicParagraph"/>
              <w:jc w:val="center"/>
            </w:pPr>
            <w:r>
              <w:rPr>
                <w:rFonts w:ascii="Garamond" w:hAnsi="Garamond" w:cs="Garamond"/>
              </w:rPr>
              <w:t>Proizvodnja i obrada</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402"/>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Poljoprivreda</w:t>
            </w:r>
          </w:p>
          <w:p w:rsidR="00644F2A" w:rsidRDefault="00644F2A">
            <w:pPr>
              <w:pStyle w:val="BasicParagraph"/>
              <w:jc w:val="center"/>
            </w:pPr>
            <w:r>
              <w:rPr>
                <w:rFonts w:ascii="Garamond" w:hAnsi="Garamond" w:cs="Garamond"/>
              </w:rPr>
              <w:t>Veterina</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Zdravstvo</w:t>
            </w:r>
          </w:p>
          <w:p w:rsidR="00644F2A" w:rsidRDefault="00644F2A">
            <w:pPr>
              <w:pStyle w:val="BasicParagraph"/>
              <w:jc w:val="center"/>
            </w:pPr>
            <w:r>
              <w:rPr>
                <w:rFonts w:ascii="Garamond" w:hAnsi="Garamond" w:cs="Garamond"/>
              </w:rPr>
              <w:t>Socijalne usluge</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413"/>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Lične usluge</w:t>
            </w:r>
          </w:p>
          <w:p w:rsidR="00644F2A" w:rsidRDefault="00644F2A">
            <w:pPr>
              <w:pStyle w:val="BasicParagraph"/>
              <w:jc w:val="center"/>
              <w:rPr>
                <w:rFonts w:ascii="Garamond" w:hAnsi="Garamond" w:cs="Garamond"/>
              </w:rPr>
            </w:pPr>
            <w:r>
              <w:rPr>
                <w:rFonts w:ascii="Garamond" w:hAnsi="Garamond" w:cs="Garamond"/>
              </w:rPr>
              <w:t>Usluge prevoza</w:t>
            </w:r>
          </w:p>
          <w:p w:rsidR="00644F2A" w:rsidRDefault="00644F2A">
            <w:pPr>
              <w:pStyle w:val="BasicParagraph"/>
              <w:jc w:val="center"/>
              <w:rPr>
                <w:rFonts w:ascii="Garamond" w:hAnsi="Garamond" w:cs="Garamond"/>
              </w:rPr>
            </w:pPr>
            <w:r>
              <w:rPr>
                <w:rFonts w:ascii="Garamond" w:hAnsi="Garamond" w:cs="Garamond"/>
              </w:rPr>
              <w:t>Zaštita životne sredine</w:t>
            </w:r>
          </w:p>
          <w:p w:rsidR="00644F2A" w:rsidRDefault="00644F2A">
            <w:pPr>
              <w:pStyle w:val="BasicParagraph"/>
              <w:jc w:val="center"/>
            </w:pPr>
            <w:r>
              <w:rPr>
                <w:rFonts w:ascii="Garamond" w:hAnsi="Garamond" w:cs="Garamond"/>
              </w:rPr>
              <w:t>Lična zaštita</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485"/>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UNIVERZITET MEDITERAN</w:t>
            </w:r>
          </w:p>
        </w:tc>
      </w:tr>
      <w:tr w:rsidR="00644F2A">
        <w:trPr>
          <w:trHeight w:val="60"/>
        </w:trPr>
        <w:tc>
          <w:tcPr>
            <w:tcW w:w="3402" w:type="dxa"/>
            <w:vMerge w:val="restart"/>
            <w:tcBorders>
              <w:top w:val="single" w:sz="16" w:space="0" w:color="000000"/>
              <w:left w:val="single" w:sz="16" w:space="0" w:color="000000"/>
              <w:bottom w:val="single" w:sz="8" w:space="0" w:color="000000"/>
              <w:right w:val="single" w:sz="8" w:space="0" w:color="000000"/>
            </w:tcBorders>
            <w:tcMar>
              <w:top w:w="113" w:type="dxa"/>
              <w:left w:w="170" w:type="dxa"/>
              <w:bottom w:w="80" w:type="dxa"/>
              <w:right w:w="80" w:type="dxa"/>
            </w:tcMar>
          </w:tcPr>
          <w:p w:rsidR="00644F2A" w:rsidRDefault="00644F2A">
            <w:pPr>
              <w:pStyle w:val="BasicParagraph"/>
              <w:suppressAutoHyphens/>
              <w:spacing w:before="113" w:after="57"/>
              <w:rPr>
                <w:rFonts w:ascii="Garamond" w:hAnsi="Garamond" w:cs="Garamond"/>
                <w:sz w:val="26"/>
                <w:szCs w:val="26"/>
              </w:rPr>
            </w:pPr>
            <w:r>
              <w:rPr>
                <w:rFonts w:ascii="Garamond" w:hAnsi="Garamond" w:cs="Garamond"/>
                <w:sz w:val="26"/>
                <w:szCs w:val="26"/>
              </w:rPr>
              <w:t>2 Umjetnost i humanističke</w:t>
            </w:r>
            <w:r>
              <w:rPr>
                <w:rFonts w:ascii="Garamond" w:hAnsi="Garamond" w:cs="Garamond"/>
                <w:sz w:val="36"/>
                <w:szCs w:val="36"/>
              </w:rPr>
              <w:t xml:space="preserve"> </w:t>
            </w:r>
            <w:r>
              <w:rPr>
                <w:rFonts w:ascii="Garamond" w:hAnsi="Garamond" w:cs="Garamond"/>
                <w:sz w:val="26"/>
                <w:szCs w:val="26"/>
              </w:rPr>
              <w:t>nauke</w:t>
            </w:r>
          </w:p>
          <w:p w:rsidR="00644F2A" w:rsidRDefault="00644F2A">
            <w:pPr>
              <w:pStyle w:val="BasicParagraph"/>
              <w:suppressAutoHyphens/>
              <w:spacing w:before="113" w:after="57"/>
              <w:rPr>
                <w:rFonts w:ascii="Garamond" w:hAnsi="Garamond" w:cs="Garamond"/>
                <w:sz w:val="26"/>
                <w:szCs w:val="26"/>
              </w:rPr>
            </w:pPr>
            <w:r>
              <w:rPr>
                <w:rFonts w:ascii="Garamond" w:hAnsi="Garamond" w:cs="Garamond"/>
                <w:sz w:val="26"/>
                <w:szCs w:val="26"/>
              </w:rPr>
              <w:lastRenderedPageBreak/>
              <w:t>3 Društvene nauke, poslovanje i pravo</w:t>
            </w:r>
          </w:p>
          <w:p w:rsidR="00644F2A" w:rsidRDefault="00644F2A">
            <w:pPr>
              <w:pStyle w:val="BasicParagraph"/>
              <w:suppressAutoHyphens/>
              <w:spacing w:before="397" w:after="57"/>
              <w:rPr>
                <w:rFonts w:ascii="Garamond" w:hAnsi="Garamond" w:cs="Garamond"/>
                <w:sz w:val="26"/>
                <w:szCs w:val="26"/>
              </w:rPr>
            </w:pPr>
            <w:r>
              <w:rPr>
                <w:rFonts w:ascii="Garamond" w:hAnsi="Garamond" w:cs="Garamond"/>
                <w:sz w:val="26"/>
                <w:szCs w:val="26"/>
              </w:rPr>
              <w:t>4 Prirodne nauke</w:t>
            </w:r>
          </w:p>
          <w:p w:rsidR="00644F2A" w:rsidRDefault="00644F2A">
            <w:pPr>
              <w:pStyle w:val="BasicParagraph"/>
              <w:suppressAutoHyphens/>
              <w:spacing w:after="57"/>
            </w:pPr>
            <w:r>
              <w:rPr>
                <w:rFonts w:ascii="Garamond" w:hAnsi="Garamond" w:cs="Garamond"/>
                <w:sz w:val="26"/>
                <w:szCs w:val="26"/>
              </w:rPr>
              <w:t>8 Usluge</w:t>
            </w:r>
          </w:p>
        </w:tc>
        <w:tc>
          <w:tcPr>
            <w:tcW w:w="3401" w:type="dxa"/>
            <w:vMerge w:val="restart"/>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lastRenderedPageBreak/>
              <w:t>Umjetnost</w:t>
            </w:r>
          </w:p>
          <w:p w:rsidR="00644F2A" w:rsidRDefault="00644F2A">
            <w:pPr>
              <w:pStyle w:val="BasicParagraph"/>
              <w:jc w:val="center"/>
            </w:pPr>
            <w:r>
              <w:rPr>
                <w:rFonts w:ascii="Garamond" w:hAnsi="Garamond" w:cs="Garamond"/>
              </w:rPr>
              <w:t>Humanističke nauke</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16"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92"/>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Društvene i biheviorističke nauke</w:t>
            </w:r>
          </w:p>
          <w:p w:rsidR="00644F2A" w:rsidRDefault="00644F2A">
            <w:pPr>
              <w:pStyle w:val="BasicParagraph"/>
              <w:jc w:val="center"/>
              <w:rPr>
                <w:rFonts w:ascii="Garamond" w:hAnsi="Garamond" w:cs="Garamond"/>
              </w:rPr>
            </w:pPr>
            <w:r>
              <w:rPr>
                <w:rFonts w:ascii="Garamond" w:hAnsi="Garamond" w:cs="Garamond"/>
              </w:rPr>
              <w:lastRenderedPageBreak/>
              <w:t>Poslovna administracija</w:t>
            </w:r>
          </w:p>
          <w:p w:rsidR="00644F2A" w:rsidRDefault="00644F2A">
            <w:pPr>
              <w:pStyle w:val="BasicParagraph"/>
              <w:jc w:val="center"/>
            </w:pPr>
            <w:r>
              <w:rPr>
                <w:rFonts w:ascii="Garamond" w:hAnsi="Garamond" w:cs="Garamond"/>
              </w:rPr>
              <w:t>Pravo</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lastRenderedPageBreak/>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385"/>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Kompjuterske nauke</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shd w:val="solid" w:color="000000" w:fill="auto"/>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406"/>
        </w:trPr>
        <w:tc>
          <w:tcPr>
            <w:tcW w:w="3402" w:type="dxa"/>
            <w:vMerge/>
            <w:tcBorders>
              <w:top w:val="single" w:sz="8"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Lične usluge</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23"/>
        </w:trPr>
        <w:tc>
          <w:tcPr>
            <w:tcW w:w="9524" w:type="dxa"/>
            <w:gridSpan w:val="5"/>
            <w:tcBorders>
              <w:top w:val="single" w:sz="16" w:space="0" w:color="000000"/>
              <w:left w:val="single" w:sz="6" w:space="0" w:color="auto"/>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95"/>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UNIVERZITET DONJA GORICA</w:t>
            </w:r>
          </w:p>
        </w:tc>
      </w:tr>
      <w:tr w:rsidR="00644F2A">
        <w:trPr>
          <w:trHeight w:val="60"/>
        </w:trPr>
        <w:tc>
          <w:tcPr>
            <w:tcW w:w="3402" w:type="dxa"/>
            <w:vMerge w:val="restart"/>
            <w:tcBorders>
              <w:top w:val="single" w:sz="16" w:space="0" w:color="000000"/>
              <w:left w:val="single" w:sz="16" w:space="0" w:color="000000"/>
              <w:bottom w:val="single" w:sz="8" w:space="0" w:color="000000"/>
              <w:right w:val="single" w:sz="8" w:space="0" w:color="000000"/>
            </w:tcBorders>
            <w:tcMar>
              <w:top w:w="170" w:type="dxa"/>
              <w:left w:w="113" w:type="dxa"/>
              <w:bottom w:w="0" w:type="dxa"/>
              <w:right w:w="170" w:type="dxa"/>
            </w:tcMar>
          </w:tcPr>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2 Umjetnost i humanističke nauke</w:t>
            </w:r>
          </w:p>
          <w:p w:rsidR="00644F2A" w:rsidRDefault="00644F2A">
            <w:pPr>
              <w:pStyle w:val="BasicParagraph"/>
              <w:suppressAutoHyphens/>
              <w:rPr>
                <w:rFonts w:ascii="Garamond" w:hAnsi="Garamond" w:cs="Garamond"/>
                <w:sz w:val="26"/>
                <w:szCs w:val="26"/>
              </w:rPr>
            </w:pPr>
            <w:r>
              <w:rPr>
                <w:rFonts w:ascii="Garamond" w:hAnsi="Garamond" w:cs="Garamond"/>
                <w:sz w:val="26"/>
                <w:szCs w:val="26"/>
              </w:rPr>
              <w:t>3 Društvene nauke, poslovanje i pravo</w:t>
            </w:r>
          </w:p>
          <w:p w:rsidR="00644F2A" w:rsidRDefault="00644F2A">
            <w:pPr>
              <w:pStyle w:val="BasicParagraph"/>
              <w:suppressAutoHyphens/>
              <w:rPr>
                <w:rFonts w:ascii="Garamond" w:hAnsi="Garamond" w:cs="Garamond"/>
                <w:sz w:val="26"/>
                <w:szCs w:val="26"/>
              </w:rPr>
            </w:pPr>
          </w:p>
          <w:p w:rsidR="00644F2A" w:rsidRDefault="00644F2A">
            <w:pPr>
              <w:pStyle w:val="BasicParagraph"/>
              <w:suppressAutoHyphens/>
              <w:spacing w:before="113" w:after="57"/>
              <w:rPr>
                <w:rFonts w:ascii="Garamond" w:hAnsi="Garamond" w:cs="Garamond"/>
                <w:sz w:val="26"/>
                <w:szCs w:val="26"/>
              </w:rPr>
            </w:pPr>
            <w:r>
              <w:rPr>
                <w:rFonts w:ascii="Garamond" w:hAnsi="Garamond" w:cs="Garamond"/>
                <w:sz w:val="26"/>
                <w:szCs w:val="26"/>
              </w:rPr>
              <w:t>4 Prirodne nauke</w:t>
            </w:r>
          </w:p>
          <w:p w:rsidR="00644F2A" w:rsidRDefault="00644F2A">
            <w:pPr>
              <w:pStyle w:val="BasicParagraph"/>
              <w:suppressAutoHyphens/>
              <w:rPr>
                <w:rFonts w:ascii="Garamond" w:hAnsi="Garamond" w:cs="Garamond"/>
                <w:sz w:val="26"/>
                <w:szCs w:val="26"/>
              </w:rPr>
            </w:pPr>
            <w:r>
              <w:rPr>
                <w:rFonts w:ascii="Garamond" w:hAnsi="Garamond" w:cs="Garamond"/>
                <w:sz w:val="26"/>
                <w:szCs w:val="26"/>
              </w:rPr>
              <w:t>5 Inženjerstvo, proizvodnja i konstrukcije</w:t>
            </w:r>
          </w:p>
          <w:p w:rsidR="00644F2A" w:rsidRDefault="00644F2A">
            <w:pPr>
              <w:pStyle w:val="BasicParagraph"/>
              <w:suppressAutoHyphens/>
              <w:rPr>
                <w:rFonts w:ascii="Garamond" w:hAnsi="Garamond" w:cs="Garamond"/>
                <w:sz w:val="26"/>
                <w:szCs w:val="26"/>
              </w:rPr>
            </w:pPr>
          </w:p>
          <w:p w:rsidR="00644F2A" w:rsidRDefault="00644F2A">
            <w:pPr>
              <w:pStyle w:val="BasicParagraph"/>
              <w:suppressAutoHyphens/>
              <w:spacing w:before="227"/>
              <w:rPr>
                <w:rFonts w:ascii="Garamond" w:hAnsi="Garamond" w:cs="Garamond"/>
                <w:sz w:val="26"/>
                <w:szCs w:val="26"/>
              </w:rPr>
            </w:pPr>
            <w:r>
              <w:rPr>
                <w:rFonts w:ascii="Garamond" w:hAnsi="Garamond" w:cs="Garamond"/>
                <w:sz w:val="26"/>
                <w:szCs w:val="26"/>
              </w:rPr>
              <w:t>6 Poljoprivreda</w:t>
            </w:r>
          </w:p>
          <w:p w:rsidR="00644F2A" w:rsidRDefault="00644F2A">
            <w:pPr>
              <w:pStyle w:val="BasicParagraph"/>
              <w:suppressAutoHyphens/>
            </w:pPr>
            <w:r>
              <w:rPr>
                <w:rFonts w:ascii="Garamond" w:hAnsi="Garamond" w:cs="Garamond"/>
                <w:sz w:val="26"/>
                <w:szCs w:val="26"/>
              </w:rPr>
              <w:t>8 Usluge</w:t>
            </w:r>
          </w:p>
        </w:tc>
        <w:tc>
          <w:tcPr>
            <w:tcW w:w="3401" w:type="dxa"/>
            <w:vMerge w:val="restart"/>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Umjetnost</w:t>
            </w:r>
          </w:p>
          <w:p w:rsidR="00644F2A" w:rsidRDefault="00644F2A">
            <w:pPr>
              <w:pStyle w:val="BasicParagraph"/>
              <w:jc w:val="center"/>
            </w:pPr>
            <w:r>
              <w:rPr>
                <w:rFonts w:ascii="Garamond" w:hAnsi="Garamond" w:cs="Garamond"/>
              </w:rPr>
              <w:t>Humanističke nauke</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Društvene i biheviorističke nauke</w:t>
            </w:r>
          </w:p>
          <w:p w:rsidR="00644F2A" w:rsidRDefault="00644F2A">
            <w:pPr>
              <w:pStyle w:val="BasicParagraph"/>
              <w:jc w:val="center"/>
              <w:rPr>
                <w:rFonts w:ascii="Garamond" w:hAnsi="Garamond" w:cs="Garamond"/>
              </w:rPr>
            </w:pPr>
            <w:r>
              <w:rPr>
                <w:rFonts w:ascii="Garamond" w:hAnsi="Garamond" w:cs="Garamond"/>
              </w:rPr>
              <w:t>Poslovna administracija</w:t>
            </w:r>
          </w:p>
          <w:p w:rsidR="00644F2A" w:rsidRDefault="00644F2A">
            <w:pPr>
              <w:pStyle w:val="BasicParagraph"/>
              <w:jc w:val="center"/>
            </w:pPr>
            <w:r>
              <w:rPr>
                <w:rFonts w:ascii="Garamond" w:hAnsi="Garamond" w:cs="Garamond"/>
              </w:rPr>
              <w:t>Pravo</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Matematika</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Kompjuterske nauke</w:t>
            </w:r>
          </w:p>
          <w:p w:rsidR="00644F2A" w:rsidRDefault="00644F2A">
            <w:pPr>
              <w:pStyle w:val="BasicParagraph"/>
              <w:jc w:val="center"/>
              <w:rPr>
                <w:rFonts w:ascii="Garamond" w:hAnsi="Garamond" w:cs="Garamond"/>
              </w:rPr>
            </w:pPr>
            <w:r>
              <w:rPr>
                <w:rFonts w:ascii="Garamond" w:hAnsi="Garamond" w:cs="Garamond"/>
              </w:rPr>
              <w:t>Inženjerstvo</w:t>
            </w:r>
          </w:p>
          <w:p w:rsidR="00644F2A" w:rsidRDefault="00644F2A">
            <w:pPr>
              <w:pStyle w:val="BasicParagraph"/>
              <w:jc w:val="center"/>
            </w:pPr>
            <w:r>
              <w:rPr>
                <w:rFonts w:ascii="Garamond" w:hAnsi="Garamond" w:cs="Garamond"/>
              </w:rPr>
              <w:t>Proizvodnja i obrada</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Poljoprivreda</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345"/>
        </w:trPr>
        <w:tc>
          <w:tcPr>
            <w:tcW w:w="3402" w:type="dxa"/>
            <w:vMerge/>
            <w:tcBorders>
              <w:top w:val="single" w:sz="8"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Lične usluge</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402"/>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UNIVERZITET ADRIATIK</w:t>
            </w:r>
          </w:p>
        </w:tc>
      </w:tr>
      <w:tr w:rsidR="00644F2A">
        <w:trPr>
          <w:trHeight w:val="60"/>
        </w:trPr>
        <w:tc>
          <w:tcPr>
            <w:tcW w:w="3402" w:type="dxa"/>
            <w:vMerge w:val="restart"/>
            <w:tcBorders>
              <w:top w:val="single" w:sz="16"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suppressAutoHyphens/>
              <w:spacing w:after="57"/>
              <w:rPr>
                <w:rFonts w:ascii="Garamond" w:hAnsi="Garamond" w:cs="Garamond"/>
                <w:sz w:val="26"/>
                <w:szCs w:val="26"/>
              </w:rPr>
            </w:pPr>
            <w:r>
              <w:rPr>
                <w:rFonts w:ascii="Garamond" w:hAnsi="Garamond" w:cs="Garamond"/>
                <w:sz w:val="26"/>
                <w:szCs w:val="26"/>
              </w:rPr>
              <w:t>3 Društvene nauke, poslovanje i pravo</w:t>
            </w:r>
          </w:p>
          <w:p w:rsidR="00644F2A" w:rsidRDefault="00644F2A">
            <w:pPr>
              <w:pStyle w:val="BasicParagraph"/>
              <w:suppressAutoHyphens/>
              <w:spacing w:after="57"/>
            </w:pPr>
            <w:r>
              <w:rPr>
                <w:rFonts w:ascii="Garamond" w:hAnsi="Garamond" w:cs="Garamond"/>
                <w:sz w:val="26"/>
                <w:szCs w:val="26"/>
              </w:rPr>
              <w:t>8 Usluge</w:t>
            </w:r>
          </w:p>
        </w:tc>
        <w:tc>
          <w:tcPr>
            <w:tcW w:w="3401" w:type="dxa"/>
            <w:vMerge w:val="restart"/>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rPr>
                <w:rFonts w:ascii="Garamond" w:hAnsi="Garamond" w:cs="Garamond"/>
              </w:rPr>
            </w:pPr>
            <w:r>
              <w:rPr>
                <w:rFonts w:ascii="Garamond" w:hAnsi="Garamond" w:cs="Garamond"/>
              </w:rPr>
              <w:t>Društvene i biheviorističke nauke</w:t>
            </w:r>
          </w:p>
          <w:p w:rsidR="00644F2A" w:rsidRDefault="00644F2A">
            <w:pPr>
              <w:pStyle w:val="BasicParagraph"/>
              <w:jc w:val="center"/>
            </w:pPr>
            <w:r>
              <w:rPr>
                <w:rFonts w:ascii="Garamond" w:hAnsi="Garamond" w:cs="Garamond"/>
              </w:rPr>
              <w:t>Poslovna administracija</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60"/>
        </w:trPr>
        <w:tc>
          <w:tcPr>
            <w:tcW w:w="3402"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vMerge/>
            <w:tcBorders>
              <w:top w:val="single" w:sz="8" w:space="0" w:color="000000"/>
              <w:left w:val="single" w:sz="8"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r>
      <w:tr w:rsidR="00644F2A">
        <w:trPr>
          <w:trHeight w:val="60"/>
        </w:trPr>
        <w:tc>
          <w:tcPr>
            <w:tcW w:w="3402" w:type="dxa"/>
            <w:vMerge/>
            <w:tcBorders>
              <w:top w:val="single" w:sz="8"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340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Lične usluge</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94"/>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Fakultet za poslovni menadžment</w:t>
            </w:r>
          </w:p>
        </w:tc>
      </w:tr>
      <w:tr w:rsidR="00644F2A">
        <w:trPr>
          <w:trHeight w:val="60"/>
        </w:trPr>
        <w:tc>
          <w:tcPr>
            <w:tcW w:w="3402" w:type="dxa"/>
            <w:tcBorders>
              <w:top w:val="single" w:sz="16"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suppressAutoHyphens/>
              <w:spacing w:after="57"/>
            </w:pPr>
            <w:r>
              <w:rPr>
                <w:rFonts w:ascii="Garamond" w:hAnsi="Garamond" w:cs="Garamond"/>
                <w:sz w:val="26"/>
                <w:szCs w:val="26"/>
              </w:rPr>
              <w:t>3 Društvene nauke, poslovanje i pravo</w:t>
            </w:r>
          </w:p>
        </w:tc>
        <w:tc>
          <w:tcPr>
            <w:tcW w:w="340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Poslovna administracija</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92"/>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Fakultet za državne i evropske studije</w:t>
            </w:r>
          </w:p>
        </w:tc>
      </w:tr>
      <w:tr w:rsidR="00644F2A">
        <w:trPr>
          <w:trHeight w:val="60"/>
        </w:trPr>
        <w:tc>
          <w:tcPr>
            <w:tcW w:w="3402" w:type="dxa"/>
            <w:tcBorders>
              <w:top w:val="single" w:sz="16"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suppressAutoHyphens/>
              <w:spacing w:after="57"/>
            </w:pPr>
            <w:r>
              <w:rPr>
                <w:rFonts w:ascii="Garamond" w:hAnsi="Garamond" w:cs="Garamond"/>
                <w:sz w:val="26"/>
                <w:szCs w:val="26"/>
              </w:rPr>
              <w:lastRenderedPageBreak/>
              <w:t>3 Društvene nauke, poslovanje i pravo</w:t>
            </w:r>
          </w:p>
        </w:tc>
        <w:tc>
          <w:tcPr>
            <w:tcW w:w="340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Pravo</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r w:rsidR="00644F2A">
        <w:trPr>
          <w:trHeight w:val="373"/>
        </w:trPr>
        <w:tc>
          <w:tcPr>
            <w:tcW w:w="9524" w:type="dxa"/>
            <w:gridSpan w:val="5"/>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8"/>
                <w:szCs w:val="28"/>
              </w:rPr>
              <w:t>Fakultet za crnogorski jezik i književnost</w:t>
            </w:r>
          </w:p>
        </w:tc>
      </w:tr>
      <w:tr w:rsidR="00644F2A">
        <w:trPr>
          <w:trHeight w:val="60"/>
        </w:trPr>
        <w:tc>
          <w:tcPr>
            <w:tcW w:w="3402" w:type="dxa"/>
            <w:tcBorders>
              <w:top w:val="single" w:sz="16"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suppressAutoHyphens/>
              <w:spacing w:after="57"/>
            </w:pPr>
            <w:r>
              <w:rPr>
                <w:rFonts w:ascii="Garamond" w:hAnsi="Garamond" w:cs="Garamond"/>
                <w:sz w:val="26"/>
                <w:szCs w:val="26"/>
              </w:rPr>
              <w:t>2 Umjetnost i humanističke nauke</w:t>
            </w:r>
          </w:p>
        </w:tc>
        <w:tc>
          <w:tcPr>
            <w:tcW w:w="340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Humanističke nauke</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w:t>
            </w:r>
          </w:p>
        </w:tc>
        <w:tc>
          <w:tcPr>
            <w:tcW w:w="907"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r>
    </w:tbl>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2.5 Tržište rada i zapošljavanje poslije završenih studija</w:t>
      </w:r>
    </w:p>
    <w:p w:rsidR="00644F2A" w:rsidRDefault="00644F2A"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2.5.1 Trend nezaposlenosti</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Broj nezaposlenih s visokim obrazovanjem u periodu od 2016. do 2019. godine prikazan je u tabelama 9 i 10, a učešće u ukupnom broju nezaposlenih prikazan je u tabeli 11. Podaci u tabeli 9 pokazuju nezaposlene po oblastima djelatnosti i nivoima kvalifikacija obrazovanja u skladu s Nacionalnim okvirom kvalifikacija, a podaci u tabeli 10 se odnose na nezaposlenost po nivoima i po opštinama u Crnoj Gori.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2016. godinu prikazana je kompletna lista djelatnosti po EU klasifikaciji. Visoko obrazovanje se primarno odnosi (99,9%) na djelatnosti 2 (stručnjaci i umjetnici), 3 (stručni saradnici i tehničari) i 4 (saradnici za administrativne poslove) EU klasifikacije. Zbog takve pripadnosti visokog obrazovanja za 2017, 2018. i 2019. godinu prikazani su samo podaci za djelatnosti 1, 2, 3, 4.</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Najveći broj nazaposlenih pripada VII1 podnivou obrazovanja, i kreće se od 57 do 64% (podnivo VII1 180+60 ECTS, 240 ECTS i 360 ECTS kredita), zatim slijede nezaposleni sa VI nivoom obrazovanja od 32 do 40% (bečelori 3 godine 180 ECTS kredita) i VII2 podnivoom obrazovanja od 3 do 4% (masteri i magistri).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opštine (tabela 10) prikazana je ukupna nazaposlenost i podaci koliko je od ukupnog broja nezaposlenih žena s visokim obrazovanjem. Opštine s najvećim brojem stanovnika (Podgorica, Nikšić, Bijelo Polje i Berane) imaju i najveći broj nezaposlenih.</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Karakteristično smanjenje broja nezaposlenih je opšti trend jer je evidentno za sve opštine, a odnosi se kako na ukupno nezaposlene, tako i na nezaposlene žene s visokim obrazovanjem. Opštine Nikšić i Podgorica imaju najviše nezaposlenih, ali je u ovim opštinama smanjenje u protekle četiri godine znatno veće od državnog prosjeka (iznad 40%).</w:t>
      </w:r>
    </w:p>
    <w:p w:rsidR="00475F16" w:rsidRDefault="00475F16" w:rsidP="00644F2A">
      <w:pPr>
        <w:pStyle w:val="BasicParagraph"/>
        <w:suppressAutoHyphens/>
        <w:spacing w:after="113"/>
        <w:jc w:val="center"/>
        <w:rPr>
          <w:rFonts w:ascii="Garamond" w:hAnsi="Garamond" w:cs="Garamond"/>
          <w:sz w:val="28"/>
          <w:szCs w:val="28"/>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sz w:val="26"/>
          <w:szCs w:val="26"/>
        </w:rPr>
        <w:t>Tabela 9. Broj nezaposlenih s visokim obrazovanjem u 2016, 2017, 2018. i 2019. godini</w:t>
      </w:r>
    </w:p>
    <w:tbl>
      <w:tblPr>
        <w:tblW w:w="0" w:type="auto"/>
        <w:tblInd w:w="-20" w:type="dxa"/>
        <w:tblLayout w:type="fixed"/>
        <w:tblCellMar>
          <w:left w:w="0" w:type="dxa"/>
          <w:right w:w="0" w:type="dxa"/>
        </w:tblCellMar>
        <w:tblLook w:val="0000" w:firstRow="0" w:lastRow="0" w:firstColumn="0" w:lastColumn="0" w:noHBand="0" w:noVBand="0"/>
      </w:tblPr>
      <w:tblGrid>
        <w:gridCol w:w="4053"/>
        <w:gridCol w:w="1106"/>
        <w:gridCol w:w="1105"/>
        <w:gridCol w:w="1106"/>
        <w:gridCol w:w="1105"/>
        <w:gridCol w:w="1885"/>
      </w:tblGrid>
      <w:tr w:rsidR="00644F2A" w:rsidTr="008961D6">
        <w:trPr>
          <w:trHeight w:val="60"/>
        </w:trPr>
        <w:tc>
          <w:tcPr>
            <w:tcW w:w="405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lastRenderedPageBreak/>
              <w:t>EU klasifikacija djelatnosti</w:t>
            </w:r>
          </w:p>
        </w:tc>
        <w:tc>
          <w:tcPr>
            <w:tcW w:w="4422"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Nivo kvalifikacije obrazovanja</w:t>
            </w:r>
            <w:r>
              <w:rPr>
                <w:rFonts w:ascii="Garamond" w:hAnsi="Garamond" w:cs="Garamond"/>
                <w:b/>
                <w:bCs/>
                <w:sz w:val="26"/>
                <w:szCs w:val="26"/>
                <w:vertAlign w:val="superscript"/>
              </w:rPr>
              <w:footnoteReference w:id="18"/>
            </w:r>
            <w:r>
              <w:rPr>
                <w:rFonts w:ascii="Garamond" w:hAnsi="Garamond" w:cs="Garamond"/>
                <w:b/>
                <w:bCs/>
                <w:sz w:val="26"/>
                <w:szCs w:val="26"/>
              </w:rPr>
              <w:t xml:space="preserve"> </w:t>
            </w:r>
          </w:p>
        </w:tc>
        <w:tc>
          <w:tcPr>
            <w:tcW w:w="1885"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Ukupno</w:t>
            </w:r>
          </w:p>
        </w:tc>
      </w:tr>
      <w:tr w:rsidR="00644F2A" w:rsidTr="008961D6">
        <w:trPr>
          <w:trHeight w:val="60"/>
        </w:trPr>
        <w:tc>
          <w:tcPr>
            <w:tcW w:w="405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ind w:firstLine="113"/>
            </w:pPr>
            <w:r>
              <w:rPr>
                <w:rFonts w:ascii="Garamond" w:hAnsi="Garamond" w:cs="Garamond"/>
                <w:b/>
                <w:bCs/>
                <w:sz w:val="26"/>
                <w:szCs w:val="26"/>
              </w:rPr>
              <w:t>2016. godina</w:t>
            </w:r>
          </w:p>
        </w:tc>
        <w:tc>
          <w:tcPr>
            <w:tcW w:w="110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w:t>
            </w:r>
          </w:p>
        </w:tc>
        <w:tc>
          <w:tcPr>
            <w:tcW w:w="1105"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VII-1</w:t>
            </w:r>
          </w:p>
        </w:tc>
        <w:tc>
          <w:tcPr>
            <w:tcW w:w="1106"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VII-2</w:t>
            </w:r>
          </w:p>
        </w:tc>
        <w:tc>
          <w:tcPr>
            <w:tcW w:w="1105"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VIII</w:t>
            </w:r>
          </w:p>
        </w:tc>
        <w:tc>
          <w:tcPr>
            <w:tcW w:w="1885"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r>
      <w:tr w:rsidR="00644F2A" w:rsidTr="008961D6">
        <w:trPr>
          <w:trHeight w:val="60"/>
        </w:trPr>
        <w:tc>
          <w:tcPr>
            <w:tcW w:w="4053" w:type="dxa"/>
            <w:tcBorders>
              <w:top w:val="single" w:sz="16"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0. Vojna zanimanja</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1. Rukovodioci (direktori), funkcioneri i zakonodavci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6</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8</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2. Stručnjaci i umjetnici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3684</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7126</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497</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6</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11313</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3. Stručni saradnici i tehničari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21</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50</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4. Službenici za administrativne poslove</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5. Zanimanja u uslugama i trgovini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6. Zanimanja u poljoprivredi, šumarstvu i ribarstvu</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7. Zanatska i srodna zanimanja</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8. Rukovaoci postrojenjima i mašinama, monteri i vozači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9. Jednostavna zanimanja</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r>
      <w:tr w:rsidR="00644F2A" w:rsidTr="008961D6">
        <w:trPr>
          <w:trHeight w:val="60"/>
        </w:trPr>
        <w:tc>
          <w:tcPr>
            <w:tcW w:w="4053" w:type="dxa"/>
            <w:tcBorders>
              <w:top w:val="single" w:sz="8"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Ukupno</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3705</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7165</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499</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6</w:t>
            </w:r>
          </w:p>
        </w:tc>
        <w:tc>
          <w:tcPr>
            <w:tcW w:w="188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11375</w:t>
            </w:r>
          </w:p>
        </w:tc>
      </w:tr>
      <w:tr w:rsidR="00644F2A" w:rsidTr="008961D6">
        <w:trPr>
          <w:trHeight w:val="60"/>
        </w:trPr>
        <w:tc>
          <w:tcPr>
            <w:tcW w:w="10360" w:type="dxa"/>
            <w:gridSpan w:val="6"/>
            <w:tcBorders>
              <w:top w:val="single" w:sz="16" w:space="0" w:color="000000"/>
              <w:left w:val="single" w:sz="16"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ind w:firstLine="113"/>
            </w:pPr>
            <w:r>
              <w:rPr>
                <w:rFonts w:ascii="Garamond" w:hAnsi="Garamond" w:cs="Garamond"/>
                <w:b/>
                <w:bCs/>
                <w:sz w:val="26"/>
                <w:szCs w:val="26"/>
              </w:rPr>
              <w:t>2017. godina</w:t>
            </w:r>
          </w:p>
        </w:tc>
      </w:tr>
      <w:tr w:rsidR="00644F2A" w:rsidTr="008961D6">
        <w:trPr>
          <w:trHeight w:val="60"/>
        </w:trPr>
        <w:tc>
          <w:tcPr>
            <w:tcW w:w="4053" w:type="dxa"/>
            <w:tcBorders>
              <w:top w:val="single" w:sz="16"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0. Vojna zanimanja</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1. Rukovodioci (direktori), funkcioneri i zakonodavci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5</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2. Stručnjaci i umjetnici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2927</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5961</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384</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14</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9286</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3. Stručni saradnici i tehničari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12</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18</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30</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4. Službenici za administrativne poslove</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r>
      <w:tr w:rsidR="00644F2A" w:rsidTr="008961D6">
        <w:trPr>
          <w:trHeight w:val="60"/>
        </w:trPr>
        <w:tc>
          <w:tcPr>
            <w:tcW w:w="4053" w:type="dxa"/>
            <w:tcBorders>
              <w:top w:val="single" w:sz="8"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lastRenderedPageBreak/>
              <w:t>Ukupno</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2939</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5985</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385</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14</w:t>
            </w:r>
          </w:p>
        </w:tc>
        <w:tc>
          <w:tcPr>
            <w:tcW w:w="188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9323</w:t>
            </w:r>
          </w:p>
        </w:tc>
      </w:tr>
      <w:tr w:rsidR="00644F2A" w:rsidTr="008961D6">
        <w:trPr>
          <w:trHeight w:val="60"/>
        </w:trPr>
        <w:tc>
          <w:tcPr>
            <w:tcW w:w="10360" w:type="dxa"/>
            <w:gridSpan w:val="6"/>
            <w:tcBorders>
              <w:top w:val="single" w:sz="16" w:space="0" w:color="000000"/>
              <w:left w:val="single" w:sz="16"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ind w:firstLine="113"/>
            </w:pPr>
            <w:r>
              <w:rPr>
                <w:rFonts w:ascii="Garamond" w:hAnsi="Garamond" w:cs="Garamond"/>
                <w:b/>
                <w:bCs/>
                <w:sz w:val="26"/>
                <w:szCs w:val="26"/>
              </w:rPr>
              <w:t>2018. godina</w:t>
            </w:r>
          </w:p>
        </w:tc>
      </w:tr>
      <w:tr w:rsidR="00644F2A" w:rsidTr="008961D6">
        <w:trPr>
          <w:trHeight w:val="60"/>
        </w:trPr>
        <w:tc>
          <w:tcPr>
            <w:tcW w:w="4053" w:type="dxa"/>
            <w:tcBorders>
              <w:top w:val="single" w:sz="16"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0. Vojna zanimanja</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1. Rukovodioci (direktori), funkcioneri i zakonodavci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5</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2. Stručnjaci i umjetnici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2907</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4894</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326</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15</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8142</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3. Stručni saradnici i tehničari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17</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11</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w:t>
            </w:r>
          </w:p>
        </w:tc>
      </w:tr>
      <w:tr w:rsidR="00644F2A" w:rsidTr="008961D6">
        <w:trPr>
          <w:trHeight w:val="60"/>
        </w:trPr>
        <w:tc>
          <w:tcPr>
            <w:tcW w:w="4053" w:type="dxa"/>
            <w:tcBorders>
              <w:top w:val="single" w:sz="8"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Ukupno</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2919</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4916</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330</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15</w:t>
            </w:r>
          </w:p>
        </w:tc>
        <w:tc>
          <w:tcPr>
            <w:tcW w:w="188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8180</w:t>
            </w:r>
          </w:p>
        </w:tc>
      </w:tr>
      <w:tr w:rsidR="00644F2A" w:rsidTr="008961D6">
        <w:trPr>
          <w:trHeight w:val="60"/>
        </w:trPr>
        <w:tc>
          <w:tcPr>
            <w:tcW w:w="10360" w:type="dxa"/>
            <w:gridSpan w:val="6"/>
            <w:tcBorders>
              <w:top w:val="single" w:sz="16" w:space="0" w:color="000000"/>
              <w:left w:val="single" w:sz="16"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ind w:firstLine="113"/>
            </w:pPr>
            <w:r>
              <w:rPr>
                <w:rFonts w:ascii="Garamond" w:hAnsi="Garamond" w:cs="Garamond"/>
                <w:b/>
                <w:bCs/>
                <w:sz w:val="26"/>
                <w:szCs w:val="26"/>
              </w:rPr>
              <w:t>2019. godina</w:t>
            </w:r>
          </w:p>
        </w:tc>
      </w:tr>
      <w:tr w:rsidR="00644F2A" w:rsidTr="008961D6">
        <w:trPr>
          <w:trHeight w:val="60"/>
        </w:trPr>
        <w:tc>
          <w:tcPr>
            <w:tcW w:w="4053" w:type="dxa"/>
            <w:tcBorders>
              <w:top w:val="single" w:sz="16"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0. Vojna zanimanja</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w:t>
            </w:r>
          </w:p>
        </w:tc>
        <w:tc>
          <w:tcPr>
            <w:tcW w:w="1106"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1. Rukovodioci (direktori), funkcioneri i zakonodavci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2. Stručnjaci i umjetnici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2891</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4086</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235</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17</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7229</w:t>
            </w:r>
          </w:p>
        </w:tc>
      </w:tr>
      <w:tr w:rsidR="00644F2A" w:rsidTr="008961D6">
        <w:trPr>
          <w:trHeight w:val="60"/>
        </w:trPr>
        <w:tc>
          <w:tcPr>
            <w:tcW w:w="4053" w:type="dxa"/>
            <w:tcBorders>
              <w:top w:val="single" w:sz="8" w:space="0" w:color="000000"/>
              <w:left w:val="single" w:sz="16" w:space="0" w:color="000000"/>
              <w:bottom w:val="single" w:sz="8"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3. Stručni saradnici i tehničari</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17</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11</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0</w:t>
            </w:r>
          </w:p>
        </w:tc>
        <w:tc>
          <w:tcPr>
            <w:tcW w:w="188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w:t>
            </w:r>
          </w:p>
        </w:tc>
      </w:tr>
      <w:tr w:rsidR="00644F2A" w:rsidTr="008961D6">
        <w:trPr>
          <w:trHeight w:val="60"/>
        </w:trPr>
        <w:tc>
          <w:tcPr>
            <w:tcW w:w="4053" w:type="dxa"/>
            <w:tcBorders>
              <w:top w:val="single" w:sz="8" w:space="0" w:color="000000"/>
              <w:left w:val="single" w:sz="16" w:space="0" w:color="000000"/>
              <w:bottom w:val="single" w:sz="16" w:space="0" w:color="000000"/>
              <w:right w:val="single" w:sz="8" w:space="0" w:color="000000"/>
            </w:tcBorders>
            <w:tcMar>
              <w:top w:w="80" w:type="dxa"/>
              <w:left w:w="113" w:type="dxa"/>
              <w:bottom w:w="80" w:type="dxa"/>
              <w:right w:w="80" w:type="dxa"/>
            </w:tcMar>
            <w:vAlign w:val="center"/>
          </w:tcPr>
          <w:p w:rsidR="00644F2A" w:rsidRDefault="00644F2A">
            <w:pPr>
              <w:pStyle w:val="BasicParagraph"/>
            </w:pPr>
            <w:r>
              <w:rPr>
                <w:rFonts w:ascii="Garamond" w:hAnsi="Garamond" w:cs="Garamond"/>
              </w:rPr>
              <w:t>Ukupno</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2908</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4101</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236</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17</w:t>
            </w:r>
          </w:p>
        </w:tc>
        <w:tc>
          <w:tcPr>
            <w:tcW w:w="188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rPr>
              <w:t>7262</w:t>
            </w:r>
          </w:p>
        </w:tc>
      </w:tr>
      <w:tr w:rsidR="00644F2A" w:rsidTr="008961D6">
        <w:trPr>
          <w:trHeight w:val="60"/>
        </w:trPr>
        <w:tc>
          <w:tcPr>
            <w:tcW w:w="10360" w:type="dxa"/>
            <w:gridSpan w:val="6"/>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i/>
                <w:iCs/>
                <w:sz w:val="26"/>
                <w:szCs w:val="26"/>
              </w:rPr>
              <w:t>Izvor: Zavod za zapošljavanje Crne Gore</w:t>
            </w:r>
          </w:p>
        </w:tc>
      </w:tr>
    </w:tbl>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spacing w:after="113"/>
        <w:jc w:val="center"/>
        <w:rPr>
          <w:rFonts w:ascii="Garamond" w:hAnsi="Garamond" w:cs="Garamond"/>
          <w:b/>
          <w:bCs/>
          <w:sz w:val="26"/>
          <w:szCs w:val="26"/>
        </w:rPr>
      </w:pPr>
    </w:p>
    <w:p w:rsidR="00E24C10" w:rsidRDefault="00E24C10" w:rsidP="00644F2A">
      <w:pPr>
        <w:pStyle w:val="BasicParagraph"/>
        <w:suppressAutoHyphens/>
        <w:spacing w:after="113"/>
        <w:jc w:val="center"/>
        <w:rPr>
          <w:rFonts w:ascii="Garamond" w:hAnsi="Garamond" w:cs="Garamond"/>
          <w:b/>
          <w:bCs/>
          <w:sz w:val="26"/>
          <w:szCs w:val="26"/>
        </w:rPr>
      </w:pPr>
    </w:p>
    <w:p w:rsidR="00E24C10" w:rsidRDefault="00E24C10" w:rsidP="00644F2A">
      <w:pPr>
        <w:pStyle w:val="BasicParagraph"/>
        <w:suppressAutoHyphens/>
        <w:spacing w:after="113"/>
        <w:jc w:val="center"/>
        <w:rPr>
          <w:rFonts w:ascii="Garamond" w:hAnsi="Garamond" w:cs="Garamond"/>
          <w:b/>
          <w:bCs/>
          <w:sz w:val="26"/>
          <w:szCs w:val="26"/>
        </w:rPr>
      </w:pPr>
    </w:p>
    <w:p w:rsidR="00E24C10" w:rsidRDefault="00E24C10" w:rsidP="00644F2A">
      <w:pPr>
        <w:pStyle w:val="BasicParagraph"/>
        <w:suppressAutoHyphens/>
        <w:spacing w:after="113"/>
        <w:jc w:val="center"/>
        <w:rPr>
          <w:rFonts w:ascii="Garamond" w:hAnsi="Garamond" w:cs="Garamond"/>
          <w:b/>
          <w:bCs/>
          <w:sz w:val="26"/>
          <w:szCs w:val="26"/>
        </w:rPr>
      </w:pPr>
    </w:p>
    <w:p w:rsidR="00E24C10" w:rsidRDefault="00E24C10" w:rsidP="00644F2A">
      <w:pPr>
        <w:pStyle w:val="BasicParagraph"/>
        <w:suppressAutoHyphens/>
        <w:spacing w:after="113"/>
        <w:jc w:val="center"/>
        <w:rPr>
          <w:rFonts w:ascii="Garamond" w:hAnsi="Garamond" w:cs="Garamond"/>
          <w:b/>
          <w:bCs/>
          <w:sz w:val="26"/>
          <w:szCs w:val="26"/>
        </w:rPr>
      </w:pPr>
    </w:p>
    <w:p w:rsidR="00E24C10" w:rsidRDefault="00E24C10" w:rsidP="00644F2A">
      <w:pPr>
        <w:pStyle w:val="BasicParagraph"/>
        <w:suppressAutoHyphens/>
        <w:spacing w:after="113"/>
        <w:jc w:val="center"/>
        <w:rPr>
          <w:rFonts w:ascii="Garamond" w:hAnsi="Garamond" w:cs="Garamond"/>
          <w:b/>
          <w:bCs/>
          <w:sz w:val="26"/>
          <w:szCs w:val="26"/>
        </w:rPr>
      </w:pPr>
    </w:p>
    <w:p w:rsidR="00475F16" w:rsidRDefault="00475F16" w:rsidP="00644F2A">
      <w:pPr>
        <w:pStyle w:val="BasicParagraph"/>
        <w:suppressAutoHyphens/>
        <w:spacing w:after="113"/>
        <w:jc w:val="center"/>
        <w:rPr>
          <w:rFonts w:ascii="Garamond" w:hAnsi="Garamond" w:cs="Garamond"/>
          <w:b/>
          <w:bCs/>
          <w:sz w:val="26"/>
          <w:szCs w:val="26"/>
        </w:rPr>
      </w:pPr>
    </w:p>
    <w:p w:rsidR="00475F16" w:rsidRDefault="00475F16" w:rsidP="00644F2A">
      <w:pPr>
        <w:pStyle w:val="BasicParagraph"/>
        <w:suppressAutoHyphens/>
        <w:spacing w:after="113"/>
        <w:jc w:val="center"/>
        <w:rPr>
          <w:rFonts w:ascii="Garamond" w:hAnsi="Garamond" w:cs="Garamond"/>
          <w:b/>
          <w:bCs/>
          <w:sz w:val="26"/>
          <w:szCs w:val="26"/>
        </w:rPr>
      </w:pPr>
    </w:p>
    <w:p w:rsidR="00475F16" w:rsidRDefault="00475F16" w:rsidP="00644F2A">
      <w:pPr>
        <w:pStyle w:val="BasicParagraph"/>
        <w:suppressAutoHyphens/>
        <w:spacing w:after="113"/>
        <w:jc w:val="center"/>
        <w:rPr>
          <w:rFonts w:ascii="Garamond" w:hAnsi="Garamond" w:cs="Garamond"/>
          <w:b/>
          <w:bCs/>
          <w:sz w:val="26"/>
          <w:szCs w:val="26"/>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sz w:val="26"/>
          <w:szCs w:val="26"/>
        </w:rPr>
        <w:t>Tabela 10. Broj nezaposlenih s visokim obrazovanjem po opštinama za period 2016-2019.</w:t>
      </w:r>
    </w:p>
    <w:tbl>
      <w:tblPr>
        <w:tblW w:w="0" w:type="auto"/>
        <w:tblInd w:w="-20" w:type="dxa"/>
        <w:tblLayout w:type="fixed"/>
        <w:tblCellMar>
          <w:left w:w="0" w:type="dxa"/>
          <w:right w:w="0" w:type="dxa"/>
        </w:tblCellMar>
        <w:tblLook w:val="0000" w:firstRow="0" w:lastRow="0" w:firstColumn="0" w:lastColumn="0" w:noHBand="0" w:noVBand="0"/>
      </w:tblPr>
      <w:tblGrid>
        <w:gridCol w:w="1692"/>
        <w:gridCol w:w="992"/>
        <w:gridCol w:w="992"/>
        <w:gridCol w:w="993"/>
        <w:gridCol w:w="992"/>
        <w:gridCol w:w="992"/>
        <w:gridCol w:w="992"/>
        <w:gridCol w:w="992"/>
        <w:gridCol w:w="1633"/>
      </w:tblGrid>
      <w:tr w:rsidR="00644F2A" w:rsidTr="008961D6">
        <w:trPr>
          <w:trHeight w:val="60"/>
        </w:trPr>
        <w:tc>
          <w:tcPr>
            <w:tcW w:w="1692"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Opština</w:t>
            </w:r>
          </w:p>
        </w:tc>
        <w:tc>
          <w:tcPr>
            <w:tcW w:w="1984"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2016.</w:t>
            </w:r>
          </w:p>
        </w:tc>
        <w:tc>
          <w:tcPr>
            <w:tcW w:w="1985"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2017.</w:t>
            </w:r>
          </w:p>
        </w:tc>
        <w:tc>
          <w:tcPr>
            <w:tcW w:w="1984"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2018.</w:t>
            </w:r>
          </w:p>
        </w:tc>
        <w:tc>
          <w:tcPr>
            <w:tcW w:w="2625"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2019.</w:t>
            </w:r>
          </w:p>
        </w:tc>
      </w:tr>
      <w:tr w:rsidR="00644F2A" w:rsidTr="008961D6">
        <w:trPr>
          <w:trHeight w:val="60"/>
        </w:trPr>
        <w:tc>
          <w:tcPr>
            <w:tcW w:w="1692"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984"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VI+VII+VIII</w:t>
            </w:r>
          </w:p>
        </w:tc>
        <w:tc>
          <w:tcPr>
            <w:tcW w:w="1985"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VI+VII+VIII</w:t>
            </w:r>
          </w:p>
        </w:tc>
        <w:tc>
          <w:tcPr>
            <w:tcW w:w="1984"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VI+VII+VIII</w:t>
            </w:r>
          </w:p>
        </w:tc>
        <w:tc>
          <w:tcPr>
            <w:tcW w:w="2625" w:type="dxa"/>
            <w:gridSpan w:val="2"/>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VI+VII+VIII</w:t>
            </w:r>
          </w:p>
        </w:tc>
      </w:tr>
      <w:tr w:rsidR="00644F2A" w:rsidTr="008961D6">
        <w:trPr>
          <w:trHeight w:val="60"/>
        </w:trPr>
        <w:tc>
          <w:tcPr>
            <w:tcW w:w="1692"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99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Ukupno</w:t>
            </w:r>
          </w:p>
        </w:tc>
        <w:tc>
          <w:tcPr>
            <w:tcW w:w="99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Žene</w:t>
            </w:r>
          </w:p>
        </w:tc>
        <w:tc>
          <w:tcPr>
            <w:tcW w:w="99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Ukupno</w:t>
            </w:r>
          </w:p>
        </w:tc>
        <w:tc>
          <w:tcPr>
            <w:tcW w:w="99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Žene</w:t>
            </w:r>
          </w:p>
        </w:tc>
        <w:tc>
          <w:tcPr>
            <w:tcW w:w="99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Ukupno</w:t>
            </w:r>
          </w:p>
        </w:tc>
        <w:tc>
          <w:tcPr>
            <w:tcW w:w="99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Žene</w:t>
            </w:r>
          </w:p>
        </w:tc>
        <w:tc>
          <w:tcPr>
            <w:tcW w:w="992"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Ukupno</w:t>
            </w:r>
          </w:p>
        </w:tc>
        <w:tc>
          <w:tcPr>
            <w:tcW w:w="163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Žene</w:t>
            </w:r>
          </w:p>
        </w:tc>
      </w:tr>
      <w:tr w:rsidR="00644F2A" w:rsidTr="008961D6">
        <w:trPr>
          <w:trHeight w:val="60"/>
        </w:trPr>
        <w:tc>
          <w:tcPr>
            <w:tcW w:w="1692"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Andrijevica</w:t>
            </w:r>
          </w:p>
        </w:tc>
        <w:tc>
          <w:tcPr>
            <w:tcW w:w="992"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82</w:t>
            </w:r>
          </w:p>
        </w:tc>
        <w:tc>
          <w:tcPr>
            <w:tcW w:w="992"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36</w:t>
            </w:r>
          </w:p>
        </w:tc>
        <w:tc>
          <w:tcPr>
            <w:tcW w:w="993"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75</w:t>
            </w:r>
          </w:p>
        </w:tc>
        <w:tc>
          <w:tcPr>
            <w:tcW w:w="992"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37</w:t>
            </w:r>
          </w:p>
        </w:tc>
        <w:tc>
          <w:tcPr>
            <w:tcW w:w="992"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60</w:t>
            </w:r>
          </w:p>
        </w:tc>
        <w:tc>
          <w:tcPr>
            <w:tcW w:w="992"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32</w:t>
            </w:r>
          </w:p>
        </w:tc>
        <w:tc>
          <w:tcPr>
            <w:tcW w:w="992"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50</w:t>
            </w:r>
          </w:p>
        </w:tc>
        <w:tc>
          <w:tcPr>
            <w:tcW w:w="1633"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28</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Bar</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595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322</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521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311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439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237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460</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320</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Budva</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327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209</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265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243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150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196</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135</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Bijelo Polje</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818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417</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699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398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624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372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593</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365</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Berane</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728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478</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624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423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561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384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426</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227</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Cetinje</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344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230</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291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192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234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227</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141</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Danilovgrad</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139</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180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117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138</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88</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Golubovci</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90</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55</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Gusinje</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56</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26</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Herceg Novi</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513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342</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350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269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215</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148</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Kolašin</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70</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103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83</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49</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Kotor</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299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210</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238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165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179</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125</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Mojkovac</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164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99</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81</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38</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Nikšić</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1.535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994</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1.429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952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1.256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834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1.117</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720</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Podgorica</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3.592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2.190</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2.754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1.776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2.120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1.353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1.950</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1268</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Plav</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100</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141</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54</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Petnjica</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Pljevlja</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522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283</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408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241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358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310</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183</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Plužine</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19</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25</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Rožaje</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476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246</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405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380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165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324</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147</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Šavnik</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12</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Tivat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229</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156</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198</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143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126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112</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76</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Tuzi</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136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92</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56</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lastRenderedPageBreak/>
              <w:t>Ulcinj</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446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228</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376</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354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331</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212</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Žabljak</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29</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17</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33</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23</w:t>
            </w:r>
          </w:p>
        </w:tc>
      </w:tr>
      <w:tr w:rsidR="00644F2A" w:rsidTr="008961D6">
        <w:trPr>
          <w:trHeight w:val="60"/>
        </w:trPr>
        <w:tc>
          <w:tcPr>
            <w:tcW w:w="16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tcPr>
          <w:p w:rsidR="00644F2A" w:rsidRDefault="00644F2A">
            <w:pPr>
              <w:pStyle w:val="BasicParagraph"/>
            </w:pPr>
            <w:r>
              <w:rPr>
                <w:rFonts w:ascii="Garamond" w:hAnsi="Garamond" w:cs="Garamond"/>
                <w:sz w:val="26"/>
                <w:szCs w:val="26"/>
              </w:rPr>
              <w:t>CRNA GORA</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11.375</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6.818</w:t>
            </w:r>
          </w:p>
        </w:tc>
        <w:tc>
          <w:tcPr>
            <w:tcW w:w="9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9.323</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5.874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8.180</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5.062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7.262</w:t>
            </w:r>
          </w:p>
        </w:tc>
        <w:tc>
          <w:tcPr>
            <w:tcW w:w="163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right"/>
            </w:pPr>
            <w:r>
              <w:rPr>
                <w:rFonts w:ascii="Garamond" w:hAnsi="Garamond" w:cs="Garamond"/>
                <w:sz w:val="26"/>
                <w:szCs w:val="26"/>
              </w:rPr>
              <w:t>4.522</w:t>
            </w:r>
          </w:p>
        </w:tc>
      </w:tr>
      <w:tr w:rsidR="00644F2A" w:rsidTr="008961D6">
        <w:trPr>
          <w:trHeight w:val="60"/>
        </w:trPr>
        <w:tc>
          <w:tcPr>
            <w:tcW w:w="10270" w:type="dxa"/>
            <w:gridSpan w:val="9"/>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i/>
                <w:iCs/>
                <w:sz w:val="26"/>
                <w:szCs w:val="26"/>
              </w:rPr>
              <w:t>Izvor: Zavod za zapošljavanje Crne Gore</w:t>
            </w:r>
          </w:p>
        </w:tc>
      </w:tr>
    </w:tbl>
    <w:p w:rsidR="00644F2A" w:rsidRDefault="00644F2A" w:rsidP="00644F2A">
      <w:pPr>
        <w:pStyle w:val="BasicParagraph"/>
        <w:suppressAutoHyphens/>
        <w:jc w:val="both"/>
      </w:pPr>
    </w:p>
    <w:p w:rsidR="00644F2A" w:rsidRDefault="00644F2A" w:rsidP="00644F2A">
      <w:pPr>
        <w:pStyle w:val="BasicParagraph"/>
        <w:suppressAutoHyphens/>
        <w:jc w:val="both"/>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Učešće broja nezaposlenih s visokim obrazovanjem u ukupnom broju nezaposlenih dostiglo je skoro 1/5 u 2016. godini. Nakon toga se smanjilo, ali je još izrazito visoko (iznad 18% u 2018). Intenzivno povećanje broja lica koj</w:t>
      </w:r>
      <w:r w:rsidR="00DE6131">
        <w:rPr>
          <w:rFonts w:ascii="Garamond" w:hAnsi="Garamond" w:cs="Garamond"/>
          <w:sz w:val="28"/>
          <w:szCs w:val="28"/>
        </w:rPr>
        <w:t>a</w:t>
      </w:r>
      <w:r>
        <w:rPr>
          <w:rFonts w:ascii="Garamond" w:hAnsi="Garamond" w:cs="Garamond"/>
          <w:sz w:val="28"/>
          <w:szCs w:val="28"/>
        </w:rPr>
        <w:t xml:space="preserve"> završavaju visoko obrazovanje je povoljno sa stanovišta dostizanja visokog procenta učešća u visokom obrazovanju od ukupnog stanovništva, ali je očigledno da tržište rada to ne može apsorbovati.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Uporedni podaci za zemlje OECD-a pokazuju da se udio odraslih sa tercijarnim obrazovanjem u ovim zemljama skoro udvostručio u posljednje dvije decenije.</w:t>
      </w:r>
      <w:r>
        <w:rPr>
          <w:rFonts w:ascii="Garamond" w:hAnsi="Garamond" w:cs="Garamond"/>
          <w:sz w:val="28"/>
          <w:szCs w:val="28"/>
          <w:vertAlign w:val="superscript"/>
        </w:rPr>
        <w:footnoteReference w:id="19"/>
      </w:r>
      <w:r>
        <w:rPr>
          <w:rFonts w:ascii="Garamond" w:hAnsi="Garamond" w:cs="Garamond"/>
          <w:sz w:val="28"/>
          <w:szCs w:val="28"/>
        </w:rPr>
        <w:t xml:space="preserve"> Tržište rada ne može apsorbovati tako rastuću ponudu pa se broj nezaposlenih sa tercijarnim obrazovanjem povećava duži niz godina. Ono je najveće u Grčkoj i iznosilo je 13,7% (u 2018), u Italiji (10%), u Španiji (8,4%), što je znatno iznad prosjeka za zemlje OECD, koji iznosi 3,9%.</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left="1247" w:right="1134" w:hanging="227"/>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 xml:space="preserve">- Analiza nezaposlenosti poslije stečenog visokog obrazovanja važan je i kompleksan problem. Analiza zahtijeva da se uzme u obzir ponuda studijskih programa (ishodi učenja i stečene kompetencije) i potražnja (potrebe tržišta rada). </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 Dodatno, ovaj problem može da se usložnjava zbog izmjene modela visokog obrazovanja koji će izazvati istovremeno prisustvo bečelora po prethodnom i novom modelu, specijalista po prethodnom modelu i mastera po prethodnom i novom modelu. Očekuje se da selekcija na tržištu rada adekvatno prepozna svih pet diploma. Pri tome treba imati u vidu tradicionalnu praksu da je sve to „pokrivala diploma sa završenim četvorogodišnjim studijama”. Uticaj nezaposlenosti može se reflektovati i na zainteresovanost srednjoškolaca za upis na studije.</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2.5.2 Ponuda slobodnih radnih mjesta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Pregled broja slobodnih radnih mjesta u periodu 2016-2019. godine po oblastima djelatnostima i nivoima kvalifikacije obrazovanja prikazan je u tabeli 11.</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spacing w:after="113"/>
        <w:jc w:val="center"/>
        <w:rPr>
          <w:rFonts w:ascii="Garamond" w:hAnsi="Garamond" w:cs="Garamond"/>
          <w:b/>
          <w:bCs/>
          <w:sz w:val="26"/>
          <w:szCs w:val="26"/>
        </w:rPr>
      </w:pPr>
      <w:r>
        <w:rPr>
          <w:rFonts w:ascii="Garamond" w:hAnsi="Garamond" w:cs="Garamond"/>
          <w:b/>
          <w:bCs/>
          <w:sz w:val="26"/>
          <w:szCs w:val="26"/>
        </w:rPr>
        <w:t>Tabela 11. Pregled broja slobodnih radnih mjesta po oblastima djelatnosti i nivoima kvalifikacija visokog obrazovanja za 2016, 2017, 2018. i 2019. godinu</w:t>
      </w:r>
    </w:p>
    <w:tbl>
      <w:tblPr>
        <w:tblW w:w="0" w:type="auto"/>
        <w:tblInd w:w="-20" w:type="dxa"/>
        <w:tblLayout w:type="fixed"/>
        <w:tblCellMar>
          <w:left w:w="0" w:type="dxa"/>
          <w:right w:w="0" w:type="dxa"/>
        </w:tblCellMar>
        <w:tblLook w:val="0000" w:firstRow="0" w:lastRow="0" w:firstColumn="0" w:lastColumn="0" w:noHBand="0" w:noVBand="0"/>
      </w:tblPr>
      <w:tblGrid>
        <w:gridCol w:w="4038"/>
        <w:gridCol w:w="1134"/>
        <w:gridCol w:w="1134"/>
        <w:gridCol w:w="1133"/>
        <w:gridCol w:w="1134"/>
        <w:gridCol w:w="1877"/>
      </w:tblGrid>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2016. godina</w:t>
            </w:r>
          </w:p>
        </w:tc>
        <w:tc>
          <w:tcPr>
            <w:tcW w:w="4535"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Nivo kvalifikacije obrazovanja</w:t>
            </w:r>
          </w:p>
        </w:tc>
        <w:tc>
          <w:tcPr>
            <w:tcW w:w="1877"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Ukupno</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Djelatnost</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VII-1</w:t>
            </w:r>
          </w:p>
        </w:tc>
        <w:tc>
          <w:tcPr>
            <w:tcW w:w="113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VII-2</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VIII</w:t>
            </w:r>
          </w:p>
        </w:tc>
        <w:tc>
          <w:tcPr>
            <w:tcW w:w="1877"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r>
      <w:tr w:rsidR="00644F2A" w:rsidTr="008961D6">
        <w:trPr>
          <w:trHeight w:val="60"/>
        </w:trPr>
        <w:tc>
          <w:tcPr>
            <w:tcW w:w="4038"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A. Poljoprivreda, šumarstvo i ribarstvo</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w:t>
            </w:r>
          </w:p>
        </w:tc>
        <w:tc>
          <w:tcPr>
            <w:tcW w:w="1133"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B. Rudarstvo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C. Prerađivačka industrija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D. Snabdijevanje električnom energijom, gasom, parom i klimatizacija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E. Snabdijevanje vodom; upravljanje otpadnim vodama, kontrolisanje procesa uklanjanja otpada i slične aktivnosti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38</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F. Građevinarstvo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G. Trgovina na veliko i trgovina na malo; popravka motornih vozila i motocikala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280</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H. Saobraćaj i skladištenje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I. Usluge smještaja i ishrane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J. Informisanje i komunikacije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K. Finansijske djelatnosti i djelatnost osiguranja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174</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204</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L. Poslovanje nekretninama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lastRenderedPageBreak/>
              <w:t>M. Stručne, naučne, inovacione i tehničke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302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333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N. Administrativne i pomoćne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312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367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O. Državna uprava i odbrana; Obavezno socijalno osiguranje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957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973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P. Obrazovanje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1763</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92</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1895</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jc w:val="both"/>
              <w:rPr>
                <w:lang w:val="fr-FR"/>
              </w:rPr>
            </w:pPr>
            <w:r w:rsidRPr="005D5EC6">
              <w:rPr>
                <w:rFonts w:ascii="Garamond" w:hAnsi="Garamond" w:cs="Garamond"/>
                <w:sz w:val="26"/>
                <w:szCs w:val="26"/>
                <w:lang w:val="fr-FR"/>
              </w:rPr>
              <w:t>Q. Zdravstvena i socijalna zaštita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381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440</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R. Umjetnost, zabava i rekreacija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95</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S. Ostale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107</w:t>
            </w:r>
          </w:p>
        </w:tc>
      </w:tr>
      <w:tr w:rsidR="00644F2A" w:rsidTr="008961D6">
        <w:trPr>
          <w:trHeight w:val="60"/>
        </w:trPr>
        <w:tc>
          <w:tcPr>
            <w:tcW w:w="4038"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Ukupno</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251</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5144</w:t>
            </w:r>
          </w:p>
        </w:tc>
        <w:tc>
          <w:tcPr>
            <w:tcW w:w="113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117</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98</w:t>
            </w:r>
          </w:p>
        </w:tc>
        <w:tc>
          <w:tcPr>
            <w:tcW w:w="187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5610</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2017. godina</w:t>
            </w:r>
          </w:p>
        </w:tc>
        <w:tc>
          <w:tcPr>
            <w:tcW w:w="4535"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Nivo kvalifikacije obrazovanja</w:t>
            </w:r>
          </w:p>
        </w:tc>
        <w:tc>
          <w:tcPr>
            <w:tcW w:w="1877"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Ukupno</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Djelatnost</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VII-1</w:t>
            </w:r>
          </w:p>
        </w:tc>
        <w:tc>
          <w:tcPr>
            <w:tcW w:w="113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VII-2</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VIII</w:t>
            </w:r>
          </w:p>
        </w:tc>
        <w:tc>
          <w:tcPr>
            <w:tcW w:w="1877"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r>
      <w:tr w:rsidR="00644F2A" w:rsidTr="008961D6">
        <w:trPr>
          <w:trHeight w:val="60"/>
        </w:trPr>
        <w:tc>
          <w:tcPr>
            <w:tcW w:w="4038"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A. Poljoprivreda, šumarstvo i ribarstvo</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w:t>
            </w:r>
          </w:p>
        </w:tc>
        <w:tc>
          <w:tcPr>
            <w:tcW w:w="1133"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B. Rudarstvo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C. Prerađivačka industrija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93</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D. Snabdijevanje električnom energijom, gasom, parom i klimatizacija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E. Snabdijevanje vodom; upravljanje otpadnim vodama, kontrolisanje procesa uklanjanja otpada i slične aktivnosti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F. Građevinarstvo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G. Trgovina na veliko i trgovina na malo; popravka motornih vozila i motocikala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H. Saobraćaj i skladištenje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I. Usluge smještaja i ishrane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lastRenderedPageBreak/>
              <w:t>J. Informisanje i komunikacije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K. Finansijske djelatnosti i djelatnost osiguranja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L. Poslovanje nekretninama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80</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M. Stručne, naučne, inovacione i tehničke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253</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N. Administrativne i pomoćne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320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379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O. Državna uprava i odbrana; Obavezno socijalno osiguranje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1062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1078</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P. Obrazovanje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2112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96</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2274</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jc w:val="both"/>
              <w:rPr>
                <w:lang w:val="fr-FR"/>
              </w:rPr>
            </w:pPr>
            <w:r w:rsidRPr="005D5EC6">
              <w:rPr>
                <w:rFonts w:ascii="Garamond" w:hAnsi="Garamond" w:cs="Garamond"/>
                <w:sz w:val="26"/>
                <w:szCs w:val="26"/>
                <w:lang w:val="fr-FR"/>
              </w:rPr>
              <w:t>Q. Zdravstvena i socijalna zaštita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391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453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R. Umjetnost,zabava i rekreacija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134</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S. Ostale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T. Djelatnost eksteritorijalnih organizacija i tijela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r>
      <w:tr w:rsidR="00644F2A" w:rsidTr="008961D6">
        <w:trPr>
          <w:trHeight w:val="60"/>
        </w:trPr>
        <w:tc>
          <w:tcPr>
            <w:tcW w:w="4038"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Ukupno</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245</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5550</w:t>
            </w:r>
          </w:p>
        </w:tc>
        <w:tc>
          <w:tcPr>
            <w:tcW w:w="113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134</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99</w:t>
            </w:r>
          </w:p>
        </w:tc>
        <w:tc>
          <w:tcPr>
            <w:tcW w:w="187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6028</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2018. godina</w:t>
            </w:r>
          </w:p>
        </w:tc>
        <w:tc>
          <w:tcPr>
            <w:tcW w:w="4535"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Nivo kvalifikacije obrazovanja</w:t>
            </w:r>
          </w:p>
        </w:tc>
        <w:tc>
          <w:tcPr>
            <w:tcW w:w="1877"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Ukupno</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Djelatnost</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VII-1</w:t>
            </w:r>
          </w:p>
        </w:tc>
        <w:tc>
          <w:tcPr>
            <w:tcW w:w="113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VII-2</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VIII</w:t>
            </w:r>
          </w:p>
        </w:tc>
        <w:tc>
          <w:tcPr>
            <w:tcW w:w="1877"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r>
      <w:tr w:rsidR="00644F2A" w:rsidTr="008961D6">
        <w:trPr>
          <w:trHeight w:val="60"/>
        </w:trPr>
        <w:tc>
          <w:tcPr>
            <w:tcW w:w="4038"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A. Poljoprivreda, šumarstvo i ribarstvo</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c>
          <w:tcPr>
            <w:tcW w:w="1133"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B. Rudarstvo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C. Prerađivačka industrija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65</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D. Snabdijevanje električnom energijom, gasom, parom i klimatizacija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E. Snabdijevanje vodom; upravljanje otpadnim vodama, kontrolisanje procesa uklanjanja otpada i slične aktivnosti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lastRenderedPageBreak/>
              <w:t>F. Građevinarstvo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G. Trgovina na veliko i trgovina na malo; popravka motornih vozila i motocikala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H. Saobraćaj i skladištenje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73</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I. Usluge smještaja i ishrane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141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J. Informisanje i komunikacije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94</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K. Finansijske djelatnosti i djelatnost osiguranja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L. Poslovanje nekretninama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M. Stručne, naučne, inovacione i tehničke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275</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N. Administrativne i pomoćne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O. Državna uprava i odbrana; Obavezno socijalno osiguranje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597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606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P. Obrazovanje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2693</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89</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2833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jc w:val="both"/>
              <w:rPr>
                <w:lang w:val="fr-FR"/>
              </w:rPr>
            </w:pPr>
            <w:r w:rsidRPr="005D5EC6">
              <w:rPr>
                <w:rFonts w:ascii="Garamond" w:hAnsi="Garamond" w:cs="Garamond"/>
                <w:sz w:val="26"/>
                <w:szCs w:val="26"/>
                <w:lang w:val="fr-FR"/>
              </w:rPr>
              <w:t>Q. Zdravstvena i socijalna zaštita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426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491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R. Umjetnost, zabava i rekreacija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S. Ostale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122</w:t>
            </w:r>
          </w:p>
        </w:tc>
      </w:tr>
      <w:tr w:rsidR="00644F2A" w:rsidTr="008961D6">
        <w:trPr>
          <w:trHeight w:val="60"/>
        </w:trPr>
        <w:tc>
          <w:tcPr>
            <w:tcW w:w="4038"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Ukupno</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258</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5401</w:t>
            </w:r>
          </w:p>
        </w:tc>
        <w:tc>
          <w:tcPr>
            <w:tcW w:w="113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83</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91</w:t>
            </w:r>
          </w:p>
        </w:tc>
        <w:tc>
          <w:tcPr>
            <w:tcW w:w="187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5833</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2019. godina</w:t>
            </w:r>
          </w:p>
        </w:tc>
        <w:tc>
          <w:tcPr>
            <w:tcW w:w="4535"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Nivo kvalifikacije obrazovanja</w:t>
            </w:r>
          </w:p>
        </w:tc>
        <w:tc>
          <w:tcPr>
            <w:tcW w:w="1877" w:type="dxa"/>
            <w:vMerge w:val="restart"/>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Ukupno</w:t>
            </w:r>
          </w:p>
        </w:tc>
      </w:tr>
      <w:tr w:rsidR="00644F2A" w:rsidTr="008961D6">
        <w:trPr>
          <w:trHeight w:val="60"/>
        </w:trPr>
        <w:tc>
          <w:tcPr>
            <w:tcW w:w="403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Djelatnost</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VII-1</w:t>
            </w:r>
          </w:p>
        </w:tc>
        <w:tc>
          <w:tcPr>
            <w:tcW w:w="113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VII-2</w:t>
            </w:r>
          </w:p>
        </w:tc>
        <w:tc>
          <w:tcPr>
            <w:tcW w:w="113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sz w:val="26"/>
                <w:szCs w:val="26"/>
              </w:rPr>
              <w:t>VIII</w:t>
            </w:r>
          </w:p>
        </w:tc>
        <w:tc>
          <w:tcPr>
            <w:tcW w:w="1877" w:type="dxa"/>
            <w:vMerge/>
            <w:tcBorders>
              <w:top w:val="single" w:sz="16" w:space="0" w:color="000000"/>
              <w:left w:val="single" w:sz="16" w:space="0" w:color="000000"/>
              <w:bottom w:val="single" w:sz="16" w:space="0" w:color="000000"/>
              <w:right w:val="single" w:sz="16" w:space="0" w:color="000000"/>
            </w:tcBorders>
          </w:tcPr>
          <w:p w:rsidR="00644F2A" w:rsidRDefault="00644F2A">
            <w:pPr>
              <w:pStyle w:val="NoParagraphStyle"/>
              <w:spacing w:line="240" w:lineRule="auto"/>
              <w:textAlignment w:val="auto"/>
              <w:rPr>
                <w:rFonts w:ascii="Garamond" w:hAnsi="Garamond" w:cstheme="minorBidi"/>
                <w:color w:val="auto"/>
              </w:rPr>
            </w:pPr>
          </w:p>
        </w:tc>
      </w:tr>
      <w:tr w:rsidR="00644F2A" w:rsidTr="008961D6">
        <w:trPr>
          <w:trHeight w:val="60"/>
        </w:trPr>
        <w:tc>
          <w:tcPr>
            <w:tcW w:w="4038"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A. Poljoprivreda, šumarstvo i ribarstvo</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c>
          <w:tcPr>
            <w:tcW w:w="1133"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B. Rudarstvo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C. Prerađivačka industrija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lastRenderedPageBreak/>
              <w:t>D. Snabdijevanje električnom energijom, gasom, parom i klimatizacija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E. Snabdijevanje vodom; upravljanje otpadnim vodama, kontrolisanje procesa uklanjanja otpada i slične aktivnosti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38</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F. Građevinarstvo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183</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G. Trgovina na veliko i trgovina na malo; popravka motornih vozila i motocikala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194</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H. Saobraćaj i skladištenje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65</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I. Usluge smještaja i ishrane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75</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J. Informisanje i komunikacije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94</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121</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K. Finansijske djelatnosti i djelatnost osiguranja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176</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L. Poslovanje nekretninama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45</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M. Stručne, naučne, inovacione i tehničke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251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277</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N. Administrativne i pomoćne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157</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168</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O. Državna uprava i odbrana; Obavezno socijalno osiguranje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880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889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P. Obrazovanje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2872</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75</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2989</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jc w:val="both"/>
              <w:rPr>
                <w:lang w:val="fr-FR"/>
              </w:rPr>
            </w:pPr>
            <w:r w:rsidRPr="005D5EC6">
              <w:rPr>
                <w:rFonts w:ascii="Garamond" w:hAnsi="Garamond" w:cs="Garamond"/>
                <w:sz w:val="26"/>
                <w:szCs w:val="26"/>
                <w:lang w:val="fr-FR"/>
              </w:rPr>
              <w:t>Q. Zdravstvena i socijalna zaštita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329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63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413</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R. Umjetnost, zabava i rekreacija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79</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84</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S. Ostale uslužne djelatnosti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70</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92</w:t>
            </w:r>
          </w:p>
        </w:tc>
      </w:tr>
      <w:tr w:rsidR="00644F2A" w:rsidTr="008961D6">
        <w:trPr>
          <w:trHeight w:val="60"/>
        </w:trPr>
        <w:tc>
          <w:tcPr>
            <w:tcW w:w="403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T. Djelatnost eksteritorijalnih organizacija i tijela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c>
          <w:tcPr>
            <w:tcW w:w="1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0</w:t>
            </w:r>
          </w:p>
        </w:tc>
        <w:tc>
          <w:tcPr>
            <w:tcW w:w="18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w:t>
            </w:r>
          </w:p>
        </w:tc>
      </w:tr>
      <w:tr w:rsidR="00644F2A" w:rsidTr="008961D6">
        <w:trPr>
          <w:trHeight w:val="60"/>
        </w:trPr>
        <w:tc>
          <w:tcPr>
            <w:tcW w:w="4038"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both"/>
            </w:pPr>
            <w:r>
              <w:rPr>
                <w:rFonts w:ascii="Garamond" w:hAnsi="Garamond" w:cs="Garamond"/>
                <w:sz w:val="26"/>
                <w:szCs w:val="26"/>
              </w:rPr>
              <w:t>Ukupno</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215</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5557</w:t>
            </w:r>
          </w:p>
        </w:tc>
        <w:tc>
          <w:tcPr>
            <w:tcW w:w="113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108</w:t>
            </w:r>
          </w:p>
        </w:tc>
        <w:tc>
          <w:tcPr>
            <w:tcW w:w="113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75</w:t>
            </w:r>
          </w:p>
        </w:tc>
        <w:tc>
          <w:tcPr>
            <w:tcW w:w="187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sz w:val="26"/>
                <w:szCs w:val="26"/>
              </w:rPr>
              <w:t>5955</w:t>
            </w:r>
          </w:p>
        </w:tc>
      </w:tr>
      <w:tr w:rsidR="00644F2A" w:rsidTr="008961D6">
        <w:trPr>
          <w:trHeight w:val="60"/>
        </w:trPr>
        <w:tc>
          <w:tcPr>
            <w:tcW w:w="10450" w:type="dxa"/>
            <w:gridSpan w:val="6"/>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rPr>
                <w:rFonts w:ascii="Garamond" w:hAnsi="Garamond" w:cs="Garamond"/>
                <w:i/>
                <w:iCs/>
                <w:sz w:val="26"/>
                <w:szCs w:val="26"/>
              </w:rPr>
              <w:lastRenderedPageBreak/>
              <w:t>Izvor: Zavod za zapošljavanje Crne Gore</w:t>
            </w:r>
          </w:p>
        </w:tc>
      </w:tr>
    </w:tbl>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jc w:val="both"/>
        <w:rPr>
          <w:rFonts w:ascii="Garamond" w:hAnsi="Garamond" w:cs="Garamond"/>
          <w:b/>
          <w:bCs/>
          <w:sz w:val="26"/>
          <w:szCs w:val="26"/>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Očekivano, najznačajnija potreba za novim zapošljavanjem (75% ukupnih potreba) je P djelatnosti (obrazovanj</w:t>
      </w:r>
      <w:r w:rsidR="00730026">
        <w:rPr>
          <w:rFonts w:ascii="Garamond" w:hAnsi="Garamond" w:cs="Garamond"/>
          <w:sz w:val="28"/>
          <w:szCs w:val="28"/>
        </w:rPr>
        <w:t>e</w:t>
      </w:r>
      <w:r>
        <w:rPr>
          <w:rFonts w:ascii="Garamond" w:hAnsi="Garamond" w:cs="Garamond"/>
          <w:sz w:val="28"/>
          <w:szCs w:val="28"/>
        </w:rPr>
        <w:t xml:space="preserve">), a zatim slijede O (državna uprava i odbrana; obavezno sociljalno osiguranje), </w:t>
      </w:r>
      <w:r w:rsidR="007B205D">
        <w:rPr>
          <w:rFonts w:ascii="Garamond" w:hAnsi="Garamond" w:cs="Garamond"/>
          <w:color w:val="auto"/>
          <w:sz w:val="28"/>
          <w:szCs w:val="28"/>
        </w:rPr>
        <w:t>Q (zdravstvena i socijalna zaštita</w:t>
      </w:r>
      <w:r w:rsidRPr="007B205D">
        <w:rPr>
          <w:rFonts w:ascii="Garamond" w:hAnsi="Garamond" w:cs="Garamond"/>
          <w:color w:val="auto"/>
          <w:sz w:val="28"/>
          <w:szCs w:val="28"/>
        </w:rPr>
        <w:t>)</w:t>
      </w:r>
      <w:r>
        <w:rPr>
          <w:rFonts w:ascii="Garamond" w:hAnsi="Garamond" w:cs="Garamond"/>
          <w:sz w:val="28"/>
          <w:szCs w:val="28"/>
        </w:rPr>
        <w:t>, N (administrativne i pomoćne uslužne djelatnosti) i M (stručne, naučne, inovacione i tehničke djelatnosti). Obrazovanje je pojedinačno najznačajniji resurs za novo zapošljavanje, dostiže skoro 50% ukupnih potreba i pokazuje trend značajnog povećanja potreba po godinama (200 - 500 novih radnih mjesta za izvještajni period). Za državnu upravu i odbranu, kao drugu djelatnost po brojnosti, potreba u poslednjoj godini je smanjena (sa 17% na 15% ukupnih potreba). Pojedinačno, sve ostale djelatnosti su ispod 10% ukupnih potreba.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Ilustrativna je dominantna potreba za VII-1 podnivoom obrazovanja, do 93% u posmatranom izvještajnom periodu. Potreba za VI nivoom obrazovanja je 3-4,5% ukupnih potreba, a za VII-2 podnivoom 1-2%.</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Broj prijavljenih slobodnih radnih mjesta za VII-1 podnivo kvalfikacija je u posljednjoj godini posmatranog perioda bio znatno veći od broja nezaposlenih (5.557 u odnosu na 4.101), dok je kod VI nivo učešće slobodnih radnih mjesta ispod 10% od broja nezaposlenih (216 u odnosu na 2.908). Ovakva raspodjela ponude i potražnje treba da bude jasan signal za model studija po važećem Zakonu o visokom obrazovanju i položaj nivoa/podnivoa kvalifikacija na tržištu rada.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left="1247" w:right="1134"/>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644F2A">
      <w:pPr>
        <w:pStyle w:val="BasicParagraph"/>
        <w:suppressAutoHyphens/>
        <w:ind w:left="1247" w:right="1134"/>
        <w:jc w:val="both"/>
        <w:rPr>
          <w:rFonts w:ascii="Garamond" w:hAnsi="Garamond" w:cs="Garamond"/>
          <w:color w:val="00B0F0"/>
          <w:sz w:val="28"/>
          <w:szCs w:val="28"/>
        </w:rPr>
      </w:pPr>
      <w:r w:rsidRPr="00821309">
        <w:rPr>
          <w:rFonts w:ascii="Garamond" w:hAnsi="Garamond" w:cs="Garamond"/>
          <w:color w:val="00B0F0"/>
          <w:sz w:val="28"/>
          <w:szCs w:val="28"/>
        </w:rPr>
        <w:t>Potrebno obezbijedi</w:t>
      </w:r>
      <w:r w:rsidR="00730026">
        <w:rPr>
          <w:rFonts w:ascii="Garamond" w:hAnsi="Garamond" w:cs="Garamond"/>
          <w:color w:val="00B0F0"/>
          <w:sz w:val="28"/>
          <w:szCs w:val="28"/>
        </w:rPr>
        <w:t>ti</w:t>
      </w:r>
      <w:r w:rsidRPr="00821309">
        <w:rPr>
          <w:rFonts w:ascii="Garamond" w:hAnsi="Garamond" w:cs="Garamond"/>
          <w:color w:val="00B0F0"/>
          <w:sz w:val="28"/>
          <w:szCs w:val="28"/>
        </w:rPr>
        <w:t xml:space="preserve"> pozitivne efekte kod zapošljavanja poslije završetka studija, odnosno povezati potrebe i ponudu radnih mjesta, dobro usaglašenom obrazovnom politikom sa dugoročnom politikom zapošljavanja. </w:t>
      </w:r>
    </w:p>
    <w:p w:rsidR="00644F2A" w:rsidRPr="00821309" w:rsidRDefault="00644F2A" w:rsidP="00644F2A">
      <w:pPr>
        <w:pStyle w:val="BasicParagraph"/>
        <w:suppressAutoHyphens/>
        <w:ind w:left="1247" w:right="1134" w:hanging="227"/>
        <w:jc w:val="both"/>
        <w:rPr>
          <w:rFonts w:ascii="Garamond" w:hAnsi="Garamond" w:cs="Garamond"/>
          <w:color w:val="00B0F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475F16" w:rsidRDefault="00475F16" w:rsidP="00644F2A">
      <w:pPr>
        <w:pStyle w:val="BasicParagraph"/>
        <w:suppressAutoHyphens/>
        <w:jc w:val="both"/>
        <w:rPr>
          <w:rFonts w:ascii="Garamond" w:hAnsi="Garamond" w:cs="Garamond"/>
          <w:sz w:val="28"/>
          <w:szCs w:val="28"/>
        </w:rPr>
      </w:pPr>
    </w:p>
    <w:p w:rsidR="00475F16" w:rsidRDefault="00475F16"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b/>
          <w:bCs/>
          <w:sz w:val="28"/>
          <w:szCs w:val="28"/>
        </w:rPr>
      </w:pPr>
      <w:r>
        <w:rPr>
          <w:rFonts w:ascii="Garamond" w:hAnsi="Garamond" w:cs="Garamond"/>
          <w:b/>
          <w:bCs/>
          <w:sz w:val="28"/>
          <w:szCs w:val="28"/>
        </w:rPr>
        <w:t>2.6 Organizovanje studija</w:t>
      </w:r>
    </w:p>
    <w:p w:rsidR="00644F2A" w:rsidRDefault="00644F2A" w:rsidP="00644F2A">
      <w:pPr>
        <w:pStyle w:val="BasicParagraph"/>
        <w:suppressAutoHyphens/>
        <w:jc w:val="both"/>
        <w:rPr>
          <w:rFonts w:ascii="Garamond" w:hAnsi="Garamond" w:cs="Garamond"/>
          <w:b/>
          <w:bCs/>
          <w:sz w:val="28"/>
          <w:szCs w:val="28"/>
        </w:rPr>
      </w:pPr>
    </w:p>
    <w:p w:rsidR="00644F2A" w:rsidRDefault="00644F2A" w:rsidP="00644F2A">
      <w:pPr>
        <w:pStyle w:val="BasicParagraph"/>
        <w:suppressAutoHyphens/>
        <w:jc w:val="both"/>
        <w:rPr>
          <w:rFonts w:ascii="Garamond" w:hAnsi="Garamond" w:cs="Garamond"/>
          <w:b/>
          <w:bCs/>
          <w:sz w:val="28"/>
          <w:szCs w:val="28"/>
        </w:rPr>
      </w:pPr>
      <w:r>
        <w:rPr>
          <w:rFonts w:ascii="Garamond" w:hAnsi="Garamond" w:cs="Garamond"/>
          <w:b/>
          <w:bCs/>
          <w:sz w:val="28"/>
          <w:szCs w:val="28"/>
        </w:rPr>
        <w:t>2.6.1 Model studija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Zakon</w:t>
      </w:r>
      <w:r w:rsidR="00640D92">
        <w:rPr>
          <w:rFonts w:ascii="Garamond" w:hAnsi="Garamond" w:cs="Garamond"/>
          <w:sz w:val="28"/>
          <w:szCs w:val="28"/>
        </w:rPr>
        <w:t>om</w:t>
      </w:r>
      <w:r>
        <w:rPr>
          <w:rFonts w:ascii="Garamond" w:hAnsi="Garamond" w:cs="Garamond"/>
          <w:sz w:val="28"/>
          <w:szCs w:val="28"/>
        </w:rPr>
        <w:t xml:space="preserve"> o visokom obrazovanju uve</w:t>
      </w:r>
      <w:r w:rsidR="00730026">
        <w:rPr>
          <w:rFonts w:ascii="Garamond" w:hAnsi="Garamond" w:cs="Garamond"/>
          <w:sz w:val="28"/>
          <w:szCs w:val="28"/>
        </w:rPr>
        <w:t>den</w:t>
      </w:r>
      <w:r>
        <w:rPr>
          <w:rFonts w:ascii="Garamond" w:hAnsi="Garamond" w:cs="Garamond"/>
          <w:sz w:val="28"/>
          <w:szCs w:val="28"/>
        </w:rPr>
        <w:t xml:space="preserve"> je model </w:t>
      </w:r>
      <w:r w:rsidR="00730026">
        <w:rPr>
          <w:rFonts w:ascii="Garamond" w:hAnsi="Garamond" w:cs="Garamond"/>
          <w:sz w:val="28"/>
          <w:szCs w:val="28"/>
        </w:rPr>
        <w:t xml:space="preserve">studija </w:t>
      </w:r>
      <w:r>
        <w:rPr>
          <w:rFonts w:ascii="Garamond" w:hAnsi="Garamond" w:cs="Garamond"/>
          <w:sz w:val="28"/>
          <w:szCs w:val="28"/>
        </w:rPr>
        <w:t>3+2</w:t>
      </w:r>
      <w:r w:rsidR="00BE7B60">
        <w:rPr>
          <w:rFonts w:ascii="Garamond" w:hAnsi="Garamond" w:cs="Garamond"/>
          <w:sz w:val="28"/>
          <w:szCs w:val="28"/>
        </w:rPr>
        <w:t>+3 osim za osnovne studije</w:t>
      </w:r>
      <w:r>
        <w:rPr>
          <w:rFonts w:ascii="Garamond" w:hAnsi="Garamond" w:cs="Garamond"/>
          <w:sz w:val="28"/>
          <w:szCs w:val="28"/>
        </w:rPr>
        <w:t xml:space="preserve"> regulisanih profesija</w:t>
      </w:r>
      <w:r w:rsidR="00BE7B60">
        <w:rPr>
          <w:rFonts w:ascii="Garamond" w:hAnsi="Garamond" w:cs="Garamond"/>
          <w:sz w:val="28"/>
          <w:szCs w:val="28"/>
        </w:rPr>
        <w:t>.</w:t>
      </w:r>
      <w:r>
        <w:rPr>
          <w:rFonts w:ascii="Garamond" w:hAnsi="Garamond" w:cs="Garamond"/>
          <w:sz w:val="28"/>
          <w:szCs w:val="28"/>
        </w:rPr>
        <w:t xml:space="preserve"> Studije se realizuju kao osnovne, master i doktorske studije. Ustanove visokog obrazovanja u Crnoj Gori će izvoditi studije u skladu s modelom u EHEA za studijske programe akademskih i primijenjenih studija.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Akademske studije osposobljavaju studente za sticanje i primjenu znanja iz naučnih, umjetničkih i stručnih oblasti. Primijenjene studije osposobljavaju studente za brzo uključivanje u radni proces.</w:t>
      </w:r>
    </w:p>
    <w:p w:rsidR="00644F2A" w:rsidRDefault="00392473" w:rsidP="00644F2A">
      <w:pPr>
        <w:pStyle w:val="BasicParagraph"/>
        <w:suppressAutoHyphens/>
        <w:ind w:firstLine="567"/>
        <w:jc w:val="both"/>
        <w:rPr>
          <w:rFonts w:ascii="Garamond" w:hAnsi="Garamond" w:cs="Garamond"/>
          <w:sz w:val="28"/>
          <w:szCs w:val="28"/>
        </w:rPr>
      </w:pPr>
      <w:r w:rsidRPr="00392473">
        <w:rPr>
          <w:rFonts w:ascii="Garamond" w:hAnsi="Garamond" w:cs="Garamond"/>
          <w:color w:val="auto"/>
          <w:sz w:val="28"/>
          <w:szCs w:val="28"/>
        </w:rPr>
        <w:t>U modelu 3+2+3</w:t>
      </w:r>
      <w:r w:rsidR="00644F2A" w:rsidRPr="00F75716">
        <w:rPr>
          <w:rFonts w:ascii="Garamond" w:hAnsi="Garamond" w:cs="Garamond"/>
          <w:color w:val="auto"/>
          <w:sz w:val="28"/>
          <w:szCs w:val="28"/>
        </w:rPr>
        <w:t xml:space="preserve"> </w:t>
      </w:r>
      <w:r w:rsidR="00644F2A">
        <w:rPr>
          <w:rFonts w:ascii="Garamond" w:hAnsi="Garamond" w:cs="Garamond"/>
          <w:sz w:val="28"/>
          <w:szCs w:val="28"/>
        </w:rPr>
        <w:t>akademskih studija ciklusi se odnose na: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Osnovne studije, koje traju 3 </w:t>
      </w:r>
      <w:r w:rsidR="00392473">
        <w:rPr>
          <w:rFonts w:ascii="Garamond" w:hAnsi="Garamond" w:cs="Garamond"/>
          <w:sz w:val="28"/>
          <w:szCs w:val="28"/>
        </w:rPr>
        <w:t>godine, imaju obim 180</w:t>
      </w:r>
      <w:r>
        <w:rPr>
          <w:rFonts w:ascii="Garamond" w:hAnsi="Garamond" w:cs="Garamond"/>
          <w:sz w:val="28"/>
          <w:szCs w:val="28"/>
        </w:rPr>
        <w:t xml:space="preserve"> ECTS kredita, a završetkom se stiče akademski naziv bečelor (uz naznaku naučne/umjetničke oblasti).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w:t>
      </w:r>
      <w:r w:rsidR="00392473">
        <w:rPr>
          <w:rFonts w:ascii="Garamond" w:hAnsi="Garamond" w:cs="Garamond"/>
          <w:sz w:val="28"/>
          <w:szCs w:val="28"/>
        </w:rPr>
        <w:t>Master studije, koje traju 2 godine, imaju obim</w:t>
      </w:r>
      <w:r>
        <w:rPr>
          <w:rFonts w:ascii="Garamond" w:hAnsi="Garamond" w:cs="Garamond"/>
          <w:sz w:val="28"/>
          <w:szCs w:val="28"/>
        </w:rPr>
        <w:t xml:space="preserve"> 120 ECTS kredita, a njihovim završetkom stiče se akademski naziv master (uz naznaku naučne/umjetničke oblasti).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Integrisane studije, koje traju 5</w:t>
      </w:r>
      <w:r w:rsidR="00BE7B60">
        <w:rPr>
          <w:rFonts w:ascii="Garamond" w:hAnsi="Garamond" w:cs="Garamond"/>
          <w:sz w:val="28"/>
          <w:szCs w:val="28"/>
        </w:rPr>
        <w:t>, odnosno 6</w:t>
      </w:r>
      <w:r>
        <w:rPr>
          <w:rFonts w:ascii="Garamond" w:hAnsi="Garamond" w:cs="Garamond"/>
          <w:sz w:val="28"/>
          <w:szCs w:val="28"/>
        </w:rPr>
        <w:t xml:space="preserve"> godina, imaju obim 300, odnosno 360 ECTS kredita, a njihovim završetkom stiče se akademski naziv master (uz naznaku naučne oblasti).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Doktorske studije, koje traju 3 godine, imaju obim 180 ECTS kredita, a njihovim završetkom stiče se akademski naziv doktor (uz naznaku naučne/umjetničke  oblasti).</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primijen</w:t>
      </w:r>
      <w:r w:rsidR="00640D92">
        <w:rPr>
          <w:rFonts w:ascii="Garamond" w:hAnsi="Garamond" w:cs="Garamond"/>
          <w:sz w:val="28"/>
          <w:szCs w:val="28"/>
        </w:rPr>
        <w:t>jene studije usvojeni model je 3+2</w:t>
      </w:r>
      <w:r>
        <w:rPr>
          <w:rFonts w:ascii="Garamond" w:hAnsi="Garamond" w:cs="Garamond"/>
          <w:sz w:val="28"/>
          <w:szCs w:val="28"/>
        </w:rPr>
        <w:t>, a odnosi</w:t>
      </w:r>
      <w:r w:rsidR="00AE4801">
        <w:rPr>
          <w:rFonts w:ascii="Garamond" w:hAnsi="Garamond" w:cs="Garamond"/>
          <w:sz w:val="28"/>
          <w:szCs w:val="28"/>
        </w:rPr>
        <w:t xml:space="preserve"> se</w:t>
      </w:r>
      <w:r>
        <w:rPr>
          <w:rFonts w:ascii="Garamond" w:hAnsi="Garamond" w:cs="Garamond"/>
          <w:sz w:val="28"/>
          <w:szCs w:val="28"/>
        </w:rPr>
        <w:t xml:space="preserve"> na osnovne studije, master studije i integrisane studije, čije je trajanje i obim kao kod akademskih studija, ali se u nazivu diplome naglašava da se odnosi na primijenjene studije.</w:t>
      </w:r>
    </w:p>
    <w:p w:rsidR="00644F2A" w:rsidRDefault="00644F2A" w:rsidP="00644F2A">
      <w:pPr>
        <w:pStyle w:val="BasicParagraph"/>
        <w:suppressAutoHyphens/>
        <w:ind w:firstLine="567"/>
        <w:jc w:val="both"/>
        <w:rPr>
          <w:rFonts w:ascii="Garamond" w:hAnsi="Garamond" w:cs="Garamond"/>
          <w:color w:val="FF00FF"/>
          <w:sz w:val="28"/>
          <w:szCs w:val="28"/>
        </w:rPr>
      </w:pPr>
      <w:r>
        <w:rPr>
          <w:rFonts w:ascii="Garamond" w:hAnsi="Garamond" w:cs="Garamond"/>
          <w:sz w:val="28"/>
          <w:szCs w:val="28"/>
        </w:rPr>
        <w:t>Zakon o visokom obraz</w:t>
      </w:r>
      <w:r w:rsidR="00C54E80">
        <w:rPr>
          <w:rFonts w:ascii="Garamond" w:hAnsi="Garamond" w:cs="Garamond"/>
          <w:sz w:val="28"/>
          <w:szCs w:val="28"/>
        </w:rPr>
        <w:t>ovanju predviđa i sticanje dvoj</w:t>
      </w:r>
      <w:r>
        <w:rPr>
          <w:rFonts w:ascii="Garamond" w:hAnsi="Garamond" w:cs="Garamond"/>
          <w:sz w:val="28"/>
          <w:szCs w:val="28"/>
        </w:rPr>
        <w:t xml:space="preserve">nih ili zajedničkih diploma, završetkom studijskog programa na dvije ili </w:t>
      </w:r>
      <w:r w:rsidR="00C54E80">
        <w:rPr>
          <w:rFonts w:ascii="Garamond" w:hAnsi="Garamond" w:cs="Garamond"/>
          <w:sz w:val="28"/>
          <w:szCs w:val="28"/>
        </w:rPr>
        <w:t>više ustanova</w:t>
      </w:r>
      <w:r>
        <w:rPr>
          <w:rFonts w:ascii="Garamond" w:hAnsi="Garamond" w:cs="Garamond"/>
          <w:sz w:val="28"/>
          <w:szCs w:val="28"/>
        </w:rPr>
        <w:t xml:space="preserve"> visokog obrazovanja. </w:t>
      </w:r>
      <w:r w:rsidR="00C54E80">
        <w:rPr>
          <w:rFonts w:ascii="Garamond" w:hAnsi="Garamond" w:cs="Garamond"/>
          <w:sz w:val="28"/>
          <w:szCs w:val="28"/>
        </w:rPr>
        <w:t xml:space="preserve"> </w:t>
      </w:r>
    </w:p>
    <w:p w:rsidR="00644F2A" w:rsidRPr="00F75716" w:rsidRDefault="00644F2A" w:rsidP="00644F2A">
      <w:pPr>
        <w:pStyle w:val="BasicParagraph"/>
        <w:suppressAutoHyphens/>
        <w:ind w:firstLine="567"/>
        <w:jc w:val="both"/>
        <w:rPr>
          <w:rFonts w:ascii="Garamond" w:hAnsi="Garamond" w:cs="Garamond"/>
          <w:b/>
          <w:sz w:val="28"/>
          <w:szCs w:val="28"/>
        </w:rPr>
      </w:pPr>
      <w:r w:rsidRPr="00F964D8">
        <w:rPr>
          <w:rFonts w:ascii="Garamond" w:hAnsi="Garamond" w:cs="Garamond"/>
          <w:color w:val="auto"/>
          <w:sz w:val="28"/>
          <w:szCs w:val="28"/>
        </w:rPr>
        <w:t>Na licenciranim ustanovama u</w:t>
      </w:r>
      <w:r w:rsidR="00F964D8" w:rsidRPr="00F964D8">
        <w:rPr>
          <w:rFonts w:ascii="Garamond" w:hAnsi="Garamond" w:cs="Garamond"/>
          <w:color w:val="auto"/>
          <w:sz w:val="28"/>
          <w:szCs w:val="28"/>
        </w:rPr>
        <w:t xml:space="preserve"> Crnoj Gori izvodi se ukupno 278</w:t>
      </w:r>
      <w:r w:rsidRPr="00F964D8">
        <w:rPr>
          <w:rFonts w:ascii="Garamond" w:hAnsi="Garamond" w:cs="Garamond"/>
          <w:color w:val="auto"/>
          <w:sz w:val="28"/>
          <w:szCs w:val="28"/>
        </w:rPr>
        <w:t xml:space="preserve"> studijskih programa</w:t>
      </w:r>
      <w:r w:rsidR="00F964D8" w:rsidRPr="00F964D8">
        <w:rPr>
          <w:rFonts w:ascii="Garamond" w:hAnsi="Garamond" w:cs="Garamond"/>
          <w:color w:val="auto"/>
          <w:sz w:val="28"/>
          <w:szCs w:val="28"/>
        </w:rPr>
        <w:t xml:space="preserve"> koji su akreditova</w:t>
      </w:r>
      <w:r w:rsidR="00AE4801">
        <w:rPr>
          <w:rFonts w:ascii="Garamond" w:hAnsi="Garamond" w:cs="Garamond"/>
          <w:color w:val="auto"/>
          <w:sz w:val="28"/>
          <w:szCs w:val="28"/>
        </w:rPr>
        <w:t>ni</w:t>
      </w:r>
      <w:r w:rsidR="00F964D8" w:rsidRPr="00F964D8">
        <w:rPr>
          <w:rFonts w:ascii="Garamond" w:hAnsi="Garamond" w:cs="Garamond"/>
          <w:color w:val="auto"/>
          <w:sz w:val="28"/>
          <w:szCs w:val="28"/>
        </w:rPr>
        <w:t xml:space="preserve"> i reakreditova</w:t>
      </w:r>
      <w:r w:rsidR="00AE4801">
        <w:rPr>
          <w:rFonts w:ascii="Garamond" w:hAnsi="Garamond" w:cs="Garamond"/>
          <w:color w:val="auto"/>
          <w:sz w:val="28"/>
          <w:szCs w:val="28"/>
        </w:rPr>
        <w:t>ni</w:t>
      </w:r>
      <w:r w:rsidR="00F964D8" w:rsidRPr="00F964D8">
        <w:rPr>
          <w:rFonts w:ascii="Garamond" w:hAnsi="Garamond" w:cs="Garamond"/>
          <w:color w:val="auto"/>
          <w:sz w:val="28"/>
          <w:szCs w:val="28"/>
        </w:rPr>
        <w:t xml:space="preserve"> po modelu 3+2+3 (265 akademskih i 13 primijenjenih studijskih programa i 26 specijalističkih</w:t>
      </w:r>
      <w:r w:rsidR="00AE4801">
        <w:rPr>
          <w:rFonts w:ascii="Garamond" w:hAnsi="Garamond" w:cs="Garamond"/>
          <w:color w:val="auto"/>
          <w:sz w:val="28"/>
          <w:szCs w:val="28"/>
        </w:rPr>
        <w:t xml:space="preserve"> studijskih programa)</w:t>
      </w:r>
      <w:r w:rsidR="00F964D8" w:rsidRPr="00F964D8">
        <w:rPr>
          <w:rFonts w:ascii="Garamond" w:hAnsi="Garamond" w:cs="Garamond"/>
          <w:color w:val="auto"/>
          <w:sz w:val="28"/>
          <w:szCs w:val="28"/>
        </w:rPr>
        <w:t xml:space="preserve">. Specijalistički studijski programi ne spadaju u model 3+2+3, ali kako se njihovo izvođenje produžavalo izmjenama i dopunama Zakona, Agencija ih je evaluirala kroz postupak reakreditacije ustanova. </w:t>
      </w:r>
      <w:r w:rsidRPr="00F964D8">
        <w:rPr>
          <w:rFonts w:ascii="Garamond" w:hAnsi="Garamond" w:cs="Garamond"/>
          <w:color w:val="auto"/>
          <w:sz w:val="28"/>
          <w:szCs w:val="28"/>
        </w:rPr>
        <w:t xml:space="preserve">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AE4801">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 xml:space="preserve">- Primjenom modela 3+2+3 sistem visokog obrazovanja u Crnoj Gori </w:t>
      </w:r>
      <w:r w:rsidR="00AE4801">
        <w:rPr>
          <w:rFonts w:ascii="Garamond" w:hAnsi="Garamond" w:cs="Garamond"/>
          <w:color w:val="00B0F0"/>
          <w:sz w:val="28"/>
          <w:szCs w:val="28"/>
        </w:rPr>
        <w:t>je</w:t>
      </w:r>
      <w:r w:rsidRPr="00821309">
        <w:rPr>
          <w:rFonts w:ascii="Garamond" w:hAnsi="Garamond" w:cs="Garamond"/>
          <w:color w:val="00B0F0"/>
          <w:sz w:val="28"/>
          <w:szCs w:val="28"/>
        </w:rPr>
        <w:t xml:space="preserve"> usaglašen sa važećim modelom Bolonjsk</w:t>
      </w:r>
      <w:r w:rsidR="00AE4801">
        <w:rPr>
          <w:rFonts w:ascii="Garamond" w:hAnsi="Garamond" w:cs="Garamond"/>
          <w:color w:val="00B0F0"/>
          <w:sz w:val="28"/>
          <w:szCs w:val="28"/>
        </w:rPr>
        <w:t>og</w:t>
      </w:r>
      <w:r w:rsidRPr="00821309">
        <w:rPr>
          <w:rFonts w:ascii="Garamond" w:hAnsi="Garamond" w:cs="Garamond"/>
          <w:color w:val="00B0F0"/>
          <w:sz w:val="28"/>
          <w:szCs w:val="28"/>
        </w:rPr>
        <w:t xml:space="preserve"> proces</w:t>
      </w:r>
      <w:r w:rsidR="00AE4801">
        <w:rPr>
          <w:rFonts w:ascii="Garamond" w:hAnsi="Garamond" w:cs="Garamond"/>
          <w:color w:val="00B0F0"/>
          <w:sz w:val="28"/>
          <w:szCs w:val="28"/>
        </w:rPr>
        <w:t>a</w:t>
      </w:r>
      <w:r w:rsidRPr="00821309">
        <w:rPr>
          <w:rFonts w:ascii="Garamond" w:hAnsi="Garamond" w:cs="Garamond"/>
          <w:color w:val="00B0F0"/>
          <w:sz w:val="28"/>
          <w:szCs w:val="28"/>
        </w:rPr>
        <w:t xml:space="preserve">.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2.6.2 Ocjene rezultata visokog obrazovanja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Prethodna Strategija razvoja visokog obrazovanja izdvojila je dva cilja povezana sa studijskim programima: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Unapređenje kvaliteta visokog obrazovanja i stvaranje konkurentnog kadra;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Usklađivanje obrazovanja sa potrebama tržišta rada.</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U skladu sa ciljevima Strategije, u Zakonu o visokom obrazovanju su predviđeni moduli, izborni predmeti, jezici, IT discipline, kao važni sadržaji potrebni za optimizaciju studijskih programa. Stvoreni su i preduslovi da se rezultati mogu efikasno provjeriti i dopuniti na osnovu istraživanja tržišta rada anketiranjem svršenih studenata, udruženja poslodavaca, privrednih subjekata i preduzetnika o primjenjivosti stečenih znanja, vještina i kompetencija koje su neophodne tržištu rada.</w:t>
      </w:r>
      <w:r>
        <w:rPr>
          <w:rFonts w:ascii="Garamond" w:hAnsi="Garamond" w:cs="Garamond"/>
          <w:sz w:val="28"/>
          <w:szCs w:val="28"/>
          <w:vertAlign w:val="superscript"/>
        </w:rPr>
        <w:footnoteReference w:id="20"/>
      </w:r>
      <w:r w:rsidRPr="005D5EC6">
        <w:rPr>
          <w:rFonts w:ascii="Garamond" w:hAnsi="Garamond" w:cs="Garamond"/>
          <w:sz w:val="28"/>
          <w:szCs w:val="28"/>
          <w:lang w:val="fr-FR"/>
        </w:rPr>
        <w:t xml:space="preserv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Ustanove treba da dizajniraju studijske programe na način da najbolje odgovore kako preferencama i sklonostima pojedinca, tako i zahtjevima tržišta rada. U prethodnoj Strategiji naglašene su i dodatne smjernice za definisanje strukture studijskih programa (kadrovska struktur</w:t>
      </w:r>
      <w:r w:rsidR="005B2F7A" w:rsidRPr="005D5EC6">
        <w:rPr>
          <w:rFonts w:ascii="Garamond" w:hAnsi="Garamond" w:cs="Garamond"/>
          <w:sz w:val="28"/>
          <w:szCs w:val="28"/>
          <w:lang w:val="fr-FR"/>
        </w:rPr>
        <w:t>a, prostorni kapaciteti i oprema</w:t>
      </w:r>
      <w:r w:rsidRPr="005D5EC6">
        <w:rPr>
          <w:rFonts w:ascii="Garamond" w:hAnsi="Garamond" w:cs="Garamond"/>
          <w:sz w:val="28"/>
          <w:szCs w:val="28"/>
          <w:lang w:val="fr-FR"/>
        </w:rPr>
        <w:t>, odnos broja studenata i profesora, kompetentnost nastavnika za izvođenje nastave i mentorstva...) neophodne za postizanje evropskog okvira organizacije, realizacije i održivosti studijskog programa.</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9A2E23">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Konačno, treba da budu definisani ishodi učenja kao suštinska osnova prepoznatljivosti kvaliteta nastavnih disciplina i studijsk</w:t>
      </w:r>
      <w:r w:rsidR="009A2E23" w:rsidRPr="005D5EC6">
        <w:rPr>
          <w:rFonts w:ascii="Garamond" w:hAnsi="Garamond" w:cs="Garamond"/>
          <w:sz w:val="28"/>
          <w:szCs w:val="28"/>
          <w:lang w:val="fr-FR"/>
        </w:rPr>
        <w:t>ih</w:t>
      </w:r>
      <w:r w:rsidRPr="005D5EC6">
        <w:rPr>
          <w:rFonts w:ascii="Garamond" w:hAnsi="Garamond" w:cs="Garamond"/>
          <w:sz w:val="28"/>
          <w:szCs w:val="28"/>
          <w:lang w:val="fr-FR"/>
        </w:rPr>
        <w:t xml:space="preserve"> programa. Upravo dobro definisani ishodi učenja treba da obezbijede kompetencije visokoškolcima koje mogu odgovoriti na savremene potrebe i očekivanja. Ishode učenja treba stalno preispitivati, optimizovati i poboljšavati na bazi savremenih trendova obrazovanja i tržišta rada. Neophodno je sprovoditi i stalno usaglašavati ishode učenja poređenjem sa referentnim univerzitetima kako bi se postigla bolja prepoznatljivost i povećala konkurentnost.</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U periodu do usvajanja Zakona o visokom obrazovanju (2017) nije normativno bio prepoznat značaj ishoda učenja tako da oni nijesu bili sastavni dio kurikuluma studijskih programa. U prethodnom Zakonu o visokom obrazovanju i izmjenama i dopunama koje su rađene do 2019. godine, ishodi učenja su naglašeni kao obavezan sadržaj programa (provjere, ispitivanja, ocjenjivanja).</w:t>
      </w:r>
      <w:r>
        <w:rPr>
          <w:rFonts w:ascii="Garamond" w:hAnsi="Garamond" w:cs="Garamond"/>
          <w:sz w:val="28"/>
          <w:szCs w:val="28"/>
          <w:vertAlign w:val="superscript"/>
        </w:rPr>
        <w:footnoteReference w:id="21"/>
      </w:r>
      <w:r w:rsidRPr="005D5EC6">
        <w:rPr>
          <w:rFonts w:ascii="Garamond" w:hAnsi="Garamond" w:cs="Garamond"/>
          <w:sz w:val="28"/>
          <w:szCs w:val="28"/>
          <w:lang w:val="fr-FR"/>
        </w:rPr>
        <w:t xml:space="preserve"> Polazna faza njihove implementacije, posebno za studijski program, urađena je </w:t>
      </w:r>
      <w:r w:rsidRPr="005D5EC6">
        <w:rPr>
          <w:rFonts w:ascii="Garamond" w:hAnsi="Garamond" w:cs="Garamond"/>
          <w:sz w:val="28"/>
          <w:szCs w:val="28"/>
          <w:lang w:val="fr-FR"/>
        </w:rPr>
        <w:lastRenderedPageBreak/>
        <w:t>nesistematično, tako da je postupak za njihovo definisanje po nivoima</w:t>
      </w:r>
      <w:r>
        <w:rPr>
          <w:rFonts w:ascii="Garamond" w:hAnsi="Garamond" w:cs="Garamond"/>
          <w:sz w:val="28"/>
          <w:szCs w:val="28"/>
          <w:vertAlign w:val="superscript"/>
        </w:rPr>
        <w:footnoteReference w:id="22"/>
      </w:r>
      <w:r w:rsidRPr="005D5EC6">
        <w:rPr>
          <w:rFonts w:ascii="Garamond" w:hAnsi="Garamond" w:cs="Garamond"/>
          <w:sz w:val="28"/>
          <w:szCs w:val="28"/>
          <w:lang w:val="fr-FR"/>
        </w:rPr>
        <w:t>, poštujući taksonomiju</w:t>
      </w:r>
      <w:r>
        <w:rPr>
          <w:rFonts w:ascii="Garamond" w:hAnsi="Garamond" w:cs="Garamond"/>
          <w:sz w:val="28"/>
          <w:szCs w:val="28"/>
          <w:vertAlign w:val="superscript"/>
        </w:rPr>
        <w:footnoteReference w:id="23"/>
      </w:r>
      <w:r w:rsidRPr="005D5EC6">
        <w:rPr>
          <w:rFonts w:ascii="Garamond" w:hAnsi="Garamond" w:cs="Garamond"/>
          <w:sz w:val="28"/>
          <w:szCs w:val="28"/>
          <w:lang w:val="fr-FR"/>
        </w:rPr>
        <w:t xml:space="preserve"> bio pojednostavljivan kako po suštini, tako i po značaju. To je naglašeno i u Izvještaju o evaluaciji iz 2018. godine konstatacijom da su ishodi učenja u nekim ustanovama implementirani, ali Komisiji IEP-a nije bilo uvijek jasno koliko dobro i u kojoj mjeri je to učinjeno. Pored toga, ponuda većine stud</w:t>
      </w:r>
      <w:r w:rsidR="005B2F7A" w:rsidRPr="005D5EC6">
        <w:rPr>
          <w:rFonts w:ascii="Garamond" w:hAnsi="Garamond" w:cs="Garamond"/>
          <w:sz w:val="28"/>
          <w:szCs w:val="28"/>
          <w:lang w:val="fr-FR"/>
        </w:rPr>
        <w:t>ijskih programa je i dalje</w:t>
      </w:r>
      <w:r w:rsidRPr="005D5EC6">
        <w:rPr>
          <w:rFonts w:ascii="Garamond" w:hAnsi="Garamond" w:cs="Garamond"/>
          <w:sz w:val="28"/>
          <w:szCs w:val="28"/>
          <w:lang w:val="fr-FR"/>
        </w:rPr>
        <w:t xml:space="preserve"> preskriptivna, pružajući studentima malo mogućnosti za izbor između različitih modula. </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Kako je uspostavljen novi nacionalni kvalifikacioni okvir, ostvaren je značajan rezultat u boljoj usaglašenosti crnogorskog sistema s ostatkom EHEA. Prema Izvještaju o implementaciji Bolonjskog  procesa iz 2018. godine, Crna Gora je među zemljama koje su u potpunosti razvile svoj nacionalni kvalifikacioni okvir, uključujući i javnu samosertifikaciju (Korak 11). </w:t>
      </w: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ind w:left="1247" w:right="1134" w:hanging="170"/>
        <w:jc w:val="both"/>
        <w:rPr>
          <w:rFonts w:ascii="Garamond" w:hAnsi="Garamond" w:cs="Garamond"/>
          <w:color w:val="00FFFF"/>
          <w:sz w:val="28"/>
          <w:szCs w:val="28"/>
          <w:lang w:val="fr-FR"/>
        </w:rPr>
      </w:pPr>
    </w:p>
    <w:p w:rsidR="00644F2A" w:rsidRPr="005D5EC6" w:rsidRDefault="00644F2A" w:rsidP="00644F2A">
      <w:pPr>
        <w:pStyle w:val="BasicParagraph"/>
        <w:suppressAutoHyphens/>
        <w:ind w:left="1247" w:right="1134" w:hanging="170"/>
        <w:jc w:val="both"/>
        <w:rPr>
          <w:rFonts w:ascii="Garamond" w:hAnsi="Garamond" w:cs="Garamond"/>
          <w:color w:val="00B0F0"/>
          <w:sz w:val="28"/>
          <w:szCs w:val="28"/>
          <w:lang w:val="fr-FR"/>
        </w:rPr>
      </w:pPr>
      <w:r w:rsidRPr="005D5EC6">
        <w:rPr>
          <w:rFonts w:ascii="Garamond" w:hAnsi="Garamond" w:cs="Garamond"/>
          <w:color w:val="00B0F0"/>
          <w:sz w:val="28"/>
          <w:szCs w:val="28"/>
          <w:lang w:val="fr-FR"/>
        </w:rPr>
        <w:t>Zaključak</w:t>
      </w:r>
    </w:p>
    <w:p w:rsidR="00644F2A" w:rsidRPr="005D5EC6" w:rsidRDefault="00644F2A" w:rsidP="004A6650">
      <w:pPr>
        <w:pStyle w:val="BasicParagraph"/>
        <w:suppressAutoHyphens/>
        <w:ind w:left="1247" w:right="1134" w:hanging="170"/>
        <w:jc w:val="both"/>
        <w:rPr>
          <w:rFonts w:ascii="Garamond" w:hAnsi="Garamond" w:cs="Garamond"/>
          <w:color w:val="00B0F0"/>
          <w:sz w:val="28"/>
          <w:szCs w:val="28"/>
          <w:lang w:val="fr-FR"/>
        </w:rPr>
      </w:pPr>
      <w:r w:rsidRPr="005D5EC6">
        <w:rPr>
          <w:rFonts w:ascii="Garamond" w:hAnsi="Garamond" w:cs="Garamond"/>
          <w:color w:val="00B0F0"/>
          <w:sz w:val="28"/>
          <w:szCs w:val="28"/>
          <w:lang w:val="fr-FR"/>
        </w:rPr>
        <w:t xml:space="preserve">- Polazeći od značaja programa prvog ciklusa studija, u pogledu sticanja osnovne visokoobrazovne građe i osposobljenosti za tržište rada, potrebno je da se njihova struktura dizajnira u skladu s njihovim značajem osiguravajući sticanje svih neophodnih znanja, vještina i kompetencija. </w:t>
      </w:r>
    </w:p>
    <w:p w:rsidR="00644F2A" w:rsidRPr="005D5EC6" w:rsidRDefault="00644F2A" w:rsidP="00644F2A">
      <w:pPr>
        <w:pStyle w:val="BasicParagraph"/>
        <w:suppressAutoHyphens/>
        <w:ind w:left="1247" w:right="1134" w:hanging="170"/>
        <w:jc w:val="both"/>
        <w:rPr>
          <w:rFonts w:ascii="Garamond" w:hAnsi="Garamond" w:cs="Garamond"/>
          <w:color w:val="00B0F0"/>
          <w:sz w:val="28"/>
          <w:szCs w:val="28"/>
          <w:lang w:val="fr-FR"/>
        </w:rPr>
      </w:pPr>
      <w:r w:rsidRPr="005D5EC6">
        <w:rPr>
          <w:rFonts w:ascii="Garamond" w:hAnsi="Garamond" w:cs="Garamond"/>
          <w:color w:val="00B0F0"/>
          <w:sz w:val="28"/>
          <w:szCs w:val="28"/>
          <w:lang w:val="fr-FR"/>
        </w:rPr>
        <w:t xml:space="preserve">- Uspostavljeni nacionalni okvir kvalifikacija, na osnovu adakvatno definisanih ishoda učenja, pružiće mogućnost da se dodatno definišu studijski programi. </w:t>
      </w:r>
    </w:p>
    <w:p w:rsidR="00644F2A" w:rsidRPr="005D5EC6" w:rsidRDefault="00644F2A" w:rsidP="00644F2A">
      <w:pPr>
        <w:pStyle w:val="BasicParagraph"/>
        <w:suppressAutoHyphens/>
        <w:ind w:left="1247" w:right="1134" w:hanging="170"/>
        <w:jc w:val="both"/>
        <w:rPr>
          <w:rFonts w:ascii="Garamond" w:hAnsi="Garamond" w:cs="Garamond"/>
          <w:color w:val="00B0F0"/>
          <w:sz w:val="28"/>
          <w:szCs w:val="28"/>
          <w:lang w:val="fr-FR"/>
        </w:rPr>
      </w:pPr>
      <w:r w:rsidRPr="005D5EC6">
        <w:rPr>
          <w:rFonts w:ascii="Garamond" w:hAnsi="Garamond" w:cs="Garamond"/>
          <w:color w:val="00B0F0"/>
          <w:sz w:val="28"/>
          <w:szCs w:val="28"/>
          <w:lang w:val="fr-FR"/>
        </w:rPr>
        <w:t>- Uporedo, neohodno je rješavati zapošljavanje i status bečelora, kao jednog od aktuelnih problema izdvojenih u Inicijativi kod analize nezaposlenosti.</w:t>
      </w: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Aktuelni model master studija u trajanju dvije godine zahtijeva da se programski elementi ovog ciklusa dizajniraju tako da on suštinski predstavlja pripremu za kreativni, inovativni i istraživački osposobljeni visoko-obrazovani kadar. Da bi se ispunila ovakva očekivanja, master studije treba da se realizuju po kurikulumima za napredna znanja, sa jasnim usmjeravanjem na istraživanja u oblasti kojoj program pripada, a broj studijskih programa treba da bude takav da pokrije sve značajne razvojne pravce crnogorskog društva. Preduslov za uspješno studiranje, napredovanje i postizanje dobrih rezultata je uloga mentora, koju treba afirmisati od početka studija. Potrebno vrijeme za </w:t>
      </w:r>
      <w:r w:rsidRPr="005D5EC6">
        <w:rPr>
          <w:rFonts w:ascii="Garamond" w:hAnsi="Garamond" w:cs="Garamond"/>
          <w:sz w:val="28"/>
          <w:szCs w:val="28"/>
          <w:lang w:val="fr-FR"/>
        </w:rPr>
        <w:lastRenderedPageBreak/>
        <w:t>ovakvo angažovanje nastavnika treba adekvatno valorizovati u ukupnom opt</w:t>
      </w:r>
      <w:r w:rsidR="004A6650" w:rsidRPr="005D5EC6">
        <w:rPr>
          <w:rFonts w:ascii="Garamond" w:hAnsi="Garamond" w:cs="Garamond"/>
          <w:sz w:val="28"/>
          <w:szCs w:val="28"/>
          <w:lang w:val="fr-FR"/>
        </w:rPr>
        <w:t>e</w:t>
      </w:r>
      <w:r w:rsidR="00191AF4" w:rsidRPr="005D5EC6">
        <w:rPr>
          <w:rFonts w:ascii="Garamond" w:hAnsi="Garamond" w:cs="Garamond"/>
          <w:sz w:val="28"/>
          <w:szCs w:val="28"/>
          <w:lang w:val="fr-FR"/>
        </w:rPr>
        <w:t xml:space="preserve">rećenju nastavom i </w:t>
      </w:r>
      <w:r w:rsidRPr="005D5EC6">
        <w:rPr>
          <w:rFonts w:ascii="Garamond" w:hAnsi="Garamond" w:cs="Garamond"/>
          <w:sz w:val="28"/>
          <w:szCs w:val="28"/>
          <w:lang w:val="fr-FR"/>
        </w:rPr>
        <w:t>istraživanjima.</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Default="00644F2A" w:rsidP="00644F2A">
      <w:pPr>
        <w:pStyle w:val="BasicParagraph"/>
        <w:suppressAutoHyphens/>
        <w:ind w:firstLine="567"/>
        <w:jc w:val="both"/>
        <w:rPr>
          <w:rFonts w:ascii="Garamond" w:hAnsi="Garamond" w:cs="Garamond"/>
          <w:sz w:val="28"/>
          <w:szCs w:val="28"/>
        </w:rPr>
      </w:pPr>
      <w:r w:rsidRPr="005D5EC6">
        <w:rPr>
          <w:rFonts w:ascii="Garamond" w:hAnsi="Garamond" w:cs="Garamond"/>
          <w:sz w:val="28"/>
          <w:szCs w:val="28"/>
          <w:lang w:val="fr-FR"/>
        </w:rPr>
        <w:t xml:space="preserve">Potrebno je i unaprijediti povezivanje istraživača s tržištem rada za rješavanje razvojnih i istraživačkih zadataka. Očekivani benefiti u razvoju crnogorskog društva potpuno bi se ostvarili povezivanjem ovih studija s tržištem rada na već navedenim principima akademija - industrija. Dodatno, neophodno je njihovo povezivanje sa ustanovama iz EHEA i ERA prostora koje imaju slične studijske programe i zainteresovane su za zajedničke studije i istraživanja u oblasti kojoj pripada studijski program. </w:t>
      </w:r>
      <w:r>
        <w:rPr>
          <w:rFonts w:ascii="Garamond" w:hAnsi="Garamond" w:cs="Garamond"/>
          <w:sz w:val="28"/>
          <w:szCs w:val="28"/>
        </w:rPr>
        <w:t xml:space="preserve">Selekcija i upis kandidata na studije vrši se preko prijemnog ispita. Uz ovaj princip selekcije poželjno je koristiti preporuke nastavnika iz prethodnog ciklusa obrazovanja s izdvajanjem posebnih sposobnosti kandidata koje su nastavnici uočili u njihovom radu. Napredne i talentovane studente treba posebno izdvojiti i nagrađivati po principima koji se primjenjuju za izbor i razvoj talenata.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b/>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 Srednjoročnom programu - Prioritet 3 - izdvojen je cilj da se obezbijede bolji uslovi za obrazovanje, naučnoistraživačku i inovativnu djelatnost i ključna obaveza - da se uvede aktivno obavljanje naučnoistraživačke i inovativne djelatnosti na visokoobrazovnim ustanovama i afirmacija naučne profesije.  </w:t>
      </w: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Zaključak:</w:t>
      </w:r>
    </w:p>
    <w:p w:rsidR="00644F2A" w:rsidRPr="00821309" w:rsidRDefault="00644F2A" w:rsidP="00644F2A">
      <w:pPr>
        <w:pStyle w:val="BasicParagraph"/>
        <w:suppressAutoHyphens/>
        <w:ind w:left="1247" w:right="1134"/>
        <w:jc w:val="both"/>
        <w:rPr>
          <w:rFonts w:ascii="Garamond" w:hAnsi="Garamond" w:cs="Garamond"/>
          <w:color w:val="00B0F0"/>
          <w:sz w:val="28"/>
          <w:szCs w:val="28"/>
        </w:rPr>
      </w:pPr>
      <w:r w:rsidRPr="00821309">
        <w:rPr>
          <w:rFonts w:ascii="Garamond" w:hAnsi="Garamond" w:cs="Garamond"/>
          <w:color w:val="00B0F0"/>
          <w:sz w:val="28"/>
          <w:szCs w:val="28"/>
        </w:rPr>
        <w:t>Uporedo sa redizajniranjem studijskih programa i redefinisanjem ishoda učenja, neo</w:t>
      </w:r>
      <w:r w:rsidR="00CB3587">
        <w:rPr>
          <w:rFonts w:ascii="Garamond" w:hAnsi="Garamond" w:cs="Garamond"/>
          <w:color w:val="00B0F0"/>
          <w:sz w:val="28"/>
          <w:szCs w:val="28"/>
        </w:rPr>
        <w:t>p</w:t>
      </w:r>
      <w:r w:rsidRPr="00821309">
        <w:rPr>
          <w:rFonts w:ascii="Garamond" w:hAnsi="Garamond" w:cs="Garamond"/>
          <w:color w:val="00B0F0"/>
          <w:sz w:val="28"/>
          <w:szCs w:val="28"/>
        </w:rPr>
        <w:t xml:space="preserve">hodno je rješavati zapošljavanje osoba sa master diplomom i njihovo čvršće povezivanje sa tržištem rada. </w:t>
      </w:r>
    </w:p>
    <w:p w:rsidR="00644F2A" w:rsidRPr="00821309" w:rsidRDefault="00644F2A" w:rsidP="00644F2A">
      <w:pPr>
        <w:pStyle w:val="BasicParagraph"/>
        <w:suppressAutoHyphens/>
        <w:jc w:val="both"/>
        <w:rPr>
          <w:rFonts w:ascii="Garamond" w:hAnsi="Garamond" w:cs="Garamond"/>
          <w:color w:val="00B0F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2.6.3 Upis na studije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Pristup visokom obrazovanju upisom na osnovne studije, po Zakonu o visokom obrazovanju, vrši se nakon završetka srednje škole (IV-1 podnivo NOK-a) i položenog eksternog maturskog, odnosno st</w:t>
      </w:r>
      <w:r w:rsidR="00CB3587">
        <w:rPr>
          <w:rFonts w:ascii="Garamond" w:hAnsi="Garamond" w:cs="Garamond"/>
          <w:sz w:val="28"/>
          <w:szCs w:val="28"/>
        </w:rPr>
        <w:t>r</w:t>
      </w:r>
      <w:r>
        <w:rPr>
          <w:rFonts w:ascii="Garamond" w:hAnsi="Garamond" w:cs="Garamond"/>
          <w:sz w:val="28"/>
          <w:szCs w:val="28"/>
        </w:rPr>
        <w:t xml:space="preserve">učnog ispita. Izuzeto od ovog pravila, na stručno-umjetničkim studijskim programima mogu se upisati kandidati bez završene srednje škole ukoliko polože prijemni ispit. Dakle, kriterijumi za upis odnose se na postignuti uspjeh tokom srednje škole i na eksternom ispitu, a za pojedine studijske programe i uspjeh na prijemnom ispitu radi provjere posebnih sklonosti (primarno za umjetnost). Time su obezbijeđeni najvažniji uslovi za konkurentski pristup visokom obrazovanju.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Za lica sa invaliditetom sprovodi se princip afirmativne akcije, a za studijske programe umjetnosti talentima je omogućen upis bez završene srednje škole.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Kako se i strani studenti upisuju pod istim uslovima kao studenti iz Crne Gore, može se konstatovati da je zakonski okvir obezbijedio širok pristup visokom obrazovanju.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Ograničenja kod upisa vezana su za odgovarajuće srednje škole. Prohodnost škola za studije reguliše se pravilnikom o upisu koji usvaja Ministarstvo prosvjete, nauke, kulture i sporta.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Upis na master studije vrši se na konkurentskoj osnovi u skladu s rezultatima postignutim na osnovnim ili primijenjenim studijama i prijemnom ispitu.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Upis na doktorske studije vrši se na konkurentskoj osnovi, u skladu s rezultatima </w:t>
      </w:r>
      <w:r w:rsidR="00943F17">
        <w:rPr>
          <w:rFonts w:ascii="Garamond" w:hAnsi="Garamond" w:cs="Garamond"/>
          <w:sz w:val="28"/>
          <w:szCs w:val="28"/>
        </w:rPr>
        <w:t>postignutim na prethodnim</w:t>
      </w:r>
      <w:r>
        <w:rPr>
          <w:rFonts w:ascii="Garamond" w:hAnsi="Garamond" w:cs="Garamond"/>
          <w:sz w:val="28"/>
          <w:szCs w:val="28"/>
        </w:rPr>
        <w:t xml:space="preserve"> studijama.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 poglavlju o zapošljavanju naglašeno je da analiza realnih efekata visokog procenta upisa na studijske program</w:t>
      </w:r>
      <w:r w:rsidR="009904C9">
        <w:rPr>
          <w:rFonts w:ascii="Garamond" w:hAnsi="Garamond" w:cs="Garamond"/>
          <w:sz w:val="28"/>
          <w:szCs w:val="28"/>
        </w:rPr>
        <w:t>e</w:t>
      </w:r>
      <w:r>
        <w:rPr>
          <w:rFonts w:ascii="Garamond" w:hAnsi="Garamond" w:cs="Garamond"/>
          <w:sz w:val="28"/>
          <w:szCs w:val="28"/>
        </w:rPr>
        <w:t xml:space="preserve"> poslije završetka srednjih stručnih škola može da pruži relevantne podatke o programima srednjih stručnih škola, stanju na tržištu rada, kao i uslovima pristupa visokom obrazovanju. Naime, dugogodišnja praksa pokazuje da je uspjeh studenata na prvoj godini posebno problematičan. Imajući u vidu da je početak studija preloman period u navikama i odnosu mladih prema obavezama, njihov uspjeh na prvoj godini često je ispod očekivanja. Kako pristup visokom obrazovanju, po postojećim kriterijumima, pruža široke mogućnosti za upis, veliki broj studenata ima problem da postigne očekivane rezultate. Zato se zadržavaju na prvoj godini ili prenose ispite sa prve godine tokom ostalih godina studija. To stvara pritisak na ustanove zbog ograničenog broja studenata, broja rokova, a kod nastavnika utiče na kriterijume polaganja ispita.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left="1247" w:right="1134" w:hanging="170"/>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Zaključak</w:t>
      </w:r>
      <w:r w:rsidR="00943F17">
        <w:rPr>
          <w:rFonts w:ascii="Garamond" w:hAnsi="Garamond" w:cs="Garamond"/>
          <w:color w:val="00B0F0"/>
          <w:sz w:val="28"/>
          <w:szCs w:val="28"/>
        </w:rPr>
        <w:t>:</w:t>
      </w:r>
    </w:p>
    <w:p w:rsidR="00644F2A" w:rsidRPr="00821309" w:rsidRDefault="00644F2A" w:rsidP="00644F2A">
      <w:pPr>
        <w:pStyle w:val="BasicParagraph"/>
        <w:suppressAutoHyphens/>
        <w:ind w:left="1247" w:right="1134"/>
        <w:jc w:val="both"/>
        <w:rPr>
          <w:rFonts w:ascii="Garamond" w:hAnsi="Garamond" w:cs="Garamond"/>
          <w:color w:val="00B0F0"/>
          <w:sz w:val="28"/>
          <w:szCs w:val="28"/>
        </w:rPr>
      </w:pPr>
      <w:r w:rsidRPr="00821309">
        <w:rPr>
          <w:rFonts w:ascii="Garamond" w:hAnsi="Garamond" w:cs="Garamond"/>
          <w:color w:val="00B0F0"/>
          <w:sz w:val="28"/>
          <w:szCs w:val="28"/>
        </w:rPr>
        <w:t>Podaci o ovim problemima i njihova analiza usmjeravaju na adekvatno kreiranje upisne politike. Rješavanjem problema „prve studijske godine” stvorili bi se bolji uslovi studiranja, bolja organizacija nastave, polaganje ispita po visoko postavljenim kriterijumima i napredovanje tokom studija koji su uobičaj</w:t>
      </w:r>
      <w:r w:rsidR="009904C9">
        <w:rPr>
          <w:rFonts w:ascii="Garamond" w:hAnsi="Garamond" w:cs="Garamond"/>
          <w:color w:val="00B0F0"/>
          <w:sz w:val="28"/>
          <w:szCs w:val="28"/>
        </w:rPr>
        <w:t>e</w:t>
      </w:r>
      <w:r w:rsidRPr="00821309">
        <w:rPr>
          <w:rFonts w:ascii="Garamond" w:hAnsi="Garamond" w:cs="Garamond"/>
          <w:color w:val="00B0F0"/>
          <w:sz w:val="28"/>
          <w:szCs w:val="28"/>
        </w:rPr>
        <w:t>ni u EHEA.</w:t>
      </w:r>
    </w:p>
    <w:p w:rsidR="00644F2A" w:rsidRPr="00821309" w:rsidRDefault="00644F2A" w:rsidP="00644F2A">
      <w:pPr>
        <w:pStyle w:val="BasicParagraph"/>
        <w:suppressAutoHyphens/>
        <w:jc w:val="both"/>
        <w:rPr>
          <w:rFonts w:ascii="Garamond" w:hAnsi="Garamond" w:cs="Garamond"/>
          <w:color w:val="00B0F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2.6.4 Nastava i učenje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Eksterna evaluacija ustanova visokog obrazovanja od strane komisije IEP-a (2014 i 2018) posebno je izdvojila nastavu i učenje kao značajne pokazatelje organizacije studija i kvaliteta visokog obrazovanja. Konstatovano je da dinamika inovativnih izmjena u oblasti nastave i učenja proizilazi iz primjene sistemskih reformi na inicijativu Vlade (redizajniranje </w:t>
      </w:r>
      <w:r w:rsidR="00643FC0">
        <w:rPr>
          <w:rFonts w:ascii="Garamond" w:hAnsi="Garamond" w:cs="Garamond"/>
          <w:sz w:val="28"/>
          <w:szCs w:val="28"/>
        </w:rPr>
        <w:t xml:space="preserve">nastavnih planova i programa i </w:t>
      </w:r>
      <w:r>
        <w:rPr>
          <w:rFonts w:ascii="Garamond" w:hAnsi="Garamond" w:cs="Garamond"/>
          <w:sz w:val="28"/>
          <w:szCs w:val="28"/>
        </w:rPr>
        <w:t xml:space="preserve">obaveze da ishodi učenja budu identifikovani za svaki studijski program i nastavni predmet i usklađeni sa strategijama za procjenu). </w:t>
      </w:r>
    </w:p>
    <w:p w:rsidR="00643FC0" w:rsidRDefault="00643FC0"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Zaključak</w:t>
      </w:r>
      <w:r w:rsidR="00943F17">
        <w:rPr>
          <w:rFonts w:ascii="Garamond" w:hAnsi="Garamond" w:cs="Garamond"/>
          <w:color w:val="00B0F0"/>
          <w:sz w:val="28"/>
          <w:szCs w:val="28"/>
        </w:rPr>
        <w:t>:</w:t>
      </w:r>
      <w:r w:rsidRPr="00821309">
        <w:rPr>
          <w:rFonts w:ascii="Garamond" w:hAnsi="Garamond" w:cs="Garamond"/>
          <w:color w:val="00B0F0"/>
          <w:sz w:val="28"/>
          <w:szCs w:val="28"/>
        </w:rPr>
        <w:t xml:space="preserve">  </w:t>
      </w: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Zbog naglašenog značaja nastave i učenj</w:t>
      </w:r>
      <w:r w:rsidR="00943F17">
        <w:rPr>
          <w:rFonts w:ascii="Garamond" w:hAnsi="Garamond" w:cs="Garamond"/>
          <w:color w:val="00B0F0"/>
          <w:sz w:val="28"/>
          <w:szCs w:val="28"/>
        </w:rPr>
        <w:t>a neophodno je d</w:t>
      </w:r>
      <w:r w:rsidRPr="00821309">
        <w:rPr>
          <w:rFonts w:ascii="Garamond" w:hAnsi="Garamond" w:cs="Garamond"/>
          <w:color w:val="00B0F0"/>
          <w:sz w:val="28"/>
          <w:szCs w:val="28"/>
        </w:rPr>
        <w:t>a studenti i šira javnost razumiju pristup u čijem fokusu su ishodi učenja. Razumijevanje bi se moglo promovisati uključivanjem studenata u komisije za nastavni plan i program i zahtjevom da ih svaki profesor objasni studentima.</w:t>
      </w: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Da ustanove ulože veće napore i da promovišu primjere dobre i inovativne prakse u oblasti učenja usmjerenog na studente</w:t>
      </w:r>
      <w:r w:rsidRPr="00821309">
        <w:rPr>
          <w:rFonts w:ascii="Garamond" w:hAnsi="Garamond" w:cs="Garamond"/>
          <w:color w:val="00B0F0"/>
          <w:sz w:val="28"/>
          <w:szCs w:val="28"/>
          <w:vertAlign w:val="superscript"/>
        </w:rPr>
        <w:footnoteReference w:id="24"/>
      </w:r>
      <w:r w:rsidRPr="00821309">
        <w:rPr>
          <w:rFonts w:ascii="Garamond" w:hAnsi="Garamond" w:cs="Garamond"/>
          <w:color w:val="00B0F0"/>
          <w:sz w:val="28"/>
          <w:szCs w:val="28"/>
        </w:rPr>
        <w:t xml:space="preserve"> (npr. interaktivno učenje, upotreba studija slučaja, učenje zasnovano na problemima itd.).</w:t>
      </w:r>
    </w:p>
    <w:p w:rsidR="00644F2A" w:rsidRPr="00821309" w:rsidRDefault="00644F2A" w:rsidP="00644F2A">
      <w:pPr>
        <w:pStyle w:val="BasicParagraph"/>
        <w:suppressAutoHyphens/>
        <w:ind w:left="1247" w:right="1134" w:hanging="170"/>
        <w:jc w:val="both"/>
        <w:rPr>
          <w:rFonts w:ascii="Garamond" w:hAnsi="Garamond" w:cs="Garamond"/>
          <w:color w:val="00B0F0"/>
          <w:sz w:val="28"/>
          <w:szCs w:val="28"/>
        </w:rPr>
      </w:pPr>
      <w:r w:rsidRPr="00821309">
        <w:rPr>
          <w:rFonts w:ascii="Garamond" w:hAnsi="Garamond" w:cs="Garamond"/>
          <w:color w:val="00B0F0"/>
          <w:sz w:val="28"/>
          <w:szCs w:val="28"/>
        </w:rPr>
        <w:t>-</w:t>
      </w:r>
      <w:r w:rsidRPr="00821309">
        <w:rPr>
          <w:rFonts w:ascii="Garamond" w:hAnsi="Garamond" w:cs="Garamond"/>
          <w:color w:val="00B0F0"/>
          <w:sz w:val="28"/>
          <w:szCs w:val="28"/>
        </w:rPr>
        <w:tab/>
        <w:t>Da ustanove dozvole individualno usmjeravanje studenata povećanjem broja izbornih predmeta.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2.6.5 Praktična nastava</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firstLine="567"/>
        <w:jc w:val="both"/>
        <w:rPr>
          <w:rFonts w:ascii="Garamond" w:hAnsi="Garamond" w:cs="Garamond"/>
          <w:b/>
          <w:color w:val="C00000"/>
          <w:sz w:val="28"/>
          <w:szCs w:val="28"/>
        </w:rPr>
      </w:pPr>
      <w:r w:rsidRPr="00392473">
        <w:rPr>
          <w:rFonts w:ascii="Garamond" w:hAnsi="Garamond" w:cs="Garamond"/>
          <w:color w:val="auto"/>
          <w:sz w:val="28"/>
          <w:szCs w:val="28"/>
        </w:rPr>
        <w:t>Zakon o visokom obrazovanju propisuje da studijski programi uključe najmanje 25% praktične nastave koja se realizuje</w:t>
      </w:r>
      <w:r w:rsidR="006B1441">
        <w:rPr>
          <w:rFonts w:ascii="Garamond" w:hAnsi="Garamond" w:cs="Garamond"/>
          <w:color w:val="auto"/>
          <w:sz w:val="28"/>
          <w:szCs w:val="28"/>
        </w:rPr>
        <w:t xml:space="preserve"> na ustanovi visokog obrazovanja</w:t>
      </w:r>
      <w:r w:rsidR="005F73DC">
        <w:rPr>
          <w:rFonts w:ascii="Garamond" w:hAnsi="Garamond" w:cs="Garamond"/>
          <w:color w:val="auto"/>
          <w:sz w:val="28"/>
          <w:szCs w:val="28"/>
        </w:rPr>
        <w:t xml:space="preserve"> ili kod poslodavca</w:t>
      </w:r>
      <w:r w:rsidR="006B1441">
        <w:rPr>
          <w:rFonts w:ascii="Garamond" w:hAnsi="Garamond" w:cs="Garamond"/>
          <w:color w:val="auto"/>
          <w:sz w:val="28"/>
          <w:szCs w:val="28"/>
        </w:rPr>
        <w:t>.</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Kroz praktičnu nastavu studijski program</w:t>
      </w:r>
      <w:r w:rsidR="005F73DC">
        <w:rPr>
          <w:rFonts w:ascii="Garamond" w:hAnsi="Garamond" w:cs="Garamond"/>
          <w:sz w:val="28"/>
          <w:szCs w:val="28"/>
        </w:rPr>
        <w:t>i</w:t>
      </w:r>
      <w:r>
        <w:rPr>
          <w:rFonts w:ascii="Garamond" w:hAnsi="Garamond" w:cs="Garamond"/>
          <w:sz w:val="28"/>
          <w:szCs w:val="28"/>
        </w:rPr>
        <w:t xml:space="preserve"> se povezuju s pripadajućom djelatnošću da bi se rješavali odgovarajući praktični zadaci. Kako bi svaki studijski program mogao ispuniti ovakav uslov neophodne su dodatne smjernice. Pristup koji je jasno definisan i jednostavno se sprovodi sadrži pregled zadataka (obuka/ogledne vježbe u laboratoriji, radionici, oglednom imanju, birou, poslovnim prostorima...) i vrijeme (broj radnih dana) koje treba provesti kod poslodavca učestvujući u rješavanju praktičnih zadataka. Ukoliko se želi kvantifikovati procentat praktične nastave u ukupnoj nastavi, onda bi instrukcije slijedile definicije povezane s kompetencijama koje treba da se postignu praktičnim radom.</w:t>
      </w:r>
      <w:r>
        <w:rPr>
          <w:rFonts w:ascii="Garamond" w:hAnsi="Garamond" w:cs="Garamond"/>
          <w:sz w:val="28"/>
          <w:szCs w:val="28"/>
          <w:vertAlign w:val="superscript"/>
        </w:rPr>
        <w:footnoteReference w:id="25"/>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praktičnu nastavu bi se mogao izdvojiti nastavni sadržaj koji doprinosi obrazovanju kroz praktični rad i sadrži postupak provjere, a može se odnositi na: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Praktično rješavanje pripremljenih zadataka (vježbi) u laboratorijama,  radionicama, na oglednim imanjima, poslovnim prostorijama i sl., uz dostavljanje i odbranu pripremljenih izvještaja (praktična nastava odgovara fondu časova koji je predviđen nastavnim planom);</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Obilazak kompanija/organizacija zajedno s nastavnikom za praćenje radnog procesa i rješavanje pripremljenih zadataka, uz dostavljanje i odbranu pripremljenih izvještaja o zadacima (praktična nastava odgovara fondu časova provedenih u kompaniji/organizaciji);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Samostalni boravak studenta u kompanijama/organizacijama predstavlja praktičnu nastavu ako student radi na konkretnim zadacima koji su nastavnici mentori pripremili iz oblasti studijskog programa, uz dostavljanje i odbranu izvještaja o zadacima (fond časova ovakve praktične nastave odgovara broju časova provedenih u izvršenju zadataka); 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Predavanja stručnjaka iz prakse.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Planiranje praktične nastave po stud</w:t>
      </w:r>
      <w:r w:rsidR="00943F17">
        <w:rPr>
          <w:rFonts w:ascii="Garamond" w:hAnsi="Garamond" w:cs="Garamond"/>
          <w:sz w:val="28"/>
          <w:szCs w:val="28"/>
        </w:rPr>
        <w:t xml:space="preserve">ijskim godinama (koordinisane </w:t>
      </w:r>
      <w:r>
        <w:rPr>
          <w:rFonts w:ascii="Garamond" w:hAnsi="Garamond" w:cs="Garamond"/>
          <w:sz w:val="28"/>
          <w:szCs w:val="28"/>
        </w:rPr>
        <w:t>aktivnosti i ujednačena metodologija) može da slijedi sljedeće preporuke: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Praktična nastav</w:t>
      </w:r>
      <w:r w:rsidR="00527BED">
        <w:rPr>
          <w:rFonts w:ascii="Garamond" w:hAnsi="Garamond" w:cs="Garamond"/>
          <w:sz w:val="28"/>
          <w:szCs w:val="28"/>
        </w:rPr>
        <w:t>a</w:t>
      </w:r>
      <w:r>
        <w:rPr>
          <w:rFonts w:ascii="Garamond" w:hAnsi="Garamond" w:cs="Garamond"/>
          <w:sz w:val="28"/>
          <w:szCs w:val="28"/>
        </w:rPr>
        <w:t xml:space="preserve"> u prostorijama ustanove visokog obrazovanja planira se kao sastavni dio nastavnog plana na osnovu akademskog kalendara za studijsku godinu;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Posjete studenata kompanijama/organizacijama uz prisustvo nastavnika-mentora, takođe se mogu planirati i usvajati kao dio nastavnog plana za studijsku godinu;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Boravak studenata u kompanijama/organizacijama planira se na osnovu pripremljenih zadataka iz usvojenog nastavnog programa i dogovora s kompanijama/organizacijama (vrijeme, broj studenata u timu i ukupno, mentori i sl.);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Praktična nastava koja predstavlja rješavanje zadataka koji nijesu striktno vezani za poslovni prostor kompanije/organizacije, može se izvršavati i u prostorijama ustanove visokog obrazovanja (ako postoji problem brojnosti studenata koji kompanija/organizacija može da primi). Mentori bi, u tom slučaju, radili sa studentima u prostorijama ustanove visokog obrazovanja na zadacima koji su identični zadacima koji se rješavaju u kompaniji/organizaciji. Nastavnici i saradnici bi organizovali da svi uslovi u ustanovi visokog obrazovanja odgovaraju uslovima rada u kompaniji/organizaciji (ovakva praksa je već u programima ustanova visokog obrazovanja); 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Predavanja stručnjaka iz prakse</w:t>
      </w:r>
      <w:r w:rsidR="00527BED">
        <w:rPr>
          <w:rFonts w:ascii="Garamond" w:hAnsi="Garamond" w:cs="Garamond"/>
          <w:sz w:val="28"/>
          <w:szCs w:val="28"/>
        </w:rPr>
        <w:t>.</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Ustanova bi sklapala ugovore o sponzorstvu sa svim kompanijama/organizacijama koje učestvuju u realizaciji praktične nastave. Kompanije/organizacije sponzori bi se prikazivale na sajtu ustanove i u svim izvještajima koje ustanova priprema i publikuje. Ugovori o praktičnoj nastavi mogu biti sastavni dio postojećih širih ugovora o saradnji.</w:t>
      </w:r>
    </w:p>
    <w:p w:rsidR="00E24C10" w:rsidRDefault="00E24C10" w:rsidP="00644F2A">
      <w:pPr>
        <w:pStyle w:val="BasicParagraph"/>
        <w:suppressAutoHyphens/>
        <w:ind w:left="1247" w:right="1134" w:hanging="170"/>
        <w:jc w:val="both"/>
        <w:rPr>
          <w:rFonts w:ascii="Garamond" w:hAnsi="Garamond" w:cs="Garamond"/>
          <w:color w:val="00FFFF"/>
          <w:sz w:val="28"/>
          <w:szCs w:val="28"/>
        </w:rPr>
      </w:pPr>
    </w:p>
    <w:p w:rsidR="00E24C10" w:rsidRDefault="00E24C10" w:rsidP="00644F2A">
      <w:pPr>
        <w:pStyle w:val="BasicParagraph"/>
        <w:suppressAutoHyphens/>
        <w:ind w:left="1247" w:right="1134" w:hanging="170"/>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lastRenderedPageBreak/>
        <w:t>Zaključak:</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Pored navedenih preporuka, za planiranje praktične nastave može se imati u vidu da je:</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Za predmet koji ima 30 časova u toku semestra potrebno 8 sati praktične nastave, ili jedan radni dan.</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Za predmet koji ima 60 časova u toku semestra potrebno 16 sati, ili dva radna dana.</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Za sve predmete u jednom semestru s nedjeljnim fondom od 30 sati neophodno 8 sati nedjeljno praktične nastave ili jedan radni dan. Ukupno za semestar potrebno je 15 radnih dana praktične nastave. Broj praktičnih zadataka treba da odgovara ovom raspoloživom vremenu za njihovo izvršavanje. Praktičnu nastavu van ustanove najbolje je organizovati na kraju planiranih termina za držanje nastave (npr. 13, 14. i 15. nedjelja akademskog kalendara), premda ustanove mogu da je organizuju i u drugom periodu koji je najpogodniji za organizaciju.</w:t>
      </w:r>
    </w:p>
    <w:p w:rsidR="00644F2A" w:rsidRDefault="00644F2A" w:rsidP="00644F2A">
      <w:pPr>
        <w:pStyle w:val="BasicParagraph"/>
        <w:suppressAutoHyphens/>
        <w:jc w:val="both"/>
        <w:rPr>
          <w:rFonts w:ascii="Garamond" w:hAnsi="Garamond" w:cs="Garamond"/>
          <w:sz w:val="28"/>
          <w:szCs w:val="28"/>
        </w:rPr>
      </w:pPr>
    </w:p>
    <w:p w:rsidR="00475F16" w:rsidRDefault="00475F16"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2.6.6 Inovativni pristupi učenju</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Evropsko visoko obrazovanje prolazi kroz period inovacija uz nove tehnologije i pristupe učenju. Ustanove visokog obrazovanja veliku pažnju posvećuju inovativnim metodama učenja, digitalnoj nastavi, kombinovanom učenju i učenju zasnovanom na projektu.</w:t>
      </w:r>
      <w:r>
        <w:rPr>
          <w:rFonts w:ascii="Garamond" w:hAnsi="Garamond" w:cs="Garamond"/>
          <w:sz w:val="28"/>
          <w:szCs w:val="28"/>
          <w:vertAlign w:val="superscript"/>
        </w:rPr>
        <w:footnoteReference w:id="26"/>
      </w:r>
      <w:r>
        <w:rPr>
          <w:rFonts w:ascii="Garamond" w:hAnsi="Garamond" w:cs="Garamond"/>
          <w:sz w:val="28"/>
          <w:szCs w:val="28"/>
        </w:rPr>
        <w:t xml:space="preserve"> U Pariskom kominikeu iz 2018. godine s Ministarske konferencije o Bolonjskom procesu</w:t>
      </w:r>
      <w:r>
        <w:rPr>
          <w:rFonts w:ascii="Garamond" w:hAnsi="Garamond" w:cs="Garamond"/>
          <w:sz w:val="28"/>
          <w:szCs w:val="28"/>
          <w:vertAlign w:val="superscript"/>
        </w:rPr>
        <w:footnoteReference w:id="27"/>
      </w:r>
      <w:r>
        <w:rPr>
          <w:rFonts w:ascii="Garamond" w:hAnsi="Garamond" w:cs="Garamond"/>
          <w:sz w:val="28"/>
          <w:szCs w:val="28"/>
        </w:rPr>
        <w:t xml:space="preserve"> pitanje inovatovnih metoda nastave je istaknuto kao značajno. Cijelo poglavlje je posvećeno inovativnosti u učenju i nastavi, razmjen</w:t>
      </w:r>
      <w:r w:rsidR="00527BED">
        <w:rPr>
          <w:rFonts w:ascii="Garamond" w:hAnsi="Garamond" w:cs="Garamond"/>
          <w:sz w:val="28"/>
          <w:szCs w:val="28"/>
        </w:rPr>
        <w:t>i</w:t>
      </w:r>
      <w:r>
        <w:rPr>
          <w:rFonts w:ascii="Garamond" w:hAnsi="Garamond" w:cs="Garamond"/>
          <w:sz w:val="28"/>
          <w:szCs w:val="28"/>
        </w:rPr>
        <w:t xml:space="preserve"> dobre prakse, s posebnim fokusom na interdisciplinarno učenje, učenje zasnovano na istraživanju,  učenje zasnovano na radu i naglašenoj  važnosti digitalizacije.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Sve ustanove visokog obrazovanja u Crnoj Gori bi trebalo da modernizuju programske sadržaje i povećaju efikasnost obrazovnog procesa. Za podsticaj visokoškolskim ustanovama da transformišu svoj pristup obrazovanju Ministarstvo prosvete, nauke, kulture i sporta zajedno sa Agencijom za kontrolu i obazbjeđenje kvaliteta treba da kreira uslove koji će dopuniti tradicionalne nastavne metod</w:t>
      </w:r>
      <w:r w:rsidR="00527BED">
        <w:rPr>
          <w:rFonts w:ascii="Garamond" w:hAnsi="Garamond" w:cs="Garamond"/>
          <w:sz w:val="28"/>
          <w:szCs w:val="28"/>
        </w:rPr>
        <w:t>e</w:t>
      </w:r>
      <w:r>
        <w:rPr>
          <w:rFonts w:ascii="Garamond" w:hAnsi="Garamond" w:cs="Garamond"/>
          <w:sz w:val="28"/>
          <w:szCs w:val="28"/>
        </w:rPr>
        <w:t xml:space="preserve"> učenja sa interaktivnim, kolaborativnim i iskustvenim pristupom obrazovnim sadržajima. Prvi korak ka tom cilju bio bi uspostavljanje centara za nastavu i učenje u svim ustanovama visokog obrazovanja. Ovi centri bi, primarno, izučavali, razvijali i podržavali pedagoške inovacije koje bi </w:t>
      </w:r>
      <w:r>
        <w:rPr>
          <w:rFonts w:ascii="Garamond" w:hAnsi="Garamond" w:cs="Garamond"/>
          <w:sz w:val="28"/>
          <w:szCs w:val="28"/>
        </w:rPr>
        <w:lastRenderedPageBreak/>
        <w:t>olakšavale aktivne i interaktivne metode učenja (učenje zasnovano na postavljanju i rješavanju problema, simulacije, igranje uloga, peer učenje, vještačka inteligencija za samostalno učenje itd.). Centri bi, organizovanjem radionica, obučavali i afirmisali razvoj inovativnih pedagoških pristupa među nastavnim osobljem.</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Važno je jačati veze ustanova visokog obrazovanja i glavnih ekonomskih aktera na tržištu rada. Univerziteti mogu koristiti veliki broj mehanizama kao što su: stažiranje za studente, uključivanje studenata i nastavnog osoblja u rad kompanija, kao i uključivanje stručnjaka iz industrije kao gostujućih predavača. Uključivanje praktične obuke u redovne nastavne programe može pomoći da se studenti približe proizvodnom i uopšte radnom sektoru.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Ministarstvo prosjvete, nauke, kulture i sporta može uspostaviti sistem praćenja tržišta rada u cilju prikupljanja i analiziranja rezultata zapošljavanja visokoškolaca. Ovo bi potencijalnim studentima, rukovodstvu i poslodavcima omogućilo relevantne informacije o tržištu rada i trendovima u potražnji i ponudi. Uspostavljanjem takvog sistema praćenja, Crna Gora bi slijedila primjer mnogih zemalja članica Organizacije za ekonomsku saradnju i razvoj (OECD) koje imaju opservatoriju za zapošljavanje na nacionalnm nivou (opservatorija za zapošljavanje Evropske unije,  Biro za statistiku rada u SAD-u, opservatorija AlmaLaurea u Italiji), ili opservatorije za lokalni nivo (Opservatorija za učenje i vještine u Valesu, OREF u Francuskoj, Informacioni sistem za obrazovanje i zapošljavanje na Floridi...).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Posljednjih godina pojavile su se inovativne prakse u kreiranju i upotrebi univerzitetskog obrazovanja. Jedna od inovativnih praksi je obrazovni model zasnovan na kompetencijama, za razliku od tradicionalnog modela zasnovanog na sadržaju. Druga, pokrenuta sve većim oslanjanjem na vrednovanje zasnovano na kompetencijama, je odstupanje od sumativnih evaluacija prema formativnom modelu procjene. Napredni tehnološki alati, poput vještačke inteligencije i platforme za socijalno učenje, omogućavaju studentima da dobiju neposredne povratne informacije iz formativnog ocjenjivanja. Glavni oblici platformi za socijalno učenje koji podržavaju upotrebu formativnog ocjenjivanja su sistemi odziva učenika, online sistem za recenziju studenata i online sistem povratnih informacija o timskom radu.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Brzi razvoj e-učenja iziskuje ciljane politike i tehničke intervencije kako bi se crnogorskim ustanovama visokog obrazovanja omogućilo da na najbolji način iskoriste nove digitalne mogućnosti za modernizaciju studijskih programa. Takođe, treba razmisliti o uspostavljanju platforme za identifikovanje dobre prakse u priznavanju digitalnih sertifikata stečenih na online programima prestižnih inostranih ustanova visokog obrazovanja i njihovoj integraciji u diplome koje nude crnogorski univerziteti.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Uvođenje inovativnih praksi nastave i učenja, koje promovišu interaktivno i kolaborativno učenje, zahtijeva i preoblikovanje fizičke infrastrukture i okruženja univerziteta. Od učionice, u kojoj </w:t>
      </w:r>
      <w:r>
        <w:rPr>
          <w:rFonts w:ascii="Garamond" w:hAnsi="Garamond" w:cs="Garamond"/>
          <w:sz w:val="28"/>
          <w:szCs w:val="28"/>
        </w:rPr>
        <w:lastRenderedPageBreak/>
        <w:t xml:space="preserve">profesor ne predaje, već vodi i olakšava samo učenje, do studija i učionica na otvorenom prostoru dizajniranih da podrže timski rad novim sadržajima za učenje.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left="1247" w:right="1134" w:hanging="170"/>
        <w:jc w:val="both"/>
        <w:rPr>
          <w:rFonts w:ascii="Garamond" w:hAnsi="Garamond" w:cs="Garamond"/>
          <w:color w:val="00FFFF"/>
          <w:sz w:val="28"/>
          <w:szCs w:val="28"/>
        </w:rPr>
      </w:pPr>
    </w:p>
    <w:p w:rsidR="00E24C10" w:rsidRPr="00821309" w:rsidRDefault="00E24C10" w:rsidP="00644F2A">
      <w:pPr>
        <w:pStyle w:val="BasicParagraph"/>
        <w:suppressAutoHyphens/>
        <w:ind w:left="1247" w:right="1134" w:hanging="170"/>
        <w:jc w:val="both"/>
        <w:rPr>
          <w:rFonts w:ascii="Garamond" w:hAnsi="Garamond" w:cs="Garamond"/>
          <w:color w:val="0070C0"/>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Potrebno je pripremiti plan za uvođenje inovativnih metoda za nastavu i učenje, prenošenjem ideja iz najbolje evropske prakse;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Nadležni organi treba da pruže podrške ustanovama kroz koordinaciju i finansijska ulaganja u infrastrukturu za e-učenje i inovativne metode nastave i učenja. </w:t>
      </w:r>
    </w:p>
    <w:p w:rsidR="00644F2A" w:rsidRPr="00821309" w:rsidRDefault="00644F2A" w:rsidP="00644F2A">
      <w:pPr>
        <w:pStyle w:val="BasicParagraph"/>
        <w:suppressAutoHyphens/>
        <w:jc w:val="both"/>
        <w:rPr>
          <w:rFonts w:ascii="Garamond" w:hAnsi="Garamond" w:cs="Garamond"/>
          <w:color w:val="0070C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 xml:space="preserve">2.6.7 Visoko </w:t>
      </w:r>
      <w:r w:rsidR="008961D6">
        <w:rPr>
          <w:rFonts w:ascii="Garamond" w:hAnsi="Garamond" w:cs="Garamond"/>
          <w:b/>
          <w:bCs/>
          <w:sz w:val="28"/>
          <w:szCs w:val="28"/>
        </w:rPr>
        <w:t>obrazovanje mladih sa invaliditetom</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 ostvarivanju misije visokog obrazovanja naglašena je potreba da je ono otvoreno i dostupno za sve, na osnovu stabilnog finansiranja i uspostavljenih profesionalnih servisa. Za mlade sa posebnim obrazovnim potrebama sagledana je potreba njihovog adekvatnog prepoznavanja kod upisa na studije. Takođe, za dobijanje licence predviđeno je da ustanove obezbijede posebna mjesta u prostorijama za nesmetan pristup i boravak lica sa invaliditetom.</w:t>
      </w:r>
      <w:r>
        <w:rPr>
          <w:rFonts w:ascii="Garamond" w:hAnsi="Garamond" w:cs="Garamond"/>
          <w:sz w:val="28"/>
          <w:szCs w:val="28"/>
          <w:vertAlign w:val="superscript"/>
        </w:rPr>
        <w:footnoteReference w:id="28"/>
      </w:r>
      <w:r>
        <w:rPr>
          <w:rFonts w:ascii="Garamond" w:hAnsi="Garamond" w:cs="Garamond"/>
          <w:sz w:val="28"/>
          <w:szCs w:val="28"/>
        </w:rPr>
        <w:t xml:space="preserve">  </w:t>
      </w: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644F2A">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Za stvaranje uslova da visoko obrazovanje bude realno dostupno mladim sa</w:t>
      </w:r>
      <w:r w:rsidR="008961D6">
        <w:rPr>
          <w:rFonts w:ascii="Garamond" w:hAnsi="Garamond" w:cs="Garamond"/>
          <w:color w:val="0070C0"/>
          <w:sz w:val="28"/>
          <w:szCs w:val="28"/>
        </w:rPr>
        <w:t xml:space="preserve"> invaliditetom</w:t>
      </w:r>
      <w:r w:rsidRPr="00821309">
        <w:rPr>
          <w:rFonts w:ascii="Garamond" w:hAnsi="Garamond" w:cs="Garamond"/>
          <w:color w:val="0070C0"/>
          <w:sz w:val="28"/>
          <w:szCs w:val="28"/>
        </w:rPr>
        <w:t>, kod realizacie planiranih budućih ciljeva razvoja visokog obrazovanja potebno je da nadležne institucije, koordinaciona tijela i radne grupe sagledaju kako da im se obezbijede pretpostavke da završavaju studije u svim ciklusima visokog obrazovanja, koristeći pozitivna iskustva drugih sistema visokog obrazovanja.</w:t>
      </w:r>
    </w:p>
    <w:p w:rsidR="00644F2A" w:rsidRPr="00821309" w:rsidRDefault="00644F2A" w:rsidP="00644F2A">
      <w:pPr>
        <w:pStyle w:val="BasicParagraph"/>
        <w:suppressAutoHyphens/>
        <w:jc w:val="both"/>
        <w:rPr>
          <w:rFonts w:ascii="Garamond" w:hAnsi="Garamond" w:cs="Garamond"/>
          <w:color w:val="0070C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2.6.8</w:t>
      </w:r>
      <w:r>
        <w:rPr>
          <w:rFonts w:ascii="Garamond" w:hAnsi="Garamond" w:cs="Garamond"/>
          <w:b/>
          <w:bCs/>
          <w:sz w:val="28"/>
          <w:szCs w:val="28"/>
        </w:rPr>
        <w:tab/>
        <w:t>Obezbjeđenje kvaliteta (QA)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Obezbjeđenje kvaliteta visokog obrazovanja, u skladu sa Evropskim standardima i smjernicama za obezbjeđenje kvaliteta (ESG) podijeljeno je na tri dijela: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Interno (unutrašnje) obezbjeđenje kvaliteta;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Eksterno (spoljašnje) obezbjeđenje kvaliteta;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Agencije za obezbjeđenje kvaliteta u visokom obrazovanju.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Međutim, treba imati u vidu da su ta tri dijela suštinski međusobno povezana i zajedno čine osnov okvira evropskog obezbjeđenje kvaliteta.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Preporuke o prihvatanju evropskih standarda i smjernica Crna Gora je realizovala potpisivanjem Jerevanske deklaracije na Ministarskoj konferenciji 2015. godine. Obaveza je prenešena i u Zakon o visokom obrazovanju (2017) odredbom da se obezbjeđenje kvaliteta visokog obrazovanja u Crnoj Gori vrši u skladu sa ESG i osnivanjem Agencije za kontrolu i obezbjeđenje kvaliteta visokog obrazovanja.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 xml:space="preserve">2.6.8.1 Agencija za kontrolu i obezbjeđenje kvaliteta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Agencija za kontrolu i obezbjeđenje kvaliteta (skraćeno AKOKVO) osnovana je u novembru 2017. godine. Opredjeljenje za dosljednu primjena ESG potvrđuje misija Agencije: Potpuna primjena evropskih standarda i smjernica kroz definisanje jasnih procedura za sprovođenje postupaka akreditacije studijskih programa i reakreditacije ustanova visokog obrazovanja i donošenje nezavisnih i objektivnih odluka, kao preduslova za članstvo u evropskim strukturama u oblasti obezbjeđenja kvaliteta.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AKOKVO je u periodu od septembra 2018. godine do oktobra 2021. godine svoj rad usmjerila na: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Pripremu podzakonskih akata (pravilnike, standarde, smjernice, poslovnike, imenovanje 200 eksperata) za postupke eksterne evaluacije.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Eksternu evaluaciju studijskih programa i ustanova visokog obrazovanja u skladu sa Zakonom o visokom obrazovanju (akreditovano je 267 studijskih programa na četiri univerziteta i tri samostalna fakulteta, 9 reakreditacija ustanova visokog obrazovanja i dva programa cjeloživotnog učenja).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Jačanje kapaciteta kroz međunarodnu saradnju, projekte, obuku zaposlenih i vidljivost.</w:t>
      </w:r>
    </w:p>
    <w:p w:rsidR="00644F2A" w:rsidRDefault="00644F2A" w:rsidP="00644F2A">
      <w:pPr>
        <w:pStyle w:val="BasicParagraph"/>
        <w:suppressAutoHyphens/>
        <w:jc w:val="both"/>
        <w:rPr>
          <w:rFonts w:ascii="Garamond" w:hAnsi="Garamond" w:cs="Garamond"/>
          <w:sz w:val="28"/>
          <w:szCs w:val="28"/>
        </w:rPr>
      </w:pPr>
    </w:p>
    <w:p w:rsidR="00475F16" w:rsidRDefault="00475F16"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xml:space="preserve">Za dalju reform visokog obrazovanja, sistem obezbjeđenja kvaliteta treba u potpunosti usaglasiti sa ESG kroz: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lastRenderedPageBreak/>
        <w:t>-</w:t>
      </w:r>
      <w:r w:rsidRPr="00821309">
        <w:rPr>
          <w:rFonts w:ascii="Garamond" w:hAnsi="Garamond" w:cs="Garamond"/>
          <w:color w:val="0070C0"/>
          <w:sz w:val="28"/>
          <w:szCs w:val="28"/>
        </w:rPr>
        <w:tab/>
        <w:t>Primjenu ESG, Dio 1 - uključivanje šireg skupa aktera i proširivanja nadležnosti, kako bi pored nastave, QA obuhvatilo istraživanje, saradnju, infrastrukturu i ljudske resurse. Uspostavljanje boljih institucionalnih mehanizama za praćenje i kontrolu (personalizacija zaduženja za obezbjeđenje kvaliteta, organizaciju procesa, osoblja i studenata</w:t>
      </w:r>
      <w:r w:rsidR="00643FC0">
        <w:rPr>
          <w:rFonts w:ascii="Garamond" w:hAnsi="Garamond" w:cs="Garamond"/>
          <w:color w:val="0070C0"/>
          <w:sz w:val="28"/>
          <w:szCs w:val="28"/>
        </w:rPr>
        <w:t xml:space="preserve"> za praćenje i izvještavanje), </w:t>
      </w:r>
      <w:r w:rsidRPr="00821309">
        <w:rPr>
          <w:rFonts w:ascii="Garamond" w:hAnsi="Garamond" w:cs="Garamond"/>
          <w:color w:val="0070C0"/>
          <w:sz w:val="28"/>
          <w:szCs w:val="28"/>
        </w:rPr>
        <w:t>tako da se QA i kultura kvaliteta ugrade u institucionalno planiranje i unapređenje;</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Poboljšanje dobijanja povratnih informacija od studenata kroz inovirani upitnik za nastavu s ocjenjivanjem ambijenta za učenje (npr. biblioteka, funkcije studentske i drugih službi za podršku itd.), primjenu alternativnih modela za prikupljanje povratnih informacija (npr. studentske fokus grupe, uspostavljanje mehanizama informisanja o korišćenju dobijenih rezultata praćenja visokoškolaca);</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Prepoznatljivu usklađenost obezbjeđenja kvaliteta sa </w:t>
      </w:r>
      <w:r w:rsidR="006B1441">
        <w:rPr>
          <w:rFonts w:ascii="Garamond" w:hAnsi="Garamond" w:cs="Garamond"/>
          <w:color w:val="0070C0"/>
          <w:sz w:val="28"/>
          <w:szCs w:val="28"/>
        </w:rPr>
        <w:t xml:space="preserve">evropskim standardima i smjernicama (eksterno obezbjeđenje kvaliteta ustanova i programa i interno obezbjeđenje kvaliteta rada Agencije) </w:t>
      </w:r>
      <w:r w:rsidRPr="00821309">
        <w:rPr>
          <w:rFonts w:ascii="Garamond" w:hAnsi="Garamond" w:cs="Garamond"/>
          <w:color w:val="0070C0"/>
          <w:sz w:val="28"/>
          <w:szCs w:val="28"/>
        </w:rPr>
        <w:t>, kako bi Agencija postala punopravni partner u EHEA, sarađivala sa drugim evropskim agencijama, postala član Evropske asocijacije za obezbjeđenje kvaliteta u visokom obrazovanju (ENQA) i  uključila sa u EQAR registar kroz odgovarajući proces evaluacije.</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2.6.8.2 Organizacija, upravljanje i kultura kvaliteta</w:t>
      </w:r>
      <w:r>
        <w:rPr>
          <w:rFonts w:ascii="Garamond" w:hAnsi="Garamond" w:cs="Garamond"/>
          <w:b/>
          <w:bCs/>
          <w:sz w:val="28"/>
          <w:szCs w:val="28"/>
          <w:vertAlign w:val="superscript"/>
        </w:rPr>
        <w:footnoteReference w:id="29"/>
      </w:r>
      <w:r>
        <w:rPr>
          <w:rFonts w:ascii="Garamond" w:hAnsi="Garamond" w:cs="Garamond"/>
          <w:b/>
          <w:bCs/>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Model upravljanja u sistemu visokog obrazovanja definisan je kao najvažnija oblast reforme, kako sa aspekta culture kvaliteta, tako i u formalnom smislu24. Naime, utvrđeno je da decentralizovani model upravljanja predstavlja nedostatak strateškog kapaciteta i ne stvara uslove za ispunjenje misije ustanova.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Preporučeno je da državni organi pruže podršku unapređenju upravljačkih struktura ustanova kroz:</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 Uvođenje standarda za upravljanje u sistem eksternog obezbjeđenja kvaliteta.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Sprovođenje načela „autonomije sa odgovornošću” kako bi ustanove preuzele odgovornost za svoje strateško planiranje.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ustanove je preporučeno da profesionalizuju i institucionalizuju svoju upravljačku strukturu kroz:</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izgradnju strateških kapaciteta za sprovođenje utvrđenih ciljeva u predviđenom roku, odgovorno i  profesionalno; 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stvaranjem organizacione kulture koja je povezana sa misijom ustanove.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 Izvještaju za 2018. godinu, naglašeno je da u Strategiji visokog obrazovanja nije razmatrano pitanje upravljanja, jer se ovo pitanje smatra dijelom autonomije ustanova.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left="1247" w:right="1134" w:hanging="170"/>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644F2A">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Budući da značajan napredak visokog obrazovanja zavisi od ravnoteže između potrebe za centralnim rukovođenjem i kulture nezavisnosti organizacionih jedinica, Agencija (AKOKVO) kod svih postupaka eksterne evaluacije treba da predvidi standarde/smjernice za efikasnu ravnotežu centralizovanog upravljanja, autonomije i samostalnosti organizacionih jedinica.</w:t>
      </w:r>
    </w:p>
    <w:p w:rsidR="00644F2A" w:rsidRPr="00821309" w:rsidRDefault="00644F2A" w:rsidP="00644F2A">
      <w:pPr>
        <w:pStyle w:val="BasicParagraph"/>
        <w:suppressAutoHyphens/>
        <w:jc w:val="both"/>
        <w:rPr>
          <w:rFonts w:ascii="Garamond" w:hAnsi="Garamond" w:cs="Garamond"/>
          <w:color w:val="0070C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2.6.9 Nastavno osoblje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Uloga nastavnika je ključna u stvaranju visokokvalitetnog studentskog iskustva,</w:t>
      </w:r>
      <w:r w:rsidR="00E24C10">
        <w:rPr>
          <w:rFonts w:ascii="Garamond" w:hAnsi="Garamond" w:cs="Garamond"/>
          <w:sz w:val="28"/>
          <w:szCs w:val="28"/>
        </w:rPr>
        <w:t xml:space="preserve"> </w:t>
      </w:r>
      <w:r>
        <w:rPr>
          <w:rFonts w:ascii="Garamond" w:hAnsi="Garamond" w:cs="Garamond"/>
          <w:sz w:val="28"/>
          <w:szCs w:val="28"/>
        </w:rPr>
        <w:t>sticanju znanja, kompeten</w:t>
      </w:r>
      <w:r w:rsidR="006440F7">
        <w:rPr>
          <w:rFonts w:ascii="Garamond" w:hAnsi="Garamond" w:cs="Garamond"/>
          <w:sz w:val="28"/>
          <w:szCs w:val="28"/>
        </w:rPr>
        <w:t>cija i vještina. U skladu sa evropskim standardima i smjernicama</w:t>
      </w:r>
      <w:r>
        <w:rPr>
          <w:rFonts w:ascii="Garamond" w:hAnsi="Garamond" w:cs="Garamond"/>
          <w:sz w:val="28"/>
          <w:szCs w:val="28"/>
        </w:rPr>
        <w:t xml:space="preserve"> ustanove moraju obezbijediti kompetentnost svojih nastavnika i primjenjivati pravedne i transparentne procese zapošljavanja i usavršavanja.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Ustanove su najodgovornije za kvalitet rada svojih nastavnika, kao i za stvaranje odgovarajućeg ambijenta za njihov efikasan rad. To zahtijeva: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Uspostavljene jasne, transparentne i pravedne procese zapošljavanja i radne uslove u kojima se prepoznaje važnost nastavnog rada.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Podsticaj za profesionalni razvoj nastavnog osoblja.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Podsticaj za naučni rad i povezivanje obrazovanja i nauke.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Podsticaj za inovacije u nastavnim metodama i korišćenje novih tehnologija.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Imajući u vidu postojeću zahtjevnu organizaciju nastave i konsultacija, praćenje rada studenata tokom nastave, kao i obaveznu administraciju za izvještavanje o rezultatima i napredovanju studenata nastavno osoblje ukupno radno vrijeme može biti zauzeto nastavnim obavezama i time može imati poteškoću u ispunjavanju očekivanih zadataka u pogledu ličnog usavršavanja, istraživanja ili društveno odgovornog angažmana. </w:t>
      </w:r>
    </w:p>
    <w:p w:rsidR="00E24C10" w:rsidRDefault="00E24C10" w:rsidP="00644F2A">
      <w:pPr>
        <w:pStyle w:val="BasicParagraph"/>
        <w:suppressAutoHyphens/>
        <w:ind w:left="1247" w:right="1134" w:hanging="170"/>
        <w:jc w:val="both"/>
        <w:rPr>
          <w:rFonts w:ascii="Garamond" w:hAnsi="Garamond" w:cs="Garamond"/>
          <w:color w:val="00FFFF"/>
          <w:sz w:val="28"/>
          <w:szCs w:val="28"/>
        </w:rPr>
      </w:pPr>
    </w:p>
    <w:p w:rsidR="00E24C10" w:rsidRDefault="00E24C10" w:rsidP="00644F2A">
      <w:pPr>
        <w:pStyle w:val="BasicParagraph"/>
        <w:suppressAutoHyphens/>
        <w:ind w:left="1247" w:right="1134" w:hanging="170"/>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E24C10">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 xml:space="preserve">Sagledavajući navedenu obavezu ustanova da obezbijede odgovarajući ambijent, a u isto vrijeme očigledan problem opterećenja nastavnog osoblja, neophodno </w:t>
      </w:r>
      <w:r w:rsidR="00943F17">
        <w:rPr>
          <w:rFonts w:ascii="Garamond" w:hAnsi="Garamond" w:cs="Garamond"/>
          <w:color w:val="0070C0"/>
          <w:sz w:val="28"/>
          <w:szCs w:val="28"/>
        </w:rPr>
        <w:t>je</w:t>
      </w:r>
      <w:r w:rsidRPr="00821309">
        <w:rPr>
          <w:rFonts w:ascii="Garamond" w:hAnsi="Garamond" w:cs="Garamond"/>
          <w:color w:val="0070C0"/>
          <w:sz w:val="28"/>
          <w:szCs w:val="28"/>
        </w:rPr>
        <w:t xml:space="preserve"> pridržavati</w:t>
      </w:r>
      <w:r w:rsidR="00943F17">
        <w:rPr>
          <w:rFonts w:ascii="Garamond" w:hAnsi="Garamond" w:cs="Garamond"/>
          <w:color w:val="0070C0"/>
          <w:sz w:val="28"/>
          <w:szCs w:val="28"/>
        </w:rPr>
        <w:t xml:space="preserve"> se</w:t>
      </w:r>
      <w:r w:rsidRPr="00821309">
        <w:rPr>
          <w:rFonts w:ascii="Garamond" w:hAnsi="Garamond" w:cs="Garamond"/>
          <w:color w:val="0070C0"/>
          <w:sz w:val="28"/>
          <w:szCs w:val="28"/>
        </w:rPr>
        <w:t xml:space="preserve"> propisane norme obaveznog opterećenja u nastavi, tako da nastavnici i saradnici mogu uspješno završavati i ostale obaveze koje se od njih očekuju (istraživanje, inovativan rad, mentorsto, lično usavršavanje...).</w:t>
      </w:r>
    </w:p>
    <w:p w:rsidR="00644F2A" w:rsidRPr="00821309" w:rsidRDefault="00644F2A" w:rsidP="00644F2A">
      <w:pPr>
        <w:pStyle w:val="BasicParagraph"/>
        <w:suppressAutoHyphens/>
        <w:jc w:val="both"/>
        <w:rPr>
          <w:rFonts w:ascii="Garamond" w:hAnsi="Garamond" w:cs="Garamond"/>
          <w:color w:val="0070C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2.6.10 Akademski integritet i akademsko ponašanje</w:t>
      </w:r>
      <w:r>
        <w:rPr>
          <w:rFonts w:ascii="Garamond" w:hAnsi="Garamond" w:cs="Garamond"/>
          <w:b/>
          <w:bCs/>
          <w:sz w:val="28"/>
          <w:szCs w:val="28"/>
          <w:vertAlign w:val="superscript"/>
        </w:rPr>
        <w:footnoteReference w:id="30"/>
      </w:r>
      <w:r>
        <w:rPr>
          <w:rFonts w:ascii="Garamond" w:hAnsi="Garamond" w:cs="Garamond"/>
          <w:b/>
          <w:bCs/>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Oblast djelatnosti visokog obrazovanja, rukovođenje</w:t>
      </w:r>
      <w:r w:rsidR="00352F89">
        <w:rPr>
          <w:rFonts w:ascii="Garamond" w:hAnsi="Garamond" w:cs="Garamond"/>
          <w:sz w:val="28"/>
          <w:szCs w:val="28"/>
        </w:rPr>
        <w:t xml:space="preserve"> i upravljanje ustanovama u riziku</w:t>
      </w:r>
      <w:r>
        <w:rPr>
          <w:rFonts w:ascii="Garamond" w:hAnsi="Garamond" w:cs="Garamond"/>
          <w:sz w:val="28"/>
          <w:szCs w:val="28"/>
        </w:rPr>
        <w:t xml:space="preserve"> su</w:t>
      </w:r>
      <w:r w:rsidR="00352F89">
        <w:rPr>
          <w:rFonts w:ascii="Garamond" w:hAnsi="Garamond" w:cs="Garamond"/>
          <w:sz w:val="28"/>
          <w:szCs w:val="28"/>
        </w:rPr>
        <w:t xml:space="preserve"> od</w:t>
      </w:r>
      <w:r>
        <w:rPr>
          <w:rFonts w:ascii="Garamond" w:hAnsi="Garamond" w:cs="Garamond"/>
          <w:sz w:val="28"/>
          <w:szCs w:val="28"/>
        </w:rPr>
        <w:t xml:space="preserve"> mogućeg narušavanja int</w:t>
      </w:r>
      <w:r w:rsidR="00352F89">
        <w:rPr>
          <w:rFonts w:ascii="Garamond" w:hAnsi="Garamond" w:cs="Garamond"/>
          <w:sz w:val="28"/>
          <w:szCs w:val="28"/>
        </w:rPr>
        <w:t>egriteta i zahtijevaju pažnju u cilju prevencije toga</w:t>
      </w:r>
      <w:r>
        <w:rPr>
          <w:rFonts w:ascii="Garamond" w:hAnsi="Garamond" w:cs="Garamond"/>
          <w:sz w:val="28"/>
          <w:szCs w:val="28"/>
        </w:rPr>
        <w:t>, kako u svakodnevnom radu tako i u planiranju razvoja. Akademski integritet se zasniva na načelima čestitosti, objektivnosti, otvorenosti, slobode u nastavi i istraživanju i odgovornosti prema akademskoj zajednici i društvu.</w:t>
      </w:r>
      <w:r>
        <w:rPr>
          <w:rFonts w:ascii="Garamond" w:hAnsi="Garamond" w:cs="Garamond"/>
          <w:sz w:val="28"/>
          <w:szCs w:val="28"/>
          <w:vertAlign w:val="superscript"/>
        </w:rPr>
        <w:footnoteReference w:id="31"/>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Načela zahtijevaju konkretizovan plan ponašanja kako bi se povjereni poslovi obavljali transparentno, u skladu sa pr</w:t>
      </w:r>
      <w:r w:rsidR="00315F42">
        <w:rPr>
          <w:rFonts w:ascii="Garamond" w:hAnsi="Garamond" w:cs="Garamond"/>
          <w:sz w:val="28"/>
          <w:szCs w:val="28"/>
        </w:rPr>
        <w:t>opisima i etičkim principima</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Plan integriteta sadrži identifikaciju rizičnih oblasti odnosno rizičnih procesa i radnih mjesta, pregled mjera koje već postoje, kao i predlaganje mjera koje te rizike treba da umanje ili otklone. Detaljnom analizom i godišnjim izvještajima za realizaciju planova integriteta stvaraju se uslovi da se rizici na vrijeme prepoznaju i otklone na način da ne izazovu štetu po ugled i poslovanje.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Menadžer integriteta odgovoran je za stalno praćenje i periodične kontrole rizika, ažuriranje mjera i aktivnosti koje se odnose na sprovođenje pravila etičkog kodeksa, sprečavanje korupcije, sukoba interesa i drugih oblika pristrasnog postupanja.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Svi zaposleni treba da su upoznati s planom i obavezama menadžera integriteta u pojavama ili radnjama za koju, na osnovu razumnog uvjerenja, procjenjuju da predstavlja mogućnost za nastanak ili razvoj korupcije, sukoba interesa, drugih oblika nezakonitog ili neetičnog postupanja. Zaposleni su dužni da menadžeru integriteta, na njegov zahtjev, dostave sve potrebne podatke i informacije od značaja za sprovođenje plana integriteta.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Monitoring rizičnih grupa poslova i procesa, kao i sprovođenje konkretnih mjera, karakteristični su za svaku oblast rizika, koje se po metodologiji</w:t>
      </w:r>
      <w:r>
        <w:rPr>
          <w:rFonts w:ascii="Garamond" w:hAnsi="Garamond" w:cs="Garamond"/>
          <w:sz w:val="28"/>
          <w:szCs w:val="28"/>
          <w:vertAlign w:val="superscript"/>
        </w:rPr>
        <w:footnoteReference w:id="32"/>
      </w:r>
      <w:r>
        <w:rPr>
          <w:rFonts w:ascii="Garamond" w:hAnsi="Garamond" w:cs="Garamond"/>
          <w:sz w:val="28"/>
          <w:szCs w:val="28"/>
        </w:rPr>
        <w:t xml:space="preserve"> grupišu u opšte oblasti (Rukovođenje i upravljanje; Kadrovska politika, etično i profesionalno ponašanje zaposlenih, Planiranje i upravljanje finansijama, Čuvanje i bezbjednost podataka i dokumenata) i posebne oblasti (Studentske prevare i Plagiranje autorizovanih radova).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Studenti kao č</w:t>
      </w:r>
      <w:r w:rsidR="00315F42">
        <w:rPr>
          <w:rFonts w:ascii="Garamond" w:hAnsi="Garamond" w:cs="Garamond"/>
          <w:sz w:val="28"/>
          <w:szCs w:val="28"/>
        </w:rPr>
        <w:t>lanovi akademske zajednica nisu dovoljno efikasno onemogućeni u eventualnom korišćenju</w:t>
      </w:r>
      <w:r>
        <w:rPr>
          <w:rFonts w:ascii="Garamond" w:hAnsi="Garamond" w:cs="Garamond"/>
          <w:sz w:val="28"/>
          <w:szCs w:val="28"/>
        </w:rPr>
        <w:t xml:space="preserve"> </w:t>
      </w:r>
      <w:r w:rsidR="00315F42">
        <w:rPr>
          <w:rFonts w:ascii="Garamond" w:hAnsi="Garamond" w:cs="Garamond"/>
          <w:sz w:val="28"/>
          <w:szCs w:val="28"/>
        </w:rPr>
        <w:t>različitih vrsta prevara</w:t>
      </w:r>
      <w:r>
        <w:rPr>
          <w:rFonts w:ascii="Garamond" w:hAnsi="Garamond" w:cs="Garamond"/>
          <w:sz w:val="28"/>
          <w:szCs w:val="28"/>
        </w:rPr>
        <w:t xml:space="preserve"> u nastavi, individualnom radu, provjerama i ocjenjivanju</w:t>
      </w:r>
      <w:r w:rsidR="00315F42">
        <w:rPr>
          <w:rFonts w:ascii="Garamond" w:hAnsi="Garamond" w:cs="Garamond"/>
          <w:sz w:val="28"/>
          <w:szCs w:val="28"/>
        </w:rPr>
        <w:t>.</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Plagiranje radova predstavlja rizik u radu za sve sisteme i ustanove visokog obrazovanja. U cilju unapređenja akademskog integriteta, u</w:t>
      </w:r>
      <w:r w:rsidR="00CE13FD">
        <w:rPr>
          <w:rFonts w:ascii="Garamond" w:hAnsi="Garamond" w:cs="Garamond"/>
          <w:sz w:val="28"/>
          <w:szCs w:val="28"/>
        </w:rPr>
        <w:t xml:space="preserve"> prethodnom periodu</w:t>
      </w:r>
      <w:r>
        <w:rPr>
          <w:rFonts w:ascii="Garamond" w:hAnsi="Garamond" w:cs="Garamond"/>
          <w:sz w:val="28"/>
          <w:szCs w:val="28"/>
        </w:rPr>
        <w:t xml:space="preserve"> pripremljena je Studija izvodljivosti za uvođenje adekvatnog sistema za prevenciju plagijarizma u Crnoj Gori, definisane su aktivnosti za implementaciju predloženog modela, usvojen je posebni zakon u oblasti akademskog integriteta, nabavljen je i osposobljen softver za detekciju plagijarizma (iThenticate) sa pristupom najpoznatijim svjetskim bazama podataka otvorenog i zatvorenog tipa. </w:t>
      </w:r>
      <w:r w:rsidR="00CE13FD">
        <w:rPr>
          <w:rFonts w:ascii="Garamond" w:hAnsi="Garamond" w:cs="Garamond"/>
          <w:sz w:val="28"/>
          <w:szCs w:val="28"/>
        </w:rPr>
        <w:t xml:space="preserve">Licencu za softver je potrebno obnoviti.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Zakon o akademskom integritetu, Etički komitet (koji je formiran u skladu sa zakonom) i operativni softver zaokružuju infrastrukturu za očuvanje, unapređenje i promociju akademskog integriteta, prevenciju i zaštitu od njegovog kršenja.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left="1247" w:right="1134" w:hanging="170"/>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315F42">
      <w:pPr>
        <w:pStyle w:val="BasicParagraph"/>
        <w:suppressAutoHyphens/>
        <w:ind w:left="1247" w:right="1134" w:hanging="170"/>
        <w:rPr>
          <w:rFonts w:ascii="Garamond" w:hAnsi="Garamond" w:cs="Garamond"/>
          <w:color w:val="0070C0"/>
          <w:sz w:val="28"/>
          <w:szCs w:val="28"/>
        </w:rPr>
      </w:pPr>
      <w:r w:rsidRPr="00821309">
        <w:rPr>
          <w:rFonts w:ascii="Garamond" w:hAnsi="Garamond" w:cs="Garamond"/>
          <w:color w:val="0070C0"/>
          <w:sz w:val="28"/>
          <w:szCs w:val="28"/>
        </w:rPr>
        <w:t>Potpuna primjena potrebnih mjera za zaštitu od narušavanja akademskog integriteta treba da bude stalno u fokusu akademske zajednice. Bu</w:t>
      </w:r>
      <w:r w:rsidR="00315F42">
        <w:rPr>
          <w:rFonts w:ascii="Garamond" w:hAnsi="Garamond" w:cs="Garamond"/>
          <w:color w:val="0070C0"/>
          <w:sz w:val="28"/>
          <w:szCs w:val="28"/>
        </w:rPr>
        <w:t xml:space="preserve">dući da je </w:t>
      </w:r>
      <w:r w:rsidRPr="00821309">
        <w:rPr>
          <w:rFonts w:ascii="Garamond" w:hAnsi="Garamond" w:cs="Garamond"/>
          <w:color w:val="0070C0"/>
          <w:sz w:val="28"/>
          <w:szCs w:val="28"/>
        </w:rPr>
        <w:t xml:space="preserve">formirana infrastruktura, potrebno je nastaviti sa: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lastRenderedPageBreak/>
        <w:t>-</w:t>
      </w:r>
      <w:r w:rsidRPr="00821309">
        <w:rPr>
          <w:rFonts w:ascii="Garamond" w:hAnsi="Garamond" w:cs="Garamond"/>
          <w:color w:val="0070C0"/>
          <w:sz w:val="28"/>
          <w:szCs w:val="28"/>
        </w:rPr>
        <w:tab/>
        <w:t>obavezom da plan integretita bude sastavni dio izbornih procedura za sve funkcije na ustanovama (potpisivanjem izjave o poznavanju i poštovanju);</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stvaranjem ambijenta u kojem će prevencija studentskih prevara biti stalno pote</w:t>
      </w:r>
      <w:r w:rsidR="00315F42">
        <w:rPr>
          <w:rFonts w:ascii="Garamond" w:hAnsi="Garamond" w:cs="Garamond"/>
          <w:color w:val="0070C0"/>
          <w:sz w:val="28"/>
          <w:szCs w:val="28"/>
        </w:rPr>
        <w:t>ncirana</w:t>
      </w:r>
      <w:r w:rsidRPr="00821309">
        <w:rPr>
          <w:rFonts w:ascii="Garamond" w:hAnsi="Garamond" w:cs="Garamond"/>
          <w:color w:val="0070C0"/>
          <w:sz w:val="28"/>
          <w:szCs w:val="28"/>
        </w:rPr>
        <w:t>;</w:t>
      </w:r>
      <w:r w:rsidR="00315F42">
        <w:rPr>
          <w:rFonts w:ascii="Garamond" w:hAnsi="Garamond" w:cs="Garamond"/>
          <w:color w:val="0070C0"/>
          <w:sz w:val="28"/>
          <w:szCs w:val="28"/>
        </w:rPr>
        <w:t xml:space="preserve"> i</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transparentnim mjerama da se svi autorizovani radovi provjeravaju na plagijat, a zloupotrebe javno objavljuju i sankcionišu.</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2.6.11 Istraživanje i doktorske studije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 evaluacionim izvještajima IEP-a je naglašen nizak nivo istraživanja u Crnoj Gori, uglavnom zbog nedostatka institucionalnih kapaciteta za definisanje prioriteta, identifikovanja segmenata izvrsnosti i nedovoljnog ukupnog nacionalnog ulaganja. </w:t>
      </w:r>
    </w:p>
    <w:p w:rsidR="00644F2A" w:rsidRDefault="006657DE"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Na institucionalnom nivou, </w:t>
      </w:r>
      <w:r w:rsidR="00644F2A">
        <w:rPr>
          <w:rFonts w:ascii="Garamond" w:hAnsi="Garamond" w:cs="Garamond"/>
          <w:sz w:val="28"/>
          <w:szCs w:val="28"/>
        </w:rPr>
        <w:t xml:space="preserve">Univerzitet Crne Gore je i dalje jedina ustanova u zemlji sa značajnom istraživačkom djelatnošću. Ostala tri univerziteta, Univerzitet Donja Gorica, Univerzitet Mediteran i Univerzitet Adriatik značajno su unaprijedili istraživačke kapacitete i rade na razvoju doktorskog obrazovanja.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Istraživanje u Crnoj Gori moglo bi se u cjelini ojačati udruživanjem resursa različitih ustanova u cilju zajedničkog korišćenja postojeće infrastrukture i kapaciteta. Međuinstitucionalna saradnja takođe bi obezbijedila više mogućnosti za doktorande kroz zajedničke programe. Nadležni državni organi mogli bi podsticati takvu saradnju, na primjer kroz posebne šeme finansiranja.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 svim univerzitetima, doktorsko obrazovanje ima ključnu ulogu u diskusijama o izgradnji istraživačkih kapaciteta. Izgradnja kapaciteta je neophodna da bi postojalo istraživačko okruženje u kojem doktorandi mogu da uče. Istovremeno, neophodno je povećati njihov broj. Ova dva međusobno povezana aspekta treba razmatrati zajedno kroz institucionalnu strategiju. Još jedan izazov za doktorande je izdvajanje vremena potrebnog</w:t>
      </w:r>
      <w:r w:rsidR="00D546DD">
        <w:rPr>
          <w:rFonts w:ascii="Garamond" w:hAnsi="Garamond" w:cs="Garamond"/>
          <w:sz w:val="28"/>
          <w:szCs w:val="28"/>
        </w:rPr>
        <w:t xml:space="preserve"> </w:t>
      </w:r>
      <w:r>
        <w:rPr>
          <w:rFonts w:ascii="Garamond" w:hAnsi="Garamond" w:cs="Garamond"/>
          <w:sz w:val="28"/>
          <w:szCs w:val="28"/>
        </w:rPr>
        <w:t xml:space="preserve">za istraživanje, usljed velikog nastavnog opterećenja.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Generalno gledano, za razvoj istraživanja u Crnoj Gori napravljen je </w:t>
      </w:r>
      <w:r w:rsidR="006657DE">
        <w:rPr>
          <w:rFonts w:ascii="Garamond" w:hAnsi="Garamond" w:cs="Garamond"/>
          <w:sz w:val="28"/>
          <w:szCs w:val="28"/>
        </w:rPr>
        <w:t>pozitivan, ali početni napredak, što može biti podsticaj za bolje strateško planiranje i realizaciju</w:t>
      </w:r>
      <w:r>
        <w:rPr>
          <w:rFonts w:ascii="Garamond" w:hAnsi="Garamond" w:cs="Garamond"/>
          <w:sz w:val="28"/>
          <w:szCs w:val="28"/>
        </w:rPr>
        <w:t xml:space="preserve"> izgradnje istraživačkih kapaciteta u Crnoj Gori.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Preporuke za nadležne državne organe:</w:t>
      </w:r>
    </w:p>
    <w:p w:rsidR="00644F2A" w:rsidRDefault="006657DE"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Osigurati stabilno javno finansiranje uz značajan doprinos iz međunarodnih</w:t>
      </w:r>
      <w:r w:rsidR="00644F2A">
        <w:rPr>
          <w:rFonts w:ascii="Garamond" w:hAnsi="Garamond" w:cs="Garamond"/>
          <w:sz w:val="28"/>
          <w:szCs w:val="28"/>
        </w:rPr>
        <w:t xml:space="preserve"> projek</w:t>
      </w:r>
      <w:r>
        <w:rPr>
          <w:rFonts w:ascii="Garamond" w:hAnsi="Garamond" w:cs="Garamond"/>
          <w:sz w:val="28"/>
          <w:szCs w:val="28"/>
        </w:rPr>
        <w:t>ata</w:t>
      </w:r>
      <w:r w:rsidR="00644F2A">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Nastaviti s inicijativama za obezbjeđivanje pristupa bazama, između ostalog kroz strategiju otvorenog pristupa.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w:t>
      </w:r>
      <w:r>
        <w:rPr>
          <w:rFonts w:ascii="Garamond" w:hAnsi="Garamond" w:cs="Garamond"/>
          <w:sz w:val="28"/>
          <w:szCs w:val="28"/>
        </w:rPr>
        <w:tab/>
        <w:t>Kreirati podsticaje za saradnju i razmjenu infrastrukture i ekspertize unutar i između ustanova.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Preporuke za ustanove visokog obrazovanja: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Preći na formiranje jasnih istraživačkih strategija i njihovu implementaciju kroz SMART mjere.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Nastaviti razvoj doktorskog obrazovanja, na primjer kroz stvaranje institucionalnih doktorskih škola.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Ljudski resursi i istraživački kapaciteti su od presudnog značaja za uspješnu implementaciju politike naučnoistraživačkog razvoja. Crna Gora ima razvijenu akademsku zajednicu, ali nedovoljan kontinuitet naučnoistraživačkog rada, naročito kada je riječ o komercijalno orijentisanim istraživanjima. Iz tog razloga, neophodna je snažnija afirmacija istraživačke profesije i stvaranje kritične mase koja je sposobna da se integriše u internacionalne, inovativne i komercijalne istraživačke tokove.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Razvijanje međunarodne saradnje u cilju poboljšanja kvaliteta naučnoistraživačkog rada, razvoja i konkurentnosti ostvareno je pristupom EU fondovima sa značajnim finansijskim sredstvima i pristupom nizu programa (poput COST-a) koji pružaju mogućnost umrežavanja i partnerstva. Ipak, činjenica je da se šanse za unapređenje domaćih naučnoistraživačkih kapaciteta ovim putem zanemarljivo koriste.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 podršku praktičnoj primjenjivosti istraživanja uspostavljena su specijalizovane naučne infrastrukture (Inovaciono-preduzetnički</w:t>
      </w:r>
      <w:r w:rsidR="00D546DD">
        <w:rPr>
          <w:rFonts w:ascii="Garamond" w:hAnsi="Garamond" w:cs="Garamond"/>
          <w:sz w:val="28"/>
          <w:szCs w:val="28"/>
        </w:rPr>
        <w:t xml:space="preserve"> </w:t>
      </w:r>
      <w:r>
        <w:rPr>
          <w:rFonts w:ascii="Garamond" w:hAnsi="Garamond" w:cs="Garamond"/>
          <w:sz w:val="28"/>
          <w:szCs w:val="28"/>
        </w:rPr>
        <w:t>centa</w:t>
      </w:r>
      <w:r w:rsidR="00D546DD">
        <w:rPr>
          <w:rFonts w:ascii="Garamond" w:hAnsi="Garamond" w:cs="Garamond"/>
          <w:sz w:val="28"/>
          <w:szCs w:val="28"/>
        </w:rPr>
        <w:t xml:space="preserve">r </w:t>
      </w:r>
      <w:r w:rsidR="00CE13FD">
        <w:rPr>
          <w:rFonts w:ascii="Garamond" w:hAnsi="Garamond" w:cs="Garamond"/>
          <w:sz w:val="28"/>
          <w:szCs w:val="28"/>
        </w:rPr>
        <w:t>“</w:t>
      </w:r>
      <w:r>
        <w:rPr>
          <w:rFonts w:ascii="Garamond" w:hAnsi="Garamond" w:cs="Garamond"/>
          <w:sz w:val="28"/>
          <w:szCs w:val="28"/>
        </w:rPr>
        <w:t>Tehnopolis”</w:t>
      </w:r>
      <w:r w:rsidR="00D546DD">
        <w:rPr>
          <w:rFonts w:ascii="Garamond" w:hAnsi="Garamond" w:cs="Garamond"/>
          <w:sz w:val="28"/>
          <w:szCs w:val="28"/>
        </w:rPr>
        <w:t xml:space="preserve"> </w:t>
      </w:r>
      <w:r>
        <w:rPr>
          <w:rFonts w:ascii="Garamond" w:hAnsi="Garamond" w:cs="Garamond"/>
          <w:sz w:val="28"/>
          <w:szCs w:val="28"/>
        </w:rPr>
        <w:t>Nikšić, Centar izvrsnosti FOOD hub na UDG), a obezbijeđena je i finansijska podrška u vidu grantova za istraživačke projekte (npr. PRODE, SUST-MARINA, KATUN i dr.). Komercijalnim oživljavanje</w:t>
      </w:r>
      <w:r w:rsidR="006657DE">
        <w:rPr>
          <w:rFonts w:ascii="Garamond" w:hAnsi="Garamond" w:cs="Garamond"/>
          <w:sz w:val="28"/>
          <w:szCs w:val="28"/>
        </w:rPr>
        <w:t>m rezultata istraživanja se</w:t>
      </w:r>
      <w:r>
        <w:rPr>
          <w:rFonts w:ascii="Garamond" w:hAnsi="Garamond" w:cs="Garamond"/>
          <w:sz w:val="28"/>
          <w:szCs w:val="28"/>
        </w:rPr>
        <w:t xml:space="preserve"> daje smisao daljeg investiranja u ovaj sektor, njegovu dugoročnu održivost, ali i vidan pozitivni uticaj na kvalitet života građana i konkurentnost privrede. </w:t>
      </w:r>
    </w:p>
    <w:p w:rsidR="00D11B22" w:rsidRDefault="00D11B22" w:rsidP="00644F2A">
      <w:pPr>
        <w:pStyle w:val="BasicParagraph"/>
        <w:suppressAutoHyphens/>
        <w:ind w:left="1247" w:right="1134" w:hanging="170"/>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xml:space="preserve">Zaključak: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Kontinirani napredak istraživanja zahtijeva stabilnu finasijsku podršku, u dijelu:</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Naučnoistraživačkog rada u prioritetnim oblastima razvoja nauke u Crnoj Gori primjenom prihvatljivih modela.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Modernizacije i integracije naučnoistraživačkih kapaciteta ustanova visokog obrazovanja za rad u prioritenim oblastima razvoja nauke u Crnoj Gori.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Razvoja inovativn</w:t>
      </w:r>
      <w:r w:rsidR="00D11B22">
        <w:rPr>
          <w:rFonts w:ascii="Garamond" w:hAnsi="Garamond" w:cs="Garamond"/>
          <w:color w:val="0070C0"/>
          <w:sz w:val="28"/>
          <w:szCs w:val="28"/>
        </w:rPr>
        <w:t>e djelatnosti kroz uspostavljanje</w:t>
      </w:r>
      <w:r w:rsidRPr="00821309">
        <w:rPr>
          <w:rFonts w:ascii="Garamond" w:hAnsi="Garamond" w:cs="Garamond"/>
          <w:color w:val="0070C0"/>
          <w:sz w:val="28"/>
          <w:szCs w:val="28"/>
        </w:rPr>
        <w:t xml:space="preserve"> kapaciteta i prihvatljive modele.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Razvoja i usavršavanju mladih istraživača i doktoranada. </w:t>
      </w:r>
    </w:p>
    <w:p w:rsidR="00644F2A" w:rsidRPr="00821309" w:rsidRDefault="00644F2A" w:rsidP="00644F2A">
      <w:pPr>
        <w:pStyle w:val="BasicParagraph"/>
        <w:suppressAutoHyphens/>
        <w:ind w:firstLine="567"/>
        <w:jc w:val="both"/>
        <w:rPr>
          <w:rFonts w:ascii="Garamond" w:hAnsi="Garamond" w:cs="Garamond"/>
          <w:color w:val="0070C0"/>
          <w:sz w:val="28"/>
          <w:szCs w:val="28"/>
        </w:rPr>
      </w:pP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 xml:space="preserve">Od ustanova se očekuje da: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lastRenderedPageBreak/>
        <w:t>-</w:t>
      </w:r>
      <w:r w:rsidRPr="005D5EC6">
        <w:rPr>
          <w:rFonts w:ascii="Garamond" w:hAnsi="Garamond" w:cs="Garamond"/>
          <w:color w:val="0070C0"/>
          <w:sz w:val="28"/>
          <w:szCs w:val="28"/>
          <w:lang w:val="fr-FR"/>
        </w:rPr>
        <w:tab/>
        <w:t xml:space="preserve">Usvoje strategije naučnoistraživačkog rada, usaglase prioritete i konstituišu kompetentne istraživačke timove za rad na izdvojenim zadacima.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ab/>
        <w:t xml:space="preserve">Izvrše preraspodjelu obaveza u nastavi kako bi nastavno osoblje, a naročito mladi istraživači i doktorandi mogli da se aktivno posvete istraživačkim zadacima.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ab/>
        <w:t xml:space="preserve">Osposobe i usavrše svoje kapacitete za podršku aktivnom bavljenju istraživačkim radom.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ab/>
        <w:t>Formiraju kompetentne istraživačke timova povezivanjem istraživača unutar ustanove i sa drugim ustanovama iz Crne Gore i ERA prostora.</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Doktorske studija objedinjavaju obrazovanje i istraživanje, pa je važno predstaviti okvir koji će adekvatno objediniti ova dva segmenta. Evropski i međunarodni standardi, principi i smjernice (uključujući Salzburške preporuke) koncipiraju inovativni okvir doktorskog obrazovanja, koji zahtijeva: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Dosljednu izvrsnost</w:t>
      </w:r>
      <w:r w:rsidRPr="005D5EC6">
        <w:rPr>
          <w:rFonts w:ascii="Garamond" w:hAnsi="Garamond" w:cs="Garamond"/>
          <w:sz w:val="28"/>
          <w:szCs w:val="28"/>
          <w:lang w:val="fr-FR"/>
        </w:rPr>
        <w:t xml:space="preserve"> u kvalitetu istraživanja za postdiplomsko obrazovanje i doktorske studije.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Nužnu podršku ustanovama</w:t>
      </w:r>
      <w:r w:rsidRPr="005D5EC6">
        <w:rPr>
          <w:rFonts w:ascii="Garamond" w:hAnsi="Garamond" w:cs="Garamond"/>
          <w:sz w:val="28"/>
          <w:szCs w:val="28"/>
          <w:lang w:val="fr-FR"/>
        </w:rPr>
        <w:t xml:space="preserve"> visokog obrazovanja da sarađuju razmjenjujući dobru praksu  i rezultate.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Stvaranje uslova za zaposlenost doktoranada</w:t>
      </w:r>
      <w:r w:rsidRPr="005D5EC6">
        <w:rPr>
          <w:rFonts w:ascii="Garamond" w:hAnsi="Garamond" w:cs="Garamond"/>
          <w:sz w:val="28"/>
          <w:szCs w:val="28"/>
          <w:lang w:val="fr-FR"/>
        </w:rPr>
        <w:t xml:space="preserve"> u širokom spektru sektora djelatnosti osiguravajući im status zaposlenih sa punim radnim vremenom.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Podršku međunarodnoj saradnji na doktorskim studijama</w:t>
      </w:r>
      <w:r w:rsidRPr="005D5EC6">
        <w:rPr>
          <w:rFonts w:ascii="Garamond" w:hAnsi="Garamond" w:cs="Garamond"/>
          <w:sz w:val="28"/>
          <w:szCs w:val="28"/>
          <w:lang w:val="fr-FR"/>
        </w:rPr>
        <w:t xml:space="preserve"> radi </w:t>
      </w:r>
      <w:r w:rsidR="00D11B22" w:rsidRPr="005D5EC6">
        <w:rPr>
          <w:rFonts w:ascii="Garamond" w:hAnsi="Garamond" w:cs="Garamond"/>
          <w:sz w:val="28"/>
          <w:szCs w:val="28"/>
          <w:lang w:val="fr-FR"/>
        </w:rPr>
        <w:t xml:space="preserve">primjene </w:t>
      </w:r>
      <w:r w:rsidRPr="005D5EC6">
        <w:rPr>
          <w:rFonts w:ascii="Garamond" w:hAnsi="Garamond" w:cs="Garamond"/>
          <w:sz w:val="28"/>
          <w:szCs w:val="28"/>
          <w:lang w:val="fr-FR"/>
        </w:rPr>
        <w:t>dobre prakse, kao i neophodne uporedivosti i verifikacije postignutih rezultata.</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Okvir za doktorsko obrazovanje treba da inspiriše i obaveže ključne aktere u obrazovanju i istraživanju na standarde u pružanju doktorskog obrazovanja i istraživanja, prihvatanjem sljedećih principa: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Doktorsko obrazovanje</w:t>
      </w:r>
      <w:r w:rsidRPr="005D5EC6">
        <w:rPr>
          <w:rFonts w:ascii="Garamond" w:hAnsi="Garamond" w:cs="Garamond"/>
          <w:sz w:val="28"/>
          <w:szCs w:val="28"/>
          <w:lang w:val="fr-FR"/>
        </w:rPr>
        <w:t xml:space="preserve"> je sistematsko bavljenje problemima na graničnom području postojećeg znanja i pomjeranje ove granice sistematskim istraživanjima. Tako se povećava obim i dubina znanja studenata i razvija njihova stručnost u istraživačkoj metodologiji koja je primjenjiva na šire istraživačke probleme.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Uspješno završavanje istraživanja</w:t>
      </w:r>
      <w:r w:rsidRPr="005D5EC6">
        <w:rPr>
          <w:rFonts w:ascii="Garamond" w:hAnsi="Garamond" w:cs="Garamond"/>
          <w:sz w:val="28"/>
          <w:szCs w:val="28"/>
          <w:lang w:val="fr-FR"/>
        </w:rPr>
        <w:t xml:space="preserve"> obuhvata rad prepoznatljivog i nesporno verifikovanog kvaliteta. Svaki doktorat je jedinstven, a doktorsko obrazovanje podržava studente u okviru pojedinih disciplina, interdisciplinarnih ili multidisciplinarnih oblasti.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Istraživačko okruženje</w:t>
      </w:r>
      <w:r w:rsidRPr="005D5EC6">
        <w:rPr>
          <w:rFonts w:ascii="Garamond" w:hAnsi="Garamond" w:cs="Garamond"/>
          <w:sz w:val="28"/>
          <w:szCs w:val="28"/>
          <w:lang w:val="fr-FR"/>
        </w:rPr>
        <w:t xml:space="preserve"> za doktorsko obrazovanje je sa visokim stepenom akademskog kvaliteta i infrastrukture, kritičnom masom međunarodno priznatog istraživačkog rada koji studentima omog</w:t>
      </w:r>
      <w:r w:rsidR="00D11B22" w:rsidRPr="005D5EC6">
        <w:rPr>
          <w:rFonts w:ascii="Garamond" w:hAnsi="Garamond" w:cs="Garamond"/>
          <w:sz w:val="28"/>
          <w:szCs w:val="28"/>
          <w:lang w:val="fr-FR"/>
        </w:rPr>
        <w:t>ućava interakciju sa kolegama</w:t>
      </w:r>
      <w:r w:rsidRPr="005D5EC6">
        <w:rPr>
          <w:rFonts w:ascii="Garamond" w:hAnsi="Garamond" w:cs="Garamond"/>
          <w:sz w:val="28"/>
          <w:szCs w:val="28"/>
          <w:lang w:val="fr-FR"/>
        </w:rPr>
        <w:t xml:space="preserve"> koji se bave tom oblašću na nacionalnom i međunarodnom nivou.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lastRenderedPageBreak/>
        <w:t>»</w:t>
      </w:r>
      <w:r w:rsidRPr="005D5EC6">
        <w:rPr>
          <w:rFonts w:ascii="Garamond" w:hAnsi="Garamond" w:cs="Garamond"/>
          <w:sz w:val="28"/>
          <w:szCs w:val="28"/>
          <w:lang w:val="fr-FR"/>
        </w:rPr>
        <w:tab/>
      </w:r>
      <w:r w:rsidRPr="005D5EC6">
        <w:rPr>
          <w:rFonts w:ascii="Garamond" w:hAnsi="Garamond" w:cs="Garamond"/>
          <w:iCs/>
          <w:sz w:val="28"/>
          <w:szCs w:val="28"/>
          <w:lang w:val="fr-FR"/>
        </w:rPr>
        <w:t>Pri prijavljivanju i upisu</w:t>
      </w:r>
      <w:r w:rsidRPr="005D5EC6">
        <w:rPr>
          <w:rFonts w:ascii="Garamond" w:hAnsi="Garamond" w:cs="Garamond"/>
          <w:sz w:val="28"/>
          <w:szCs w:val="28"/>
          <w:lang w:val="fr-FR"/>
        </w:rPr>
        <w:t xml:space="preserve"> na doktorske studija uzimaju se u obzir pripremljenost kandidata, kompetentan i pristupačan nadzor i resursi potrebni za sprovođenje istraživanja.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Kompletno doktorsko obrazovanje</w:t>
      </w:r>
      <w:r w:rsidRPr="005D5EC6">
        <w:rPr>
          <w:rFonts w:ascii="Garamond" w:hAnsi="Garamond" w:cs="Garamond"/>
          <w:sz w:val="28"/>
          <w:szCs w:val="28"/>
          <w:lang w:val="fr-FR"/>
        </w:rPr>
        <w:t xml:space="preserve"> treba da podržavaju i kontrolišu strukture sastavljene od kompetentnih supervizora, primjenom transparentnih</w:t>
      </w:r>
      <w:r w:rsidR="00D546DD" w:rsidRPr="005D5EC6">
        <w:rPr>
          <w:rFonts w:ascii="Garamond" w:hAnsi="Garamond" w:cs="Garamond"/>
          <w:sz w:val="28"/>
          <w:szCs w:val="28"/>
          <w:lang w:val="fr-FR"/>
        </w:rPr>
        <w:t xml:space="preserve"> </w:t>
      </w:r>
      <w:r w:rsidRPr="005D5EC6">
        <w:rPr>
          <w:rFonts w:ascii="Garamond" w:hAnsi="Garamond" w:cs="Garamond"/>
          <w:sz w:val="28"/>
          <w:szCs w:val="28"/>
          <w:lang w:val="fr-FR"/>
        </w:rPr>
        <w:t>kriterijuma za procese ispitivanja, ocje</w:t>
      </w:r>
      <w:r w:rsidR="00D11B22" w:rsidRPr="005D5EC6">
        <w:rPr>
          <w:rFonts w:ascii="Garamond" w:hAnsi="Garamond" w:cs="Garamond"/>
          <w:sz w:val="28"/>
          <w:szCs w:val="28"/>
          <w:lang w:val="fr-FR"/>
        </w:rPr>
        <w:t>njivanja i sticanje definisanih</w:t>
      </w:r>
      <w:r w:rsidRPr="005D5EC6">
        <w:rPr>
          <w:rFonts w:ascii="Garamond" w:hAnsi="Garamond" w:cs="Garamond"/>
          <w:sz w:val="28"/>
          <w:szCs w:val="28"/>
          <w:lang w:val="fr-FR"/>
        </w:rPr>
        <w:t xml:space="preserve"> ishoda.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w:t>
      </w:r>
      <w:r w:rsidRPr="005D5EC6">
        <w:rPr>
          <w:rFonts w:ascii="Garamond" w:hAnsi="Garamond" w:cs="Garamond"/>
          <w:sz w:val="28"/>
          <w:szCs w:val="28"/>
          <w:lang w:val="fr-FR"/>
        </w:rPr>
        <w:tab/>
      </w:r>
      <w:r w:rsidRPr="005D5EC6">
        <w:rPr>
          <w:rFonts w:ascii="Garamond" w:hAnsi="Garamond" w:cs="Garamond"/>
          <w:iCs/>
          <w:sz w:val="28"/>
          <w:szCs w:val="28"/>
          <w:lang w:val="fr-FR"/>
        </w:rPr>
        <w:t>Uspostavljen i stabilno osposobljen</w:t>
      </w:r>
      <w:r w:rsidRPr="005D5EC6">
        <w:rPr>
          <w:rFonts w:ascii="Garamond" w:hAnsi="Garamond" w:cs="Garamond"/>
          <w:sz w:val="28"/>
          <w:szCs w:val="28"/>
          <w:lang w:val="fr-FR"/>
        </w:rPr>
        <w:t xml:space="preserve"> sistem obezbjeđenja kvaliteta treba da je implementiran u sve faze doktorskog obrazovanja.</w:t>
      </w: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ind w:left="1247" w:right="1134" w:hanging="170"/>
        <w:jc w:val="both"/>
        <w:rPr>
          <w:rFonts w:ascii="Garamond" w:hAnsi="Garamond" w:cs="Garamond"/>
          <w:color w:val="00FFFF"/>
          <w:sz w:val="28"/>
          <w:szCs w:val="28"/>
          <w:lang w:val="fr-FR"/>
        </w:rPr>
      </w:pP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Zaključak:</w:t>
      </w:r>
    </w:p>
    <w:p w:rsidR="00644F2A" w:rsidRPr="005D5EC6" w:rsidRDefault="00D11B22"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Sagledavajući</w:t>
      </w:r>
      <w:r w:rsidR="00644F2A" w:rsidRPr="005D5EC6">
        <w:rPr>
          <w:rFonts w:ascii="Garamond" w:hAnsi="Garamond" w:cs="Garamond"/>
          <w:color w:val="0070C0"/>
          <w:sz w:val="28"/>
          <w:szCs w:val="28"/>
          <w:lang w:val="fr-FR"/>
        </w:rPr>
        <w:t xml:space="preserve"> značaj doktorskog obrazovanja neophodno je da: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ab/>
        <w:t xml:space="preserve">Nadležni organi, ustanove i akademska zajednica obezbijede uslove za organizaciju doktorskog obrazovanja, kako bi rezultati dostigli očekivanu izvrsnost i dali puni doprinos postavljenim </w:t>
      </w:r>
      <w:r w:rsidR="00D11B22" w:rsidRPr="005D5EC6">
        <w:rPr>
          <w:rFonts w:ascii="Garamond" w:hAnsi="Garamond" w:cs="Garamond"/>
          <w:color w:val="0070C0"/>
          <w:sz w:val="28"/>
          <w:szCs w:val="28"/>
          <w:lang w:val="fr-FR"/>
        </w:rPr>
        <w:t xml:space="preserve">nacionalnim </w:t>
      </w:r>
      <w:r w:rsidRPr="005D5EC6">
        <w:rPr>
          <w:rFonts w:ascii="Garamond" w:hAnsi="Garamond" w:cs="Garamond"/>
          <w:color w:val="0070C0"/>
          <w:sz w:val="28"/>
          <w:szCs w:val="28"/>
          <w:lang w:val="fr-FR"/>
        </w:rPr>
        <w:t xml:space="preserve">razvojnim ciljevima.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ab/>
        <w:t xml:space="preserve">Prioritetne oblasti doktorskog obrazovanja treba da su povezane sa prioritnim oblastima istraživanja kako bi se postigli sinergijski efekti obrazovanja, istraživanja i kadrovskog jačanja za razvojne zadatke. </w:t>
      </w:r>
    </w:p>
    <w:p w:rsidR="00644F2A" w:rsidRPr="005D5EC6" w:rsidRDefault="00644F2A" w:rsidP="00644F2A">
      <w:pPr>
        <w:pStyle w:val="BasicParagraph"/>
        <w:suppressAutoHyphens/>
        <w:ind w:left="1247" w:right="1134" w:hanging="170"/>
        <w:jc w:val="both"/>
        <w:rPr>
          <w:rFonts w:ascii="Garamond" w:hAnsi="Garamond" w:cs="Garamond"/>
          <w:color w:val="0070C0"/>
          <w:sz w:val="28"/>
          <w:szCs w:val="28"/>
          <w:lang w:val="fr-FR"/>
        </w:rPr>
      </w:pPr>
      <w:r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ab/>
        <w:t>Doktors</w:t>
      </w:r>
      <w:r w:rsidR="00D11B22" w:rsidRPr="005D5EC6">
        <w:rPr>
          <w:rFonts w:ascii="Garamond" w:hAnsi="Garamond" w:cs="Garamond"/>
          <w:color w:val="0070C0"/>
          <w:sz w:val="28"/>
          <w:szCs w:val="28"/>
          <w:lang w:val="fr-FR"/>
        </w:rPr>
        <w:t>ko obrazovanje treba da bude podsticajno za istraživačke timove da</w:t>
      </w:r>
      <w:r w:rsidRPr="005D5EC6">
        <w:rPr>
          <w:rFonts w:ascii="Garamond" w:hAnsi="Garamond" w:cs="Garamond"/>
          <w:color w:val="0070C0"/>
          <w:sz w:val="28"/>
          <w:szCs w:val="28"/>
          <w:lang w:val="fr-FR"/>
        </w:rPr>
        <w:t xml:space="preserve"> </w:t>
      </w:r>
      <w:r w:rsidR="00D11B22" w:rsidRPr="005D5EC6">
        <w:rPr>
          <w:rFonts w:ascii="Garamond" w:hAnsi="Garamond" w:cs="Garamond"/>
          <w:color w:val="0070C0"/>
          <w:sz w:val="28"/>
          <w:szCs w:val="28"/>
          <w:lang w:val="fr-FR"/>
        </w:rPr>
        <w:t xml:space="preserve">razvijaju </w:t>
      </w:r>
      <w:r w:rsidRPr="005D5EC6">
        <w:rPr>
          <w:rFonts w:ascii="Garamond" w:hAnsi="Garamond" w:cs="Garamond"/>
          <w:color w:val="0070C0"/>
          <w:sz w:val="28"/>
          <w:szCs w:val="28"/>
          <w:lang w:val="fr-FR"/>
        </w:rPr>
        <w:t xml:space="preserve">saradnju između ustanova </w:t>
      </w:r>
      <w:r w:rsidR="00D11B22" w:rsidRPr="005D5EC6">
        <w:rPr>
          <w:rFonts w:ascii="Garamond" w:hAnsi="Garamond" w:cs="Garamond"/>
          <w:color w:val="0070C0"/>
          <w:sz w:val="28"/>
          <w:szCs w:val="28"/>
          <w:lang w:val="fr-FR"/>
        </w:rPr>
        <w:t>u zemlji i inostransvu. S</w:t>
      </w:r>
      <w:r w:rsidRPr="005D5EC6">
        <w:rPr>
          <w:rFonts w:ascii="Garamond" w:hAnsi="Garamond" w:cs="Garamond"/>
          <w:color w:val="0070C0"/>
          <w:sz w:val="28"/>
          <w:szCs w:val="28"/>
          <w:lang w:val="fr-FR"/>
        </w:rPr>
        <w:t>ar</w:t>
      </w:r>
      <w:r w:rsidR="00D11B22" w:rsidRPr="005D5EC6">
        <w:rPr>
          <w:rFonts w:ascii="Garamond" w:hAnsi="Garamond" w:cs="Garamond"/>
          <w:color w:val="0070C0"/>
          <w:sz w:val="28"/>
          <w:szCs w:val="28"/>
          <w:lang w:val="fr-FR"/>
        </w:rPr>
        <w:t>adanja</w:t>
      </w:r>
      <w:r w:rsidRPr="005D5EC6">
        <w:rPr>
          <w:rFonts w:ascii="Garamond" w:hAnsi="Garamond" w:cs="Garamond"/>
          <w:color w:val="0070C0"/>
          <w:sz w:val="28"/>
          <w:szCs w:val="28"/>
          <w:lang w:val="fr-FR"/>
        </w:rPr>
        <w:t xml:space="preserve"> i internacion</w:t>
      </w:r>
      <w:r w:rsidR="00D11B22" w:rsidRPr="005D5EC6">
        <w:rPr>
          <w:rFonts w:ascii="Garamond" w:hAnsi="Garamond" w:cs="Garamond"/>
          <w:color w:val="0070C0"/>
          <w:sz w:val="28"/>
          <w:szCs w:val="28"/>
          <w:lang w:val="fr-FR"/>
        </w:rPr>
        <w:t>alizacija</w:t>
      </w:r>
      <w:r w:rsidRPr="005D5EC6">
        <w:rPr>
          <w:rFonts w:ascii="Garamond" w:hAnsi="Garamond" w:cs="Garamond"/>
          <w:color w:val="0070C0"/>
          <w:sz w:val="28"/>
          <w:szCs w:val="28"/>
          <w:lang w:val="fr-FR"/>
        </w:rPr>
        <w:t xml:space="preserve"> treba da budu postavljeni kao prioriteti</w:t>
      </w:r>
      <w:r w:rsidR="00D11B22" w:rsidRPr="005D5EC6">
        <w:rPr>
          <w:rFonts w:ascii="Garamond" w:hAnsi="Garamond" w:cs="Garamond"/>
          <w:color w:val="0070C0"/>
          <w:sz w:val="28"/>
          <w:szCs w:val="28"/>
          <w:lang w:val="fr-FR"/>
        </w:rPr>
        <w:t>,</w:t>
      </w:r>
      <w:r w:rsidRPr="005D5EC6">
        <w:rPr>
          <w:rFonts w:ascii="Garamond" w:hAnsi="Garamond" w:cs="Garamond"/>
          <w:color w:val="0070C0"/>
          <w:sz w:val="28"/>
          <w:szCs w:val="28"/>
          <w:lang w:val="fr-FR"/>
        </w:rPr>
        <w:t xml:space="preserve"> jer su sastavni dio principa ovog obrazovanja.</w:t>
      </w:r>
    </w:p>
    <w:p w:rsidR="00644F2A" w:rsidRPr="005D5EC6" w:rsidRDefault="00644F2A" w:rsidP="00644F2A">
      <w:pPr>
        <w:pStyle w:val="BasicParagraph"/>
        <w:suppressAutoHyphens/>
        <w:jc w:val="both"/>
        <w:rPr>
          <w:rFonts w:ascii="Garamond" w:hAnsi="Garamond" w:cs="Garamond"/>
          <w:color w:val="0070C0"/>
          <w:sz w:val="28"/>
          <w:szCs w:val="28"/>
          <w:lang w:val="fr-FR"/>
        </w:rPr>
      </w:pPr>
    </w:p>
    <w:p w:rsidR="00644F2A" w:rsidRPr="005D5EC6" w:rsidRDefault="00644F2A" w:rsidP="00644F2A">
      <w:pPr>
        <w:pStyle w:val="BasicParagraph"/>
        <w:suppressAutoHyphens/>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b/>
          <w:bCs/>
          <w:sz w:val="28"/>
          <w:szCs w:val="28"/>
          <w:lang w:val="fr-FR"/>
        </w:rPr>
      </w:pPr>
      <w:r w:rsidRPr="005D5EC6">
        <w:rPr>
          <w:rFonts w:ascii="Garamond" w:hAnsi="Garamond" w:cs="Garamond"/>
          <w:b/>
          <w:bCs/>
          <w:sz w:val="28"/>
          <w:szCs w:val="28"/>
          <w:lang w:val="fr-FR"/>
        </w:rPr>
        <w:t>2.7 Cjeloživotno učenje (CŽU)</w:t>
      </w:r>
    </w:p>
    <w:p w:rsidR="00644F2A" w:rsidRPr="005D5EC6" w:rsidRDefault="00644F2A" w:rsidP="00644F2A">
      <w:pPr>
        <w:pStyle w:val="BasicParagraph"/>
        <w:suppressAutoHyphens/>
        <w:ind w:firstLine="567"/>
        <w:jc w:val="both"/>
        <w:rPr>
          <w:rFonts w:ascii="Garamond" w:hAnsi="Garamond" w:cs="Garamond"/>
          <w:sz w:val="28"/>
          <w:szCs w:val="28"/>
          <w:lang w:val="fr-FR"/>
        </w:rPr>
      </w:pP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CŽU je usmjereno na: podizanje opšteg nivoa obrazovanosti svih građana i osposobljavanje i snalaženje u promjenljivom radnom i društvenom okruženju; pružanje boljih mogućnosti zaposlenja;</w:t>
      </w:r>
      <w:r w:rsidR="00857D43" w:rsidRPr="005D5EC6">
        <w:rPr>
          <w:rFonts w:ascii="Garamond" w:hAnsi="Garamond" w:cs="Garamond"/>
          <w:sz w:val="28"/>
          <w:szCs w:val="28"/>
          <w:lang w:val="fr-FR"/>
        </w:rPr>
        <w:t xml:space="preserve"> i</w:t>
      </w:r>
      <w:r w:rsidRPr="005D5EC6">
        <w:rPr>
          <w:rFonts w:ascii="Garamond" w:hAnsi="Garamond" w:cs="Garamond"/>
          <w:sz w:val="28"/>
          <w:szCs w:val="28"/>
          <w:lang w:val="fr-FR"/>
        </w:rPr>
        <w:t xml:space="preserve"> lični, društveni, privredni i kulturni razvoj. Prepoznaje se i kao veoma važan faktor za aktivno društvo jer pokreće inovacije</w:t>
      </w:r>
      <w:r w:rsidR="00857D43" w:rsidRPr="005D5EC6">
        <w:rPr>
          <w:rFonts w:ascii="Garamond" w:hAnsi="Garamond" w:cs="Garamond"/>
          <w:sz w:val="28"/>
          <w:szCs w:val="28"/>
          <w:lang w:val="fr-FR"/>
        </w:rPr>
        <w:t>, produktivnost i konkurentnost i</w:t>
      </w:r>
      <w:r w:rsidRPr="005D5EC6">
        <w:rPr>
          <w:rFonts w:ascii="Garamond" w:hAnsi="Garamond" w:cs="Garamond"/>
          <w:sz w:val="28"/>
          <w:szCs w:val="28"/>
          <w:lang w:val="fr-FR"/>
        </w:rPr>
        <w:t xml:space="preserve"> doprinosi motivaciji i zadovoljstvu radnika.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Obrazovanje odraslih pruža mogućnost za usavršavanjem i pohađanjem prilagođenih kurseva obuke. </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 xml:space="preserve">Kompetencije potrebne svakom pojedincu, koje se mogu ponuditi kroz programe CŽU, pokrivaju široku lepezu obrazovanja, a odnose se na: komunikaciju na maternjem jeziku i/ili stranim jezicima, matematičke kompetencije, kompetencije u oblasti prirodnih nauka, inženjerstva i tehnologije, digitalne kompetencije, kompetencije učenja i poučavanja, kompetencije za organizaciju </w:t>
      </w:r>
      <w:r w:rsidRPr="005D5EC6">
        <w:rPr>
          <w:rFonts w:ascii="Garamond" w:hAnsi="Garamond" w:cs="Garamond"/>
          <w:sz w:val="28"/>
          <w:szCs w:val="28"/>
          <w:lang w:val="fr-FR"/>
        </w:rPr>
        <w:lastRenderedPageBreak/>
        <w:t>sopstvenog i tuđeg vremena, za prikupljanje, analizu i vrednovanje informacija, socijalne i građanske kompetencije, kompetencije za inicijativnost, preduzetništvo i menadžment, kompetencije za njegovanje kulture i nacionalnog identiteta, kreativno i umjetničko izražavanje.</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Evolucija radnih mjesta u digitalnom dobu ima ogromne implikacije u smislu generičkih kompetencija koje diplomirani studenti treba da posjeduju, što je otkriveno metaanalizom vještina dvadeset prvog vijeka</w:t>
      </w:r>
      <w:r w:rsidR="00857D43" w:rsidRPr="005D5EC6">
        <w:rPr>
          <w:rFonts w:ascii="Garamond" w:hAnsi="Garamond" w:cs="Garamond"/>
          <w:sz w:val="28"/>
          <w:szCs w:val="28"/>
          <w:lang w:val="fr-FR"/>
        </w:rPr>
        <w:t>, a</w:t>
      </w:r>
      <w:r w:rsidRPr="005D5EC6">
        <w:rPr>
          <w:rFonts w:ascii="Garamond" w:hAnsi="Garamond" w:cs="Garamond"/>
          <w:sz w:val="28"/>
          <w:szCs w:val="28"/>
          <w:lang w:val="fr-FR"/>
        </w:rPr>
        <w:t xml:space="preserve"> koju je sproveo Svjetski ekonomski forum (SEF, 2015). Na osnovu temeljnih pismenosti koje bilo koja osoba 21. vijeka treba da stekne tokom svog osnovnog i srednjeg obrazovanja, poput pismenosti i računanja, naučne pism</w:t>
      </w:r>
      <w:r w:rsidR="00857D43" w:rsidRPr="005D5EC6">
        <w:rPr>
          <w:rFonts w:ascii="Garamond" w:hAnsi="Garamond" w:cs="Garamond"/>
          <w:sz w:val="28"/>
          <w:szCs w:val="28"/>
          <w:lang w:val="fr-FR"/>
        </w:rPr>
        <w:t>enosti, pismenosti u oblasti informaciono-komunikacionih tehnologija</w:t>
      </w:r>
      <w:r w:rsidRPr="005D5EC6">
        <w:rPr>
          <w:rFonts w:ascii="Garamond" w:hAnsi="Garamond" w:cs="Garamond"/>
          <w:sz w:val="28"/>
          <w:szCs w:val="28"/>
          <w:lang w:val="fr-FR"/>
        </w:rPr>
        <w:t>, finansijske pismenosti, kulturne i građanske pismenosti, visokoškolci moraju imati složene kompetencije da bi mogli efikasno doprinositi rješavanju današnjih izazova. Četiri ključne složene kompetencije su (i) kritičko razmišljanje i vještine rješavanja problema, (ii) kreativnost, (iii) komunikacija i (iv) saradnja.</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Konkretno, manji naglasak se stavlja na pamćenje bezbrojnih činjenica i osnovnih podataka, a veći na izgradnju metodoloških znanja i analitičkih vještina - vještina potrebnih za razmišljanje i autonomno analiziranja podataka. Danas u mnogim naučnim disciplinama elementi činjeničnog znanja koji se uče u prvoj godini studija mogu zastarjeti prije diplomiranja. Proces učenja sada treba sve više da se zasniva na sposobnostima pristupa znanju i primjeni znanja u rešavanju problema. Učenje za učenje, učenje transformacije informacija u nova znanja i učenje prevođenja novog znanja u primjenu postaju važnije od pamćenja određenih informacija. U ovoj novoj paradigmi prednost se daje analitičkim veštinama, to jest sposobnosti traženja i pronalaženja informacija, sagledavanja problema, formulisanja probnih hipoteza, organizaciji i procjeni dokaza i rješavanju problema.</w:t>
      </w:r>
    </w:p>
    <w:p w:rsidR="00644F2A" w:rsidRDefault="00644F2A" w:rsidP="00644F2A">
      <w:pPr>
        <w:pStyle w:val="BasicParagraph"/>
        <w:suppressAutoHyphens/>
        <w:ind w:firstLine="567"/>
        <w:jc w:val="both"/>
        <w:rPr>
          <w:rFonts w:ascii="Garamond" w:hAnsi="Garamond" w:cs="Garamond"/>
          <w:sz w:val="28"/>
          <w:szCs w:val="28"/>
        </w:rPr>
      </w:pPr>
      <w:r w:rsidRPr="005D5EC6">
        <w:rPr>
          <w:rFonts w:ascii="Garamond" w:hAnsi="Garamond" w:cs="Garamond"/>
          <w:sz w:val="28"/>
          <w:szCs w:val="28"/>
          <w:lang w:val="fr-FR"/>
        </w:rPr>
        <w:t xml:space="preserve">Pored toga, sposobnost pojedinaca da postanu uspješni profesionalci i aktivni građani u svom okruženju koje se brzo mijenja određena je njihovim karakternim osobinama, koje se takođe nazivaju i društveno-emocionalne veštine, a najčešće su nazivane „mekim veštinama”. </w:t>
      </w:r>
      <w:r>
        <w:rPr>
          <w:rFonts w:ascii="Garamond" w:hAnsi="Garamond" w:cs="Garamond"/>
          <w:sz w:val="28"/>
          <w:szCs w:val="28"/>
        </w:rPr>
        <w:t xml:space="preserve">To uključuje (i) radoznalost, (ii) inicijativu, (iii) upornost, (iv) prilagodljivost, (v) liderstvo i (vi) društvenu i kulturnu svijest.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Programi CŽU su pravo rješenje za praćenja razvoja i brojnih inovativnih dostignuća koja nije moguće uključiti u postojeće kurikulume studijskih programa zbog različitih objektivnih ograničenja. Programi su</w:t>
      </w:r>
      <w:r w:rsidR="00857D43">
        <w:rPr>
          <w:rFonts w:ascii="Garamond" w:hAnsi="Garamond" w:cs="Garamond"/>
          <w:sz w:val="28"/>
          <w:szCs w:val="28"/>
        </w:rPr>
        <w:t xml:space="preserve"> uglavnom</w:t>
      </w:r>
      <w:r>
        <w:rPr>
          <w:rFonts w:ascii="Garamond" w:hAnsi="Garamond" w:cs="Garamond"/>
          <w:sz w:val="28"/>
          <w:szCs w:val="28"/>
        </w:rPr>
        <w:t xml:space="preserve"> samofinansirajući, ali je to racionalno rješenje za tržište</w:t>
      </w:r>
      <w:r w:rsidR="00857D43">
        <w:rPr>
          <w:rFonts w:ascii="Garamond" w:hAnsi="Garamond" w:cs="Garamond"/>
          <w:sz w:val="28"/>
          <w:szCs w:val="28"/>
        </w:rPr>
        <w:t xml:space="preserve"> rada i onima</w:t>
      </w:r>
      <w:r>
        <w:rPr>
          <w:rFonts w:ascii="Garamond" w:hAnsi="Garamond" w:cs="Garamond"/>
          <w:sz w:val="28"/>
          <w:szCs w:val="28"/>
        </w:rPr>
        <w:t xml:space="preserve"> kojima su programi usavršavanja neophodni. Nastavnicima bi to bila dobra linija za predstavljanje svoje oblasti ekspertize, povezivanje sa tržištem rada i lično usavršavanje u inovativnim i razvojnim zadacima. Podsticajnim mjerama brzo se može stvoriti adekvatna klima za generisanje brojnih ideja i kontinuiranu realiziciju razvojnih planova ustanova.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Pristup cjeloživotnom učenju naglašava primat učenika. Ustanove visokog obrazovanja moraće da se organizuju kako bi se prilagodile potrebama </w:t>
      </w:r>
      <w:r w:rsidR="00857D43">
        <w:rPr>
          <w:rFonts w:ascii="Garamond" w:hAnsi="Garamond" w:cs="Garamond"/>
          <w:sz w:val="28"/>
          <w:szCs w:val="28"/>
        </w:rPr>
        <w:t>učenja i obuke raznovrsne kategorije studenata</w:t>
      </w:r>
      <w:r>
        <w:rPr>
          <w:rFonts w:ascii="Garamond" w:hAnsi="Garamond" w:cs="Garamond"/>
          <w:sz w:val="28"/>
          <w:szCs w:val="28"/>
        </w:rPr>
        <w:t>: studenti koji su</w:t>
      </w:r>
      <w:r w:rsidR="00857D43">
        <w:rPr>
          <w:rFonts w:ascii="Garamond" w:hAnsi="Garamond" w:cs="Garamond"/>
          <w:sz w:val="28"/>
          <w:szCs w:val="28"/>
        </w:rPr>
        <w:t xml:space="preserve"> zaposleni, apsolventi, studenti </w:t>
      </w:r>
      <w:r>
        <w:rPr>
          <w:rFonts w:ascii="Garamond" w:hAnsi="Garamond" w:cs="Garamond"/>
          <w:sz w:val="28"/>
          <w:szCs w:val="28"/>
        </w:rPr>
        <w:t xml:space="preserve">koji uče „od kuće”, strani studenti, vanredni studenti, </w:t>
      </w:r>
      <w:r>
        <w:rPr>
          <w:rFonts w:ascii="Garamond" w:hAnsi="Garamond" w:cs="Garamond"/>
          <w:sz w:val="28"/>
          <w:szCs w:val="28"/>
        </w:rPr>
        <w:lastRenderedPageBreak/>
        <w:t>i tako dalje. Pojavljuju se novi obrasci potražnje u kojima polaznici paralelno ili uzastopno pohađaju nekoliko programa, čime preuzimaju inicijativu za definisanje sopstvenih profila vještina na tržištu rada.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Ova aktivnost je veoma važna, ali je neopravdano bila zapostavljena na svim ustanovama visokog obrazovanja Crne Gore. Ograničeni rezultati su konstatovani i u Izvještaju o realizaciji prethodne Strategije. Budući da je Agencija za kontrolu i obezbjeđenje kvaliteta usvojila pravilnik i smjernice za akreditaciju programa za cjeloživotno učenje, obezbijeđeni su uslovi da se ova oblast realizuje i razvija u skladu sa potrebama razvoja pojedinaca i društva.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Konačno, mogućnosti cjeloživotnog učenja moraju se podržati odgovarajućim finansiranjem i iz javnih i iz privatnih izvora. Studija Svjetske banke</w:t>
      </w:r>
      <w:r w:rsidR="00857D43">
        <w:rPr>
          <w:rFonts w:ascii="Garamond" w:hAnsi="Garamond" w:cs="Garamond"/>
          <w:sz w:val="28"/>
          <w:szCs w:val="28"/>
        </w:rPr>
        <w:t xml:space="preserve"> još</w:t>
      </w:r>
      <w:r>
        <w:rPr>
          <w:rFonts w:ascii="Garamond" w:hAnsi="Garamond" w:cs="Garamond"/>
          <w:sz w:val="28"/>
          <w:szCs w:val="28"/>
        </w:rPr>
        <w:t xml:space="preserve"> iz 2003. godine o cjeloživotnom učenju predložila je da javni i privatni sektor zajedno rade na finansiranju cjeloživotnog učenja. Preporučila je da vladina intervencija izvan osnovnih vještina i znanja bude usmjerena na polaznike iz grupa sa niskim prihodima ili socijalno isključene i polaznike sa visokim preprekama u učenju.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Međunarodno iskustvo pokazuje da su kreatori politika razmotrili širok spektar mogućnosti finansiranja cjeloživotnog učenja, uključujući subvencije, hipotekarne zajmove, ugovore o ljudskom kapitalu, takse, šeme za otplatu uslovnog dohotka itd.</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Da bi CŽU programi dostigli poželjni stepen razvijenosti nephodno je da:</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ustanove afirmišu i u kontinuitetu razvijaju programe za potrebe pojedinaca, tržišt</w:t>
      </w:r>
      <w:r w:rsidR="00E33D55">
        <w:rPr>
          <w:rFonts w:ascii="Garamond" w:hAnsi="Garamond" w:cs="Garamond"/>
          <w:color w:val="0070C0"/>
          <w:sz w:val="28"/>
          <w:szCs w:val="28"/>
        </w:rPr>
        <w:t>a rada i društva, kao racionalizovan sistem za obrazovanje koji</w:t>
      </w:r>
      <w:r w:rsidRPr="00821309">
        <w:rPr>
          <w:rFonts w:ascii="Garamond" w:hAnsi="Garamond" w:cs="Garamond"/>
          <w:color w:val="0070C0"/>
          <w:sz w:val="28"/>
          <w:szCs w:val="28"/>
        </w:rPr>
        <w:t xml:space="preserve"> prati dinamične </w:t>
      </w:r>
      <w:r w:rsidR="00E33D55">
        <w:rPr>
          <w:rFonts w:ascii="Garamond" w:hAnsi="Garamond" w:cs="Garamond"/>
          <w:color w:val="0070C0"/>
          <w:sz w:val="28"/>
          <w:szCs w:val="28"/>
        </w:rPr>
        <w:t xml:space="preserve">društveno-ekonomske </w:t>
      </w:r>
      <w:r w:rsidRPr="00821309">
        <w:rPr>
          <w:rFonts w:ascii="Garamond" w:hAnsi="Garamond" w:cs="Garamond"/>
          <w:color w:val="0070C0"/>
          <w:sz w:val="28"/>
          <w:szCs w:val="28"/>
        </w:rPr>
        <w:t>pro</w:t>
      </w:r>
      <w:r w:rsidR="00E33D55">
        <w:rPr>
          <w:rFonts w:ascii="Garamond" w:hAnsi="Garamond" w:cs="Garamond"/>
          <w:color w:val="0070C0"/>
          <w:sz w:val="28"/>
          <w:szCs w:val="28"/>
        </w:rPr>
        <w:t>mjene i savremeni razvoj</w:t>
      </w:r>
      <w:r w:rsidRPr="00821309">
        <w:rPr>
          <w:rFonts w:ascii="Garamond" w:hAnsi="Garamond" w:cs="Garamond"/>
          <w:color w:val="0070C0"/>
          <w:sz w:val="28"/>
          <w:szCs w:val="28"/>
        </w:rPr>
        <w:t xml:space="preserve"> djelatnosti;</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organizacija ovakvih programa integriše savremene IT oblike nastave i učenja i time se obezbijedi </w:t>
      </w:r>
      <w:r w:rsidR="00E33D55">
        <w:rPr>
          <w:rFonts w:ascii="Garamond" w:hAnsi="Garamond" w:cs="Garamond"/>
          <w:color w:val="0070C0"/>
          <w:sz w:val="28"/>
          <w:szCs w:val="28"/>
        </w:rPr>
        <w:t xml:space="preserve">lakši </w:t>
      </w:r>
      <w:r w:rsidRPr="00821309">
        <w:rPr>
          <w:rFonts w:ascii="Garamond" w:hAnsi="Garamond" w:cs="Garamond"/>
          <w:color w:val="0070C0"/>
          <w:sz w:val="28"/>
          <w:szCs w:val="28"/>
        </w:rPr>
        <w:t>pristup nastavnim sadržajima.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b/>
          <w:bCs/>
          <w:sz w:val="28"/>
          <w:szCs w:val="28"/>
        </w:rPr>
      </w:pPr>
    </w:p>
    <w:p w:rsidR="00644F2A" w:rsidRDefault="001A25FD"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2.8</w:t>
      </w:r>
      <w:r w:rsidR="00644F2A">
        <w:rPr>
          <w:rFonts w:ascii="Garamond" w:hAnsi="Garamond" w:cs="Garamond"/>
          <w:b/>
          <w:bCs/>
          <w:sz w:val="28"/>
          <w:szCs w:val="28"/>
        </w:rPr>
        <w:t xml:space="preserve"> Finansiranje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ab/>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Visoko obrazovanje zahtijeva da se adekvatno finansiraju aktivnosti nastave i učenja, obezbijede </w:t>
      </w:r>
      <w:r w:rsidR="00E33D55">
        <w:rPr>
          <w:rFonts w:ascii="Garamond" w:hAnsi="Garamond" w:cs="Garamond"/>
          <w:sz w:val="28"/>
          <w:szCs w:val="28"/>
        </w:rPr>
        <w:t>dovoljni i lako dostupni resursi</w:t>
      </w:r>
      <w:r>
        <w:rPr>
          <w:rFonts w:ascii="Garamond" w:hAnsi="Garamond" w:cs="Garamond"/>
          <w:sz w:val="28"/>
          <w:szCs w:val="28"/>
        </w:rPr>
        <w:t xml:space="preserve"> za učenje i podršku studentima, adekvatno rješava status nastavnika, saradnika i administracije i niz ostalih uslova neo</w:t>
      </w:r>
      <w:r w:rsidR="007E5DBE">
        <w:rPr>
          <w:rFonts w:ascii="Garamond" w:hAnsi="Garamond" w:cs="Garamond"/>
          <w:sz w:val="28"/>
          <w:szCs w:val="28"/>
        </w:rPr>
        <w:t>phodnih za postizanje postavljenih ciljeva i očekivanih</w:t>
      </w:r>
      <w:r>
        <w:rPr>
          <w:rFonts w:ascii="Garamond" w:hAnsi="Garamond" w:cs="Garamond"/>
          <w:sz w:val="28"/>
          <w:szCs w:val="28"/>
        </w:rPr>
        <w:t xml:space="preserve"> rezultata.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 xml:space="preserve">Javne ustanove se finansiraju iz budžeta Crne Gore, kao i iz vlastitih sredstava (školarina i drugih naknada koje plaćaju studenti, intelektualnih i drugih usluga, donacija, poklona i zavještanja, projekata itd.).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Privatne ustanove se finansiraju iz sopstvenih sredstava, ali se mogu finansirati iz budžeta pod uslovom da organizuju studijske programe od javnog interesa koji se ne organizuju na javnoj ustanovi u Crnoj Gori.</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1A25FD"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2.8.1</w:t>
      </w:r>
      <w:r w:rsidR="00644F2A">
        <w:rPr>
          <w:rFonts w:ascii="Garamond" w:hAnsi="Garamond" w:cs="Garamond"/>
          <w:b/>
          <w:bCs/>
          <w:sz w:val="28"/>
          <w:szCs w:val="28"/>
        </w:rPr>
        <w:t xml:space="preserve"> Uspostavljanje održivog modela finansiranja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Javna ustanova, u skladu sa Zakonom o visokom obrazovanju, stiče sredstva iz Budžeta Crne Gore na osnovu normativa i standarda za finansiranje javnih ustanova, uzimajući u obzir broj studenata utvrđen licencom, cijenu koštanja studenta za određeni studijski program i ocjenu kvaliteta rada ustanove. </w:t>
      </w:r>
    </w:p>
    <w:p w:rsidR="00644F2A" w:rsidRDefault="007E5DBE"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Ugovor </w:t>
      </w:r>
      <w:r w:rsidR="00644F2A">
        <w:rPr>
          <w:rFonts w:ascii="Garamond" w:hAnsi="Garamond" w:cs="Garamond"/>
          <w:sz w:val="28"/>
          <w:szCs w:val="28"/>
        </w:rPr>
        <w:t xml:space="preserve">o finansiranju između Vlade i Univerziteta Crne Gore potpisan je 2019. godine na period od tri godine. Ugovor se odnosi na tri studijske godine, koje su obuhvaćene sa 4 fiskalne godine (od 2019. do 2022) i ima četiri aneksa s indikatorima uspješnosti: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Aneks 1 - Kvalitet rada ustanove i upisna politika.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Aneks 2 - Obezbjeđenje kvaliteta.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Aneks 3 - Informisanje javnosti o radu ustanove.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Aneks 4 - Unapređenje kvaliteta postojećih studijskih programa,</w:t>
      </w:r>
      <w:r w:rsidR="007E5DBE">
        <w:rPr>
          <w:rFonts w:ascii="Garamond" w:hAnsi="Garamond" w:cs="Garamond"/>
          <w:sz w:val="28"/>
          <w:szCs w:val="28"/>
        </w:rPr>
        <w:t xml:space="preserve"> </w:t>
      </w:r>
      <w:r>
        <w:rPr>
          <w:rFonts w:ascii="Garamond" w:hAnsi="Garamond" w:cs="Garamond"/>
          <w:sz w:val="28"/>
          <w:szCs w:val="28"/>
        </w:rPr>
        <w:t xml:space="preserve">utvrđivanje potrebe nastavka studijskih programa, odnosno ukidanja pojedinih neodrživih studijskih programa.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jc w:val="both"/>
        <w:rPr>
          <w:rFonts w:ascii="Garamond" w:hAnsi="Garamond" w:cs="Garamond"/>
          <w:color w:val="0070C0"/>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xml:space="preserve">Zaključak </w:t>
      </w:r>
    </w:p>
    <w:p w:rsidR="00644F2A" w:rsidRPr="00821309" w:rsidRDefault="00644F2A" w:rsidP="00644F2A">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Finansiranje predstavlja ključnu polugu za kvalitet i rad ustanova. Postavljeni cilj ugovornog modela je da se unaprijedi položaj Univerziteta Crne Gore u međunarodnim okvirima i pruži kvalitetnije obrazovanje studentima, a zajedno sa dodatnim fondovima da se unaprijedi cjelokupni položaj visokog obrazovanja i standard crnogorskih studenata.</w:t>
      </w:r>
    </w:p>
    <w:p w:rsidR="00644F2A" w:rsidRPr="00821309" w:rsidRDefault="00644F2A" w:rsidP="00644F2A">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 xml:space="preserve">Ugovorni model finansiranja zasniva se na jasnim ulaznim i izlaznim parametrima, karakteristikama rada, komponentama koje se odnose na kvalitet i cijenu koštanja studenta. </w:t>
      </w:r>
    </w:p>
    <w:p w:rsidR="00644F2A" w:rsidRPr="00821309" w:rsidRDefault="00644F2A" w:rsidP="00644F2A">
      <w:pPr>
        <w:pStyle w:val="BasicParagraph"/>
        <w:suppressAutoHyphens/>
        <w:jc w:val="both"/>
        <w:rPr>
          <w:rFonts w:ascii="Garamond" w:hAnsi="Garamond" w:cs="Garamond"/>
          <w:color w:val="0070C0"/>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1A25FD"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2.9</w:t>
      </w:r>
      <w:r w:rsidR="00644F2A">
        <w:rPr>
          <w:rFonts w:ascii="Garamond" w:hAnsi="Garamond" w:cs="Garamond"/>
          <w:b/>
          <w:bCs/>
          <w:sz w:val="28"/>
          <w:szCs w:val="28"/>
        </w:rPr>
        <w:t xml:space="preserve"> Internacionalizacija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Internacionalizacija visokog obrazovanja je jedan od principa Bolonjskog procesa i strateški prioritet Evropskog prostora visokog obrazovanja. Mobilnost studenata i akademskog osoblja, uspostavljeni sporazumi između ustanova visokog obrazovanja, zajedničke studije i diplome, međunarodni projekti i drugi oblici saradnje su neki od postupaka internacionalizacije, koji doprinose unapređenju kvaliteta i daju veće mogućnosti za mlade na globalnom tržištu rada.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Internacionalizacija je prepoznata kao prioritet svih ustanova visokog obrazovanja u dužem vremenskom periodu, ali su pokazatelji za sve nevedene postupke još ograničeni. Ovo je konstat</w:t>
      </w:r>
      <w:r w:rsidR="007E5DBE">
        <w:rPr>
          <w:rFonts w:ascii="Garamond" w:hAnsi="Garamond" w:cs="Garamond"/>
          <w:sz w:val="28"/>
          <w:szCs w:val="28"/>
        </w:rPr>
        <w:t>ovano i u prethodnoj Strategiji</w:t>
      </w:r>
      <w:r>
        <w:rPr>
          <w:rFonts w:ascii="Garamond" w:hAnsi="Garamond" w:cs="Garamond"/>
          <w:sz w:val="28"/>
          <w:szCs w:val="28"/>
        </w:rPr>
        <w:t>. Zato je ocijenjeno da je neophodno dodatno angažovan</w:t>
      </w:r>
      <w:r w:rsidR="007E5DBE">
        <w:rPr>
          <w:rFonts w:ascii="Garamond" w:hAnsi="Garamond" w:cs="Garamond"/>
          <w:sz w:val="28"/>
          <w:szCs w:val="28"/>
        </w:rPr>
        <w:t>j</w:t>
      </w:r>
      <w:r>
        <w:rPr>
          <w:rFonts w:ascii="Garamond" w:hAnsi="Garamond" w:cs="Garamond"/>
          <w:sz w:val="28"/>
          <w:szCs w:val="28"/>
        </w:rPr>
        <w:t>e ustanova, podrška nadležnih resora, bolja sveobuhvatna promocija mogućnosti povezivanja i sardanje. N</w:t>
      </w:r>
      <w:r w:rsidR="007E5DBE">
        <w:rPr>
          <w:rFonts w:ascii="Garamond" w:hAnsi="Garamond" w:cs="Garamond"/>
          <w:sz w:val="28"/>
          <w:szCs w:val="28"/>
        </w:rPr>
        <w:t>eposredni ciljevi internacionalizacije su</w:t>
      </w:r>
      <w:r>
        <w:rPr>
          <w:rFonts w:ascii="Garamond" w:hAnsi="Garamond" w:cs="Garamond"/>
          <w:sz w:val="28"/>
          <w:szCs w:val="28"/>
        </w:rPr>
        <w:t>:</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Povećanje dolazne i odlazne mobilnosti studenata i akademskog osoblja.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Promocija crnogorskih ustanova u Evropskom prostoru visokog obrazovanja.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Jačanje Nacionalne kancelarije za promociju mobilnosti i međunarodnu saradnju ustanova visokog obrazovanja.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Pre</w:t>
      </w:r>
      <w:r w:rsidR="007E5DBE">
        <w:rPr>
          <w:rFonts w:ascii="Garamond" w:hAnsi="Garamond" w:cs="Garamond"/>
          <w:sz w:val="28"/>
          <w:szCs w:val="28"/>
        </w:rPr>
        <w:t>gled aktivnosti i postignut</w:t>
      </w:r>
      <w:r>
        <w:rPr>
          <w:rFonts w:ascii="Garamond" w:hAnsi="Garamond" w:cs="Garamond"/>
          <w:sz w:val="28"/>
          <w:szCs w:val="28"/>
        </w:rPr>
        <w:t>ih rezultata u oblastima internacionalizacije i mobilnosti dat je u Završnom izvještaju o real</w:t>
      </w:r>
      <w:r w:rsidR="007E5DBE">
        <w:rPr>
          <w:rFonts w:ascii="Garamond" w:hAnsi="Garamond" w:cs="Garamond"/>
          <w:sz w:val="28"/>
          <w:szCs w:val="28"/>
        </w:rPr>
        <w:t>izaciji Strategije</w:t>
      </w:r>
      <w:r>
        <w:rPr>
          <w:rFonts w:ascii="Garamond" w:hAnsi="Garamond" w:cs="Garamond"/>
          <w:sz w:val="28"/>
          <w:szCs w:val="28"/>
        </w:rPr>
        <w:t>, a rezime ostvarenog napretka izdvojen je u poglavlju 3.2.</w:t>
      </w:r>
    </w:p>
    <w:p w:rsidR="00644F2A" w:rsidRDefault="00644F2A" w:rsidP="00644F2A">
      <w:pPr>
        <w:pStyle w:val="BasicParagraph"/>
        <w:suppressAutoHyphens/>
        <w:jc w:val="both"/>
        <w:rPr>
          <w:rFonts w:ascii="Garamond" w:hAnsi="Garamond" w:cs="Garamond"/>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r w:rsidR="00643FC0">
        <w:rPr>
          <w:rFonts w:ascii="Garamond" w:hAnsi="Garamond" w:cs="Garamond"/>
          <w:color w:val="0070C0"/>
          <w:sz w:val="28"/>
          <w:szCs w:val="28"/>
        </w:rPr>
        <w:t>:</w:t>
      </w:r>
      <w:r w:rsidRPr="00821309">
        <w:rPr>
          <w:rFonts w:ascii="Garamond" w:hAnsi="Garamond" w:cs="Garamond"/>
          <w:color w:val="0070C0"/>
          <w:sz w:val="28"/>
          <w:szCs w:val="28"/>
        </w:rPr>
        <w:t xml:space="preserve"> </w:t>
      </w:r>
    </w:p>
    <w:p w:rsidR="00644F2A" w:rsidRPr="00821309" w:rsidRDefault="00644F2A" w:rsidP="00644F2A">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Značaj</w:t>
      </w:r>
      <w:r w:rsidR="007E5DBE">
        <w:rPr>
          <w:rFonts w:ascii="Garamond" w:hAnsi="Garamond" w:cs="Garamond"/>
          <w:color w:val="0070C0"/>
          <w:sz w:val="28"/>
          <w:szCs w:val="28"/>
        </w:rPr>
        <w:t xml:space="preserve"> internacionalizacije i poziti</w:t>
      </w:r>
      <w:r w:rsidRPr="00821309">
        <w:rPr>
          <w:rFonts w:ascii="Garamond" w:hAnsi="Garamond" w:cs="Garamond"/>
          <w:color w:val="0070C0"/>
          <w:sz w:val="28"/>
          <w:szCs w:val="28"/>
        </w:rPr>
        <w:t>vni efekti koji se postižu njenim razvojem zahtijev</w:t>
      </w:r>
      <w:r w:rsidR="007E5DBE">
        <w:rPr>
          <w:rFonts w:ascii="Garamond" w:hAnsi="Garamond" w:cs="Garamond"/>
          <w:color w:val="0070C0"/>
          <w:sz w:val="28"/>
          <w:szCs w:val="28"/>
        </w:rPr>
        <w:t>aju da se u narednom periodu internacionalizacija</w:t>
      </w:r>
      <w:r w:rsidRPr="00821309">
        <w:rPr>
          <w:rFonts w:ascii="Garamond" w:hAnsi="Garamond" w:cs="Garamond"/>
          <w:color w:val="0070C0"/>
          <w:sz w:val="28"/>
          <w:szCs w:val="28"/>
        </w:rPr>
        <w:t xml:space="preserve"> dodatno pospiješi aktivnim učešćem svih ko</w:t>
      </w:r>
      <w:r w:rsidR="007E5DBE">
        <w:rPr>
          <w:rFonts w:ascii="Garamond" w:hAnsi="Garamond" w:cs="Garamond"/>
          <w:color w:val="0070C0"/>
          <w:sz w:val="28"/>
          <w:szCs w:val="28"/>
        </w:rPr>
        <w:t>ji učestvuju</w:t>
      </w:r>
      <w:r w:rsidRPr="00821309">
        <w:rPr>
          <w:rFonts w:ascii="Garamond" w:hAnsi="Garamond" w:cs="Garamond"/>
          <w:color w:val="0070C0"/>
          <w:sz w:val="28"/>
          <w:szCs w:val="28"/>
        </w:rPr>
        <w:t xml:space="preserve"> u visokom obrazovanju. Koristeći nesporne mogućnosti koje se nude u ovoj oblasti i nesumnj</w:t>
      </w:r>
      <w:r w:rsidR="007E5DBE">
        <w:rPr>
          <w:rFonts w:ascii="Garamond" w:hAnsi="Garamond" w:cs="Garamond"/>
          <w:color w:val="0070C0"/>
          <w:sz w:val="28"/>
          <w:szCs w:val="28"/>
        </w:rPr>
        <w:t>ivo višestruke pozitivne efekte od svih</w:t>
      </w:r>
      <w:r w:rsidRPr="00821309">
        <w:rPr>
          <w:rFonts w:ascii="Garamond" w:hAnsi="Garamond" w:cs="Garamond"/>
          <w:color w:val="0070C0"/>
          <w:sz w:val="28"/>
          <w:szCs w:val="28"/>
        </w:rPr>
        <w:t xml:space="preserve"> oblika internacionalnog povezivanja, </w:t>
      </w:r>
      <w:r w:rsidR="007E5DBE">
        <w:rPr>
          <w:rFonts w:ascii="Garamond" w:hAnsi="Garamond" w:cs="Garamond"/>
          <w:color w:val="0070C0"/>
          <w:sz w:val="28"/>
          <w:szCs w:val="28"/>
        </w:rPr>
        <w:t>potrebno je</w:t>
      </w:r>
      <w:r w:rsidRPr="00821309">
        <w:rPr>
          <w:rFonts w:ascii="Garamond" w:hAnsi="Garamond" w:cs="Garamond"/>
          <w:color w:val="0070C0"/>
          <w:sz w:val="28"/>
          <w:szCs w:val="28"/>
        </w:rPr>
        <w:t xml:space="preserve"> kreira</w:t>
      </w:r>
      <w:r w:rsidR="007E5DBE">
        <w:rPr>
          <w:rFonts w:ascii="Garamond" w:hAnsi="Garamond" w:cs="Garamond"/>
          <w:color w:val="0070C0"/>
          <w:sz w:val="28"/>
          <w:szCs w:val="28"/>
        </w:rPr>
        <w:t>ti</w:t>
      </w:r>
      <w:r w:rsidR="002F3C30">
        <w:rPr>
          <w:rFonts w:ascii="Garamond" w:hAnsi="Garamond" w:cs="Garamond"/>
          <w:color w:val="0070C0"/>
          <w:sz w:val="28"/>
          <w:szCs w:val="28"/>
        </w:rPr>
        <w:t xml:space="preserve"> uslove da internacionalizacija bude</w:t>
      </w:r>
      <w:r w:rsidRPr="00821309">
        <w:rPr>
          <w:rFonts w:ascii="Garamond" w:hAnsi="Garamond" w:cs="Garamond"/>
          <w:color w:val="0070C0"/>
          <w:sz w:val="28"/>
          <w:szCs w:val="28"/>
        </w:rPr>
        <w:t xml:space="preserve"> važan selekcioni kriterijumom kod ocjene rezultata rada svih učesnika u viso</w:t>
      </w:r>
      <w:r w:rsidR="002F3C30">
        <w:rPr>
          <w:rFonts w:ascii="Garamond" w:hAnsi="Garamond" w:cs="Garamond"/>
          <w:color w:val="0070C0"/>
          <w:sz w:val="28"/>
          <w:szCs w:val="28"/>
        </w:rPr>
        <w:t>kom obrazovanju</w:t>
      </w:r>
      <w:r w:rsidRPr="00821309">
        <w:rPr>
          <w:rFonts w:ascii="Garamond" w:hAnsi="Garamond" w:cs="Garamond"/>
          <w:color w:val="0070C0"/>
          <w:sz w:val="28"/>
          <w:szCs w:val="28"/>
        </w:rPr>
        <w:t xml:space="preserve">. </w:t>
      </w:r>
    </w:p>
    <w:p w:rsidR="00644F2A" w:rsidRPr="00821309" w:rsidRDefault="00644F2A" w:rsidP="00644F2A">
      <w:pPr>
        <w:pStyle w:val="BasicParagraph"/>
        <w:suppressAutoHyphens/>
        <w:ind w:left="1247" w:right="1134"/>
        <w:jc w:val="both"/>
        <w:rPr>
          <w:rFonts w:ascii="Garamond" w:hAnsi="Garamond" w:cs="Garamond"/>
          <w:color w:val="0070C0"/>
          <w:sz w:val="28"/>
          <w:szCs w:val="28"/>
        </w:rPr>
      </w:pPr>
      <w:r w:rsidRPr="00821309">
        <w:rPr>
          <w:rFonts w:ascii="Garamond" w:hAnsi="Garamond" w:cs="Garamond"/>
          <w:color w:val="0070C0"/>
          <w:sz w:val="28"/>
          <w:szCs w:val="28"/>
        </w:rPr>
        <w:t>Kao izazov u narednom periodu i cilj ostaje rad na osnivanju nacionalne agencije za programe EU, što je predviđeno i Zakonom o visokom obrazovanju.</w:t>
      </w:r>
      <w:r w:rsidR="002F3C30">
        <w:rPr>
          <w:rFonts w:ascii="Garamond" w:hAnsi="Garamond" w:cs="Garamond"/>
          <w:color w:val="0070C0"/>
          <w:sz w:val="28"/>
          <w:szCs w:val="28"/>
        </w:rPr>
        <w:t xml:space="preserve"> </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644F2A" w:rsidRDefault="001A25FD"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2.10</w:t>
      </w:r>
      <w:r w:rsidR="00644F2A">
        <w:rPr>
          <w:rFonts w:ascii="Garamond" w:hAnsi="Garamond" w:cs="Garamond"/>
          <w:b/>
          <w:bCs/>
          <w:sz w:val="28"/>
          <w:szCs w:val="28"/>
        </w:rPr>
        <w:t xml:space="preserve"> Karijerno savjetovanje</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lastRenderedPageBreak/>
        <w:t>Strategija cjeloživotne karijerne orijentacije u Crnoj Gori (2011-2015) sadržala je prvi opšti okvir za razvoj cjeloživotnog karijernog savjetovanja i informisanja. Sveukupni cilj je bio da se pripremi sistemski pristup karijernom savjetovanju, u skladu sa preporukama iz dokumenata, donešenih od strane nadležnih organa i tijela Evropske unije. Sistemsko uređenje karijernog savjetovanja važno je zbog toga što je ova oblast direktno povezana s politikama obrazovanja, zapošljavanja, ekonomskog i socijalnog razvoja. Strategija cjeloživotne karijerne orijentacije u Crnoj Gori</w:t>
      </w:r>
      <w:r w:rsidR="00B659C3">
        <w:rPr>
          <w:rFonts w:ascii="Garamond" w:hAnsi="Garamond" w:cs="Garamond"/>
          <w:sz w:val="28"/>
          <w:szCs w:val="28"/>
        </w:rPr>
        <w:t xml:space="preserve"> </w:t>
      </w:r>
      <w:r>
        <w:rPr>
          <w:rFonts w:ascii="Garamond" w:hAnsi="Garamond" w:cs="Garamond"/>
          <w:sz w:val="28"/>
          <w:szCs w:val="28"/>
        </w:rPr>
        <w:t xml:space="preserve">(2016-2020) </w:t>
      </w:r>
      <w:r w:rsidR="00B659C3">
        <w:rPr>
          <w:rFonts w:ascii="Garamond" w:hAnsi="Garamond" w:cs="Garamond"/>
          <w:sz w:val="28"/>
          <w:szCs w:val="28"/>
        </w:rPr>
        <w:t xml:space="preserve">temeljila se </w:t>
      </w:r>
      <w:r>
        <w:rPr>
          <w:rFonts w:ascii="Garamond" w:hAnsi="Garamond" w:cs="Garamond"/>
          <w:sz w:val="28"/>
          <w:szCs w:val="28"/>
        </w:rPr>
        <w:t xml:space="preserve">na potrebi da se dalje unapređuje sistem karijernog savjetovanja kroz definisanje prioriteta, mjera i aktivnosti za njihovo ostvarivanje. Unapređenje karijernog savjetovanja u visokom obrazovanju se </w:t>
      </w:r>
      <w:r w:rsidR="00B659C3">
        <w:rPr>
          <w:rFonts w:ascii="Garamond" w:hAnsi="Garamond" w:cs="Garamond"/>
          <w:sz w:val="28"/>
          <w:szCs w:val="28"/>
        </w:rPr>
        <w:t>postavlja kao jedan od ciljeva i ove Strategije</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Karijerni savjetnici u obrazovanju: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Savjetuju učenike i studente u donošenju kompleksnih odluka u izboru daljeg obrazovanja, stručnog usavršavanja i zanimanja, u skladu sa njihovim talentima, sklonostima i interesovanjima.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Pružaju neophodne informacije o najadekvatnijem profilima zanimanja, tržištu rada, načinima usavršavanja i zapošljavanju.</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Fokus u karijernom savjetovanju je povezivanje oblasti obrazovanja i karijere, nastavak ili promjena u obrazovnom putu ili karijeri, napredovanje u karijeri i druga pitanja koja se odnose na širi pojam karijere.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U oblasti zapošljavanja i tržišta rada, karijerno savjetovanje se realizuje unutar Zavoda za zapošljavanje kroz rad Centara za informisanje i profesionalno savjetovanje (CIPS). U ovim centrima mogu se dobiti informacije o mogućnostima zapošljavanja, stanju na tržištu rada, informacije o obrazovanim programima, zanimanjima, učeničkim i studentskim domovima, mogućnostima obrazovanja i stipendiranja.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 obrazovanju karijerno savjetovanje je organizovano kroz rad školskih karijernih timova u osnovnim i srednjim školama i kroz rad univerzitetskog karijernog centra u visokom obrazovanju. Za unapređenje karijernog savjetovanja pripremiljeno je niz veoma korisnih publikacije, sprovode se</w:t>
      </w:r>
      <w:r w:rsidR="00B659C3">
        <w:rPr>
          <w:rFonts w:ascii="Garamond" w:hAnsi="Garamond" w:cs="Garamond"/>
          <w:sz w:val="28"/>
          <w:szCs w:val="28"/>
        </w:rPr>
        <w:t xml:space="preserve"> brojna istraživanja u oblasti</w:t>
      </w:r>
      <w:r>
        <w:rPr>
          <w:rFonts w:ascii="Garamond" w:hAnsi="Garamond" w:cs="Garamond"/>
          <w:sz w:val="28"/>
          <w:szCs w:val="28"/>
        </w:rPr>
        <w:t xml:space="preserve"> tržišta rada.</w:t>
      </w:r>
    </w:p>
    <w:p w:rsidR="00644F2A" w:rsidRDefault="00644F2A" w:rsidP="00644F2A">
      <w:pPr>
        <w:pStyle w:val="BasicParagraph"/>
        <w:suppressAutoHyphens/>
        <w:jc w:val="both"/>
        <w:rPr>
          <w:rFonts w:ascii="Garamond" w:hAnsi="Garamond" w:cs="Garamond"/>
          <w:sz w:val="28"/>
          <w:szCs w:val="28"/>
        </w:rPr>
      </w:pPr>
    </w:p>
    <w:p w:rsidR="00644F2A" w:rsidRDefault="00644F2A" w:rsidP="00644F2A">
      <w:pPr>
        <w:pStyle w:val="BasicParagraph"/>
        <w:suppressAutoHyphens/>
        <w:jc w:val="both"/>
        <w:rPr>
          <w:rFonts w:ascii="Garamond" w:hAnsi="Garamond" w:cs="Garamond"/>
          <w:sz w:val="28"/>
          <w:szCs w:val="28"/>
        </w:rPr>
      </w:pPr>
    </w:p>
    <w:p w:rsidR="00D546DD" w:rsidRDefault="00D546DD" w:rsidP="00644F2A">
      <w:pPr>
        <w:pStyle w:val="BasicParagraph"/>
        <w:suppressAutoHyphens/>
        <w:ind w:left="1247" w:right="1134" w:hanging="170"/>
        <w:jc w:val="both"/>
        <w:rPr>
          <w:rFonts w:ascii="Garamond" w:hAnsi="Garamond" w:cs="Garamond"/>
          <w:color w:val="00FFFF"/>
          <w:sz w:val="28"/>
          <w:szCs w:val="28"/>
        </w:rPr>
      </w:pP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Zaključak</w:t>
      </w:r>
      <w:r w:rsidR="00643FC0">
        <w:rPr>
          <w:rFonts w:ascii="Garamond" w:hAnsi="Garamond" w:cs="Garamond"/>
          <w:color w:val="0070C0"/>
          <w:sz w:val="28"/>
          <w:szCs w:val="28"/>
        </w:rPr>
        <w:t>:</w:t>
      </w:r>
      <w:r w:rsidRPr="00821309">
        <w:rPr>
          <w:rFonts w:ascii="Garamond" w:hAnsi="Garamond" w:cs="Garamond"/>
          <w:color w:val="0070C0"/>
          <w:sz w:val="28"/>
          <w:szCs w:val="28"/>
        </w:rPr>
        <w:t xml:space="preserve">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 xml:space="preserve">Karijerno savjetovanje u visokom obrazovanju usmjeriti na: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Uspostavljanje funkcionalnog sistema kroz izgradnju kapaciteta univerzitetskih karijernih centara.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Obuku za karijerne savjetnike u obrazovanju.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lastRenderedPageBreak/>
        <w:t>-</w:t>
      </w:r>
      <w:r w:rsidRPr="00821309">
        <w:rPr>
          <w:rFonts w:ascii="Garamond" w:hAnsi="Garamond" w:cs="Garamond"/>
          <w:color w:val="0070C0"/>
          <w:sz w:val="28"/>
          <w:szCs w:val="28"/>
        </w:rPr>
        <w:tab/>
        <w:t xml:space="preserve">Umrežavanje ključnih aktera na svim nivoima.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Razvoj i realizaciju programa karijernog savjetovanja (koristeći: treninge, mentorstvo, savjetovanje, razvijanje standarda, saradnju sa tržištem rada itd.).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r w:rsidRPr="00821309">
        <w:rPr>
          <w:rFonts w:ascii="Garamond" w:hAnsi="Garamond" w:cs="Garamond"/>
          <w:color w:val="0070C0"/>
          <w:sz w:val="28"/>
          <w:szCs w:val="28"/>
        </w:rPr>
        <w:t>-</w:t>
      </w:r>
      <w:r w:rsidRPr="00821309">
        <w:rPr>
          <w:rFonts w:ascii="Garamond" w:hAnsi="Garamond" w:cs="Garamond"/>
          <w:color w:val="0070C0"/>
          <w:sz w:val="28"/>
          <w:szCs w:val="28"/>
        </w:rPr>
        <w:tab/>
        <w:t xml:space="preserve">Obezbjeđenje kvaliteta realizacije programa karijernog savjetovanja.   </w:t>
      </w:r>
    </w:p>
    <w:p w:rsidR="00644F2A" w:rsidRPr="00821309" w:rsidRDefault="00644F2A" w:rsidP="00644F2A">
      <w:pPr>
        <w:pStyle w:val="BasicParagraph"/>
        <w:suppressAutoHyphens/>
        <w:ind w:left="1247" w:right="1134" w:hanging="170"/>
        <w:jc w:val="both"/>
        <w:rPr>
          <w:rFonts w:ascii="Garamond" w:hAnsi="Garamond" w:cs="Garamond"/>
          <w:color w:val="0070C0"/>
          <w:sz w:val="28"/>
          <w:szCs w:val="28"/>
        </w:rPr>
      </w:pPr>
    </w:p>
    <w:p w:rsidR="00644F2A" w:rsidRDefault="00644F2A" w:rsidP="00644F2A">
      <w:pPr>
        <w:pStyle w:val="BasicParagraph"/>
        <w:suppressAutoHyphens/>
        <w:ind w:left="1247" w:right="1134" w:hanging="170"/>
        <w:jc w:val="both"/>
        <w:rPr>
          <w:rFonts w:ascii="Garamond" w:hAnsi="Garamond" w:cs="Garamond"/>
          <w:color w:val="00FFFF"/>
          <w:sz w:val="28"/>
          <w:szCs w:val="28"/>
        </w:rPr>
      </w:pPr>
    </w:p>
    <w:p w:rsidR="00644F2A" w:rsidRDefault="00644F2A"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475F16" w:rsidRDefault="00475F16"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 xml:space="preserve">3. CILJEVI </w:t>
      </w:r>
      <w:r w:rsidR="001A25FD">
        <w:rPr>
          <w:rFonts w:ascii="Garamond" w:hAnsi="Garamond" w:cs="Garamond"/>
          <w:b/>
          <w:bCs/>
          <w:sz w:val="28"/>
          <w:szCs w:val="28"/>
        </w:rPr>
        <w:t>I INDIKATORI</w:t>
      </w: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18"/>
        <w:gridCol w:w="2041"/>
        <w:gridCol w:w="1814"/>
        <w:gridCol w:w="3523"/>
      </w:tblGrid>
      <w:tr w:rsidR="00644F2A">
        <w:trPr>
          <w:trHeight w:val="60"/>
        </w:trPr>
        <w:tc>
          <w:tcPr>
            <w:tcW w:w="9796"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STRATEŠKI CILJ 1: BOLJA USKLAĐENOST STUDIJSKIH PROGRAMA SA POTREBAMA TRŽIŠTA RADA</w:t>
            </w:r>
          </w:p>
        </w:tc>
      </w:tr>
      <w:tr w:rsidR="00644F2A">
        <w:trPr>
          <w:trHeight w:val="60"/>
        </w:trPr>
        <w:tc>
          <w:tcPr>
            <w:tcW w:w="2418"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Operativni ciljevi</w:t>
            </w:r>
          </w:p>
        </w:tc>
        <w:tc>
          <w:tcPr>
            <w:tcW w:w="2041"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Aktivnosti</w:t>
            </w:r>
          </w:p>
        </w:tc>
        <w:tc>
          <w:tcPr>
            <w:tcW w:w="181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Nadležnost</w:t>
            </w:r>
          </w:p>
        </w:tc>
        <w:tc>
          <w:tcPr>
            <w:tcW w:w="3523"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Indikator</w:t>
            </w:r>
          </w:p>
        </w:tc>
      </w:tr>
      <w:tr w:rsidR="00644F2A">
        <w:trPr>
          <w:trHeight w:val="5440"/>
        </w:trPr>
        <w:tc>
          <w:tcPr>
            <w:tcW w:w="2418" w:type="dxa"/>
            <w:vMerge w:val="restart"/>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lastRenderedPageBreak/>
              <w:t xml:space="preserve">OPERATIVNI CILJ 1 </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REFORMA STUDIJSKIH PROGRAMA OSNOVNIH I MASTER STUDIJA S POSEBNIM FOKUSOM NA ISHODE UČENJA</w:t>
            </w:r>
          </w:p>
          <w:p w:rsidR="00644F2A" w:rsidRDefault="00644F2A">
            <w:pPr>
              <w:pStyle w:val="BasicParagraph"/>
              <w:suppressAutoHyphens/>
            </w:pPr>
          </w:p>
        </w:tc>
        <w:tc>
          <w:tcPr>
            <w:tcW w:w="204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1.1. Analiza studijskih programa. </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1.2. Analiza i redefinisanje ishoda učenja. </w:t>
            </w:r>
          </w:p>
          <w:p w:rsidR="00644F2A" w:rsidRDefault="00644F2A">
            <w:pPr>
              <w:pStyle w:val="BasicParagraph"/>
              <w:suppressAutoHyphens/>
            </w:pPr>
          </w:p>
        </w:tc>
        <w:tc>
          <w:tcPr>
            <w:tcW w:w="1814"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Ministarstvo prosvjete, nauke, kulture i sporta; Agencija za osiguranje </w:t>
            </w:r>
            <w:r w:rsidR="00B659C3">
              <w:rPr>
                <w:rFonts w:ascii="Garamond" w:hAnsi="Garamond" w:cs="Garamond"/>
              </w:rPr>
              <w:t>kvaliteta u visokom obrazovanju; i</w:t>
            </w:r>
            <w:r>
              <w:rPr>
                <w:rFonts w:ascii="Garamond" w:hAnsi="Garamond" w:cs="Garamond"/>
              </w:rPr>
              <w:t xml:space="preserve"> ustanove visokog obrazovanja</w:t>
            </w:r>
          </w:p>
        </w:tc>
        <w:tc>
          <w:tcPr>
            <w:tcW w:w="3523"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Smanjen broj nezaposlenih visokoškolaca za 5% na godišnjem nivou</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Izvještaji o studijskim program</w:t>
            </w:r>
            <w:r w:rsidR="005D50FB">
              <w:rPr>
                <w:rFonts w:ascii="Garamond" w:hAnsi="Garamond" w:cs="Garamond"/>
              </w:rPr>
              <w:t>ima za koje je završena analiza na osnovu:</w:t>
            </w:r>
          </w:p>
          <w:p w:rsidR="00644F2A" w:rsidRDefault="00644F2A">
            <w:pPr>
              <w:pStyle w:val="BasicParagraph"/>
              <w:suppressAutoHyphens/>
              <w:rPr>
                <w:rFonts w:ascii="Garamond" w:hAnsi="Garamond" w:cs="Garamond"/>
              </w:rPr>
            </w:pPr>
            <w:r>
              <w:rPr>
                <w:rFonts w:ascii="Garamond" w:hAnsi="Garamond" w:cs="Garamond"/>
              </w:rPr>
              <w:t xml:space="preserve">- Ispitivanja studenata i nastavnika o realizaciji obrazovnog procesa. </w:t>
            </w:r>
          </w:p>
          <w:p w:rsidR="00644F2A" w:rsidRDefault="00644F2A">
            <w:pPr>
              <w:pStyle w:val="BasicParagraph"/>
              <w:suppressAutoHyphens/>
              <w:rPr>
                <w:rFonts w:ascii="Garamond" w:hAnsi="Garamond" w:cs="Garamond"/>
              </w:rPr>
            </w:pPr>
            <w:r>
              <w:rPr>
                <w:rFonts w:ascii="Garamond" w:hAnsi="Garamond" w:cs="Garamond"/>
              </w:rPr>
              <w:t xml:space="preserve">- Ocjene i sugestije dobijene anketiranjem studenata </w:t>
            </w:r>
            <w:r w:rsidR="00B659C3">
              <w:rPr>
                <w:rFonts w:ascii="Garamond" w:hAnsi="Garamond" w:cs="Garamond"/>
              </w:rPr>
              <w:t>u</w:t>
            </w:r>
            <w:r>
              <w:rPr>
                <w:rFonts w:ascii="Garamond" w:hAnsi="Garamond" w:cs="Garamond"/>
              </w:rPr>
              <w:t xml:space="preserve"> vrednovanj</w:t>
            </w:r>
            <w:r w:rsidR="00B659C3">
              <w:rPr>
                <w:rFonts w:ascii="Garamond" w:hAnsi="Garamond" w:cs="Garamond"/>
              </w:rPr>
              <w:t>u</w:t>
            </w:r>
            <w:r>
              <w:rPr>
                <w:rFonts w:ascii="Garamond" w:hAnsi="Garamond" w:cs="Garamond"/>
              </w:rPr>
              <w:t xml:space="preserve"> nastave i ispita. </w:t>
            </w:r>
          </w:p>
          <w:p w:rsidR="00644F2A" w:rsidRDefault="00644F2A">
            <w:pPr>
              <w:pStyle w:val="BasicParagraph"/>
              <w:suppressAutoHyphens/>
              <w:rPr>
                <w:rFonts w:ascii="Garamond" w:hAnsi="Garamond" w:cs="Garamond"/>
              </w:rPr>
            </w:pPr>
            <w:r>
              <w:rPr>
                <w:rFonts w:ascii="Garamond" w:hAnsi="Garamond" w:cs="Garamond"/>
              </w:rPr>
              <w:t>-</w:t>
            </w:r>
            <w:r w:rsidR="00B659C3">
              <w:rPr>
                <w:rFonts w:ascii="Garamond" w:hAnsi="Garamond" w:cs="Garamond"/>
              </w:rPr>
              <w:t xml:space="preserve"> Ocjene i sugestije dobijene anketiranjem</w:t>
            </w:r>
            <w:r>
              <w:rPr>
                <w:rFonts w:ascii="Garamond" w:hAnsi="Garamond" w:cs="Garamond"/>
              </w:rPr>
              <w:t xml:space="preserve"> poslodavaca</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Ishodi učenja na svim studijs</w:t>
            </w:r>
            <w:r w:rsidR="005D50FB">
              <w:rPr>
                <w:rFonts w:ascii="Garamond" w:hAnsi="Garamond" w:cs="Garamond"/>
              </w:rPr>
              <w:t>kim</w:t>
            </w:r>
            <w:r>
              <w:rPr>
                <w:rFonts w:ascii="Garamond" w:hAnsi="Garamond" w:cs="Garamond"/>
              </w:rPr>
              <w:t xml:space="preserve"> programi analizirani i redefinisani. </w:t>
            </w:r>
          </w:p>
        </w:tc>
      </w:tr>
      <w:tr w:rsidR="00644F2A">
        <w:trPr>
          <w:trHeight w:val="2717"/>
        </w:trPr>
        <w:tc>
          <w:tcPr>
            <w:tcW w:w="2418"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1.3. Priprema standarda i smjernica za akreditaciju studijskih programa u cilju unapređenja metoda nastave i učenja.</w:t>
            </w: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Agencija za osiguranje kvaliteta u visokom obrazovanju (AKOKVO);</w:t>
            </w:r>
          </w:p>
          <w:p w:rsidR="00644F2A" w:rsidRDefault="005D50FB">
            <w:pPr>
              <w:pStyle w:val="BasicParagraph"/>
              <w:suppressAutoHyphens/>
            </w:pPr>
            <w:r>
              <w:rPr>
                <w:rFonts w:ascii="Garamond" w:hAnsi="Garamond" w:cs="Garamond"/>
              </w:rPr>
              <w:t>MPNKS</w:t>
            </w:r>
            <w:r w:rsidR="00644F2A">
              <w:rPr>
                <w:rFonts w:ascii="Garamond" w:hAnsi="Garamond" w:cs="Garamond"/>
              </w:rPr>
              <w:t xml:space="preserve">. </w:t>
            </w: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Povećan stepen zadovoljstva studenata metodama nastave i učenja na studijskim programima.</w:t>
            </w:r>
          </w:p>
        </w:tc>
      </w:tr>
      <w:tr w:rsidR="00644F2A">
        <w:trPr>
          <w:trHeight w:val="2409"/>
        </w:trPr>
        <w:tc>
          <w:tcPr>
            <w:tcW w:w="2418"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rPr>
                <w:lang w:val="fr-FR"/>
              </w:rPr>
            </w:pPr>
            <w:r w:rsidRPr="005D5EC6">
              <w:rPr>
                <w:rFonts w:ascii="Garamond" w:hAnsi="Garamond" w:cs="Garamond"/>
                <w:lang w:val="fr-FR"/>
              </w:rPr>
              <w:t>1.4. Priprema novih</w:t>
            </w:r>
            <w:r w:rsidR="005D50FB" w:rsidRPr="005D5EC6">
              <w:rPr>
                <w:rFonts w:ascii="Garamond" w:hAnsi="Garamond" w:cs="Garamond"/>
                <w:lang w:val="fr-FR"/>
              </w:rPr>
              <w:t xml:space="preserve"> </w:t>
            </w:r>
            <w:r w:rsidRPr="005D5EC6">
              <w:rPr>
                <w:rFonts w:ascii="Garamond" w:hAnsi="Garamond" w:cs="Garamond"/>
                <w:lang w:val="fr-FR"/>
              </w:rPr>
              <w:t xml:space="preserve"> kurikuluma u cilju inovacije.</w:t>
            </w: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Ustanove visokog obrazovanja; </w:t>
            </w:r>
          </w:p>
          <w:p w:rsidR="00644F2A" w:rsidRDefault="00644F2A">
            <w:pPr>
              <w:pStyle w:val="BasicParagraph"/>
              <w:suppressAutoHyphens/>
              <w:rPr>
                <w:rFonts w:ascii="Garamond" w:hAnsi="Garamond" w:cs="Garamond"/>
              </w:rPr>
            </w:pPr>
            <w:r>
              <w:rPr>
                <w:rFonts w:ascii="Garamond" w:hAnsi="Garamond" w:cs="Garamond"/>
              </w:rPr>
              <w:t>Privredna komora (sektor kome pripada studijski program);</w:t>
            </w:r>
          </w:p>
          <w:p w:rsidR="00644F2A" w:rsidRDefault="00644F2A">
            <w:pPr>
              <w:pStyle w:val="BasicParagraph"/>
              <w:suppressAutoHyphens/>
            </w:pPr>
            <w:r>
              <w:rPr>
                <w:rFonts w:ascii="Garamond" w:hAnsi="Garamond" w:cs="Garamond"/>
              </w:rPr>
              <w:t>MPNKS - SVO.</w:t>
            </w: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Broj studijskih programa za koje je završena javna prezentiacija.</w:t>
            </w:r>
          </w:p>
        </w:tc>
      </w:tr>
      <w:tr w:rsidR="00644F2A">
        <w:trPr>
          <w:trHeight w:val="1889"/>
        </w:trPr>
        <w:tc>
          <w:tcPr>
            <w:tcW w:w="2418"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1.5. Akreditacija/reakreditacija studijskih programa i razvijanje kvalifikacija.</w:t>
            </w: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Agencija AKOKVO,</w:t>
            </w:r>
          </w:p>
          <w:p w:rsidR="00644F2A" w:rsidRDefault="00644F2A">
            <w:pPr>
              <w:pStyle w:val="BasicParagraph"/>
              <w:suppressAutoHyphens/>
            </w:pPr>
            <w:r>
              <w:rPr>
                <w:rFonts w:ascii="Garamond" w:hAnsi="Garamond" w:cs="Garamond"/>
              </w:rPr>
              <w:t>Savjeti za kvalifikacije.</w:t>
            </w: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F0512A" w:rsidP="00F0512A">
            <w:pPr>
              <w:pStyle w:val="BasicParagraph"/>
              <w:suppressAutoHyphens/>
            </w:pPr>
            <w:r>
              <w:rPr>
                <w:rFonts w:ascii="Garamond" w:hAnsi="Garamond" w:cs="Garamond"/>
              </w:rPr>
              <w:t>A</w:t>
            </w:r>
            <w:r w:rsidR="00644F2A">
              <w:rPr>
                <w:rFonts w:ascii="Garamond" w:hAnsi="Garamond" w:cs="Garamond"/>
              </w:rPr>
              <w:t>kreditovani</w:t>
            </w:r>
            <w:r>
              <w:rPr>
                <w:rFonts w:ascii="Garamond" w:hAnsi="Garamond" w:cs="Garamond"/>
              </w:rPr>
              <w:t xml:space="preserve"> studijski programi</w:t>
            </w:r>
            <w:r w:rsidR="00644F2A">
              <w:rPr>
                <w:rFonts w:ascii="Garamond" w:hAnsi="Garamond" w:cs="Garamond"/>
              </w:rPr>
              <w:t xml:space="preserve"> za koje je razvijena</w:t>
            </w:r>
            <w:r>
              <w:rPr>
                <w:rFonts w:ascii="Garamond" w:hAnsi="Garamond" w:cs="Garamond"/>
              </w:rPr>
              <w:t xml:space="preserve"> nova</w:t>
            </w:r>
            <w:r w:rsidR="00644F2A">
              <w:rPr>
                <w:rFonts w:ascii="Garamond" w:hAnsi="Garamond" w:cs="Garamond"/>
              </w:rPr>
              <w:t xml:space="preserve"> kvalifikacija i </w:t>
            </w:r>
            <w:r>
              <w:rPr>
                <w:rFonts w:ascii="Garamond" w:hAnsi="Garamond" w:cs="Garamond"/>
              </w:rPr>
              <w:t>i reformisani</w:t>
            </w:r>
            <w:r w:rsidR="00644F2A">
              <w:rPr>
                <w:rFonts w:ascii="Garamond" w:hAnsi="Garamond" w:cs="Garamond"/>
              </w:rPr>
              <w:t xml:space="preserve"> st</w:t>
            </w:r>
            <w:r>
              <w:rPr>
                <w:rFonts w:ascii="Garamond" w:hAnsi="Garamond" w:cs="Garamond"/>
              </w:rPr>
              <w:t>udijski programi, u skladu sa definisanim ishodima učenja</w:t>
            </w:r>
          </w:p>
        </w:tc>
      </w:tr>
      <w:tr w:rsidR="00644F2A">
        <w:trPr>
          <w:trHeight w:val="5602"/>
        </w:trPr>
        <w:tc>
          <w:tcPr>
            <w:tcW w:w="241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lastRenderedPageBreak/>
              <w:t>OPERATIVNI CILJ 2</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BOLJA </w:t>
            </w:r>
          </w:p>
          <w:p w:rsidR="00644F2A" w:rsidRDefault="00644F2A">
            <w:pPr>
              <w:pStyle w:val="BasicParagraph"/>
              <w:suppressAutoHyphens/>
              <w:rPr>
                <w:rFonts w:ascii="Garamond" w:hAnsi="Garamond" w:cs="Garamond"/>
              </w:rPr>
            </w:pPr>
            <w:r>
              <w:rPr>
                <w:rFonts w:ascii="Garamond" w:hAnsi="Garamond" w:cs="Garamond"/>
              </w:rPr>
              <w:t>PREPOZNATLJIVOST NOVIH KVALIFIKACIJA NIVOA BEČELOR I MASTER</w:t>
            </w:r>
          </w:p>
          <w:p w:rsidR="00644F2A" w:rsidRDefault="00644F2A">
            <w:pPr>
              <w:pStyle w:val="BasicParagraph"/>
              <w:suppressAutoHyphens/>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rPr>
                <w:rFonts w:ascii="Garamond" w:hAnsi="Garamond" w:cs="Garamond"/>
                <w:lang w:val="fr-FR"/>
              </w:rPr>
            </w:pPr>
            <w:r w:rsidRPr="005D5EC6">
              <w:rPr>
                <w:rFonts w:ascii="Garamond" w:hAnsi="Garamond" w:cs="Garamond"/>
                <w:lang w:val="fr-FR"/>
              </w:rPr>
              <w:t xml:space="preserve">2.1. Radni sastanci sa poslodavcima o potrebi </w:t>
            </w:r>
          </w:p>
          <w:p w:rsidR="00644F2A" w:rsidRPr="005D5EC6" w:rsidRDefault="00D522E8">
            <w:pPr>
              <w:pStyle w:val="BasicParagraph"/>
              <w:suppressAutoHyphens/>
              <w:rPr>
                <w:rFonts w:ascii="Garamond" w:hAnsi="Garamond" w:cs="Garamond"/>
                <w:lang w:val="fr-FR"/>
              </w:rPr>
            </w:pPr>
            <w:r w:rsidRPr="005D5EC6">
              <w:rPr>
                <w:rFonts w:ascii="Garamond" w:hAnsi="Garamond" w:cs="Garamond"/>
                <w:lang w:val="fr-FR"/>
              </w:rPr>
              <w:t>prilagođavanja</w:t>
            </w:r>
            <w:r w:rsidR="00644F2A" w:rsidRPr="005D5EC6">
              <w:rPr>
                <w:rFonts w:ascii="Garamond" w:hAnsi="Garamond" w:cs="Garamond"/>
                <w:lang w:val="fr-FR"/>
              </w:rPr>
              <w:t xml:space="preserve"> pravilnika o unutrašnjoj organizaciji i sistematizaciji radnih mjesta za zapošljavanje visokoškolaca nivoa obrazovan</w:t>
            </w:r>
            <w:r w:rsidR="005D50FB" w:rsidRPr="005D5EC6">
              <w:rPr>
                <w:rFonts w:ascii="Garamond" w:hAnsi="Garamond" w:cs="Garamond"/>
                <w:lang w:val="fr-FR"/>
              </w:rPr>
              <w:t>ja bečelor i ma</w:t>
            </w:r>
            <w:r w:rsidR="00644F2A" w:rsidRPr="005D5EC6">
              <w:rPr>
                <w:rFonts w:ascii="Garamond" w:hAnsi="Garamond" w:cs="Garamond"/>
                <w:lang w:val="fr-FR"/>
              </w:rPr>
              <w:t xml:space="preserve">ster. </w:t>
            </w:r>
          </w:p>
          <w:p w:rsidR="00644F2A" w:rsidRPr="005D5EC6" w:rsidRDefault="00644F2A">
            <w:pPr>
              <w:pStyle w:val="BasicParagraph"/>
              <w:suppressAutoHyphens/>
              <w:rPr>
                <w:rFonts w:ascii="Garamond" w:hAnsi="Garamond" w:cs="Garamond"/>
                <w:lang w:val="fr-FR"/>
              </w:rPr>
            </w:pPr>
          </w:p>
          <w:p w:rsidR="00644F2A" w:rsidRDefault="00644F2A">
            <w:pPr>
              <w:pStyle w:val="BasicParagraph"/>
              <w:suppressAutoHyphens/>
            </w:pPr>
            <w:r>
              <w:rPr>
                <w:rFonts w:ascii="Garamond" w:hAnsi="Garamond" w:cs="Garamond"/>
              </w:rPr>
              <w:t>2.2. Izmjene akata o unutrašnjoj organizaciji i sistematizaciji radnih mjesta.</w:t>
            </w: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MPNKS,</w:t>
            </w:r>
          </w:p>
          <w:p w:rsidR="00644F2A" w:rsidRDefault="00644F2A">
            <w:pPr>
              <w:pStyle w:val="BasicParagraph"/>
              <w:suppressAutoHyphens/>
              <w:rPr>
                <w:rFonts w:ascii="Garamond" w:hAnsi="Garamond" w:cs="Garamond"/>
              </w:rPr>
            </w:pPr>
            <w:r>
              <w:rPr>
                <w:rFonts w:ascii="Garamond" w:hAnsi="Garamond" w:cs="Garamond"/>
              </w:rPr>
              <w:t>Zavod za zapošljavanje,</w:t>
            </w:r>
          </w:p>
          <w:p w:rsidR="00644F2A" w:rsidRDefault="00644F2A">
            <w:pPr>
              <w:pStyle w:val="BasicParagraph"/>
              <w:suppressAutoHyphens/>
              <w:rPr>
                <w:rFonts w:ascii="Garamond" w:hAnsi="Garamond" w:cs="Garamond"/>
              </w:rPr>
            </w:pPr>
            <w:r>
              <w:rPr>
                <w:rFonts w:ascii="Garamond" w:hAnsi="Garamond" w:cs="Garamond"/>
              </w:rPr>
              <w:t>Privredna komora</w:t>
            </w:r>
          </w:p>
          <w:p w:rsidR="00644F2A" w:rsidRDefault="00644F2A">
            <w:pPr>
              <w:pStyle w:val="BasicParagraph"/>
              <w:suppressAutoHyphens/>
              <w:rPr>
                <w:rFonts w:ascii="Garamond" w:hAnsi="Garamond" w:cs="Garamond"/>
              </w:rPr>
            </w:pPr>
            <w:r>
              <w:rPr>
                <w:rFonts w:ascii="Garamond" w:hAnsi="Garamond" w:cs="Garamond"/>
              </w:rPr>
              <w:t xml:space="preserve">Poslodavci(javni i privatni sektor) </w:t>
            </w:r>
          </w:p>
          <w:p w:rsidR="00644F2A" w:rsidRDefault="00644F2A">
            <w:pPr>
              <w:pStyle w:val="BasicParagraph"/>
              <w:suppressAutoHyphens/>
            </w:pP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 xml:space="preserve">Broj ustanova, odnosno komapnija koje su </w:t>
            </w:r>
            <w:r w:rsidR="00736C4F">
              <w:rPr>
                <w:rFonts w:ascii="Garamond" w:hAnsi="Garamond" w:cs="Garamond"/>
              </w:rPr>
              <w:t xml:space="preserve">u potpunosti </w:t>
            </w:r>
            <w:r>
              <w:rPr>
                <w:rFonts w:ascii="Garamond" w:hAnsi="Garamond" w:cs="Garamond"/>
              </w:rPr>
              <w:t>prilagodile pravilnik o unutrašnjoj organizaciji i sistematizaciji radnih mjesta za zapošljavanje visokoškolaca nivoa obrazovanja bečelor i master.</w:t>
            </w:r>
          </w:p>
        </w:tc>
      </w:tr>
      <w:tr w:rsidR="00644F2A">
        <w:trPr>
          <w:trHeight w:val="5669"/>
        </w:trPr>
        <w:tc>
          <w:tcPr>
            <w:tcW w:w="241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lastRenderedPageBreak/>
              <w:t>OPERATIVNI CILJ 3</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ADEKVATNA POVEZANOST I PROHODNOST IZMEĐU SREDNJEG I VISOKOG OBRAZOVANJA</w:t>
            </w:r>
          </w:p>
          <w:p w:rsidR="00644F2A" w:rsidRDefault="00644F2A">
            <w:pPr>
              <w:pStyle w:val="BasicParagraph"/>
              <w:suppressAutoHyphens/>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3.1 Priprema i usvajanje pravilnika sa kriterijumima koji obezbjeđuju konkurentnost na osnovu postignutog uspjeha i odgovarajućeg obrazovnog programa.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3.2 Unapređenje servisa za savjetovanje i podršku u planiranju  karijere u srednješkolskom i visokom obrazovanju. </w:t>
            </w: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MPNKS;</w:t>
            </w:r>
          </w:p>
          <w:p w:rsidR="00644F2A" w:rsidRDefault="00644F2A">
            <w:pPr>
              <w:pStyle w:val="BasicParagraph"/>
              <w:suppressAutoHyphens/>
              <w:rPr>
                <w:rFonts w:ascii="Garamond" w:hAnsi="Garamond" w:cs="Garamond"/>
              </w:rPr>
            </w:pPr>
            <w:r>
              <w:rPr>
                <w:rFonts w:ascii="Garamond" w:hAnsi="Garamond" w:cs="Garamond"/>
              </w:rPr>
              <w:t xml:space="preserve">Ustanove visokog obrazovanja. </w:t>
            </w:r>
          </w:p>
          <w:p w:rsidR="00644F2A" w:rsidRDefault="00644F2A">
            <w:pPr>
              <w:pStyle w:val="BasicParagraph"/>
              <w:suppressAutoHyphens/>
            </w:pP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Usvojen pravilnik za osnovne studije sa kriterijumima koji obezbjeđuju konkurentnost na osnovu postignutog uspjeha i zavrešenog srednjeg obrazovanja, uz afirmaciju specifičnosti važnih za studijski program. </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Usvojeni pravilnici za master i doktorske studije sa kriterijumima koji obezbjeđuju konkurentnost na osnovu postignutog uspjeha i rezultata u inovativnom radu i istraživanju.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Formirani i osposobljeni karijerni centri na svim </w:t>
            </w:r>
            <w:r w:rsidR="00736C4F">
              <w:rPr>
                <w:rFonts w:ascii="Garamond" w:hAnsi="Garamond" w:cs="Garamond"/>
              </w:rPr>
              <w:t>ustanovama visokog obrazovanja i</w:t>
            </w:r>
            <w:r>
              <w:rPr>
                <w:rFonts w:ascii="Garamond" w:hAnsi="Garamond" w:cs="Garamond"/>
              </w:rPr>
              <w:t xml:space="preserve"> veća uloga karijernih savjetnika u srednjim školama. </w:t>
            </w:r>
          </w:p>
        </w:tc>
      </w:tr>
      <w:tr w:rsidR="00644F2A">
        <w:trPr>
          <w:trHeight w:val="2467"/>
        </w:trPr>
        <w:tc>
          <w:tcPr>
            <w:tcW w:w="241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OPERATIVNI CILJ 4</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ODRŽIVO I ADEKVATNO FINANSIRANJE JAVNIH USTANOVA</w:t>
            </w:r>
          </w:p>
          <w:p w:rsidR="00644F2A" w:rsidRDefault="00644F2A">
            <w:pPr>
              <w:pStyle w:val="BasicParagraph"/>
              <w:suppressAutoHyphens/>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4.1 Analiza broja studenata upisanih na osnovne i master studije.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4.2 Utvrđivanje cijene koštanja studenta. </w:t>
            </w: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MPNKS;</w:t>
            </w:r>
          </w:p>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pP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Izvještaj o broju </w:t>
            </w:r>
            <w:r w:rsidR="00736C4F">
              <w:rPr>
                <w:rFonts w:ascii="Garamond" w:hAnsi="Garamond" w:cs="Garamond"/>
              </w:rPr>
              <w:t xml:space="preserve">i strukturi upisanih studenata za svaku godinu. </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Utvrđena cijena koštanja studenta za svaki studijski program. </w:t>
            </w:r>
          </w:p>
          <w:p w:rsidR="00644F2A" w:rsidRDefault="00644F2A">
            <w:pPr>
              <w:pStyle w:val="BasicParagraph"/>
              <w:suppressAutoHyphens/>
            </w:pPr>
          </w:p>
        </w:tc>
      </w:tr>
      <w:tr w:rsidR="00644F2A">
        <w:trPr>
          <w:trHeight w:val="6311"/>
        </w:trPr>
        <w:tc>
          <w:tcPr>
            <w:tcW w:w="2418"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lastRenderedPageBreak/>
              <w:t>OPERATIVNI CILJ 5</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DALJI RAZVOJ I OBAVEZNOST PRAKTIČNE NASTAVE </w:t>
            </w:r>
          </w:p>
          <w:p w:rsidR="00644F2A" w:rsidRDefault="00644F2A">
            <w:pPr>
              <w:pStyle w:val="BasicParagraph"/>
              <w:suppressAutoHyphens/>
            </w:pPr>
          </w:p>
        </w:tc>
        <w:tc>
          <w:tcPr>
            <w:tcW w:w="20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5.1. Planiranje i realizacija praktične nastave kao sastavnog dijela</w:t>
            </w:r>
          </w:p>
          <w:p w:rsidR="00644F2A" w:rsidRDefault="00736C4F">
            <w:pPr>
              <w:pStyle w:val="BasicParagraph"/>
              <w:suppressAutoHyphens/>
              <w:rPr>
                <w:rFonts w:ascii="Garamond" w:hAnsi="Garamond" w:cs="Garamond"/>
              </w:rPr>
            </w:pPr>
            <w:r>
              <w:rPr>
                <w:rFonts w:ascii="Garamond" w:hAnsi="Garamond" w:cs="Garamond"/>
              </w:rPr>
              <w:t>k</w:t>
            </w:r>
            <w:r w:rsidR="00644F2A">
              <w:rPr>
                <w:rFonts w:ascii="Garamond" w:hAnsi="Garamond" w:cs="Garamond"/>
              </w:rPr>
              <w:t xml:space="preserve">urikuluma. </w:t>
            </w:r>
          </w:p>
          <w:p w:rsidR="00644F2A" w:rsidRDefault="00644F2A">
            <w:pPr>
              <w:pStyle w:val="BasicParagraph"/>
              <w:suppressAutoHyphens/>
            </w:pPr>
          </w:p>
        </w:tc>
        <w:tc>
          <w:tcPr>
            <w:tcW w:w="18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Agencija (AKOKVO);</w:t>
            </w:r>
          </w:p>
          <w:p w:rsidR="00644F2A" w:rsidRDefault="00644F2A">
            <w:pPr>
              <w:pStyle w:val="BasicParagraph"/>
              <w:suppressAutoHyphens/>
              <w:rPr>
                <w:rFonts w:ascii="Garamond" w:hAnsi="Garamond" w:cs="Garamond"/>
              </w:rPr>
            </w:pPr>
            <w:r>
              <w:rPr>
                <w:rFonts w:ascii="Garamond" w:hAnsi="Garamond" w:cs="Garamond"/>
              </w:rPr>
              <w:t xml:space="preserve">MPNKS. </w:t>
            </w:r>
          </w:p>
          <w:p w:rsidR="00644F2A" w:rsidRDefault="00644F2A">
            <w:pPr>
              <w:pStyle w:val="BasicParagraph"/>
              <w:suppressAutoHyphens/>
            </w:pPr>
          </w:p>
        </w:tc>
        <w:tc>
          <w:tcPr>
            <w:tcW w:w="35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Usvojeni standardi i smjernice za akreditaciju studijskih programa sa planom praktične nastave k</w:t>
            </w:r>
            <w:r w:rsidR="00736C4F">
              <w:rPr>
                <w:rFonts w:ascii="Garamond" w:hAnsi="Garamond" w:cs="Garamond"/>
              </w:rPr>
              <w:t>ao sastavnim dijelom kurikuluma. N</w:t>
            </w:r>
            <w:r>
              <w:rPr>
                <w:rFonts w:ascii="Garamond" w:hAnsi="Garamond" w:cs="Garamond"/>
              </w:rPr>
              <w:t xml:space="preserve">a predmetima, grupi predmeta, modulima i oblastima treba izdvojiti sadržaje - tematske jedinice koje će se realizovati kroz praktičnu nastavu. Tematske jedinice sa zadacima treba dopuniti opisom u kojem radnom ambijentu se mogu zadaci obaviti sa potrebnim vremenom angažovanja. </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Realizacija praktične </w:t>
            </w:r>
            <w:r w:rsidR="00087783">
              <w:rPr>
                <w:rFonts w:ascii="Garamond" w:hAnsi="Garamond" w:cs="Garamond"/>
              </w:rPr>
              <w:t>nastave u skladu sa standardi</w:t>
            </w:r>
            <w:r>
              <w:rPr>
                <w:rFonts w:ascii="Garamond" w:hAnsi="Garamond" w:cs="Garamond"/>
              </w:rPr>
              <w:t>m</w:t>
            </w:r>
            <w:r w:rsidR="00087783">
              <w:rPr>
                <w:rFonts w:ascii="Garamond" w:hAnsi="Garamond" w:cs="Garamond"/>
              </w:rPr>
              <w:t>a</w:t>
            </w:r>
            <w:r>
              <w:rPr>
                <w:rFonts w:ascii="Garamond" w:hAnsi="Garamond" w:cs="Garamond"/>
              </w:rPr>
              <w:t xml:space="preserve"> i smjernicama.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Povećan broj ugovora sa poslodavcima za realizaciju praktične nastave</w:t>
            </w:r>
          </w:p>
        </w:tc>
      </w:tr>
      <w:tr w:rsidR="00644F2A">
        <w:trPr>
          <w:trHeight w:val="4603"/>
        </w:trPr>
        <w:tc>
          <w:tcPr>
            <w:tcW w:w="2418"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OPERATIVNI CILJ 6</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POVEĆANJE UDJELA LICA STAROSTI OD 25 DO 64 GODINE UKLJUČENIH U CJELOŽIVOTNO OBRAZOVANJE</w:t>
            </w:r>
          </w:p>
          <w:p w:rsidR="00644F2A" w:rsidRDefault="00644F2A">
            <w:pPr>
              <w:pStyle w:val="BasicParagraph"/>
              <w:suppressAutoHyphens/>
            </w:pPr>
          </w:p>
        </w:tc>
        <w:tc>
          <w:tcPr>
            <w:tcW w:w="204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6.1 Kontinuirano praćenje programa cjeloživotnog učenja (analiza ispunjenosti uslova za realizaciju; broj aktivnih/neaktivnih programa, sektorska analiza). </w:t>
            </w:r>
          </w:p>
          <w:p w:rsidR="00644F2A" w:rsidRDefault="00644F2A">
            <w:pPr>
              <w:pStyle w:val="BasicParagraph"/>
              <w:suppressAutoHyphens/>
              <w:rPr>
                <w:rFonts w:ascii="Garamond" w:hAnsi="Garamond" w:cs="Garamond"/>
              </w:rPr>
            </w:pPr>
          </w:p>
          <w:p w:rsidR="00644F2A" w:rsidRDefault="00087783">
            <w:pPr>
              <w:pStyle w:val="BasicParagraph"/>
              <w:suppressAutoHyphens/>
            </w:pPr>
            <w:r>
              <w:rPr>
                <w:rFonts w:ascii="Garamond" w:hAnsi="Garamond" w:cs="Garamond"/>
              </w:rPr>
              <w:t>6.2 Razviti servis za podršku</w:t>
            </w:r>
            <w:r w:rsidR="00644F2A">
              <w:rPr>
                <w:rFonts w:ascii="Garamond" w:hAnsi="Garamond" w:cs="Garamond"/>
              </w:rPr>
              <w:t xml:space="preserve"> za kontinuirano usavršavanje zainteresovanih pojedinaca i grupa. </w:t>
            </w:r>
          </w:p>
        </w:tc>
        <w:tc>
          <w:tcPr>
            <w:tcW w:w="181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pPr>
            <w:r>
              <w:rPr>
                <w:rFonts w:ascii="Garamond" w:hAnsi="Garamond" w:cs="Garamond"/>
              </w:rPr>
              <w:t>Agencija (AKOKVO); MPNKS; Centar za stručno obrazovanje.</w:t>
            </w:r>
          </w:p>
        </w:tc>
        <w:tc>
          <w:tcPr>
            <w:tcW w:w="3523"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Registar akreditovanih i licenciranih organizatora obrazovanja odraslih u visokom obrazovanju i programa  za cjeloživotno učenje u visokom obrazovanju.</w:t>
            </w:r>
          </w:p>
          <w:p w:rsidR="00644F2A" w:rsidRDefault="00644F2A">
            <w:pPr>
              <w:pStyle w:val="BasicParagraph"/>
              <w:suppressAutoHyphens/>
            </w:pPr>
            <w:r>
              <w:rPr>
                <w:rFonts w:ascii="Garamond" w:hAnsi="Garamond" w:cs="Garamond"/>
              </w:rPr>
              <w:t>Analiza potrebnih kvalifikacija</w:t>
            </w:r>
            <w:r w:rsidR="00087783">
              <w:rPr>
                <w:rFonts w:ascii="Garamond" w:hAnsi="Garamond" w:cs="Garamond"/>
              </w:rPr>
              <w:t xml:space="preserve"> u visokom obrazovanju</w:t>
            </w:r>
            <w:r>
              <w:rPr>
                <w:rFonts w:ascii="Garamond" w:hAnsi="Garamond" w:cs="Garamond"/>
              </w:rPr>
              <w:t xml:space="preserve"> u skladu sa potrebama tržišta rada. </w:t>
            </w:r>
          </w:p>
        </w:tc>
      </w:tr>
      <w:tr w:rsidR="00644F2A">
        <w:trPr>
          <w:trHeight w:val="631"/>
        </w:trPr>
        <w:tc>
          <w:tcPr>
            <w:tcW w:w="9796" w:type="dxa"/>
            <w:gridSpan w:val="4"/>
            <w:tcBorders>
              <w:top w:val="single" w:sz="16" w:space="0" w:color="000000"/>
              <w:left w:val="single" w:sz="16"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STRATEŠKI CILJ 2: SISTEM OBEZBJEĐENJA KVALITETA USKLAĐEN SA EVROPSKIM STANDARDIMA ZA OBEZBJEĐENJE KVALITETA</w:t>
            </w:r>
          </w:p>
        </w:tc>
      </w:tr>
      <w:tr w:rsidR="00644F2A">
        <w:trPr>
          <w:trHeight w:val="368"/>
        </w:trPr>
        <w:tc>
          <w:tcPr>
            <w:tcW w:w="2418" w:type="dxa"/>
            <w:tcBorders>
              <w:top w:val="single" w:sz="16" w:space="0" w:color="000000"/>
              <w:left w:val="single" w:sz="16"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Operativni ciljevi</w:t>
            </w:r>
          </w:p>
        </w:tc>
        <w:tc>
          <w:tcPr>
            <w:tcW w:w="2041" w:type="dxa"/>
            <w:tcBorders>
              <w:top w:val="single" w:sz="16" w:space="0" w:color="000000"/>
              <w:left w:val="single" w:sz="8"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Aktivnosti</w:t>
            </w:r>
          </w:p>
        </w:tc>
        <w:tc>
          <w:tcPr>
            <w:tcW w:w="1814" w:type="dxa"/>
            <w:tcBorders>
              <w:top w:val="single" w:sz="16" w:space="0" w:color="000000"/>
              <w:left w:val="single" w:sz="8" w:space="0" w:color="000000"/>
              <w:bottom w:val="single" w:sz="16"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Nadležnost</w:t>
            </w:r>
          </w:p>
        </w:tc>
        <w:tc>
          <w:tcPr>
            <w:tcW w:w="3523" w:type="dxa"/>
            <w:tcBorders>
              <w:top w:val="single" w:sz="16" w:space="0" w:color="000000"/>
              <w:left w:val="single" w:sz="8"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Indikator</w:t>
            </w:r>
          </w:p>
        </w:tc>
      </w:tr>
      <w:tr w:rsidR="00644F2A">
        <w:trPr>
          <w:trHeight w:val="4081"/>
        </w:trPr>
        <w:tc>
          <w:tcPr>
            <w:tcW w:w="2418" w:type="dxa"/>
            <w:vMerge w:val="restart"/>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lastRenderedPageBreak/>
              <w:t>OPERATIVNI CILJ 7</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USKLAĐENI NACIONALNI PROPISI I PROCEDURE SA EVROPSKIM STANDARDIMA I SMJERNICAMA ZA INTERNO OBEZBJEĐENJE KVALITETA VISOKOG OBRAZOVANJA </w:t>
            </w:r>
          </w:p>
        </w:tc>
        <w:tc>
          <w:tcPr>
            <w:tcW w:w="2041" w:type="dxa"/>
            <w:vMerge w:val="restart"/>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7.1. Usvajanje procedura za interno obezbjeđenje kvaliteta  u skladu  sa evropskim standardima i smjernicama.</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7.2. Transparentno izvještavanje o postignutim rezultatima i preduzetim mjerama </w:t>
            </w:r>
            <w:r w:rsidR="00087783">
              <w:rPr>
                <w:rFonts w:ascii="Garamond" w:hAnsi="Garamond" w:cs="Garamond"/>
              </w:rPr>
              <w:t xml:space="preserve">za </w:t>
            </w:r>
            <w:r>
              <w:rPr>
                <w:rFonts w:ascii="Garamond" w:hAnsi="Garamond" w:cs="Garamond"/>
              </w:rPr>
              <w:t>pobo</w:t>
            </w:r>
            <w:r w:rsidR="00087783">
              <w:rPr>
                <w:rFonts w:ascii="Garamond" w:hAnsi="Garamond" w:cs="Garamond"/>
              </w:rPr>
              <w:t>ljšanje</w:t>
            </w:r>
            <w:r>
              <w:rPr>
                <w:rFonts w:ascii="Garamond" w:hAnsi="Garamond" w:cs="Garamond"/>
              </w:rPr>
              <w:t>.</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Agencija (AKOKVO.)</w:t>
            </w:r>
          </w:p>
          <w:p w:rsidR="00644F2A" w:rsidRDefault="00644F2A">
            <w:pPr>
              <w:pStyle w:val="BasicParagraph"/>
              <w:suppressAutoHyphens/>
            </w:pP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2D3A97">
            <w:pPr>
              <w:pStyle w:val="BasicParagraph"/>
              <w:suppressAutoHyphens/>
              <w:rPr>
                <w:rFonts w:ascii="Garamond" w:hAnsi="Garamond" w:cs="Garamond"/>
              </w:rPr>
            </w:pPr>
            <w:r>
              <w:rPr>
                <w:rFonts w:ascii="Garamond" w:hAnsi="Garamond" w:cs="Garamond"/>
              </w:rPr>
              <w:t>Usvojene inovirane procedure</w:t>
            </w:r>
            <w:r w:rsidR="00644F2A">
              <w:rPr>
                <w:rFonts w:ascii="Garamond" w:hAnsi="Garamond" w:cs="Garamond"/>
              </w:rPr>
              <w:t xml:space="preserve"> za interno obezbjeđenje kvaliteta u skladu sa evropskim standardima i smjernicama.</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 xml:space="preserve">Inovirani upitnici za studentsko vrednovanje nastave i ispita. </w:t>
            </w:r>
          </w:p>
          <w:p w:rsidR="00644F2A" w:rsidRDefault="00644F2A">
            <w:pPr>
              <w:pStyle w:val="BasicParagraph"/>
              <w:suppressAutoHyphens/>
              <w:rPr>
                <w:rFonts w:ascii="Garamond" w:hAnsi="Garamond" w:cs="Garamond"/>
              </w:rPr>
            </w:pPr>
          </w:p>
          <w:p w:rsidR="00644F2A" w:rsidRDefault="00087783" w:rsidP="00087783">
            <w:pPr>
              <w:pStyle w:val="BasicParagraph"/>
              <w:suppressAutoHyphens/>
            </w:pPr>
            <w:r>
              <w:rPr>
                <w:rFonts w:ascii="Garamond" w:hAnsi="Garamond" w:cs="Garamond"/>
              </w:rPr>
              <w:t>Urađena Studija o f</w:t>
            </w:r>
            <w:r w:rsidR="00644F2A">
              <w:rPr>
                <w:rFonts w:ascii="Garamond" w:hAnsi="Garamond" w:cs="Garamond"/>
              </w:rPr>
              <w:t>ormira</w:t>
            </w:r>
            <w:r>
              <w:rPr>
                <w:rFonts w:ascii="Garamond" w:hAnsi="Garamond" w:cs="Garamond"/>
              </w:rPr>
              <w:t>nju</w:t>
            </w:r>
            <w:r w:rsidR="00644F2A">
              <w:rPr>
                <w:rFonts w:ascii="Garamond" w:hAnsi="Garamond" w:cs="Garamond"/>
              </w:rPr>
              <w:t xml:space="preserve"> cent</w:t>
            </w:r>
            <w:r>
              <w:rPr>
                <w:rFonts w:ascii="Garamond" w:hAnsi="Garamond" w:cs="Garamond"/>
              </w:rPr>
              <w:t>ara</w:t>
            </w:r>
            <w:r w:rsidR="00644F2A">
              <w:rPr>
                <w:rFonts w:ascii="Garamond" w:hAnsi="Garamond" w:cs="Garamond"/>
              </w:rPr>
              <w:t xml:space="preserve"> za obezbjeđenje i unapređenje kvaliteta na </w:t>
            </w:r>
            <w:r>
              <w:rPr>
                <w:rFonts w:ascii="Garamond" w:hAnsi="Garamond" w:cs="Garamond"/>
              </w:rPr>
              <w:t>ustanovama visokog obrazovanja.</w:t>
            </w:r>
          </w:p>
        </w:tc>
      </w:tr>
      <w:tr w:rsidR="00644F2A">
        <w:trPr>
          <w:trHeight w:val="1729"/>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vMerge/>
            <w:tcBorders>
              <w:top w:val="single" w:sz="16" w:space="0" w:color="000000"/>
              <w:left w:val="single" w:sz="8"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pPr>
            <w:r>
              <w:rPr>
                <w:rFonts w:ascii="Garamond" w:hAnsi="Garamond" w:cs="Garamond"/>
              </w:rPr>
              <w:t xml:space="preserve">Agencija (AKOKVO); MPNKS. </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Izještaji i publikacije o rezultatima i mjerama poboljšanja kvaliteta</w:t>
            </w:r>
            <w:r w:rsidR="00087783">
              <w:rPr>
                <w:rFonts w:ascii="Garamond" w:hAnsi="Garamond" w:cs="Garamond"/>
              </w:rPr>
              <w:t xml:space="preserve"> </w:t>
            </w:r>
            <w:r>
              <w:rPr>
                <w:rFonts w:ascii="Garamond" w:hAnsi="Garamond" w:cs="Garamond"/>
              </w:rPr>
              <w:t>koji se pripremaju periodično i dostupni su široj zainteresovanoj javnosti.</w:t>
            </w:r>
          </w:p>
        </w:tc>
      </w:tr>
      <w:tr w:rsidR="00644F2A">
        <w:trPr>
          <w:trHeight w:val="1332"/>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7.3. Razvijanje internog sistema obezbjeđenja kvalietata</w:t>
            </w:r>
            <w:r w:rsidR="00F56E4A">
              <w:rPr>
                <w:rFonts w:ascii="Garamond" w:hAnsi="Garamond" w:cs="Garamond"/>
              </w:rPr>
              <w:t xml:space="preserve"> Agencije</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Agencija (AKOKVO).</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Usvojena dokumenta za postupke internog obezbjeđenja kvaliteta</w:t>
            </w:r>
            <w:r w:rsidR="00F56E4A">
              <w:rPr>
                <w:rFonts w:ascii="Garamond" w:hAnsi="Garamond" w:cs="Garamond"/>
              </w:rPr>
              <w:t xml:space="preserve"> Agencije</w:t>
            </w:r>
            <w:r>
              <w:rPr>
                <w:rFonts w:ascii="Garamond" w:hAnsi="Garamond" w:cs="Garamond"/>
              </w:rPr>
              <w:t>.</w:t>
            </w:r>
          </w:p>
        </w:tc>
      </w:tr>
      <w:tr w:rsidR="00644F2A">
        <w:trPr>
          <w:trHeight w:val="3466"/>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rsidP="002D3A97">
            <w:pPr>
              <w:pStyle w:val="BasicParagraph"/>
              <w:suppressAutoHyphens/>
            </w:pPr>
            <w:r>
              <w:rPr>
                <w:rFonts w:ascii="Garamond" w:hAnsi="Garamond" w:cs="Garamond"/>
              </w:rPr>
              <w:t>7.4</w:t>
            </w:r>
            <w:r w:rsidR="002D3A97">
              <w:rPr>
                <w:rFonts w:ascii="Garamond" w:hAnsi="Garamond" w:cs="Garamond"/>
              </w:rPr>
              <w:t xml:space="preserve"> Analiza</w:t>
            </w:r>
            <w:r>
              <w:rPr>
                <w:rFonts w:ascii="Garamond" w:hAnsi="Garamond" w:cs="Garamond"/>
              </w:rPr>
              <w:t xml:space="preserve"> za unapređenje sistema visokog obrazovanja</w:t>
            </w:r>
            <w:r w:rsidR="002D3A97">
              <w:rPr>
                <w:rFonts w:ascii="Garamond" w:hAnsi="Garamond" w:cs="Garamond"/>
              </w:rPr>
              <w:t xml:space="preserve"> i eksterne evaluacije</w:t>
            </w:r>
            <w:r>
              <w:rPr>
                <w:rFonts w:ascii="Garamond" w:hAnsi="Garamond" w:cs="Garamond"/>
              </w:rPr>
              <w:t>.</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Agencija AKOKVO,</w:t>
            </w:r>
          </w:p>
          <w:p w:rsidR="00644F2A" w:rsidRDefault="00644F2A">
            <w:pPr>
              <w:pStyle w:val="BasicParagraph"/>
              <w:suppressAutoHyphens/>
            </w:pPr>
            <w:r>
              <w:rPr>
                <w:rFonts w:ascii="Garamond" w:hAnsi="Garamond" w:cs="Garamond"/>
              </w:rPr>
              <w:t xml:space="preserve">Ekspertske komisije. </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Postupci, standardi i kriterijumi za eksternu evaluaciju u potpunosti usklađeni sa evropskim standardima i smjernicama i donešeni od strane Agencije. </w:t>
            </w:r>
          </w:p>
          <w:p w:rsidR="00644F2A" w:rsidRDefault="00644F2A">
            <w:pPr>
              <w:pStyle w:val="BasicParagraph"/>
              <w:suppressAutoHyphens/>
              <w:rPr>
                <w:rFonts w:ascii="Garamond" w:hAnsi="Garamond" w:cs="Garamond"/>
              </w:rPr>
            </w:pPr>
          </w:p>
          <w:p w:rsidR="00644F2A" w:rsidRDefault="00087783" w:rsidP="00087783">
            <w:pPr>
              <w:pStyle w:val="BasicParagraph"/>
              <w:suppressAutoHyphens/>
            </w:pPr>
            <w:r>
              <w:rPr>
                <w:rFonts w:ascii="Garamond" w:hAnsi="Garamond" w:cs="Garamond"/>
              </w:rPr>
              <w:t>Članovi ekspertskih komisija su: stejkholderi</w:t>
            </w:r>
            <w:r w:rsidR="00644F2A">
              <w:rPr>
                <w:rFonts w:ascii="Garamond" w:hAnsi="Garamond" w:cs="Garamond"/>
              </w:rPr>
              <w:t xml:space="preserve">, student kao obavezan i ravnopravan član svih ekspertskih komisija i predstavnik privrede ili ekspert za tržište. </w:t>
            </w:r>
          </w:p>
        </w:tc>
      </w:tr>
      <w:tr w:rsidR="00644F2A">
        <w:trPr>
          <w:trHeight w:val="5365"/>
        </w:trPr>
        <w:tc>
          <w:tcPr>
            <w:tcW w:w="2418" w:type="dxa"/>
            <w:vMerge w:val="restart"/>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lastRenderedPageBreak/>
              <w:t>OPERATIVNI CILJ 8</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UNAPRIJEĐENA ORGANIZACIJE RADA I UPRAVLJANJA NA USTANOVAMA U SKLADU SA EVROPSKOM PRAKSOM</w:t>
            </w: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8.1. Evaluacija Agencije od strane ENQA na osnovu </w:t>
            </w:r>
            <w:r w:rsidR="00B14170">
              <w:rPr>
                <w:rFonts w:ascii="Garamond" w:hAnsi="Garamond" w:cs="Garamond"/>
              </w:rPr>
              <w:t>izvještaja o</w:t>
            </w:r>
            <w:r>
              <w:rPr>
                <w:rFonts w:ascii="Garamond" w:hAnsi="Garamond" w:cs="Garamond"/>
              </w:rPr>
              <w:t xml:space="preserve"> samoevaluaciji i posjete eksperata ENQA-e. </w:t>
            </w:r>
          </w:p>
          <w:p w:rsidR="00644F2A" w:rsidRDefault="00644F2A">
            <w:pPr>
              <w:pStyle w:val="BasicParagraph"/>
              <w:suppressAutoHyphens/>
              <w:rPr>
                <w:rFonts w:ascii="Garamond" w:hAnsi="Garamond" w:cs="Garamond"/>
              </w:rPr>
            </w:pPr>
          </w:p>
          <w:p w:rsidR="00644F2A" w:rsidRDefault="0052018B" w:rsidP="0052018B">
            <w:pPr>
              <w:pStyle w:val="BasicParagraph"/>
              <w:suppressAutoHyphens/>
            </w:pPr>
            <w:r>
              <w:rPr>
                <w:rFonts w:ascii="Garamond" w:hAnsi="Garamond" w:cs="Garamond"/>
              </w:rPr>
              <w:t>8.2. Izvođenje nastave, istraživanja, inovativni rad i lično usavršavanje u skladu sa evropskim preporukama.</w:t>
            </w:r>
            <w:r w:rsidR="00644F2A">
              <w:rPr>
                <w:rFonts w:ascii="Garamond" w:hAnsi="Garamond" w:cs="Garamond"/>
              </w:rPr>
              <w:t xml:space="preserve"> </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MPNKS,</w:t>
            </w:r>
          </w:p>
          <w:p w:rsidR="00644F2A" w:rsidRDefault="00644F2A">
            <w:pPr>
              <w:pStyle w:val="BasicParagraph"/>
              <w:suppressAutoHyphens/>
              <w:rPr>
                <w:rFonts w:ascii="Garamond" w:hAnsi="Garamond" w:cs="Garamond"/>
              </w:rPr>
            </w:pPr>
            <w:r>
              <w:rPr>
                <w:rFonts w:ascii="Garamond" w:hAnsi="Garamond" w:cs="Garamond"/>
              </w:rPr>
              <w:t xml:space="preserve">Agencija (AKOKVO). </w:t>
            </w:r>
          </w:p>
          <w:p w:rsidR="00644F2A" w:rsidRDefault="00644F2A">
            <w:pPr>
              <w:pStyle w:val="BasicParagraph"/>
              <w:suppressAutoHyphens/>
            </w:pP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Sproveden audit od strane ENQA-e s izvještajem o stanju i pravcima za unapređenje sistema obezbjeđenja kvaliteta visokog obrazovanja. </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Usvojena akta kojima će se obezbijediti transp</w:t>
            </w:r>
            <w:r w:rsidR="0042548D">
              <w:rPr>
                <w:rFonts w:ascii="Garamond" w:hAnsi="Garamond" w:cs="Garamond"/>
              </w:rPr>
              <w:t>arentnost u radu</w:t>
            </w:r>
            <w:r>
              <w:rPr>
                <w:rFonts w:ascii="Garamond" w:hAnsi="Garamond" w:cs="Garamond"/>
              </w:rPr>
              <w:t xml:space="preserve"> kao i obaveze koje se odnose na nastavu, istraživanje i usavršavanje.</w:t>
            </w:r>
          </w:p>
        </w:tc>
      </w:tr>
      <w:tr w:rsidR="00644F2A">
        <w:trPr>
          <w:trHeight w:val="4288"/>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8.3. Formiranje Rektorske konferencije kao forme dogovaranja između ustanova visokog obrazovanja, razmjene dobre prakse i unapređenja ukupnog sistema visokog obrazovanja.</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Rektorski kolegijumi ustanova.</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Formirana rektorska konferencija.</w:t>
            </w:r>
          </w:p>
        </w:tc>
      </w:tr>
      <w:tr w:rsidR="00644F2A">
        <w:trPr>
          <w:trHeight w:val="3196"/>
        </w:trPr>
        <w:tc>
          <w:tcPr>
            <w:tcW w:w="2418" w:type="dxa"/>
            <w:vMerge w:val="restart"/>
            <w:tcBorders>
              <w:top w:val="single" w:sz="16"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OPERATIVNI CILJ 9</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IMPLEMENTACIJA NAČELA AKADEMSKOG INTEGRITETA MEĐU AKADEMSKOM ZAJEDNICOM I STUDENTIMA</w:t>
            </w: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9.1. Plan integriteta kao sastavni dio izbornih procesa na ustanovama visokog obrazovanja.</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Ustanove visokog obrazovanja.</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Usvojeni planovi integriteta ustanova visokog obrazovanja.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Usvojena procedura da se plan integriteta uključi kao obaveza kod svih izbornih funkcija na ustanovi visokog obrazovanja (potpisuje se izjava da se prihvata i poštuje Plan integriteta. </w:t>
            </w:r>
          </w:p>
        </w:tc>
      </w:tr>
      <w:tr w:rsidR="00644F2A">
        <w:trPr>
          <w:trHeight w:val="1687"/>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9.2. Priprema adekvatnih materijala za prevenciju studentskih prevara.</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Ustanove visokog obrazovanja.</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Razvijene procedure da se nastava, individualni rad, provjere znanja i ocjenjivanje realizuju u ambijentu koji sprečava i sankcioniše korišćenje različitih vrsta prevara.</w:t>
            </w:r>
          </w:p>
        </w:tc>
      </w:tr>
      <w:tr w:rsidR="00644F2A">
        <w:trPr>
          <w:trHeight w:val="3126"/>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rsidP="0052018B">
            <w:pPr>
              <w:pStyle w:val="BasicParagraph"/>
              <w:suppressAutoHyphens/>
            </w:pPr>
            <w:r>
              <w:rPr>
                <w:rFonts w:ascii="Garamond" w:hAnsi="Garamond" w:cs="Garamond"/>
              </w:rPr>
              <w:t xml:space="preserve">9.3. Usvajanje dokumenta za prevenciju </w:t>
            </w:r>
            <w:r w:rsidR="0052018B">
              <w:rPr>
                <w:rFonts w:ascii="Garamond" w:hAnsi="Garamond" w:cs="Garamond"/>
              </w:rPr>
              <w:t>neakademskog ponašanja usklađenog</w:t>
            </w:r>
            <w:r>
              <w:rPr>
                <w:rFonts w:ascii="Garamond" w:hAnsi="Garamond" w:cs="Garamond"/>
              </w:rPr>
              <w:t xml:space="preserve"> sa dobrom</w:t>
            </w:r>
            <w:r w:rsidR="0052018B">
              <w:rPr>
                <w:rFonts w:ascii="Garamond" w:hAnsi="Garamond" w:cs="Garamond"/>
              </w:rPr>
              <w:t xml:space="preserve"> evropskom </w:t>
            </w:r>
            <w:r>
              <w:rPr>
                <w:rFonts w:ascii="Garamond" w:hAnsi="Garamond" w:cs="Garamond"/>
              </w:rPr>
              <w:t>praksom, zakonima i aktima ustanova visokog obrazovanja.</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pPr>
            <w:r>
              <w:rPr>
                <w:rFonts w:ascii="Garamond" w:hAnsi="Garamond" w:cs="Garamond"/>
              </w:rPr>
              <w:t xml:space="preserve">Etički komitet. </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Usvojena dokumenta za prevenciju prevara.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Usvojena Etička povelja. </w:t>
            </w:r>
          </w:p>
        </w:tc>
      </w:tr>
      <w:tr w:rsidR="00644F2A">
        <w:trPr>
          <w:trHeight w:val="1729"/>
        </w:trPr>
        <w:tc>
          <w:tcPr>
            <w:tcW w:w="2418" w:type="dxa"/>
            <w:vMerge/>
            <w:tcBorders>
              <w:top w:val="single" w:sz="16"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041"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9.4. Obuka članova akademske zajednice za postupke provjere i prevencije.</w:t>
            </w:r>
          </w:p>
        </w:tc>
        <w:tc>
          <w:tcPr>
            <w:tcW w:w="1814" w:type="dxa"/>
            <w:tcBorders>
              <w:top w:val="single" w:sz="16"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pPr>
            <w:r>
              <w:rPr>
                <w:rFonts w:ascii="Garamond" w:hAnsi="Garamond" w:cs="Garamond"/>
              </w:rPr>
              <w:t xml:space="preserve">Etički komitet. </w:t>
            </w:r>
          </w:p>
        </w:tc>
        <w:tc>
          <w:tcPr>
            <w:tcW w:w="3523" w:type="dxa"/>
            <w:tcBorders>
              <w:top w:val="single" w:sz="16"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Pripremljene brošure, održana predavanja i seminari za stvaranje adekvatne klime za prevenciju.</w:t>
            </w:r>
          </w:p>
        </w:tc>
      </w:tr>
    </w:tbl>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410"/>
      </w:tblGrid>
      <w:tr w:rsidR="00644F2A" w:rsidRPr="005D5EC6">
        <w:trPr>
          <w:trHeight w:val="376"/>
        </w:trPr>
        <w:tc>
          <w:tcPr>
            <w:tcW w:w="9638"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Pr="005D5EC6" w:rsidRDefault="00644F2A">
            <w:pPr>
              <w:pStyle w:val="BasicParagraph"/>
              <w:suppressAutoHyphens/>
              <w:jc w:val="center"/>
              <w:rPr>
                <w:lang w:val="fr-FR"/>
              </w:rPr>
            </w:pPr>
            <w:r w:rsidRPr="005D5EC6">
              <w:rPr>
                <w:rFonts w:ascii="Garamond" w:hAnsi="Garamond" w:cs="Garamond"/>
                <w:b/>
                <w:bCs/>
                <w:lang w:val="fr-FR"/>
              </w:rPr>
              <w:t>STRATEŠKI CILJ 3: ISTRAŽIVANJE ZASNOVANO NA PRINCIPIMA IZVRSNOSTI</w:t>
            </w:r>
          </w:p>
        </w:tc>
      </w:tr>
      <w:tr w:rsidR="00644F2A">
        <w:trPr>
          <w:trHeight w:val="396"/>
        </w:trPr>
        <w:tc>
          <w:tcPr>
            <w:tcW w:w="24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Operativni ciljevi</w:t>
            </w:r>
          </w:p>
        </w:tc>
        <w:tc>
          <w:tcPr>
            <w:tcW w:w="2410"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Aktivnosti</w:t>
            </w:r>
          </w:p>
        </w:tc>
        <w:tc>
          <w:tcPr>
            <w:tcW w:w="24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Nadležnost</w:t>
            </w:r>
          </w:p>
        </w:tc>
        <w:tc>
          <w:tcPr>
            <w:tcW w:w="2410"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Indikator</w:t>
            </w:r>
          </w:p>
        </w:tc>
      </w:tr>
      <w:tr w:rsidR="00644F2A">
        <w:trPr>
          <w:trHeight w:val="1360"/>
        </w:trPr>
        <w:tc>
          <w:tcPr>
            <w:tcW w:w="2409" w:type="dxa"/>
            <w:vMerge w:val="restart"/>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OPERATIVNI CILJ 10</w:t>
            </w:r>
          </w:p>
          <w:p w:rsidR="00644F2A" w:rsidRDefault="00644F2A">
            <w:pPr>
              <w:pStyle w:val="BasicParagraph"/>
              <w:suppressAutoHyphens/>
              <w:rPr>
                <w:rFonts w:ascii="Garamond" w:hAnsi="Garamond" w:cs="Garamond"/>
              </w:rPr>
            </w:pPr>
          </w:p>
          <w:p w:rsidR="00644F2A" w:rsidRDefault="00644F2A">
            <w:pPr>
              <w:pStyle w:val="BasicParagraph"/>
              <w:suppressAutoHyphens/>
              <w:rPr>
                <w:rFonts w:ascii="Garamond" w:hAnsi="Garamond" w:cs="Garamond"/>
              </w:rPr>
            </w:pPr>
            <w:r>
              <w:rPr>
                <w:rFonts w:ascii="Garamond" w:hAnsi="Garamond" w:cs="Garamond"/>
              </w:rPr>
              <w:t>JAČANJE NAUČNO</w:t>
            </w:r>
          </w:p>
          <w:p w:rsidR="00644F2A" w:rsidRDefault="00644F2A">
            <w:pPr>
              <w:pStyle w:val="BasicParagraph"/>
              <w:suppressAutoHyphens/>
              <w:rPr>
                <w:rFonts w:ascii="Garamond" w:hAnsi="Garamond" w:cs="Garamond"/>
              </w:rPr>
            </w:pPr>
            <w:r>
              <w:rPr>
                <w:rFonts w:ascii="Garamond" w:hAnsi="Garamond" w:cs="Garamond"/>
              </w:rPr>
              <w:t>-ISTRAŽIVAČKE DJELATNOSTI</w:t>
            </w:r>
          </w:p>
          <w:p w:rsidR="00644F2A" w:rsidRDefault="00644F2A">
            <w:pPr>
              <w:pStyle w:val="BasicParagraph"/>
              <w:suppressAutoHyphens/>
            </w:pP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52018B">
            <w:pPr>
              <w:pStyle w:val="BasicParagraph"/>
              <w:suppressAutoHyphens/>
            </w:pPr>
            <w:r>
              <w:rPr>
                <w:rFonts w:ascii="Garamond" w:hAnsi="Garamond" w:cs="Garamond"/>
              </w:rPr>
              <w:t>10.1. Priprema i usvajanje S</w:t>
            </w:r>
            <w:r w:rsidR="00644F2A">
              <w:rPr>
                <w:rFonts w:ascii="Garamond" w:hAnsi="Garamond" w:cs="Garamond"/>
              </w:rPr>
              <w:t>tr</w:t>
            </w:r>
            <w:r>
              <w:rPr>
                <w:rFonts w:ascii="Garamond" w:hAnsi="Garamond" w:cs="Garamond"/>
              </w:rPr>
              <w:t>ategije naučnoistraživačke djelatnosti</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52018B">
            <w:pPr>
              <w:pStyle w:val="BasicParagraph"/>
              <w:suppressAutoHyphens/>
            </w:pPr>
            <w:r>
              <w:rPr>
                <w:rFonts w:ascii="Garamond" w:hAnsi="Garamond" w:cs="Garamond"/>
              </w:rPr>
              <w:t>Ustanove visokog obrazovanja i Savjet za naučno-istraživačku djelatnost (MPNKS)</w:t>
            </w:r>
          </w:p>
        </w:tc>
        <w:tc>
          <w:tcPr>
            <w:tcW w:w="2410"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Usvojena str</w:t>
            </w:r>
            <w:r w:rsidR="0052018B">
              <w:rPr>
                <w:rFonts w:ascii="Garamond" w:hAnsi="Garamond" w:cs="Garamond"/>
              </w:rPr>
              <w:t>ategija naučnoistraživačke djelatnosti</w:t>
            </w:r>
            <w:r>
              <w:rPr>
                <w:rFonts w:ascii="Garamond" w:hAnsi="Garamond" w:cs="Garamond"/>
              </w:rPr>
              <w:t>.</w:t>
            </w:r>
          </w:p>
        </w:tc>
      </w:tr>
      <w:tr w:rsidR="00644F2A">
        <w:trPr>
          <w:trHeight w:val="4527"/>
        </w:trPr>
        <w:tc>
          <w:tcPr>
            <w:tcW w:w="2409"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10.2. Aktiviranje postojećih istraživačkih kapaciteta programskim povezivanjem.</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Ustanove visokog obrazovanja; </w:t>
            </w:r>
          </w:p>
          <w:p w:rsidR="00644F2A" w:rsidRDefault="00644F2A">
            <w:pPr>
              <w:pStyle w:val="BasicParagraph"/>
              <w:suppressAutoHyphens/>
            </w:pPr>
            <w:r>
              <w:rPr>
                <w:rFonts w:ascii="Garamond" w:hAnsi="Garamond" w:cs="Garamond"/>
              </w:rPr>
              <w:t xml:space="preserve">MPNKS. </w:t>
            </w:r>
          </w:p>
        </w:tc>
        <w:tc>
          <w:tcPr>
            <w:tcW w:w="2410"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 xml:space="preserve">Pripremljeni programi istraživačkih zadataka iz prioritetnih oblasti kojim bi se povezali postojeći segmentirani potencijali (oprema, istraživači) unutar ustanova i između ustanova. </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Preciziranje obaveznog vremena za naučno-istraživačku djelatnost i istraživanje kroz poseban akt.</w:t>
            </w:r>
          </w:p>
        </w:tc>
      </w:tr>
      <w:tr w:rsidR="00644F2A">
        <w:trPr>
          <w:trHeight w:val="1210"/>
        </w:trPr>
        <w:tc>
          <w:tcPr>
            <w:tcW w:w="2409"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10.3. Inoviranje doktorskih studija s fokusom na istraživanje.</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52018B" w:rsidRPr="0052018B" w:rsidRDefault="0052018B" w:rsidP="0052018B">
            <w:pPr>
              <w:pStyle w:val="NoParagraphStyle"/>
              <w:spacing w:line="240" w:lineRule="auto"/>
              <w:textAlignment w:val="auto"/>
              <w:rPr>
                <w:rFonts w:ascii="Garamond" w:hAnsi="Garamond"/>
              </w:rPr>
            </w:pPr>
            <w:r w:rsidRPr="0052018B">
              <w:rPr>
                <w:rFonts w:ascii="Garamond" w:hAnsi="Garamond"/>
              </w:rPr>
              <w:t xml:space="preserve">Ustanove visokog obrazovanja; </w:t>
            </w:r>
          </w:p>
          <w:p w:rsidR="00644F2A" w:rsidRDefault="0052018B" w:rsidP="0052018B">
            <w:pPr>
              <w:pStyle w:val="NoParagraphStyle"/>
              <w:spacing w:line="240" w:lineRule="auto"/>
              <w:textAlignment w:val="auto"/>
              <w:rPr>
                <w:rFonts w:ascii="Garamond" w:hAnsi="Garamond" w:cstheme="minorBidi"/>
                <w:color w:val="auto"/>
              </w:rPr>
            </w:pPr>
            <w:r w:rsidRPr="0052018B">
              <w:rPr>
                <w:rFonts w:ascii="Garamond" w:hAnsi="Garamond" w:cstheme="minorBidi"/>
                <w:color w:val="auto"/>
              </w:rPr>
              <w:t>MPNKS.</w:t>
            </w:r>
          </w:p>
        </w:tc>
        <w:tc>
          <w:tcPr>
            <w:tcW w:w="2410"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Jedan novi program doktorskih studija.</w:t>
            </w:r>
          </w:p>
        </w:tc>
      </w:tr>
      <w:tr w:rsidR="00644F2A">
        <w:trPr>
          <w:trHeight w:val="1559"/>
        </w:trPr>
        <w:tc>
          <w:tcPr>
            <w:tcW w:w="2409" w:type="dxa"/>
            <w:vMerge/>
            <w:tcBorders>
              <w:top w:val="single" w:sz="8" w:space="0" w:color="000000"/>
              <w:left w:val="single" w:sz="16" w:space="0" w:color="000000"/>
              <w:bottom w:val="single" w:sz="16"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 xml:space="preserve">10.4. Akreditacija </w:t>
            </w:r>
            <w:r w:rsidR="0052018B">
              <w:rPr>
                <w:rFonts w:ascii="Garamond" w:hAnsi="Garamond" w:cs="Garamond"/>
              </w:rPr>
              <w:t xml:space="preserve">jednog zajedničkog </w:t>
            </w:r>
            <w:r>
              <w:rPr>
                <w:rFonts w:ascii="Garamond" w:hAnsi="Garamond" w:cs="Garamond"/>
              </w:rPr>
              <w:t xml:space="preserve">programa </w:t>
            </w:r>
            <w:r w:rsidR="0052018B">
              <w:rPr>
                <w:rFonts w:ascii="Garamond" w:hAnsi="Garamond" w:cs="Garamond"/>
              </w:rPr>
              <w:t>doktorskih studija</w:t>
            </w: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Ustanove visokog obrazovanja;</w:t>
            </w:r>
          </w:p>
          <w:p w:rsidR="00644F2A" w:rsidRDefault="00644F2A">
            <w:pPr>
              <w:pStyle w:val="BasicParagraph"/>
              <w:suppressAutoHyphens/>
              <w:rPr>
                <w:rFonts w:ascii="Garamond" w:hAnsi="Garamond" w:cs="Garamond"/>
              </w:rPr>
            </w:pPr>
            <w:r>
              <w:rPr>
                <w:rFonts w:ascii="Garamond" w:hAnsi="Garamond" w:cs="Garamond"/>
              </w:rPr>
              <w:t>Agencija (AKOKVO);</w:t>
            </w:r>
          </w:p>
          <w:p w:rsidR="00644F2A" w:rsidRDefault="00644F2A">
            <w:pPr>
              <w:pStyle w:val="BasicParagraph"/>
              <w:suppressAutoHyphens/>
            </w:pPr>
            <w:r>
              <w:rPr>
                <w:rFonts w:ascii="Garamond" w:hAnsi="Garamond" w:cs="Garamond"/>
              </w:rPr>
              <w:t xml:space="preserve">MPNKS. </w:t>
            </w:r>
          </w:p>
        </w:tc>
        <w:tc>
          <w:tcPr>
            <w:tcW w:w="241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rsidP="00D163C4">
            <w:pPr>
              <w:pStyle w:val="BasicParagraph"/>
              <w:suppressAutoHyphens/>
            </w:pPr>
            <w:r>
              <w:rPr>
                <w:rFonts w:ascii="Garamond" w:hAnsi="Garamond" w:cs="Garamond"/>
              </w:rPr>
              <w:t xml:space="preserve">Potpisan Ugovor o realizaciji </w:t>
            </w:r>
            <w:r w:rsidR="00D163C4">
              <w:rPr>
                <w:rFonts w:ascii="Garamond" w:hAnsi="Garamond" w:cs="Garamond"/>
              </w:rPr>
              <w:t xml:space="preserve">programa zajedničkih </w:t>
            </w:r>
            <w:r>
              <w:rPr>
                <w:rFonts w:ascii="Garamond" w:hAnsi="Garamond" w:cs="Garamond"/>
              </w:rPr>
              <w:t>doktorskih studija.</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410"/>
      </w:tblGrid>
      <w:tr w:rsidR="00644F2A">
        <w:trPr>
          <w:trHeight w:val="641"/>
        </w:trPr>
        <w:tc>
          <w:tcPr>
            <w:tcW w:w="9638" w:type="dxa"/>
            <w:gridSpan w:val="4"/>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STRATEŠKI CILJ 4: JAČANJE ULOGE USTANOVA VISOKOG OBRAZOVANJA NA MEĐUNARODNOM PLANU</w:t>
            </w:r>
          </w:p>
        </w:tc>
      </w:tr>
      <w:tr w:rsidR="00644F2A">
        <w:trPr>
          <w:trHeight w:val="60"/>
        </w:trPr>
        <w:tc>
          <w:tcPr>
            <w:tcW w:w="24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Operativni ciljevi</w:t>
            </w:r>
          </w:p>
        </w:tc>
        <w:tc>
          <w:tcPr>
            <w:tcW w:w="2410"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Aktivnosti</w:t>
            </w:r>
          </w:p>
        </w:tc>
        <w:tc>
          <w:tcPr>
            <w:tcW w:w="24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Nadležnost</w:t>
            </w:r>
          </w:p>
        </w:tc>
        <w:tc>
          <w:tcPr>
            <w:tcW w:w="2410"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jc w:val="center"/>
            </w:pPr>
            <w:r>
              <w:rPr>
                <w:rFonts w:ascii="Garamond" w:hAnsi="Garamond" w:cs="Garamond"/>
                <w:b/>
                <w:bCs/>
              </w:rPr>
              <w:t>Indikator</w:t>
            </w:r>
          </w:p>
        </w:tc>
      </w:tr>
      <w:tr w:rsidR="00644F2A">
        <w:trPr>
          <w:trHeight w:val="1714"/>
        </w:trPr>
        <w:tc>
          <w:tcPr>
            <w:tcW w:w="2409" w:type="dxa"/>
            <w:vMerge w:val="restart"/>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OPERATIVNI CILJ 11</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POVEĆANJE BROJA ZAJEDNIČKIH STUDIJSKIH PROGRAMA I PROJEKATA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11.1. Identifikovanje programa za zajedničke studijske programe na svim nivoima.</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Ustanove visokog obrazovanja.</w:t>
            </w:r>
          </w:p>
        </w:tc>
        <w:tc>
          <w:tcPr>
            <w:tcW w:w="2410"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Akreditovan jedan novi zajednički studijski program na svim ustanovama visokog obrazovanja.</w:t>
            </w:r>
          </w:p>
        </w:tc>
      </w:tr>
      <w:tr w:rsidR="00644F2A" w:rsidRPr="005D5EC6">
        <w:trPr>
          <w:trHeight w:val="1955"/>
        </w:trPr>
        <w:tc>
          <w:tcPr>
            <w:tcW w:w="2409" w:type="dxa"/>
            <w:vMerge/>
            <w:tcBorders>
              <w:top w:val="single" w:sz="8" w:space="0" w:color="000000"/>
              <w:left w:val="single" w:sz="16" w:space="0" w:color="000000"/>
              <w:bottom w:val="single" w:sz="8" w:space="0" w:color="000000"/>
              <w:right w:val="single" w:sz="8" w:space="0" w:color="000000"/>
            </w:tcBorders>
          </w:tcPr>
          <w:p w:rsidR="00644F2A" w:rsidRDefault="00644F2A">
            <w:pPr>
              <w:pStyle w:val="NoParagraphStyle"/>
              <w:spacing w:line="240" w:lineRule="auto"/>
              <w:textAlignment w:val="auto"/>
              <w:rPr>
                <w:rFonts w:ascii="Garamond" w:hAnsi="Garamond" w:cstheme="minorBidi"/>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11. 2. Međunarodna saradnja u oblasti visokog obrazovanja i zajednički istraživački projekti sa partnerskim ustanovama.</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Ustanove visokog obrazovanja.</w:t>
            </w:r>
          </w:p>
        </w:tc>
        <w:tc>
          <w:tcPr>
            <w:tcW w:w="2410"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Pr="005D5EC6" w:rsidRDefault="00644F2A">
            <w:pPr>
              <w:pStyle w:val="BasicParagraph"/>
              <w:suppressAutoHyphens/>
              <w:rPr>
                <w:rFonts w:ascii="Garamond" w:hAnsi="Garamond" w:cs="Garamond"/>
                <w:lang w:val="fr-FR"/>
              </w:rPr>
            </w:pPr>
          </w:p>
          <w:p w:rsidR="00644F2A" w:rsidRPr="005D5EC6" w:rsidRDefault="00644F2A">
            <w:pPr>
              <w:pStyle w:val="BasicParagraph"/>
              <w:suppressAutoHyphens/>
              <w:rPr>
                <w:lang w:val="fr-FR"/>
              </w:rPr>
            </w:pPr>
            <w:r w:rsidRPr="005D5EC6">
              <w:rPr>
                <w:rFonts w:ascii="Garamond" w:hAnsi="Garamond" w:cs="Garamond"/>
                <w:lang w:val="fr-FR"/>
              </w:rPr>
              <w:t xml:space="preserve">Broj </w:t>
            </w:r>
            <w:r w:rsidR="00D163C4" w:rsidRPr="005D5EC6">
              <w:rPr>
                <w:rFonts w:ascii="Garamond" w:hAnsi="Garamond" w:cs="Garamond"/>
                <w:lang w:val="fr-FR"/>
              </w:rPr>
              <w:t xml:space="preserve">međunarodnih </w:t>
            </w:r>
            <w:r w:rsidRPr="005D5EC6">
              <w:rPr>
                <w:rFonts w:ascii="Garamond" w:hAnsi="Garamond" w:cs="Garamond"/>
                <w:lang w:val="fr-FR"/>
              </w:rPr>
              <w:t>projekata koji se finansira iz programa</w:t>
            </w:r>
            <w:r w:rsidR="00D163C4" w:rsidRPr="005D5EC6">
              <w:rPr>
                <w:rFonts w:ascii="Garamond" w:hAnsi="Garamond" w:cs="Garamond"/>
                <w:lang w:val="fr-FR"/>
              </w:rPr>
              <w:t xml:space="preserve"> podrške</w:t>
            </w:r>
            <w:r w:rsidRPr="005D5EC6">
              <w:rPr>
                <w:rFonts w:ascii="Garamond" w:hAnsi="Garamond" w:cs="Garamond"/>
                <w:lang w:val="fr-FR"/>
              </w:rPr>
              <w:t xml:space="preserve"> EU povećan za 20%. </w:t>
            </w:r>
          </w:p>
        </w:tc>
      </w:tr>
      <w:tr w:rsidR="00644F2A">
        <w:trPr>
          <w:trHeight w:val="2891"/>
        </w:trPr>
        <w:tc>
          <w:tcPr>
            <w:tcW w:w="2409" w:type="dxa"/>
            <w:vMerge/>
            <w:tcBorders>
              <w:top w:val="single" w:sz="8" w:space="0" w:color="000000"/>
              <w:left w:val="single" w:sz="16" w:space="0" w:color="000000"/>
              <w:bottom w:val="single" w:sz="8" w:space="0" w:color="000000"/>
              <w:right w:val="single" w:sz="8" w:space="0" w:color="000000"/>
            </w:tcBorders>
          </w:tcPr>
          <w:p w:rsidR="00644F2A" w:rsidRPr="005D5EC6" w:rsidRDefault="00644F2A">
            <w:pPr>
              <w:pStyle w:val="NoParagraphStyle"/>
              <w:spacing w:line="240" w:lineRule="auto"/>
              <w:textAlignment w:val="auto"/>
              <w:rPr>
                <w:rFonts w:ascii="Garamond" w:hAnsi="Garamond" w:cstheme="minorBidi"/>
                <w:color w:val="auto"/>
                <w:lang w:val="fr-FR"/>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rPr>
                <w:lang w:val="fr-FR"/>
              </w:rPr>
            </w:pPr>
            <w:r w:rsidRPr="005D5EC6">
              <w:rPr>
                <w:rFonts w:ascii="Garamond" w:hAnsi="Garamond" w:cs="Garamond"/>
                <w:lang w:val="fr-FR"/>
              </w:rPr>
              <w:t>11. 3. Međunarodna saradnja u razmjeni studenata i nastavnog osoblja na postojećim i novim zajedničkim studijskim programima</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D163C4">
            <w:pPr>
              <w:pStyle w:val="BasicParagraph"/>
              <w:suppressAutoHyphens/>
            </w:pPr>
            <w:r>
              <w:rPr>
                <w:rFonts w:ascii="Garamond" w:hAnsi="Garamond" w:cs="Garamond"/>
              </w:rPr>
              <w:t>Ustanove visokog obrazovanja; MPNKS</w:t>
            </w:r>
          </w:p>
        </w:tc>
        <w:tc>
          <w:tcPr>
            <w:tcW w:w="2410"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Broj studijskih boravaka (odlaznih/dolaznih)  radi učešća u  zajedničkim programima studija i istraživanja povećan za 5% na godišnjem nivou, na svim ustanovama visokog obrazovanja.</w:t>
            </w:r>
          </w:p>
        </w:tc>
      </w:tr>
      <w:tr w:rsidR="00644F2A">
        <w:trPr>
          <w:trHeight w:val="2871"/>
        </w:trPr>
        <w:tc>
          <w:tcPr>
            <w:tcW w:w="2409"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rPr>
                <w:rFonts w:ascii="Garamond" w:hAnsi="Garamond" w:cs="Garamond"/>
              </w:rPr>
            </w:pPr>
            <w:r>
              <w:rPr>
                <w:rFonts w:ascii="Garamond" w:hAnsi="Garamond" w:cs="Garamond"/>
              </w:rPr>
              <w:t>OPERATIVNI CILJ 12</w:t>
            </w:r>
          </w:p>
          <w:p w:rsidR="00644F2A" w:rsidRDefault="00644F2A">
            <w:pPr>
              <w:pStyle w:val="BasicParagraph"/>
              <w:suppressAutoHyphens/>
              <w:rPr>
                <w:rFonts w:ascii="Garamond" w:hAnsi="Garamond" w:cs="Garamond"/>
              </w:rPr>
            </w:pPr>
          </w:p>
          <w:p w:rsidR="00644F2A" w:rsidRDefault="00644F2A">
            <w:pPr>
              <w:pStyle w:val="BasicParagraph"/>
              <w:suppressAutoHyphens/>
            </w:pPr>
            <w:r>
              <w:rPr>
                <w:rFonts w:ascii="Garamond" w:hAnsi="Garamond" w:cs="Garamond"/>
              </w:rPr>
              <w:t xml:space="preserve">  POBOLJŠANJE POLOŽAJA USTANOVA VISOKOG OBRAZOVANJA NA MEĐUNARODNIM RANG LISTAMA</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12.1. Transparentan rad univerziteta.</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Ustanove visokog obrazovanja.</w:t>
            </w:r>
          </w:p>
        </w:tc>
        <w:tc>
          <w:tcPr>
            <w:tcW w:w="241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pPr>
            <w:r>
              <w:rPr>
                <w:rFonts w:ascii="Garamond" w:hAnsi="Garamond" w:cs="Garamond"/>
              </w:rPr>
              <w:t xml:space="preserve">Poboljšanje položaja na vebometriks (webometrics) rang listi. </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475F16" w:rsidRDefault="00475F16" w:rsidP="00644F2A">
      <w:pPr>
        <w:pStyle w:val="BasicParagraph"/>
        <w:suppressAutoHyphens/>
        <w:rPr>
          <w:rFonts w:ascii="Garamond" w:hAnsi="Garamond" w:cs="Garamond"/>
          <w:b/>
          <w:bCs/>
          <w:sz w:val="28"/>
          <w:szCs w:val="28"/>
        </w:rPr>
      </w:pPr>
    </w:p>
    <w:p w:rsidR="00475F16" w:rsidRDefault="00475F16" w:rsidP="00644F2A">
      <w:pPr>
        <w:pStyle w:val="BasicParagraph"/>
        <w:suppressAutoHyphens/>
        <w:rPr>
          <w:rFonts w:ascii="Garamond" w:hAnsi="Garamond" w:cs="Garamond"/>
          <w:b/>
          <w:bCs/>
          <w:sz w:val="28"/>
          <w:szCs w:val="28"/>
        </w:rPr>
      </w:pPr>
    </w:p>
    <w:p w:rsidR="00475F16" w:rsidRDefault="00475F16" w:rsidP="00644F2A">
      <w:pPr>
        <w:pStyle w:val="BasicParagraph"/>
        <w:suppressAutoHyphens/>
        <w:rPr>
          <w:rFonts w:ascii="Garamond" w:hAnsi="Garamond" w:cs="Garamond"/>
          <w:b/>
          <w:bCs/>
          <w:sz w:val="28"/>
          <w:szCs w:val="28"/>
        </w:rPr>
      </w:pPr>
    </w:p>
    <w:p w:rsidR="00475F16" w:rsidRDefault="00475F16" w:rsidP="00644F2A">
      <w:pPr>
        <w:pStyle w:val="BasicParagraph"/>
        <w:suppressAutoHyphens/>
        <w:rPr>
          <w:rFonts w:ascii="Garamond" w:hAnsi="Garamond" w:cs="Garamond"/>
          <w:b/>
          <w:bCs/>
          <w:sz w:val="28"/>
          <w:szCs w:val="28"/>
        </w:rPr>
      </w:pPr>
    </w:p>
    <w:p w:rsidR="00475F16" w:rsidRDefault="00475F16"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r>
        <w:rPr>
          <w:rFonts w:ascii="Garamond" w:hAnsi="Garamond" w:cs="Garamond"/>
          <w:b/>
          <w:bCs/>
          <w:sz w:val="28"/>
          <w:szCs w:val="28"/>
        </w:rPr>
        <w:t>4. AKCIONI PLAN</w:t>
      </w:r>
      <w:r w:rsidR="001A25FD">
        <w:rPr>
          <w:rFonts w:ascii="Garamond" w:hAnsi="Garamond" w:cs="Garamond"/>
          <w:b/>
          <w:bCs/>
          <w:sz w:val="28"/>
          <w:szCs w:val="28"/>
        </w:rPr>
        <w:t xml:space="preserve"> I TROŠKOVI</w:t>
      </w: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74"/>
        <w:gridCol w:w="2410"/>
        <w:gridCol w:w="2409"/>
        <w:gridCol w:w="2305"/>
      </w:tblGrid>
      <w:tr w:rsidR="00644F2A">
        <w:trPr>
          <w:trHeight w:val="976"/>
        </w:trPr>
        <w:tc>
          <w:tcPr>
            <w:tcW w:w="247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STRATEŠKI CILJ 1</w:t>
            </w:r>
          </w:p>
        </w:tc>
        <w:tc>
          <w:tcPr>
            <w:tcW w:w="7124" w:type="dxa"/>
            <w:gridSpan w:val="3"/>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BOLJA USKLAĐENOST STUDIJSKIH PROGRAMA SA POTREBAMA TRŽIŠTA RADA I ADEKVATNA PREPOZNATLJIVOST NOVIH KVALIFIKACIJA</w:t>
            </w:r>
          </w:p>
        </w:tc>
      </w:tr>
      <w:tr w:rsidR="00644F2A">
        <w:trPr>
          <w:trHeight w:val="708"/>
        </w:trPr>
        <w:tc>
          <w:tcPr>
            <w:tcW w:w="24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1</w:t>
            </w:r>
          </w:p>
        </w:tc>
        <w:tc>
          <w:tcPr>
            <w:tcW w:w="7124"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REFORMA STUDIJSKIH PROGRAMA OSNOVNIH I MASTER STUDIJA S POSEBNIM FOKUSOM NA ISHODE UČENJA</w:t>
            </w:r>
          </w:p>
        </w:tc>
      </w:tr>
      <w:tr w:rsidR="00644F2A">
        <w:trPr>
          <w:trHeight w:val="992"/>
        </w:trPr>
        <w:tc>
          <w:tcPr>
            <w:tcW w:w="2474"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 xml:space="preserve">Ciljna vrijednost na polovini sprovođenja Strategije. </w:t>
            </w:r>
          </w:p>
        </w:tc>
        <w:tc>
          <w:tcPr>
            <w:tcW w:w="2305"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Strategije.</w:t>
            </w:r>
          </w:p>
        </w:tc>
      </w:tr>
      <w:tr w:rsidR="00644F2A">
        <w:trPr>
          <w:trHeight w:val="992"/>
        </w:trPr>
        <w:tc>
          <w:tcPr>
            <w:tcW w:w="247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Bolja percepcija poslodavaca o visokom obrazovanju.</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jc w:val="center"/>
            </w:pPr>
            <w:r>
              <w:t>/</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Indeks percepcije o visokom obrazovanju 50.</w:t>
            </w:r>
          </w:p>
        </w:tc>
        <w:tc>
          <w:tcPr>
            <w:tcW w:w="230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Indeks percepcije o visokom obrazovanju 70.</w:t>
            </w:r>
          </w:p>
        </w:tc>
      </w:tr>
      <w:tr w:rsidR="00644F2A">
        <w:trPr>
          <w:trHeight w:val="1000"/>
        </w:trPr>
        <w:tc>
          <w:tcPr>
            <w:tcW w:w="2474"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Smanjen broj nezaposlenih visokoškolaca za 5%</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za 2.5%</w:t>
            </w:r>
          </w:p>
        </w:tc>
        <w:tc>
          <w:tcPr>
            <w:tcW w:w="230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za 5%</w:t>
            </w:r>
          </w:p>
        </w:tc>
      </w:tr>
    </w:tbl>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482"/>
        <w:gridCol w:w="1377"/>
        <w:gridCol w:w="1377"/>
        <w:gridCol w:w="1377"/>
        <w:gridCol w:w="1377"/>
        <w:gridCol w:w="1377"/>
        <w:gridCol w:w="1231"/>
      </w:tblGrid>
      <w:tr w:rsidR="00644F2A">
        <w:trPr>
          <w:trHeight w:val="1571"/>
        </w:trPr>
        <w:tc>
          <w:tcPr>
            <w:tcW w:w="1482"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1</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231"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60"/>
        </w:trPr>
        <w:tc>
          <w:tcPr>
            <w:tcW w:w="148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1.1 Analiza studijskih programa.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Analiza internih i eksternih povratnih informacija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Ustanove visokog obrazovanja;</w:t>
            </w:r>
          </w:p>
          <w:p w:rsidR="00644F2A" w:rsidRDefault="00644F2A">
            <w:pPr>
              <w:pStyle w:val="BasicParagraph"/>
              <w:suppressAutoHyphens/>
              <w:jc w:val="center"/>
              <w:rPr>
                <w:rFonts w:ascii="Garamond" w:hAnsi="Garamond" w:cs="Garamond"/>
              </w:rPr>
            </w:pPr>
            <w:r>
              <w:rPr>
                <w:rFonts w:ascii="Garamond" w:hAnsi="Garamond" w:cs="Garamond"/>
              </w:rPr>
              <w:t xml:space="preserve">MPNKS; </w:t>
            </w:r>
          </w:p>
          <w:p w:rsidR="00644F2A" w:rsidRDefault="00644F2A">
            <w:pPr>
              <w:pStyle w:val="BasicParagraph"/>
              <w:suppressAutoHyphens/>
              <w:jc w:val="center"/>
            </w:pPr>
            <w:r>
              <w:rPr>
                <w:rFonts w:ascii="Garamond" w:hAnsi="Garamond" w:cs="Garamond"/>
              </w:rPr>
              <w:t>AKOKVO</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2022.</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2022.</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10.000€</w:t>
            </w:r>
          </w:p>
        </w:tc>
        <w:tc>
          <w:tcPr>
            <w:tcW w:w="123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 visokog obrazovanja</w:t>
            </w:r>
          </w:p>
        </w:tc>
      </w:tr>
      <w:tr w:rsidR="00644F2A">
        <w:trPr>
          <w:trHeight w:val="60"/>
        </w:trPr>
        <w:tc>
          <w:tcPr>
            <w:tcW w:w="148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1.2 Analiza i refedefinisanje ishoda učenja.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Analizirani i redefinisani ishodi učenja svih kvalifikacija na UCG</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visokog obrazovanja; MPNKS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maj 2022.</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30.000€</w:t>
            </w:r>
          </w:p>
        </w:tc>
        <w:tc>
          <w:tcPr>
            <w:tcW w:w="123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EU Projekat</w:t>
            </w:r>
          </w:p>
        </w:tc>
      </w:tr>
      <w:tr w:rsidR="00644F2A">
        <w:trPr>
          <w:trHeight w:val="2507"/>
        </w:trPr>
        <w:tc>
          <w:tcPr>
            <w:tcW w:w="148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1.3  Priprema kriterijuma i procedura za postupke eksterne evaluacije u skladu sa ESG-om</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Usvojeni standardi i procedure.</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Agencija AKOKVO.</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15.000€</w:t>
            </w:r>
          </w:p>
        </w:tc>
        <w:tc>
          <w:tcPr>
            <w:tcW w:w="123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/AKOKVO</w:t>
            </w:r>
          </w:p>
        </w:tc>
      </w:tr>
      <w:tr w:rsidR="00644F2A" w:rsidTr="00F0512A">
        <w:trPr>
          <w:trHeight w:val="2124"/>
        </w:trPr>
        <w:tc>
          <w:tcPr>
            <w:tcW w:w="148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1.4 Priprema novih kurikuluma u cilju inovacije studijskih programa.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Pr="005D5EC6" w:rsidRDefault="00F0512A">
            <w:pPr>
              <w:pStyle w:val="BasicParagraph"/>
              <w:suppressAutoHyphens/>
              <w:jc w:val="center"/>
              <w:rPr>
                <w:rFonts w:ascii="Garamond" w:hAnsi="Garamond"/>
                <w:lang w:val="fr-FR"/>
              </w:rPr>
            </w:pPr>
            <w:r w:rsidRPr="005D5EC6">
              <w:rPr>
                <w:rFonts w:ascii="Garamond" w:hAnsi="Garamond"/>
                <w:lang w:val="fr-FR"/>
              </w:rPr>
              <w:t xml:space="preserve">Pripremljena minimum </w:t>
            </w:r>
            <w:r w:rsidR="00D522E8" w:rsidRPr="005D5EC6">
              <w:rPr>
                <w:rFonts w:ascii="Garamond" w:hAnsi="Garamond"/>
                <w:lang w:val="fr-FR"/>
              </w:rPr>
              <w:t>četiri</w:t>
            </w:r>
            <w:r w:rsidRPr="005D5EC6">
              <w:rPr>
                <w:rFonts w:ascii="Garamond" w:hAnsi="Garamond"/>
                <w:lang w:val="fr-FR"/>
              </w:rPr>
              <w:t xml:space="preserve"> nova kurikuluma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Ustanove visokog obrazovanja;</w:t>
            </w:r>
          </w:p>
          <w:p w:rsidR="00644F2A" w:rsidRDefault="00644F2A">
            <w:pPr>
              <w:pStyle w:val="BasicParagraph"/>
              <w:suppressAutoHyphens/>
              <w:jc w:val="center"/>
              <w:rPr>
                <w:rFonts w:ascii="Garamond" w:hAnsi="Garamond" w:cs="Garamond"/>
              </w:rPr>
            </w:pPr>
            <w:r>
              <w:rPr>
                <w:rFonts w:ascii="Garamond" w:hAnsi="Garamond" w:cs="Garamond"/>
              </w:rPr>
              <w:t>Privredna komora;</w:t>
            </w:r>
          </w:p>
          <w:p w:rsidR="00644F2A" w:rsidRDefault="00644F2A">
            <w:pPr>
              <w:pStyle w:val="BasicParagraph"/>
              <w:suppressAutoHyphens/>
              <w:jc w:val="center"/>
            </w:pPr>
            <w:r>
              <w:rPr>
                <w:rFonts w:ascii="Garamond" w:hAnsi="Garamond" w:cs="Garamond"/>
              </w:rPr>
              <w:t xml:space="preserve">Agencija AKOKVO.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april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april 2024</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10.000€</w:t>
            </w:r>
          </w:p>
        </w:tc>
        <w:tc>
          <w:tcPr>
            <w:tcW w:w="1231"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 ustanove visokog obrazovanja</w:t>
            </w:r>
          </w:p>
        </w:tc>
      </w:tr>
      <w:tr w:rsidR="00F0512A">
        <w:trPr>
          <w:trHeight w:val="2124"/>
        </w:trPr>
        <w:tc>
          <w:tcPr>
            <w:tcW w:w="1482"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F0512A" w:rsidRDefault="00F0512A" w:rsidP="00F0512A">
            <w:pPr>
              <w:pStyle w:val="BasicParagraph"/>
              <w:suppressAutoHyphens/>
              <w:rPr>
                <w:rFonts w:ascii="Garamond" w:hAnsi="Garamond" w:cs="Garamond"/>
              </w:rPr>
            </w:pPr>
            <w:r>
              <w:rPr>
                <w:rFonts w:ascii="Garamond" w:hAnsi="Garamond" w:cs="Garamond"/>
              </w:rPr>
              <w:t xml:space="preserve">1.5. Akreditacija i reakreditacija programa </w:t>
            </w:r>
            <w:r w:rsidR="00D522E8">
              <w:rPr>
                <w:rFonts w:ascii="Garamond" w:hAnsi="Garamond" w:cs="Garamond"/>
              </w:rPr>
              <w:t>i</w:t>
            </w:r>
            <w:r>
              <w:rPr>
                <w:rFonts w:ascii="Garamond" w:hAnsi="Garamond" w:cs="Garamond"/>
              </w:rPr>
              <w:t xml:space="preserve"> razvijanje novih kvalifikacija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F0512A" w:rsidRDefault="00F0512A">
            <w:pPr>
              <w:pStyle w:val="BasicParagraph"/>
              <w:suppressAutoHyphens/>
              <w:jc w:val="center"/>
              <w:rPr>
                <w:rFonts w:ascii="Garamond" w:hAnsi="Garamond" w:cs="Garamond"/>
              </w:rPr>
            </w:pPr>
            <w:r w:rsidRPr="00F0512A">
              <w:rPr>
                <w:rFonts w:ascii="Garamond" w:hAnsi="Garamond" w:cs="Garamond"/>
              </w:rPr>
              <w:t>Minimum četiri akreditovana studijska programa.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F0512A" w:rsidRDefault="00D522E8">
            <w:pPr>
              <w:pStyle w:val="BasicParagraph"/>
              <w:suppressAutoHyphens/>
              <w:jc w:val="center"/>
              <w:rPr>
                <w:rFonts w:ascii="Garamond" w:hAnsi="Garamond" w:cs="Garamond"/>
              </w:rPr>
            </w:pPr>
            <w:r w:rsidRPr="00D522E8">
              <w:rPr>
                <w:rFonts w:ascii="Garamond" w:hAnsi="Garamond" w:cs="Garamond"/>
              </w:rPr>
              <w:t>Ustanove visokog obrazovanja</w:t>
            </w:r>
            <w:r>
              <w:rPr>
                <w:rFonts w:ascii="Garamond" w:hAnsi="Garamond" w:cs="Garamond"/>
              </w:rPr>
              <w:t>;</w:t>
            </w:r>
          </w:p>
          <w:p w:rsidR="00D522E8" w:rsidRDefault="00D522E8">
            <w:pPr>
              <w:pStyle w:val="BasicParagraph"/>
              <w:suppressAutoHyphens/>
              <w:jc w:val="center"/>
              <w:rPr>
                <w:rFonts w:ascii="Garamond" w:hAnsi="Garamond" w:cs="Garamond"/>
              </w:rPr>
            </w:pPr>
            <w:r w:rsidRPr="00D522E8">
              <w:rPr>
                <w:rFonts w:ascii="Garamond" w:hAnsi="Garamond" w:cs="Garamond"/>
              </w:rPr>
              <w:t>Agencija AKOKVO</w:t>
            </w:r>
            <w:r>
              <w:rPr>
                <w:rFonts w:ascii="Garamond" w:hAnsi="Garamond" w:cs="Garamond"/>
              </w:rPr>
              <w:t>.</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F0512A" w:rsidRDefault="00D522E8">
            <w:pPr>
              <w:pStyle w:val="BasicParagraph"/>
              <w:suppressAutoHyphens/>
              <w:jc w:val="center"/>
              <w:rPr>
                <w:rFonts w:ascii="Garamond" w:hAnsi="Garamond" w:cs="Garamond"/>
              </w:rPr>
            </w:pPr>
            <w:r>
              <w:rPr>
                <w:rFonts w:ascii="Garamond" w:hAnsi="Garamond" w:cs="Garamond"/>
              </w:rPr>
              <w:t>April 2024</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F0512A" w:rsidRDefault="00D522E8">
            <w:pPr>
              <w:pStyle w:val="BasicParagraph"/>
              <w:suppressAutoHyphens/>
              <w:jc w:val="center"/>
              <w:rPr>
                <w:rFonts w:ascii="Garamond" w:hAnsi="Garamond" w:cs="Garamond"/>
              </w:rPr>
            </w:pPr>
            <w:r>
              <w:rPr>
                <w:rFonts w:ascii="Garamond" w:hAnsi="Garamond" w:cs="Garamond"/>
              </w:rPr>
              <w:t>April 2025</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F0512A" w:rsidRDefault="00D522E8">
            <w:pPr>
              <w:pStyle w:val="BasicParagraph"/>
              <w:suppressAutoHyphens/>
              <w:jc w:val="center"/>
              <w:rPr>
                <w:rFonts w:ascii="Garamond" w:hAnsi="Garamond" w:cs="Garamond"/>
              </w:rPr>
            </w:pPr>
            <w:r>
              <w:rPr>
                <w:rFonts w:ascii="Garamond" w:hAnsi="Garamond" w:cs="Garamond"/>
              </w:rPr>
              <w:t>10000</w:t>
            </w:r>
          </w:p>
        </w:tc>
        <w:tc>
          <w:tcPr>
            <w:tcW w:w="1231"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F0512A" w:rsidRDefault="00D522E8">
            <w:pPr>
              <w:pStyle w:val="BasicParagraph"/>
              <w:suppressAutoHyphens/>
              <w:jc w:val="center"/>
              <w:rPr>
                <w:rFonts w:ascii="Garamond" w:hAnsi="Garamond" w:cs="Garamond"/>
              </w:rPr>
            </w:pPr>
            <w:r w:rsidRPr="00D522E8">
              <w:rPr>
                <w:rFonts w:ascii="Garamond" w:hAnsi="Garamond" w:cs="Garamond"/>
              </w:rPr>
              <w:t>Budžet /AKOKVO</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370"/>
      </w:tblGrid>
      <w:tr w:rsidR="00644F2A">
        <w:trPr>
          <w:trHeight w:val="692"/>
        </w:trPr>
        <w:tc>
          <w:tcPr>
            <w:tcW w:w="2409"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2</w:t>
            </w:r>
          </w:p>
        </w:tc>
        <w:tc>
          <w:tcPr>
            <w:tcW w:w="7189"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BOLJA PREPOZNATLJIVOST NOVIH KVALIFIKACIJA U VISOKOM OBRAZOVANJU</w:t>
            </w:r>
          </w:p>
        </w:tc>
      </w:tr>
      <w:tr w:rsidR="00644F2A">
        <w:trPr>
          <w:trHeight w:val="994"/>
        </w:trPr>
        <w:tc>
          <w:tcPr>
            <w:tcW w:w="2409"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370"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1028"/>
        </w:trPr>
        <w:tc>
          <w:tcPr>
            <w:tcW w:w="2409"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Povećan broj oglašenih mjesta za bečelor kvalifikacije</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w:t>
            </w:r>
          </w:p>
        </w:tc>
        <w:tc>
          <w:tcPr>
            <w:tcW w:w="237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15%</w:t>
            </w:r>
          </w:p>
        </w:tc>
      </w:tr>
    </w:tbl>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492"/>
        <w:gridCol w:w="1474"/>
        <w:gridCol w:w="1219"/>
        <w:gridCol w:w="1377"/>
        <w:gridCol w:w="1377"/>
        <w:gridCol w:w="1377"/>
        <w:gridCol w:w="1377"/>
      </w:tblGrid>
      <w:tr w:rsidR="00644F2A">
        <w:trPr>
          <w:trHeight w:val="1635"/>
        </w:trPr>
        <w:tc>
          <w:tcPr>
            <w:tcW w:w="1492"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2</w:t>
            </w:r>
          </w:p>
        </w:tc>
        <w:tc>
          <w:tcPr>
            <w:tcW w:w="1474"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219"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77"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3628"/>
        </w:trPr>
        <w:tc>
          <w:tcPr>
            <w:tcW w:w="1492"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2.1 Sveobuhvatna inicijativa za poslodavce da prilagode pravilnike o sistematizaciji za zapošljavanje kvalifikacija bečelora i mastera.</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Javnost obaviještena o neophodnosti prilagođavanja svojih akata o sistematizaciji</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rPr>
                <w:rFonts w:ascii="Garamond" w:hAnsi="Garamond" w:cs="Garamond"/>
              </w:rPr>
            </w:pPr>
            <w:r>
              <w:rPr>
                <w:rFonts w:ascii="Garamond" w:hAnsi="Garamond" w:cs="Garamond"/>
              </w:rPr>
              <w:t>UZK</w:t>
            </w:r>
          </w:p>
          <w:p w:rsidR="00644F2A" w:rsidRDefault="00644F2A">
            <w:pPr>
              <w:pStyle w:val="BasicParagraph"/>
              <w:suppressAutoHyphens/>
              <w:jc w:val="center"/>
              <w:rPr>
                <w:rFonts w:ascii="Garamond" w:hAnsi="Garamond" w:cs="Garamond"/>
              </w:rPr>
            </w:pPr>
            <w:r>
              <w:rPr>
                <w:rFonts w:ascii="Garamond" w:hAnsi="Garamond" w:cs="Garamond"/>
              </w:rPr>
              <w:t>ZZZ</w:t>
            </w:r>
          </w:p>
          <w:p w:rsidR="00644F2A" w:rsidRDefault="00644F2A">
            <w:pPr>
              <w:pStyle w:val="BasicParagraph"/>
              <w:suppressAutoHyphens/>
              <w:jc w:val="center"/>
            </w:pPr>
            <w:r>
              <w:rPr>
                <w:rFonts w:ascii="Garamond" w:hAnsi="Garamond" w:cs="Garamond"/>
              </w:rPr>
              <w:t>Privredna komora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2022.</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77"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r>
      <w:tr w:rsidR="00644F2A">
        <w:trPr>
          <w:trHeight w:val="2172"/>
        </w:trPr>
        <w:tc>
          <w:tcPr>
            <w:tcW w:w="1492"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2.2 Izmjene akata o unutrašnjoj organizaciji i sistematizaciji radnih mjesta.</w:t>
            </w:r>
          </w:p>
        </w:tc>
        <w:tc>
          <w:tcPr>
            <w:tcW w:w="147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 xml:space="preserve">10 ustanova odnosno kompanija koje su </w:t>
            </w:r>
            <w:r w:rsidR="00623AF6">
              <w:rPr>
                <w:rFonts w:ascii="Garamond" w:hAnsi="Garamond" w:cs="Garamond"/>
              </w:rPr>
              <w:t xml:space="preserve">u potpunosti </w:t>
            </w:r>
            <w:r>
              <w:rPr>
                <w:rFonts w:ascii="Garamond" w:hAnsi="Garamond" w:cs="Garamond"/>
              </w:rPr>
              <w:t>prilagodile svoja akta o sistematizaciji</w:t>
            </w:r>
          </w:p>
        </w:tc>
        <w:tc>
          <w:tcPr>
            <w:tcW w:w="121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w:t>
            </w:r>
            <w:r w:rsidR="00623AF6">
              <w:rPr>
                <w:rFonts w:ascii="Garamond" w:hAnsi="Garamond" w:cs="Garamond"/>
              </w:rPr>
              <w:t>NKS</w:t>
            </w:r>
          </w:p>
          <w:p w:rsidR="00644F2A" w:rsidRDefault="00644F2A">
            <w:pPr>
              <w:pStyle w:val="BasicParagraph"/>
              <w:suppressAutoHyphens/>
              <w:jc w:val="center"/>
              <w:rPr>
                <w:rFonts w:ascii="Garamond" w:hAnsi="Garamond" w:cs="Garamond"/>
              </w:rPr>
            </w:pPr>
            <w:r>
              <w:rPr>
                <w:rFonts w:ascii="Garamond" w:hAnsi="Garamond" w:cs="Garamond"/>
              </w:rPr>
              <w:t>UZK</w:t>
            </w:r>
          </w:p>
          <w:p w:rsidR="00644F2A" w:rsidRDefault="00644F2A">
            <w:pPr>
              <w:pStyle w:val="BasicParagraph"/>
              <w:suppressAutoHyphens/>
              <w:jc w:val="center"/>
              <w:rPr>
                <w:rFonts w:ascii="Garamond" w:hAnsi="Garamond" w:cs="Garamond"/>
              </w:rPr>
            </w:pPr>
            <w:r>
              <w:rPr>
                <w:rFonts w:ascii="Garamond" w:hAnsi="Garamond" w:cs="Garamond"/>
              </w:rPr>
              <w:t>ZZZ</w:t>
            </w:r>
          </w:p>
          <w:p w:rsidR="00644F2A" w:rsidRDefault="00644F2A">
            <w:pPr>
              <w:pStyle w:val="BasicParagraph"/>
              <w:suppressAutoHyphens/>
              <w:jc w:val="center"/>
            </w:pPr>
            <w:r>
              <w:rPr>
                <w:rFonts w:ascii="Garamond" w:hAnsi="Garamond" w:cs="Garamond"/>
              </w:rPr>
              <w:t>Privredna komora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2022.</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2023.</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7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410"/>
      </w:tblGrid>
      <w:tr w:rsidR="00644F2A">
        <w:trPr>
          <w:trHeight w:val="727"/>
        </w:trPr>
        <w:tc>
          <w:tcPr>
            <w:tcW w:w="2409"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3</w:t>
            </w:r>
          </w:p>
        </w:tc>
        <w:tc>
          <w:tcPr>
            <w:tcW w:w="7229"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ADEKVATNA POVEZANOST I PROHODNOST IZMEĐU SREDNJEG I VISOKOG OBRAZOVANJA</w:t>
            </w:r>
          </w:p>
        </w:tc>
      </w:tr>
      <w:tr w:rsidR="00644F2A">
        <w:trPr>
          <w:trHeight w:val="1048"/>
        </w:trPr>
        <w:tc>
          <w:tcPr>
            <w:tcW w:w="2409"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410"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1568"/>
        </w:trPr>
        <w:tc>
          <w:tcPr>
            <w:tcW w:w="2409"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23AF6" w:rsidP="00623AF6">
            <w:pPr>
              <w:pStyle w:val="BasicParagraph"/>
              <w:suppressAutoHyphens/>
              <w:jc w:val="center"/>
            </w:pPr>
            <w:r>
              <w:rPr>
                <w:rFonts w:ascii="Garamond" w:hAnsi="Garamond" w:cs="Garamond"/>
              </w:rPr>
              <w:t>Unaprijeđeno karijerno savjetovanje u cilju povećanja procenta zapošljavanja</w:t>
            </w:r>
            <w:r w:rsidR="00644F2A">
              <w:rPr>
                <w:rFonts w:ascii="Garamond" w:hAnsi="Garamond" w:cs="Garamond"/>
              </w:rPr>
              <w:t xml:space="preserve"> učenika srednjih stručnih škola</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23AF6">
            <w:pPr>
              <w:pStyle w:val="BasicParagraph"/>
              <w:suppressAutoHyphens/>
              <w:jc w:val="center"/>
            </w:pP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23AF6">
            <w:pPr>
              <w:pStyle w:val="BasicParagraph"/>
              <w:suppressAutoHyphens/>
              <w:jc w:val="center"/>
            </w:pPr>
            <w:r>
              <w:rPr>
                <w:rFonts w:ascii="Garamond" w:hAnsi="Garamond" w:cs="Garamond"/>
              </w:rPr>
              <w:t>5</w:t>
            </w:r>
            <w:r w:rsidR="00D6478B">
              <w:rPr>
                <w:rFonts w:ascii="Garamond" w:hAnsi="Garamond" w:cs="Garamond"/>
              </w:rPr>
              <w:t>%</w:t>
            </w:r>
          </w:p>
        </w:tc>
        <w:tc>
          <w:tcPr>
            <w:tcW w:w="241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23AF6">
            <w:pPr>
              <w:pStyle w:val="BasicParagraph"/>
              <w:suppressAutoHyphens/>
              <w:jc w:val="center"/>
            </w:pPr>
            <w:r>
              <w:rPr>
                <w:rFonts w:ascii="Garamond" w:hAnsi="Garamond" w:cs="Garamond"/>
              </w:rPr>
              <w:t>10</w:t>
            </w:r>
            <w:r w:rsidR="00D6478B">
              <w:rPr>
                <w:rFonts w:ascii="Garamond" w:hAnsi="Garamond" w:cs="Garamond"/>
              </w:rPr>
              <w:t>%</w:t>
            </w:r>
          </w:p>
        </w:tc>
      </w:tr>
    </w:tbl>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747"/>
        <w:gridCol w:w="1389"/>
        <w:gridCol w:w="1361"/>
        <w:gridCol w:w="1361"/>
        <w:gridCol w:w="1275"/>
        <w:gridCol w:w="1276"/>
        <w:gridCol w:w="1223"/>
      </w:tblGrid>
      <w:tr w:rsidR="00644F2A">
        <w:trPr>
          <w:trHeight w:val="1550"/>
        </w:trPr>
        <w:tc>
          <w:tcPr>
            <w:tcW w:w="1747"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3</w:t>
            </w:r>
          </w:p>
        </w:tc>
        <w:tc>
          <w:tcPr>
            <w:tcW w:w="1389"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61"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61"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275"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27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223"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3647"/>
        </w:trPr>
        <w:tc>
          <w:tcPr>
            <w:tcW w:w="1747"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3.1 Priprema i usvajanje pravilnika sa kriterijumima koji obezbjeđuju konkurentnost na osnovu postignutog uspjeha i odgovarajućeg obrazovnog programa</w:t>
            </w:r>
          </w:p>
        </w:tc>
        <w:tc>
          <w:tcPr>
            <w:tcW w:w="13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 pravilnik za upis na osnovne studije</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 xml:space="preserve">MPNKS; </w:t>
            </w:r>
          </w:p>
          <w:p w:rsidR="00644F2A" w:rsidRDefault="00644F2A">
            <w:pPr>
              <w:pStyle w:val="BasicParagraph"/>
              <w:suppressAutoHyphens/>
              <w:jc w:val="center"/>
            </w:pPr>
            <w:r>
              <w:rPr>
                <w:rFonts w:ascii="Garamond" w:hAnsi="Garamond" w:cs="Garamond"/>
              </w:rPr>
              <w:t>Ustanove visokog obrazovanja</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23AF6">
            <w:pPr>
              <w:pStyle w:val="BasicParagraph"/>
              <w:suppressAutoHyphens/>
              <w:jc w:val="center"/>
            </w:pPr>
            <w:r>
              <w:rPr>
                <w:rFonts w:ascii="Garamond" w:hAnsi="Garamond" w:cs="Garamond"/>
              </w:rPr>
              <w:t>april 2022.</w:t>
            </w:r>
          </w:p>
        </w:tc>
        <w:tc>
          <w:tcPr>
            <w:tcW w:w="12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23AF6">
            <w:pPr>
              <w:pStyle w:val="BasicParagraph"/>
              <w:suppressAutoHyphens/>
              <w:jc w:val="center"/>
            </w:pPr>
            <w:r>
              <w:rPr>
                <w:rFonts w:ascii="Garamond" w:hAnsi="Garamond" w:cs="Garamond"/>
              </w:rPr>
              <w:t>decembar</w:t>
            </w:r>
            <w:r w:rsidR="00644F2A">
              <w:rPr>
                <w:rFonts w:ascii="Garamond" w:hAnsi="Garamond" w:cs="Garamond"/>
              </w:rPr>
              <w:t xml:space="preserve"> 2022.</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22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r>
      <w:tr w:rsidR="00644F2A">
        <w:trPr>
          <w:trHeight w:val="2776"/>
        </w:trPr>
        <w:tc>
          <w:tcPr>
            <w:tcW w:w="1747"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3.2 Unapređenje servisa za savjetovanje i podršku planiranju  karijere u oblasti srednješkolskog i visokog obrazovanja</w:t>
            </w:r>
          </w:p>
        </w:tc>
        <w:tc>
          <w:tcPr>
            <w:tcW w:w="138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Unaprijeđen rad karijernih savjetnika u karijernim centrima ustanova visokog obrazovanja</w:t>
            </w:r>
          </w:p>
          <w:p w:rsidR="00623AF6" w:rsidRDefault="00623AF6" w:rsidP="00D6478B">
            <w:pPr>
              <w:pStyle w:val="BasicParagraph"/>
              <w:suppressAutoHyphens/>
              <w:jc w:val="center"/>
            </w:pPr>
            <w:r>
              <w:rPr>
                <w:rFonts w:ascii="Garamond" w:hAnsi="Garamond" w:cs="Garamond"/>
              </w:rPr>
              <w:t xml:space="preserve">i srednjim školama, u cilju </w:t>
            </w:r>
            <w:r w:rsidR="00D6478B">
              <w:rPr>
                <w:rFonts w:ascii="Garamond" w:hAnsi="Garamond" w:cs="Garamond"/>
              </w:rPr>
              <w:t>karijernog usmjeravanja srednješkolaca</w:t>
            </w:r>
          </w:p>
        </w:tc>
        <w:tc>
          <w:tcPr>
            <w:tcW w:w="136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rPr>
                <w:rFonts w:ascii="Garamond" w:hAnsi="Garamond" w:cs="Garamond"/>
              </w:rPr>
            </w:pPr>
            <w:r>
              <w:rPr>
                <w:rFonts w:ascii="Garamond" w:hAnsi="Garamond" w:cs="Garamond"/>
              </w:rPr>
              <w:t>Ustanove visokog obrazovanja</w:t>
            </w:r>
          </w:p>
          <w:p w:rsidR="00644F2A" w:rsidRDefault="00644F2A">
            <w:pPr>
              <w:pStyle w:val="BasicParagraph"/>
              <w:suppressAutoHyphens/>
              <w:jc w:val="center"/>
            </w:pPr>
          </w:p>
        </w:tc>
        <w:tc>
          <w:tcPr>
            <w:tcW w:w="136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2023.</w:t>
            </w:r>
          </w:p>
        </w:tc>
        <w:tc>
          <w:tcPr>
            <w:tcW w:w="127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2023.</w:t>
            </w:r>
          </w:p>
        </w:tc>
        <w:tc>
          <w:tcPr>
            <w:tcW w:w="127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223"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ustanove</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381"/>
        <w:gridCol w:w="2381"/>
        <w:gridCol w:w="2381"/>
        <w:gridCol w:w="2455"/>
      </w:tblGrid>
      <w:tr w:rsidR="00644F2A">
        <w:trPr>
          <w:trHeight w:val="664"/>
        </w:trPr>
        <w:tc>
          <w:tcPr>
            <w:tcW w:w="2381"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4</w:t>
            </w:r>
          </w:p>
        </w:tc>
        <w:tc>
          <w:tcPr>
            <w:tcW w:w="7217"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ODRŽIVO I ADEKVATNO FINANSIRANJE JAVNIH USTANOVA</w:t>
            </w:r>
          </w:p>
        </w:tc>
      </w:tr>
      <w:tr w:rsidR="00644F2A">
        <w:trPr>
          <w:trHeight w:val="60"/>
        </w:trPr>
        <w:tc>
          <w:tcPr>
            <w:tcW w:w="2381"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38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38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455"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rsidRPr="005D5EC6">
        <w:trPr>
          <w:trHeight w:val="60"/>
        </w:trPr>
        <w:tc>
          <w:tcPr>
            <w:tcW w:w="2381"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D6478B">
            <w:pPr>
              <w:pStyle w:val="BasicParagraph"/>
              <w:suppressAutoHyphens/>
              <w:jc w:val="center"/>
            </w:pPr>
            <w:r>
              <w:rPr>
                <w:rFonts w:ascii="Garamond" w:hAnsi="Garamond" w:cs="Garamond"/>
              </w:rPr>
              <w:t>Struktura upisanih studenata po studijskim programima u skladu na nacionalnim razvojnim pravcima, analizama tržišta rada i ocjenom kvaliteta studijskog programa</w:t>
            </w:r>
          </w:p>
        </w:tc>
        <w:tc>
          <w:tcPr>
            <w:tcW w:w="238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D6478B">
            <w:pPr>
              <w:pStyle w:val="BasicParagraph"/>
              <w:suppressAutoHyphens/>
              <w:jc w:val="center"/>
            </w:pPr>
            <w:r>
              <w:rPr>
                <w:rFonts w:ascii="Garamond" w:hAnsi="Garamond" w:cs="Garamond"/>
              </w:rPr>
              <w:t>/</w:t>
            </w:r>
          </w:p>
        </w:tc>
        <w:tc>
          <w:tcPr>
            <w:tcW w:w="238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D6478B">
            <w:pPr>
              <w:pStyle w:val="BasicParagraph"/>
              <w:suppressAutoHyphens/>
              <w:jc w:val="center"/>
            </w:pPr>
            <w:r>
              <w:rPr>
                <w:rFonts w:ascii="Garamond" w:hAnsi="Garamond" w:cs="Garamond"/>
              </w:rPr>
              <w:t>Definisan plan upisa</w:t>
            </w:r>
          </w:p>
        </w:tc>
        <w:tc>
          <w:tcPr>
            <w:tcW w:w="245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Pr="005D5EC6" w:rsidRDefault="00D6478B">
            <w:pPr>
              <w:pStyle w:val="BasicParagraph"/>
              <w:suppressAutoHyphens/>
              <w:jc w:val="center"/>
              <w:rPr>
                <w:lang w:val="fr-FR"/>
              </w:rPr>
            </w:pPr>
            <w:r w:rsidRPr="005D5EC6">
              <w:rPr>
                <w:rFonts w:ascii="Garamond" w:hAnsi="Garamond" w:cs="Garamond"/>
                <w:lang w:val="fr-FR"/>
              </w:rPr>
              <w:t>Sproveden upis u skladu sa definisanim planom upisa</w:t>
            </w:r>
          </w:p>
        </w:tc>
      </w:tr>
    </w:tbl>
    <w:p w:rsidR="00644F2A" w:rsidRPr="005D5EC6" w:rsidRDefault="00644F2A" w:rsidP="00644F2A">
      <w:pPr>
        <w:pStyle w:val="BasicParagraph"/>
        <w:suppressAutoHyphens/>
        <w:rPr>
          <w:rFonts w:ascii="Garamond" w:hAnsi="Garamond" w:cs="Garamond"/>
          <w:b/>
          <w:bCs/>
          <w:sz w:val="28"/>
          <w:szCs w:val="28"/>
          <w:lang w:val="fr-FR"/>
        </w:rPr>
      </w:pPr>
    </w:p>
    <w:tbl>
      <w:tblPr>
        <w:tblW w:w="0" w:type="auto"/>
        <w:tblInd w:w="-20" w:type="dxa"/>
        <w:tblLayout w:type="fixed"/>
        <w:tblCellMar>
          <w:left w:w="0" w:type="dxa"/>
          <w:right w:w="0" w:type="dxa"/>
        </w:tblCellMar>
        <w:tblLook w:val="0000" w:firstRow="0" w:lastRow="0" w:firstColumn="0" w:lastColumn="0" w:noHBand="0" w:noVBand="0"/>
      </w:tblPr>
      <w:tblGrid>
        <w:gridCol w:w="1417"/>
        <w:gridCol w:w="1418"/>
        <w:gridCol w:w="1417"/>
        <w:gridCol w:w="1397"/>
        <w:gridCol w:w="1304"/>
        <w:gridCol w:w="1342"/>
        <w:gridCol w:w="1303"/>
      </w:tblGrid>
      <w:tr w:rsidR="00644F2A">
        <w:trPr>
          <w:trHeight w:val="1548"/>
        </w:trPr>
        <w:tc>
          <w:tcPr>
            <w:tcW w:w="1417"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4</w:t>
            </w:r>
          </w:p>
        </w:tc>
        <w:tc>
          <w:tcPr>
            <w:tcW w:w="1418"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41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9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04"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42"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03"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2135"/>
        </w:trPr>
        <w:tc>
          <w:tcPr>
            <w:tcW w:w="1417"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4.1 Analiza broja studenata upisanih na osnovne i master studije</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Sprovedena analiza</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pPr>
            <w:r>
              <w:rPr>
                <w:rFonts w:ascii="Garamond" w:hAnsi="Garamond" w:cs="Garamond"/>
              </w:rPr>
              <w:t>Ustanove visokog obrazovanja</w:t>
            </w:r>
          </w:p>
        </w:tc>
        <w:tc>
          <w:tcPr>
            <w:tcW w:w="13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D522E8">
            <w:pPr>
              <w:pStyle w:val="BasicParagraph"/>
              <w:suppressAutoHyphens/>
              <w:jc w:val="center"/>
            </w:pPr>
            <w:r>
              <w:rPr>
                <w:rFonts w:ascii="Garamond" w:hAnsi="Garamond" w:cs="Garamond"/>
              </w:rPr>
              <w:t>Septembar 2022.</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D522E8">
            <w:pPr>
              <w:pStyle w:val="BasicParagraph"/>
              <w:suppressAutoHyphens/>
              <w:jc w:val="center"/>
            </w:pPr>
            <w:r>
              <w:rPr>
                <w:rFonts w:ascii="Garamond" w:hAnsi="Garamond" w:cs="Garamond"/>
              </w:rPr>
              <w:t>Kontinuirano</w:t>
            </w:r>
          </w:p>
        </w:tc>
        <w:tc>
          <w:tcPr>
            <w:tcW w:w="1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03"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r>
      <w:tr w:rsidR="00644F2A">
        <w:trPr>
          <w:trHeight w:val="1850"/>
        </w:trPr>
        <w:tc>
          <w:tcPr>
            <w:tcW w:w="1417"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Pr="005D5EC6" w:rsidRDefault="00D6478B">
            <w:pPr>
              <w:pStyle w:val="BasicParagraph"/>
              <w:suppressAutoHyphens/>
              <w:jc w:val="center"/>
              <w:rPr>
                <w:lang w:val="fr-FR"/>
              </w:rPr>
            </w:pPr>
            <w:r w:rsidRPr="005D5EC6">
              <w:rPr>
                <w:rFonts w:ascii="Garamond" w:hAnsi="Garamond" w:cs="Garamond"/>
                <w:lang w:val="fr-FR"/>
              </w:rPr>
              <w:t>4.2</w:t>
            </w:r>
            <w:r w:rsidR="00644F2A" w:rsidRPr="005D5EC6">
              <w:rPr>
                <w:rFonts w:ascii="Garamond" w:hAnsi="Garamond" w:cs="Garamond"/>
                <w:lang w:val="fr-FR"/>
              </w:rPr>
              <w:t xml:space="preserve"> Izrada anexa ugovora o finansiranju Univerziteta Crne Gore.</w:t>
            </w:r>
          </w:p>
        </w:tc>
        <w:tc>
          <w:tcPr>
            <w:tcW w:w="141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Pr="005D5EC6" w:rsidRDefault="00644F2A">
            <w:pPr>
              <w:pStyle w:val="BasicParagraph"/>
              <w:suppressAutoHyphens/>
              <w:jc w:val="center"/>
              <w:rPr>
                <w:lang w:val="fr-FR"/>
              </w:rPr>
            </w:pPr>
            <w:r w:rsidRPr="005D5EC6">
              <w:rPr>
                <w:rFonts w:ascii="Garamond" w:hAnsi="Garamond" w:cs="Garamond"/>
                <w:lang w:val="fr-FR"/>
              </w:rPr>
              <w:t>No</w:t>
            </w:r>
            <w:r w:rsidR="00D522E8" w:rsidRPr="005D5EC6">
              <w:rPr>
                <w:rFonts w:ascii="Garamond" w:hAnsi="Garamond" w:cs="Garamond"/>
                <w:lang w:val="fr-FR"/>
              </w:rPr>
              <w:t>vi anexi ugovora o finansiranju, na osnovu utvrđene cijene koštanja studenata</w:t>
            </w:r>
          </w:p>
        </w:tc>
        <w:tc>
          <w:tcPr>
            <w:tcW w:w="141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rPr>
                <w:rFonts w:ascii="Garamond" w:hAnsi="Garamond" w:cs="Garamond"/>
              </w:rPr>
            </w:pPr>
            <w:r>
              <w:rPr>
                <w:rFonts w:ascii="Garamond" w:hAnsi="Garamond" w:cs="Garamond"/>
              </w:rPr>
              <w:t>Ustanove visokog obrazovanja</w:t>
            </w:r>
          </w:p>
          <w:p w:rsidR="00644F2A" w:rsidRDefault="00644F2A">
            <w:pPr>
              <w:pStyle w:val="BasicParagraph"/>
              <w:suppressAutoHyphens/>
              <w:jc w:val="center"/>
            </w:pPr>
          </w:p>
        </w:tc>
        <w:tc>
          <w:tcPr>
            <w:tcW w:w="139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Kontinuirano.</w:t>
            </w:r>
          </w:p>
        </w:tc>
        <w:tc>
          <w:tcPr>
            <w:tcW w:w="130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342"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303"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94"/>
        <w:gridCol w:w="2135"/>
        <w:gridCol w:w="2419"/>
        <w:gridCol w:w="2550"/>
      </w:tblGrid>
      <w:tr w:rsidR="00644F2A">
        <w:trPr>
          <w:trHeight w:val="381"/>
        </w:trPr>
        <w:tc>
          <w:tcPr>
            <w:tcW w:w="249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5</w:t>
            </w:r>
          </w:p>
        </w:tc>
        <w:tc>
          <w:tcPr>
            <w:tcW w:w="7104"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DALJI RAZVOJ I OBAVEZNOST PRAKTIČNE NASTAVE</w:t>
            </w:r>
          </w:p>
        </w:tc>
      </w:tr>
      <w:tr w:rsidR="00644F2A">
        <w:trPr>
          <w:trHeight w:val="963"/>
        </w:trPr>
        <w:tc>
          <w:tcPr>
            <w:tcW w:w="2494"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t>I</w:t>
            </w:r>
            <w:r>
              <w:rPr>
                <w:rFonts w:ascii="Garamond" w:hAnsi="Garamond" w:cs="Garamond"/>
              </w:rPr>
              <w:t>ndikator učinka</w:t>
            </w:r>
          </w:p>
        </w:tc>
        <w:tc>
          <w:tcPr>
            <w:tcW w:w="2135"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1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550"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1302"/>
        </w:trPr>
        <w:tc>
          <w:tcPr>
            <w:tcW w:w="2494"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Veći stepen zadovoljstva poslodavaca praktičnim vještinama visokoškolaca.</w:t>
            </w:r>
          </w:p>
        </w:tc>
        <w:tc>
          <w:tcPr>
            <w:tcW w:w="213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Poslodavac ocjenjuje visokoškolce kao „dobre”.</w:t>
            </w:r>
          </w:p>
        </w:tc>
        <w:tc>
          <w:tcPr>
            <w:tcW w:w="241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Poslodavac ocjenjuje visokoškolce kao „vrlodobre”.</w:t>
            </w:r>
          </w:p>
        </w:tc>
        <w:tc>
          <w:tcPr>
            <w:tcW w:w="255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Poslodavac ocjenjuje visokoškolce kao „vrlodobre/odlične”.</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710"/>
        <w:gridCol w:w="1426"/>
        <w:gridCol w:w="1304"/>
        <w:gridCol w:w="1136"/>
        <w:gridCol w:w="1321"/>
        <w:gridCol w:w="1376"/>
        <w:gridCol w:w="1325"/>
      </w:tblGrid>
      <w:tr w:rsidR="00644F2A">
        <w:trPr>
          <w:trHeight w:val="1552"/>
        </w:trPr>
        <w:tc>
          <w:tcPr>
            <w:tcW w:w="1710"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5</w:t>
            </w:r>
          </w:p>
        </w:tc>
        <w:tc>
          <w:tcPr>
            <w:tcW w:w="142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04"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13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21"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25"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1577"/>
        </w:trPr>
        <w:tc>
          <w:tcPr>
            <w:tcW w:w="1710"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5.1 Planiranje praktične nastave kao sastavnog dijela kurikuluma.</w:t>
            </w:r>
          </w:p>
        </w:tc>
        <w:tc>
          <w:tcPr>
            <w:tcW w:w="14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Usvojeni standardi i smjernice.</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rPr>
                <w:rFonts w:ascii="Garamond" w:hAnsi="Garamond" w:cs="Garamond"/>
              </w:rPr>
            </w:pPr>
            <w:r>
              <w:rPr>
                <w:rFonts w:ascii="Garamond" w:hAnsi="Garamond" w:cs="Garamond"/>
              </w:rPr>
              <w:t xml:space="preserve">AKOKVO. </w:t>
            </w:r>
          </w:p>
          <w:p w:rsidR="00644F2A" w:rsidRDefault="00644F2A">
            <w:pPr>
              <w:pStyle w:val="BasicParagraph"/>
              <w:suppressAutoHyphens/>
              <w:jc w:val="center"/>
            </w:pPr>
          </w:p>
        </w:tc>
        <w:tc>
          <w:tcPr>
            <w:tcW w:w="11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 xml:space="preserve">Mart </w:t>
            </w:r>
            <w:r w:rsidR="00644F2A">
              <w:rPr>
                <w:rFonts w:ascii="Garamond" w:hAnsi="Garamond" w:cs="Garamond"/>
              </w:rPr>
              <w:t>2022.</w:t>
            </w:r>
          </w:p>
        </w:tc>
        <w:tc>
          <w:tcPr>
            <w:tcW w:w="13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Septembar 2022</w:t>
            </w:r>
            <w:r w:rsidR="00644F2A">
              <w:rPr>
                <w:rFonts w:ascii="Garamond" w:hAnsi="Garamond" w:cs="Garamond"/>
              </w:rPr>
              <w:t>.</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25"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r>
      <w:tr w:rsidR="00644F2A">
        <w:trPr>
          <w:trHeight w:val="2662"/>
        </w:trPr>
        <w:tc>
          <w:tcPr>
            <w:tcW w:w="1710"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5.2 Planiranje realizacije praktične nastave po studijskim godinama kao sastavnog dijela nastavnog procesa</w:t>
            </w:r>
          </w:p>
        </w:tc>
        <w:tc>
          <w:tcPr>
            <w:tcW w:w="142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Praktična nastava u skladu sa standardima i smjernicama sa jasno definisanim fondom časova</w:t>
            </w:r>
          </w:p>
        </w:tc>
        <w:tc>
          <w:tcPr>
            <w:tcW w:w="1304"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Ustanove</w:t>
            </w:r>
          </w:p>
          <w:p w:rsidR="00644F2A" w:rsidRDefault="00644F2A">
            <w:pPr>
              <w:pStyle w:val="BasicParagraph"/>
              <w:suppressAutoHyphens/>
              <w:jc w:val="center"/>
            </w:pPr>
            <w:r>
              <w:rPr>
                <w:rFonts w:ascii="Garamond" w:hAnsi="Garamond" w:cs="Garamond"/>
              </w:rPr>
              <w:t>Poslodavci</w:t>
            </w:r>
          </w:p>
        </w:tc>
        <w:tc>
          <w:tcPr>
            <w:tcW w:w="113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Septembar 2022</w:t>
            </w:r>
          </w:p>
        </w:tc>
        <w:tc>
          <w:tcPr>
            <w:tcW w:w="132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kontinuirano</w:t>
            </w:r>
          </w:p>
        </w:tc>
        <w:tc>
          <w:tcPr>
            <w:tcW w:w="137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25"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ustanove /poslodavaca</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381"/>
        <w:gridCol w:w="2381"/>
        <w:gridCol w:w="2381"/>
        <w:gridCol w:w="2381"/>
      </w:tblGrid>
      <w:tr w:rsidR="00644F2A">
        <w:trPr>
          <w:trHeight w:val="673"/>
        </w:trPr>
        <w:tc>
          <w:tcPr>
            <w:tcW w:w="2381"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6</w:t>
            </w:r>
          </w:p>
        </w:tc>
        <w:tc>
          <w:tcPr>
            <w:tcW w:w="7143"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POVEĆANJE UDJELA LICA STAROSTI OD 25 DO 64 GODINE UKLJUČENIH U CJELOŽIVOTNO OBRAZOVANJE</w:t>
            </w:r>
          </w:p>
        </w:tc>
      </w:tr>
      <w:tr w:rsidR="00644F2A">
        <w:trPr>
          <w:trHeight w:val="933"/>
        </w:trPr>
        <w:tc>
          <w:tcPr>
            <w:tcW w:w="2381"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38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38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381"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596"/>
        </w:trPr>
        <w:tc>
          <w:tcPr>
            <w:tcW w:w="2381"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Veća zapošljivost lica ove starosne dobi</w:t>
            </w:r>
          </w:p>
        </w:tc>
        <w:tc>
          <w:tcPr>
            <w:tcW w:w="238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238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7%</w:t>
            </w:r>
          </w:p>
        </w:tc>
        <w:tc>
          <w:tcPr>
            <w:tcW w:w="2381"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15%</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377"/>
        <w:gridCol w:w="1377"/>
        <w:gridCol w:w="1376"/>
        <w:gridCol w:w="1377"/>
        <w:gridCol w:w="1377"/>
        <w:gridCol w:w="1377"/>
        <w:gridCol w:w="1377"/>
      </w:tblGrid>
      <w:tr w:rsidR="00644F2A">
        <w:trPr>
          <w:trHeight w:val="1529"/>
        </w:trPr>
        <w:tc>
          <w:tcPr>
            <w:tcW w:w="1377"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6</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7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77"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2994"/>
        </w:trPr>
        <w:tc>
          <w:tcPr>
            <w:tcW w:w="1377"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6.1 Permanentno praćenje razvoja i analiza ponuda programa CŽU, obuke i usavršavanja.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 programa CŽU</w:t>
            </w:r>
          </w:p>
        </w:tc>
        <w:tc>
          <w:tcPr>
            <w:tcW w:w="137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rPr>
                <w:rFonts w:ascii="Garamond" w:hAnsi="Garamond" w:cs="Garamond"/>
              </w:rPr>
            </w:pPr>
            <w:r>
              <w:rPr>
                <w:rFonts w:ascii="Garamond" w:hAnsi="Garamond" w:cs="Garamond"/>
              </w:rPr>
              <w:t>Ustanove</w:t>
            </w:r>
          </w:p>
          <w:p w:rsidR="00644F2A" w:rsidRDefault="00644F2A">
            <w:pPr>
              <w:pStyle w:val="BasicParagraph"/>
              <w:suppressAutoHyphens/>
              <w:jc w:val="center"/>
              <w:rPr>
                <w:rFonts w:ascii="Garamond" w:hAnsi="Garamond" w:cs="Garamond"/>
              </w:rPr>
            </w:pPr>
            <w:r>
              <w:rPr>
                <w:rFonts w:ascii="Garamond" w:hAnsi="Garamond" w:cs="Garamond"/>
              </w:rPr>
              <w:t>ZZZ</w:t>
            </w:r>
          </w:p>
          <w:p w:rsidR="00644F2A" w:rsidRDefault="00644F2A">
            <w:pPr>
              <w:pStyle w:val="BasicParagraph"/>
              <w:suppressAutoHyphens/>
              <w:jc w:val="center"/>
            </w:pP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januar 2023</w:t>
            </w:r>
            <w:r w:rsidR="00644F2A">
              <w:rPr>
                <w:rFonts w:ascii="Garamond" w:hAnsi="Garamond" w:cs="Garamond"/>
              </w:rPr>
              <w:t>.</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maj 2025</w:t>
            </w:r>
            <w:r w:rsidR="00644F2A">
              <w:rPr>
                <w:rFonts w:ascii="Garamond" w:hAnsi="Garamond" w:cs="Garamond"/>
              </w:rPr>
              <w:t>.</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77"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 provajderi obrazovanja odraslih</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304"/>
        <w:gridCol w:w="2410"/>
        <w:gridCol w:w="2409"/>
        <w:gridCol w:w="2550"/>
      </w:tblGrid>
      <w:tr w:rsidR="00644F2A">
        <w:trPr>
          <w:trHeight w:val="60"/>
        </w:trPr>
        <w:tc>
          <w:tcPr>
            <w:tcW w:w="2304"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STRATEŠKI CILJ 2</w:t>
            </w:r>
          </w:p>
        </w:tc>
        <w:tc>
          <w:tcPr>
            <w:tcW w:w="7369" w:type="dxa"/>
            <w:gridSpan w:val="3"/>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SISTEM OBEZBJEĐENJA  KVALITETA USKLAĐEN SA EVROPSKIM STANDARDIMA  ZA OBEZBJEĐENJE KVALITETA</w:t>
            </w:r>
          </w:p>
        </w:tc>
      </w:tr>
      <w:tr w:rsidR="00644F2A">
        <w:trPr>
          <w:trHeight w:val="60"/>
        </w:trPr>
        <w:tc>
          <w:tcPr>
            <w:tcW w:w="2304"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7</w:t>
            </w:r>
          </w:p>
        </w:tc>
        <w:tc>
          <w:tcPr>
            <w:tcW w:w="7369" w:type="dxa"/>
            <w:gridSpan w:val="3"/>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USKLAĐENI NACIONALNI PROPISI I PROCEDURE SA EVROPSKIM STANDARDIMA I SMJERNICAMA ZA INTERNO OBEZBJEĐENJE KVALITETA VISOKOG OBRAZOVANJA</w:t>
            </w:r>
          </w:p>
        </w:tc>
      </w:tr>
      <w:tr w:rsidR="00644F2A">
        <w:trPr>
          <w:trHeight w:val="60"/>
        </w:trPr>
        <w:tc>
          <w:tcPr>
            <w:tcW w:w="230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550"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60"/>
        </w:trPr>
        <w:tc>
          <w:tcPr>
            <w:tcW w:w="2304"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Uspješna evaluacija sistema obezbjeđenja kvaliteta visokog obrazovanja Crne Gore od strane ENQA-e.</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255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Pozitivan izvještaj o sistemu obezbjeđenja kvaliteta u visokom obrazovanju u Crnoj Gori od strane ENQA-e.</w:t>
            </w:r>
          </w:p>
        </w:tc>
      </w:tr>
    </w:tbl>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454"/>
        <w:gridCol w:w="1377"/>
        <w:gridCol w:w="1377"/>
        <w:gridCol w:w="1328"/>
        <w:gridCol w:w="1377"/>
        <w:gridCol w:w="1377"/>
        <w:gridCol w:w="1376"/>
      </w:tblGrid>
      <w:tr w:rsidR="00644F2A">
        <w:trPr>
          <w:trHeight w:val="1633"/>
        </w:trPr>
        <w:tc>
          <w:tcPr>
            <w:tcW w:w="1454"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7</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28"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76"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3571"/>
        </w:trPr>
        <w:tc>
          <w:tcPr>
            <w:tcW w:w="145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 xml:space="preserve">7.1 Usvajanje procedura i organizacije na ustanovama za </w:t>
            </w:r>
            <w:r w:rsidR="00945D99">
              <w:rPr>
                <w:rFonts w:ascii="Garamond" w:hAnsi="Garamond" w:cs="Garamond"/>
              </w:rPr>
              <w:t xml:space="preserve">interno obezbjeđenje kvaliteta </w:t>
            </w:r>
            <w:r>
              <w:rPr>
                <w:rFonts w:ascii="Garamond" w:hAnsi="Garamond" w:cs="Garamond"/>
              </w:rPr>
              <w:t>u skladu  sa evropskim standardima i smjernicama.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Pripremljena analiza o formiranju centara</w:t>
            </w:r>
            <w:r w:rsidR="00644F2A">
              <w:rPr>
                <w:rFonts w:ascii="Garamond" w:hAnsi="Garamond" w:cs="Garamond"/>
              </w:rPr>
              <w:t xml:space="preserve"> za obezbjeđenje i unapređenje kvaliteta na ustanovama visokog obrazovanja.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Ustanove visokog obrazovanja;</w:t>
            </w:r>
          </w:p>
          <w:p w:rsidR="00644F2A" w:rsidRDefault="00644F2A">
            <w:pPr>
              <w:pStyle w:val="BasicParagraph"/>
              <w:suppressAutoHyphens/>
              <w:jc w:val="center"/>
              <w:rPr>
                <w:rFonts w:ascii="Garamond" w:hAnsi="Garamond" w:cs="Garamond"/>
              </w:rPr>
            </w:pPr>
            <w:r>
              <w:rPr>
                <w:rFonts w:ascii="Garamond" w:hAnsi="Garamond" w:cs="Garamond"/>
              </w:rPr>
              <w:t xml:space="preserve">Agencija </w:t>
            </w:r>
          </w:p>
          <w:p w:rsidR="00644F2A" w:rsidRDefault="00644F2A">
            <w:pPr>
              <w:pStyle w:val="BasicParagraph"/>
              <w:suppressAutoHyphens/>
              <w:jc w:val="center"/>
              <w:rPr>
                <w:rFonts w:ascii="Garamond" w:hAnsi="Garamond" w:cs="Garamond"/>
              </w:rPr>
            </w:pPr>
            <w:r>
              <w:rPr>
                <w:rFonts w:ascii="Garamond" w:hAnsi="Garamond" w:cs="Garamond"/>
              </w:rPr>
              <w:t xml:space="preserve">(AKOKVO). </w:t>
            </w:r>
          </w:p>
          <w:p w:rsidR="00644F2A" w:rsidRDefault="00644F2A">
            <w:pPr>
              <w:pStyle w:val="BasicParagraph"/>
              <w:suppressAutoHyphens/>
              <w:jc w:val="center"/>
            </w:pPr>
          </w:p>
        </w:tc>
        <w:tc>
          <w:tcPr>
            <w:tcW w:w="13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2025.</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376"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 / AKOKVO</w:t>
            </w:r>
          </w:p>
        </w:tc>
      </w:tr>
      <w:tr w:rsidR="00644F2A">
        <w:trPr>
          <w:trHeight w:val="2721"/>
        </w:trPr>
        <w:tc>
          <w:tcPr>
            <w:tcW w:w="145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7.2 Transparentno izvještavanje o postignutim rezultatima i preduzetim mjerama poboljšanja kvaliteta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Objavljeni izještaji i publikacije</w:t>
            </w:r>
            <w:r w:rsidR="002D3A97">
              <w:rPr>
                <w:rFonts w:ascii="Garamond" w:hAnsi="Garamond" w:cs="Garamond"/>
              </w:rPr>
              <w:t xml:space="preserve"> o</w:t>
            </w:r>
            <w:r>
              <w:rPr>
                <w:rFonts w:ascii="Garamond" w:hAnsi="Garamond" w:cs="Garamond"/>
              </w:rPr>
              <w:t xml:space="preserve"> postignutim rezultatima i sprovedenim aktivnostima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 xml:space="preserve">Ustanove visokog obrazovanja; </w:t>
            </w:r>
          </w:p>
          <w:p w:rsidR="00644F2A" w:rsidRDefault="00644F2A">
            <w:pPr>
              <w:pStyle w:val="BasicParagraph"/>
              <w:suppressAutoHyphens/>
              <w:jc w:val="center"/>
            </w:pPr>
            <w:r>
              <w:rPr>
                <w:rFonts w:ascii="Garamond" w:hAnsi="Garamond" w:cs="Garamond"/>
              </w:rPr>
              <w:t>Agencija AKOKVO</w:t>
            </w:r>
          </w:p>
        </w:tc>
        <w:tc>
          <w:tcPr>
            <w:tcW w:w="13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2025.</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376"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 / AKOKVO</w:t>
            </w:r>
          </w:p>
        </w:tc>
      </w:tr>
      <w:tr w:rsidR="00644F2A" w:rsidTr="002D3A97">
        <w:trPr>
          <w:trHeight w:val="1907"/>
        </w:trPr>
        <w:tc>
          <w:tcPr>
            <w:tcW w:w="1454"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7.3 Razvijanje internog sistema obezbjeđenja kvalietata.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Usvojena dokumenta za postupke internog obezbjeđenja kvaliteta.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Agencija AKOKVO.</w:t>
            </w:r>
          </w:p>
        </w:tc>
        <w:tc>
          <w:tcPr>
            <w:tcW w:w="13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2022.</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376"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AKOKVO.</w:t>
            </w:r>
          </w:p>
        </w:tc>
      </w:tr>
      <w:tr w:rsidR="002D3A97" w:rsidTr="005D5EC6">
        <w:trPr>
          <w:trHeight w:val="1907"/>
        </w:trPr>
        <w:tc>
          <w:tcPr>
            <w:tcW w:w="1454"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tcPr>
          <w:p w:rsidR="002D3A97" w:rsidRDefault="002D3A97">
            <w:pPr>
              <w:pStyle w:val="BasicParagraph"/>
              <w:suppressAutoHyphens/>
              <w:jc w:val="center"/>
              <w:rPr>
                <w:rFonts w:ascii="Garamond" w:hAnsi="Garamond" w:cs="Garamond"/>
              </w:rPr>
            </w:pPr>
            <w:r w:rsidRPr="00150086">
              <w:rPr>
                <w:rFonts w:ascii="Garamond" w:hAnsi="Garamond" w:cs="Garamond"/>
              </w:rPr>
              <w:t>7.4 Analiza za unapređenje sistema visokog obrazovanja i eksterne evaluacije.</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tcPr>
          <w:p w:rsidR="002D3A97" w:rsidRDefault="002D3A97">
            <w:pPr>
              <w:pStyle w:val="BasicParagraph"/>
              <w:suppressAutoHyphens/>
              <w:jc w:val="center"/>
              <w:rPr>
                <w:rFonts w:ascii="Garamond" w:hAnsi="Garamond" w:cs="Garamond"/>
              </w:rPr>
            </w:pPr>
            <w:r>
              <w:rPr>
                <w:rFonts w:ascii="Garamond" w:hAnsi="Garamond" w:cs="Garamond"/>
              </w:rPr>
              <w:t>Sprovedeno istraživanje i pripremljena Analiza za unapređenje Sistema visokog obrazovaja i eksterne evaluacije</w:t>
            </w:r>
            <w:r w:rsidRPr="00150086">
              <w:rPr>
                <w:rFonts w:ascii="Garamond" w:hAnsi="Garamond" w:cs="Garamond"/>
              </w:rPr>
              <w:t>.</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tcPr>
          <w:p w:rsidR="002D3A97" w:rsidRDefault="002D3A97">
            <w:pPr>
              <w:pStyle w:val="BasicParagraph"/>
              <w:suppressAutoHyphens/>
              <w:jc w:val="center"/>
              <w:rPr>
                <w:rFonts w:ascii="Garamond" w:hAnsi="Garamond" w:cs="Garamond"/>
              </w:rPr>
            </w:pPr>
            <w:r>
              <w:rPr>
                <w:rFonts w:ascii="Garamond" w:hAnsi="Garamond" w:cs="Garamond"/>
              </w:rPr>
              <w:t>MPNKS;</w:t>
            </w:r>
          </w:p>
          <w:p w:rsidR="002D3A97" w:rsidRDefault="002D3A97">
            <w:pPr>
              <w:pStyle w:val="BasicParagraph"/>
              <w:suppressAutoHyphens/>
              <w:jc w:val="center"/>
              <w:rPr>
                <w:rFonts w:ascii="Garamond" w:hAnsi="Garamond" w:cs="Garamond"/>
              </w:rPr>
            </w:pPr>
            <w:r>
              <w:rPr>
                <w:rFonts w:ascii="Garamond" w:hAnsi="Garamond" w:cs="Garamond"/>
              </w:rPr>
              <w:t xml:space="preserve">Agencija AKOKVO; </w:t>
            </w:r>
          </w:p>
          <w:p w:rsidR="002D3A97" w:rsidRDefault="002D3A97">
            <w:pPr>
              <w:pStyle w:val="BasicParagraph"/>
              <w:suppressAutoHyphens/>
              <w:jc w:val="center"/>
              <w:rPr>
                <w:rFonts w:ascii="Garamond" w:hAnsi="Garamond" w:cs="Garamond"/>
              </w:rPr>
            </w:pPr>
            <w:r>
              <w:rPr>
                <w:rFonts w:ascii="Garamond" w:hAnsi="Garamond" w:cs="Garamond"/>
              </w:rPr>
              <w:t>Ustanove visokog obrazovanje</w:t>
            </w:r>
          </w:p>
        </w:tc>
        <w:tc>
          <w:tcPr>
            <w:tcW w:w="132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tcPr>
          <w:p w:rsidR="00EB05E0" w:rsidRDefault="00EB05E0" w:rsidP="00EB05E0">
            <w:pPr>
              <w:pStyle w:val="BasicParagraph"/>
              <w:suppressAutoHyphens/>
              <w:rPr>
                <w:rFonts w:ascii="Garamond" w:hAnsi="Garamond" w:cs="Garamond"/>
              </w:rPr>
            </w:pPr>
            <w:r>
              <w:rPr>
                <w:rFonts w:ascii="Garamond" w:hAnsi="Garamond" w:cs="Garamond"/>
              </w:rPr>
              <w:t xml:space="preserve">   </w:t>
            </w:r>
          </w:p>
          <w:p w:rsidR="00EB05E0" w:rsidRDefault="00EB05E0" w:rsidP="00EB05E0">
            <w:pPr>
              <w:pStyle w:val="BasicParagraph"/>
              <w:suppressAutoHyphens/>
              <w:rPr>
                <w:rFonts w:ascii="Garamond" w:hAnsi="Garamond" w:cs="Garamond"/>
              </w:rPr>
            </w:pPr>
          </w:p>
          <w:p w:rsidR="00EB05E0" w:rsidRDefault="00EB05E0" w:rsidP="00EB05E0">
            <w:pPr>
              <w:pStyle w:val="BasicParagraph"/>
              <w:suppressAutoHyphens/>
              <w:rPr>
                <w:rFonts w:ascii="Garamond" w:hAnsi="Garamond" w:cs="Garamond"/>
              </w:rPr>
            </w:pPr>
          </w:p>
          <w:p w:rsidR="00EB05E0" w:rsidRDefault="00EB05E0" w:rsidP="00EB05E0">
            <w:pPr>
              <w:pStyle w:val="BasicParagraph"/>
              <w:suppressAutoHyphens/>
              <w:jc w:val="center"/>
              <w:rPr>
                <w:rFonts w:ascii="Garamond" w:hAnsi="Garamond" w:cs="Garamond"/>
              </w:rPr>
            </w:pPr>
            <w:r>
              <w:rPr>
                <w:rFonts w:ascii="Garamond" w:hAnsi="Garamond" w:cs="Garamond"/>
              </w:rPr>
              <w:t>Januar</w:t>
            </w:r>
          </w:p>
          <w:p w:rsidR="002D3A97" w:rsidRDefault="00EB05E0" w:rsidP="00EB05E0">
            <w:pPr>
              <w:pStyle w:val="BasicParagraph"/>
              <w:suppressAutoHyphens/>
              <w:jc w:val="center"/>
              <w:rPr>
                <w:rFonts w:ascii="Garamond" w:hAnsi="Garamond" w:cs="Garamond"/>
              </w:rPr>
            </w:pPr>
            <w:r>
              <w:rPr>
                <w:rFonts w:ascii="Garamond" w:hAnsi="Garamond" w:cs="Garamond"/>
              </w:rPr>
              <w:t>2024</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tcPr>
          <w:p w:rsidR="00EB05E0" w:rsidRDefault="00EB05E0" w:rsidP="00EB05E0">
            <w:pPr>
              <w:pStyle w:val="BasicParagraph"/>
              <w:suppressAutoHyphens/>
              <w:jc w:val="center"/>
              <w:rPr>
                <w:rFonts w:ascii="Garamond" w:hAnsi="Garamond" w:cs="Garamond"/>
              </w:rPr>
            </w:pPr>
          </w:p>
          <w:p w:rsidR="00EB05E0" w:rsidRDefault="00EB05E0" w:rsidP="00EB05E0">
            <w:pPr>
              <w:pStyle w:val="BasicParagraph"/>
              <w:suppressAutoHyphens/>
              <w:jc w:val="center"/>
              <w:rPr>
                <w:rFonts w:ascii="Garamond" w:hAnsi="Garamond" w:cs="Garamond"/>
              </w:rPr>
            </w:pPr>
          </w:p>
          <w:p w:rsidR="00EB05E0" w:rsidRDefault="00EB05E0" w:rsidP="00EB05E0">
            <w:pPr>
              <w:pStyle w:val="BasicParagraph"/>
              <w:suppressAutoHyphens/>
              <w:jc w:val="center"/>
              <w:rPr>
                <w:rFonts w:ascii="Garamond" w:hAnsi="Garamond" w:cs="Garamond"/>
              </w:rPr>
            </w:pPr>
          </w:p>
          <w:p w:rsidR="002D3A97" w:rsidRDefault="00EB05E0" w:rsidP="00EB05E0">
            <w:pPr>
              <w:pStyle w:val="BasicParagraph"/>
              <w:suppressAutoHyphens/>
              <w:jc w:val="center"/>
              <w:rPr>
                <w:rFonts w:ascii="Garamond" w:hAnsi="Garamond" w:cs="Garamond"/>
              </w:rPr>
            </w:pPr>
            <w:r>
              <w:rPr>
                <w:rFonts w:ascii="Garamond" w:hAnsi="Garamond" w:cs="Garamond"/>
              </w:rPr>
              <w:t>Decembar 2024</w:t>
            </w:r>
            <w:r w:rsidR="002D3A97" w:rsidRPr="00150086">
              <w:rPr>
                <w:rFonts w:ascii="Garamond" w:hAnsi="Garamond" w:cs="Garamond"/>
              </w:rPr>
              <w:t>.</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tcPr>
          <w:p w:rsidR="00EB05E0" w:rsidRDefault="00EB05E0">
            <w:pPr>
              <w:pStyle w:val="NoParagraphStyle"/>
              <w:spacing w:line="240" w:lineRule="auto"/>
              <w:textAlignment w:val="auto"/>
              <w:rPr>
                <w:rFonts w:ascii="Garamond" w:hAnsi="Garamond" w:cstheme="minorBidi"/>
                <w:color w:val="auto"/>
              </w:rPr>
            </w:pPr>
          </w:p>
          <w:p w:rsidR="00EB05E0" w:rsidRDefault="00EB05E0">
            <w:pPr>
              <w:pStyle w:val="NoParagraphStyle"/>
              <w:spacing w:line="240" w:lineRule="auto"/>
              <w:textAlignment w:val="auto"/>
              <w:rPr>
                <w:rFonts w:ascii="Garamond" w:hAnsi="Garamond" w:cstheme="minorBidi"/>
                <w:color w:val="auto"/>
              </w:rPr>
            </w:pPr>
          </w:p>
          <w:p w:rsidR="00EB05E0" w:rsidRDefault="00EB05E0">
            <w:pPr>
              <w:pStyle w:val="NoParagraphStyle"/>
              <w:spacing w:line="240" w:lineRule="auto"/>
              <w:textAlignment w:val="auto"/>
              <w:rPr>
                <w:rFonts w:ascii="Garamond" w:hAnsi="Garamond" w:cstheme="minorBidi"/>
                <w:color w:val="auto"/>
              </w:rPr>
            </w:pPr>
          </w:p>
          <w:p w:rsidR="00EB05E0" w:rsidRDefault="00EB05E0">
            <w:pPr>
              <w:pStyle w:val="NoParagraphStyle"/>
              <w:spacing w:line="240" w:lineRule="auto"/>
              <w:textAlignment w:val="auto"/>
              <w:rPr>
                <w:rFonts w:ascii="Garamond" w:hAnsi="Garamond" w:cstheme="minorBidi"/>
                <w:color w:val="auto"/>
              </w:rPr>
            </w:pPr>
          </w:p>
          <w:p w:rsidR="002D3A97" w:rsidRDefault="00EB05E0">
            <w:pPr>
              <w:pStyle w:val="NoParagraphStyle"/>
              <w:spacing w:line="240" w:lineRule="auto"/>
              <w:textAlignment w:val="auto"/>
              <w:rPr>
                <w:rFonts w:ascii="Garamond" w:hAnsi="Garamond" w:cstheme="minorBidi"/>
                <w:color w:val="auto"/>
              </w:rPr>
            </w:pPr>
            <w:r>
              <w:rPr>
                <w:rFonts w:ascii="Garamond" w:hAnsi="Garamond" w:cstheme="minorBidi"/>
                <w:color w:val="auto"/>
              </w:rPr>
              <w:t xml:space="preserve">         /</w:t>
            </w:r>
          </w:p>
        </w:tc>
        <w:tc>
          <w:tcPr>
            <w:tcW w:w="1376"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tcPr>
          <w:p w:rsidR="00EB05E0" w:rsidRDefault="00EB05E0">
            <w:pPr>
              <w:pStyle w:val="BasicParagraph"/>
              <w:suppressAutoHyphens/>
              <w:jc w:val="center"/>
              <w:rPr>
                <w:rFonts w:ascii="Garamond" w:hAnsi="Garamond" w:cs="Garamond"/>
              </w:rPr>
            </w:pPr>
          </w:p>
          <w:p w:rsidR="00EB05E0" w:rsidRDefault="00EB05E0">
            <w:pPr>
              <w:pStyle w:val="BasicParagraph"/>
              <w:suppressAutoHyphens/>
              <w:jc w:val="center"/>
              <w:rPr>
                <w:rFonts w:ascii="Garamond" w:hAnsi="Garamond" w:cs="Garamond"/>
              </w:rPr>
            </w:pPr>
          </w:p>
          <w:p w:rsidR="00EB05E0" w:rsidRDefault="00EB05E0">
            <w:pPr>
              <w:pStyle w:val="BasicParagraph"/>
              <w:suppressAutoHyphens/>
              <w:jc w:val="center"/>
              <w:rPr>
                <w:rFonts w:ascii="Garamond" w:hAnsi="Garamond" w:cs="Garamond"/>
              </w:rPr>
            </w:pPr>
          </w:p>
          <w:p w:rsidR="002D3A97" w:rsidRDefault="00EB05E0">
            <w:pPr>
              <w:pStyle w:val="BasicParagraph"/>
              <w:suppressAutoHyphens/>
              <w:jc w:val="center"/>
              <w:rPr>
                <w:rFonts w:ascii="Garamond" w:hAnsi="Garamond" w:cs="Garamond"/>
              </w:rPr>
            </w:pPr>
            <w:r>
              <w:rPr>
                <w:rFonts w:ascii="Garamond" w:hAnsi="Garamond" w:cs="Garamond"/>
              </w:rPr>
              <w:t xml:space="preserve">Budžet </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410"/>
      </w:tblGrid>
      <w:tr w:rsidR="00644F2A">
        <w:trPr>
          <w:trHeight w:val="691"/>
        </w:trPr>
        <w:tc>
          <w:tcPr>
            <w:tcW w:w="2409"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8</w:t>
            </w:r>
          </w:p>
        </w:tc>
        <w:tc>
          <w:tcPr>
            <w:tcW w:w="7229"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UNAPRIJEĐENA ORGANIZACIJA RADA I UPRAVLJANJA NA USTANOVAMA U SKLADU SA EVROPSKOM PRAKSOM</w:t>
            </w:r>
          </w:p>
        </w:tc>
      </w:tr>
      <w:tr w:rsidR="00644F2A">
        <w:trPr>
          <w:trHeight w:val="1048"/>
        </w:trPr>
        <w:tc>
          <w:tcPr>
            <w:tcW w:w="2409"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410"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953"/>
        </w:trPr>
        <w:tc>
          <w:tcPr>
            <w:tcW w:w="2409"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Sproveden audit od strane ENQA-e</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Evaluacija Agencije od strane ENQA</w:t>
            </w:r>
          </w:p>
        </w:tc>
        <w:tc>
          <w:tcPr>
            <w:tcW w:w="2410"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Uspješno sproveden audit od strane ENQA-e</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445"/>
        <w:gridCol w:w="1377"/>
        <w:gridCol w:w="1377"/>
        <w:gridCol w:w="1377"/>
        <w:gridCol w:w="1293"/>
        <w:gridCol w:w="1377"/>
        <w:gridCol w:w="1376"/>
      </w:tblGrid>
      <w:tr w:rsidR="00644F2A">
        <w:trPr>
          <w:trHeight w:val="1482"/>
        </w:trPr>
        <w:tc>
          <w:tcPr>
            <w:tcW w:w="1445"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8</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293"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76"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2682"/>
        </w:trPr>
        <w:tc>
          <w:tcPr>
            <w:tcW w:w="1445"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8.1 Stvaranje odgovarajućeg ambijenta za efikasan rad kroz izmjenu podzakonskih akata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Usvojena akta kojim će se bliže urediti obaveze u dijelu nastave, istraživanja i usavršavanja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Ustanove visokog obrazovanja;</w:t>
            </w:r>
          </w:p>
          <w:p w:rsidR="00644F2A" w:rsidRDefault="00644F2A">
            <w:pPr>
              <w:pStyle w:val="BasicParagraph"/>
              <w:suppressAutoHyphens/>
              <w:jc w:val="center"/>
              <w:rPr>
                <w:rFonts w:ascii="Garamond" w:hAnsi="Garamond" w:cs="Garamond"/>
              </w:rPr>
            </w:pPr>
            <w:r>
              <w:rPr>
                <w:rFonts w:ascii="Garamond" w:hAnsi="Garamond" w:cs="Garamond"/>
              </w:rPr>
              <w:t xml:space="preserve">Agencija </w:t>
            </w:r>
          </w:p>
          <w:p w:rsidR="00644F2A" w:rsidRDefault="00644F2A">
            <w:pPr>
              <w:pStyle w:val="BasicParagraph"/>
              <w:suppressAutoHyphens/>
              <w:jc w:val="center"/>
              <w:rPr>
                <w:rFonts w:ascii="Garamond" w:hAnsi="Garamond" w:cs="Garamond"/>
              </w:rPr>
            </w:pPr>
            <w:r>
              <w:rPr>
                <w:rFonts w:ascii="Garamond" w:hAnsi="Garamond" w:cs="Garamond"/>
              </w:rPr>
              <w:t>(AKOKVO)</w:t>
            </w:r>
          </w:p>
          <w:p w:rsidR="00644F2A" w:rsidRDefault="00644F2A">
            <w:pPr>
              <w:pStyle w:val="BasicParagraph"/>
              <w:suppressAutoHyphens/>
              <w:jc w:val="center"/>
            </w:pP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2022.</w:t>
            </w:r>
          </w:p>
        </w:tc>
        <w:tc>
          <w:tcPr>
            <w:tcW w:w="129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2024.</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NoParagraphStyle"/>
              <w:spacing w:line="240" w:lineRule="auto"/>
              <w:textAlignment w:val="auto"/>
              <w:rPr>
                <w:rFonts w:ascii="Garamond" w:hAnsi="Garamond" w:cstheme="minorBidi"/>
                <w:color w:val="auto"/>
              </w:rPr>
            </w:pPr>
          </w:p>
        </w:tc>
        <w:tc>
          <w:tcPr>
            <w:tcW w:w="1376"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 / AKOKVO</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381"/>
        <w:gridCol w:w="2381"/>
        <w:gridCol w:w="2381"/>
        <w:gridCol w:w="2381"/>
      </w:tblGrid>
      <w:tr w:rsidR="00644F2A">
        <w:trPr>
          <w:trHeight w:val="662"/>
        </w:trPr>
        <w:tc>
          <w:tcPr>
            <w:tcW w:w="2381"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9</w:t>
            </w:r>
          </w:p>
        </w:tc>
        <w:tc>
          <w:tcPr>
            <w:tcW w:w="7143"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IMPLEMENTACIJA NAČELA AKADEMSKOG INTEGRITETA MEĐU AKADEMSKOM ZAJEDNICOM I STUDENTIMA</w:t>
            </w:r>
          </w:p>
        </w:tc>
      </w:tr>
      <w:tr w:rsidR="00644F2A">
        <w:trPr>
          <w:trHeight w:val="1020"/>
        </w:trPr>
        <w:tc>
          <w:tcPr>
            <w:tcW w:w="2381"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38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381"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381"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trPr>
          <w:trHeight w:val="1926"/>
        </w:trPr>
        <w:tc>
          <w:tcPr>
            <w:tcW w:w="2381"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Smanjen broj prijava za kršenje akademskog integriteta među akademskom i studentskom populacijom</w:t>
            </w:r>
          </w:p>
        </w:tc>
        <w:tc>
          <w:tcPr>
            <w:tcW w:w="238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w:t>
            </w:r>
          </w:p>
        </w:tc>
        <w:tc>
          <w:tcPr>
            <w:tcW w:w="2381"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t>20%</w:t>
            </w:r>
          </w:p>
        </w:tc>
        <w:tc>
          <w:tcPr>
            <w:tcW w:w="2381"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945D99">
            <w:pPr>
              <w:pStyle w:val="BasicParagraph"/>
              <w:suppressAutoHyphens/>
              <w:jc w:val="center"/>
            </w:pPr>
            <w:r>
              <w:t>30%</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511"/>
        <w:gridCol w:w="1377"/>
        <w:gridCol w:w="1376"/>
        <w:gridCol w:w="1272"/>
        <w:gridCol w:w="1377"/>
        <w:gridCol w:w="1377"/>
        <w:gridCol w:w="1376"/>
      </w:tblGrid>
      <w:tr w:rsidR="00644F2A">
        <w:trPr>
          <w:trHeight w:val="60"/>
        </w:trPr>
        <w:tc>
          <w:tcPr>
            <w:tcW w:w="1511"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9</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7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272"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376"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1824"/>
        </w:trPr>
        <w:tc>
          <w:tcPr>
            <w:tcW w:w="151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9.1 Plan integriteta kao sastavni dio izbornih procesa na ustanovama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Usvojeni planovi integriteta ustanova</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visokog obrazovanja</w:t>
            </w:r>
          </w:p>
        </w:tc>
        <w:tc>
          <w:tcPr>
            <w:tcW w:w="12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januar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2024.</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76"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w:t>
            </w:r>
          </w:p>
        </w:tc>
      </w:tr>
      <w:tr w:rsidR="00644F2A">
        <w:trPr>
          <w:trHeight w:val="2919"/>
        </w:trPr>
        <w:tc>
          <w:tcPr>
            <w:tcW w:w="151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9.2 Priprema adekvatnih materijale za prevenciju studentskih prevara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Razvijene procedure kojima se sprečava i sankcioniše korišćenje različitih vrsta studentskih prevara</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visokog obrazovanja</w:t>
            </w:r>
          </w:p>
        </w:tc>
        <w:tc>
          <w:tcPr>
            <w:tcW w:w="12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Maj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Maj 2024.</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376"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653"/>
      </w:tblGrid>
      <w:tr w:rsidR="00644F2A" w:rsidRPr="005D5EC6" w:rsidTr="00A2571F">
        <w:trPr>
          <w:trHeight w:val="417"/>
        </w:trPr>
        <w:tc>
          <w:tcPr>
            <w:tcW w:w="24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STRATEŠKI CILJ 3</w:t>
            </w:r>
          </w:p>
        </w:tc>
        <w:tc>
          <w:tcPr>
            <w:tcW w:w="7472" w:type="dxa"/>
            <w:gridSpan w:val="3"/>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Pr="005D5EC6" w:rsidRDefault="00644F2A">
            <w:pPr>
              <w:pStyle w:val="BasicParagraph"/>
              <w:suppressAutoHyphens/>
              <w:jc w:val="center"/>
              <w:rPr>
                <w:lang w:val="fr-FR"/>
              </w:rPr>
            </w:pPr>
            <w:r w:rsidRPr="005D5EC6">
              <w:rPr>
                <w:rFonts w:ascii="Garamond" w:hAnsi="Garamond" w:cs="Garamond"/>
                <w:b/>
                <w:bCs/>
                <w:lang w:val="fr-FR"/>
              </w:rPr>
              <w:t>ISTRAŽIVANJE ZASNOVANO NA PRINCIPIMA IZVRSNOSTI</w:t>
            </w:r>
          </w:p>
        </w:tc>
      </w:tr>
      <w:tr w:rsidR="00644F2A" w:rsidTr="00A2571F">
        <w:trPr>
          <w:trHeight w:val="396"/>
        </w:trPr>
        <w:tc>
          <w:tcPr>
            <w:tcW w:w="2409"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10</w:t>
            </w:r>
          </w:p>
        </w:tc>
        <w:tc>
          <w:tcPr>
            <w:tcW w:w="7472"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JAČANJE NAUČNO-ISTRAŽIVAČKE DJELATNOSTI</w:t>
            </w:r>
          </w:p>
        </w:tc>
      </w:tr>
      <w:tr w:rsidR="00644F2A" w:rsidTr="00A2571F">
        <w:trPr>
          <w:trHeight w:val="935"/>
        </w:trPr>
        <w:tc>
          <w:tcPr>
            <w:tcW w:w="2409"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653"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rsidTr="00A2571F">
        <w:trPr>
          <w:trHeight w:val="1255"/>
        </w:trPr>
        <w:tc>
          <w:tcPr>
            <w:tcW w:w="2409"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Povećan broj objavljenih naučnoistraživačkih radova</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za 5%</w:t>
            </w:r>
          </w:p>
        </w:tc>
        <w:tc>
          <w:tcPr>
            <w:tcW w:w="2653"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za 15%</w:t>
            </w:r>
          </w:p>
        </w:tc>
      </w:tr>
    </w:tbl>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993"/>
        <w:gridCol w:w="1956"/>
        <w:gridCol w:w="1303"/>
        <w:gridCol w:w="1106"/>
        <w:gridCol w:w="1105"/>
        <w:gridCol w:w="1248"/>
        <w:gridCol w:w="1199"/>
      </w:tblGrid>
      <w:tr w:rsidR="00644F2A">
        <w:trPr>
          <w:trHeight w:val="60"/>
        </w:trPr>
        <w:tc>
          <w:tcPr>
            <w:tcW w:w="1993"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10</w:t>
            </w:r>
          </w:p>
        </w:tc>
        <w:tc>
          <w:tcPr>
            <w:tcW w:w="195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303"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106"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105"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248"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199"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trPr>
          <w:trHeight w:val="1386"/>
        </w:trPr>
        <w:tc>
          <w:tcPr>
            <w:tcW w:w="1993"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10.1 Priprema i usvajanje str</w:t>
            </w:r>
            <w:r w:rsidR="00945D99">
              <w:rPr>
                <w:rFonts w:ascii="Garamond" w:hAnsi="Garamond" w:cs="Garamond"/>
              </w:rPr>
              <w:t>ategije naučnoistraživačke djelatnosti</w:t>
            </w:r>
            <w:r>
              <w:rPr>
                <w:rFonts w:ascii="Garamond" w:hAnsi="Garamond" w:cs="Garamond"/>
              </w:rPr>
              <w:t xml:space="preserve"> ustanova</w:t>
            </w:r>
          </w:p>
        </w:tc>
        <w:tc>
          <w:tcPr>
            <w:tcW w:w="19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Usvojena st</w:t>
            </w:r>
            <w:r w:rsidR="0042548D">
              <w:rPr>
                <w:rFonts w:ascii="Garamond" w:hAnsi="Garamond" w:cs="Garamond"/>
              </w:rPr>
              <w:t>rategija naučnoistraživačke djelatnosti na nacionalnom nivou</w:t>
            </w:r>
            <w:r>
              <w:rPr>
                <w:rFonts w:ascii="Garamond" w:hAnsi="Garamond" w:cs="Garamond"/>
              </w:rPr>
              <w:t xml:space="preserve"> </w:t>
            </w:r>
          </w:p>
        </w:tc>
        <w:tc>
          <w:tcPr>
            <w:tcW w:w="13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2548D" w:rsidRDefault="0042548D">
            <w:pPr>
              <w:pStyle w:val="BasicParagraph"/>
              <w:suppressAutoHyphens/>
              <w:jc w:val="center"/>
              <w:rPr>
                <w:rFonts w:ascii="Garamond" w:hAnsi="Garamond" w:cs="Garamond"/>
              </w:rPr>
            </w:pPr>
            <w:r>
              <w:rPr>
                <w:rFonts w:ascii="Garamond" w:hAnsi="Garamond" w:cs="Garamond"/>
              </w:rPr>
              <w:t>MPNKS;</w:t>
            </w:r>
          </w:p>
          <w:p w:rsidR="00644F2A" w:rsidRDefault="00644F2A">
            <w:pPr>
              <w:pStyle w:val="BasicParagraph"/>
              <w:suppressAutoHyphens/>
              <w:jc w:val="center"/>
            </w:pPr>
            <w:r>
              <w:rPr>
                <w:rFonts w:ascii="Garamond" w:hAnsi="Garamond" w:cs="Garamond"/>
              </w:rPr>
              <w:t>Ustanove visokog obrazovanja</w:t>
            </w:r>
          </w:p>
        </w:tc>
        <w:tc>
          <w:tcPr>
            <w:tcW w:w="11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septembar 2022.</w:t>
            </w:r>
          </w:p>
        </w:tc>
        <w:tc>
          <w:tcPr>
            <w:tcW w:w="11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42548D">
            <w:pPr>
              <w:pStyle w:val="BasicParagraph"/>
              <w:suppressAutoHyphens/>
              <w:jc w:val="center"/>
            </w:pPr>
            <w:r>
              <w:rPr>
                <w:rFonts w:ascii="Garamond" w:hAnsi="Garamond" w:cs="Garamond"/>
              </w:rPr>
              <w:t>septembar 2024</w:t>
            </w:r>
            <w:r w:rsidR="00644F2A">
              <w:rPr>
                <w:rFonts w:ascii="Garamond" w:hAnsi="Garamond" w:cs="Garamond"/>
              </w:rPr>
              <w:t>.</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199"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w:t>
            </w:r>
          </w:p>
        </w:tc>
      </w:tr>
      <w:tr w:rsidR="00644F2A">
        <w:trPr>
          <w:trHeight w:val="60"/>
        </w:trPr>
        <w:tc>
          <w:tcPr>
            <w:tcW w:w="1993"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10.2 Aktiviranje postojećih istraživačkih kapaciteta programskim povezivanjem</w:t>
            </w:r>
          </w:p>
        </w:tc>
        <w:tc>
          <w:tcPr>
            <w:tcW w:w="195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Jasno definisano obavezno vrijeme za naučnoistraživačku djelatnost i istraživanje</w:t>
            </w:r>
          </w:p>
        </w:tc>
        <w:tc>
          <w:tcPr>
            <w:tcW w:w="130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rPr>
                <w:rFonts w:ascii="Garamond" w:hAnsi="Garamond" w:cs="Garamond"/>
              </w:rPr>
            </w:pPr>
            <w:r>
              <w:rPr>
                <w:rFonts w:ascii="Garamond" w:hAnsi="Garamond" w:cs="Garamond"/>
              </w:rPr>
              <w:t xml:space="preserve">Ustanove visokog obrazovanja; </w:t>
            </w:r>
          </w:p>
          <w:p w:rsidR="00644F2A" w:rsidRDefault="00644F2A">
            <w:pPr>
              <w:pStyle w:val="BasicParagraph"/>
              <w:suppressAutoHyphens/>
              <w:jc w:val="center"/>
            </w:pPr>
            <w:r>
              <w:rPr>
                <w:rFonts w:ascii="Garamond" w:hAnsi="Garamond" w:cs="Garamond"/>
              </w:rPr>
              <w:t>MPNKS</w:t>
            </w:r>
          </w:p>
        </w:tc>
        <w:tc>
          <w:tcPr>
            <w:tcW w:w="1106"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april 2023.</w:t>
            </w:r>
          </w:p>
        </w:tc>
        <w:tc>
          <w:tcPr>
            <w:tcW w:w="1105"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decembar 2025.</w:t>
            </w:r>
          </w:p>
        </w:tc>
        <w:tc>
          <w:tcPr>
            <w:tcW w:w="1248"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199"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409"/>
        <w:gridCol w:w="2410"/>
        <w:gridCol w:w="2409"/>
        <w:gridCol w:w="2653"/>
      </w:tblGrid>
      <w:tr w:rsidR="00644F2A" w:rsidTr="001A25FD">
        <w:trPr>
          <w:trHeight w:val="677"/>
        </w:trPr>
        <w:tc>
          <w:tcPr>
            <w:tcW w:w="2409" w:type="dxa"/>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STRATEŠKI CILJ 4</w:t>
            </w:r>
          </w:p>
        </w:tc>
        <w:tc>
          <w:tcPr>
            <w:tcW w:w="7472" w:type="dxa"/>
            <w:gridSpan w:val="3"/>
            <w:tcBorders>
              <w:top w:val="single" w:sz="16" w:space="0" w:color="000000"/>
              <w:left w:val="single" w:sz="16" w:space="0" w:color="000000"/>
              <w:bottom w:val="single" w:sz="16"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JAČANJE ULOGE USTANOVA VISOKOG OBRAZOVANJA NA MEĐUNARODNOM PLANU</w:t>
            </w:r>
          </w:p>
        </w:tc>
      </w:tr>
      <w:tr w:rsidR="00644F2A" w:rsidTr="001A25FD">
        <w:trPr>
          <w:trHeight w:val="396"/>
        </w:trPr>
        <w:tc>
          <w:tcPr>
            <w:tcW w:w="2409"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OPERATIVNI CILJ 11</w:t>
            </w:r>
          </w:p>
        </w:tc>
        <w:tc>
          <w:tcPr>
            <w:tcW w:w="7472" w:type="dxa"/>
            <w:gridSpan w:val="3"/>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b/>
                <w:bCs/>
              </w:rPr>
              <w:t>POVEĆANJE BROJA ZAJEDNIČKIH STUDIJA I PROJEKATA</w:t>
            </w:r>
          </w:p>
        </w:tc>
      </w:tr>
      <w:tr w:rsidR="00644F2A" w:rsidTr="001A25FD">
        <w:trPr>
          <w:trHeight w:val="963"/>
        </w:trPr>
        <w:tc>
          <w:tcPr>
            <w:tcW w:w="2409" w:type="dxa"/>
            <w:tcBorders>
              <w:top w:val="single" w:sz="16"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učinka</w:t>
            </w:r>
          </w:p>
        </w:tc>
        <w:tc>
          <w:tcPr>
            <w:tcW w:w="2410"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Početna vrijednost</w:t>
            </w:r>
          </w:p>
        </w:tc>
        <w:tc>
          <w:tcPr>
            <w:tcW w:w="2409" w:type="dxa"/>
            <w:tcBorders>
              <w:top w:val="single" w:sz="16"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polovini sprovođenja strateškog dokumenta</w:t>
            </w:r>
          </w:p>
        </w:tc>
        <w:tc>
          <w:tcPr>
            <w:tcW w:w="2653" w:type="dxa"/>
            <w:tcBorders>
              <w:top w:val="single" w:sz="16"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Ciljna vrijednost na kraju sprovođenja strateškog dokumenta</w:t>
            </w:r>
          </w:p>
        </w:tc>
      </w:tr>
      <w:tr w:rsidR="00644F2A" w:rsidTr="001A25FD">
        <w:trPr>
          <w:trHeight w:val="973"/>
        </w:trPr>
        <w:tc>
          <w:tcPr>
            <w:tcW w:w="2409"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Broj zajedničkih studijskih programa povećan za pet</w:t>
            </w:r>
          </w:p>
        </w:tc>
        <w:tc>
          <w:tcPr>
            <w:tcW w:w="2410"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w:t>
            </w:r>
          </w:p>
        </w:tc>
        <w:tc>
          <w:tcPr>
            <w:tcW w:w="2409"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20%</w:t>
            </w:r>
          </w:p>
        </w:tc>
        <w:tc>
          <w:tcPr>
            <w:tcW w:w="2653"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644F2A" w:rsidRDefault="00945D99">
            <w:pPr>
              <w:pStyle w:val="BasicParagraph"/>
              <w:suppressAutoHyphens/>
              <w:jc w:val="center"/>
            </w:pPr>
            <w:r>
              <w:rPr>
                <w:rFonts w:ascii="Garamond" w:hAnsi="Garamond" w:cs="Garamond"/>
              </w:rPr>
              <w:t>100%</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1521"/>
        <w:gridCol w:w="1377"/>
        <w:gridCol w:w="1287"/>
        <w:gridCol w:w="1377"/>
        <w:gridCol w:w="1377"/>
        <w:gridCol w:w="1403"/>
        <w:gridCol w:w="1539"/>
      </w:tblGrid>
      <w:tr w:rsidR="00644F2A" w:rsidTr="001A25FD">
        <w:trPr>
          <w:trHeight w:val="1567"/>
        </w:trPr>
        <w:tc>
          <w:tcPr>
            <w:tcW w:w="1521" w:type="dxa"/>
            <w:tcBorders>
              <w:top w:val="single" w:sz="16" w:space="0" w:color="000000"/>
              <w:left w:val="single" w:sz="16"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Aktivnost koja utiče na realizaciju Operativnog cilja 11</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Indikator rezultata</w:t>
            </w:r>
          </w:p>
        </w:tc>
        <w:tc>
          <w:tcPr>
            <w:tcW w:w="128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Nadležne institucije</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Datum početka</w:t>
            </w:r>
          </w:p>
        </w:tc>
        <w:tc>
          <w:tcPr>
            <w:tcW w:w="1377"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Planirani datum završetka</w:t>
            </w:r>
          </w:p>
        </w:tc>
        <w:tc>
          <w:tcPr>
            <w:tcW w:w="1403" w:type="dxa"/>
            <w:tcBorders>
              <w:top w:val="single" w:sz="16" w:space="0" w:color="000000"/>
              <w:left w:val="single" w:sz="8" w:space="0" w:color="000000"/>
              <w:bottom w:val="single" w:sz="8" w:space="0" w:color="000000"/>
              <w:right w:val="single" w:sz="8"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Sredstva planirana za sprovođenje aktivnosti</w:t>
            </w:r>
          </w:p>
        </w:tc>
        <w:tc>
          <w:tcPr>
            <w:tcW w:w="1539" w:type="dxa"/>
            <w:tcBorders>
              <w:top w:val="single" w:sz="16" w:space="0" w:color="000000"/>
              <w:left w:val="single" w:sz="8" w:space="0" w:color="000000"/>
              <w:bottom w:val="single" w:sz="8" w:space="0" w:color="000000"/>
              <w:right w:val="single" w:sz="16" w:space="0" w:color="000000"/>
            </w:tcBorders>
            <w:shd w:val="solid" w:color="00FFFF" w:fill="auto"/>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Izvor finansiranja</w:t>
            </w:r>
          </w:p>
        </w:tc>
      </w:tr>
      <w:tr w:rsidR="00644F2A" w:rsidTr="001A25FD">
        <w:trPr>
          <w:trHeight w:val="1842"/>
        </w:trPr>
        <w:tc>
          <w:tcPr>
            <w:tcW w:w="152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11.1 Identifikovanje programa za zajedničke studije na svim nivoima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Jedan novi program zajedničkih studija na UVO</w:t>
            </w:r>
          </w:p>
        </w:tc>
        <w:tc>
          <w:tcPr>
            <w:tcW w:w="1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visokog obrazovanja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septembar 2023.</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septembar  2025.</w:t>
            </w:r>
          </w:p>
        </w:tc>
        <w:tc>
          <w:tcPr>
            <w:tcW w:w="1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10.000</w:t>
            </w:r>
          </w:p>
        </w:tc>
        <w:tc>
          <w:tcPr>
            <w:tcW w:w="1539"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 ustanova</w:t>
            </w:r>
          </w:p>
        </w:tc>
      </w:tr>
      <w:tr w:rsidR="00644F2A" w:rsidTr="001A25FD">
        <w:trPr>
          <w:trHeight w:val="3571"/>
        </w:trPr>
        <w:tc>
          <w:tcPr>
            <w:tcW w:w="152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rsidP="0042548D">
            <w:pPr>
              <w:pStyle w:val="BasicParagraph"/>
              <w:suppressAutoHyphens/>
            </w:pPr>
            <w:r>
              <w:rPr>
                <w:rFonts w:ascii="Garamond" w:hAnsi="Garamond" w:cs="Garamond"/>
              </w:rPr>
              <w:t>11.2 Međunarodna saradnja u oblasti visokog obrazovanja i istraživanja sa partnerskim ustanovama na zajedničkim projektima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Broj zajedničkih istraživačkih programa i projekata koji se finansiraju iz programa EU povećan za 20%</w:t>
            </w:r>
          </w:p>
        </w:tc>
        <w:tc>
          <w:tcPr>
            <w:tcW w:w="1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visokog obrazovanja</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821309" w:rsidRDefault="00644F2A">
            <w:pPr>
              <w:pStyle w:val="BasicParagraph"/>
              <w:suppressAutoHyphens/>
              <w:jc w:val="center"/>
              <w:rPr>
                <w:rFonts w:ascii="Garamond" w:hAnsi="Garamond" w:cs="Garamond"/>
              </w:rPr>
            </w:pPr>
            <w:r>
              <w:rPr>
                <w:rFonts w:ascii="Garamond" w:hAnsi="Garamond" w:cs="Garamond"/>
              </w:rPr>
              <w:t xml:space="preserve">maj </w:t>
            </w:r>
          </w:p>
          <w:p w:rsidR="00644F2A" w:rsidRDefault="00644F2A">
            <w:pPr>
              <w:pStyle w:val="BasicParagraph"/>
              <w:suppressAutoHyphens/>
              <w:jc w:val="center"/>
            </w:pPr>
            <w:r>
              <w:rPr>
                <w:rFonts w:ascii="Garamond" w:hAnsi="Garamond" w:cs="Garamond"/>
              </w:rPr>
              <w:t>2022.</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septembar 2025.</w:t>
            </w:r>
          </w:p>
        </w:tc>
        <w:tc>
          <w:tcPr>
            <w:tcW w:w="1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c>
          <w:tcPr>
            <w:tcW w:w="1539"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w:t>
            </w:r>
          </w:p>
        </w:tc>
      </w:tr>
      <w:tr w:rsidR="00644F2A" w:rsidTr="0042548D">
        <w:trPr>
          <w:trHeight w:val="2332"/>
        </w:trPr>
        <w:tc>
          <w:tcPr>
            <w:tcW w:w="1521" w:type="dxa"/>
            <w:tcBorders>
              <w:top w:val="single" w:sz="8" w:space="0" w:color="000000"/>
              <w:left w:val="single" w:sz="16"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rsidP="0042548D">
            <w:pPr>
              <w:pStyle w:val="BasicParagraph"/>
              <w:suppressAutoHyphens/>
            </w:pPr>
            <w:r>
              <w:rPr>
                <w:rFonts w:ascii="Garamond" w:hAnsi="Garamond" w:cs="Garamond"/>
              </w:rPr>
              <w:t>11.3 Zaključivanje bilateralnih i multilateralnih ugovora koji obezbjeđuju mobilnost</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Broj odlaznih i dolaznih mobilnosti povećan za 5% na godišnjem nivou</w:t>
            </w:r>
          </w:p>
        </w:tc>
        <w:tc>
          <w:tcPr>
            <w:tcW w:w="12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Ustanove visokog obrazovanja; MPNKS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Kontinuirana aktivnost</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Kontinuirana aktivnost</w:t>
            </w:r>
          </w:p>
        </w:tc>
        <w:tc>
          <w:tcPr>
            <w:tcW w:w="1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15.000</w:t>
            </w:r>
          </w:p>
        </w:tc>
        <w:tc>
          <w:tcPr>
            <w:tcW w:w="1539" w:type="dxa"/>
            <w:tcBorders>
              <w:top w:val="single" w:sz="8" w:space="0" w:color="000000"/>
              <w:left w:val="single" w:sz="8" w:space="0" w:color="000000"/>
              <w:bottom w:val="single" w:sz="8" w:space="0" w:color="000000"/>
              <w:right w:val="single" w:sz="16" w:space="0" w:color="000000"/>
            </w:tcBorders>
            <w:tcMar>
              <w:top w:w="80" w:type="dxa"/>
              <w:left w:w="80" w:type="dxa"/>
              <w:bottom w:w="80" w:type="dxa"/>
              <w:right w:w="80" w:type="dxa"/>
            </w:tcMar>
            <w:vAlign w:val="center"/>
          </w:tcPr>
          <w:p w:rsidR="00644F2A" w:rsidRDefault="00644F2A">
            <w:pPr>
              <w:pStyle w:val="BasicParagraph"/>
              <w:suppressAutoHyphens/>
              <w:jc w:val="center"/>
            </w:pPr>
            <w:r>
              <w:rPr>
                <w:rFonts w:ascii="Garamond" w:hAnsi="Garamond" w:cs="Garamond"/>
              </w:rPr>
              <w:t>Budžet</w:t>
            </w:r>
          </w:p>
        </w:tc>
      </w:tr>
      <w:tr w:rsidR="0042548D" w:rsidTr="001A25FD">
        <w:trPr>
          <w:trHeight w:val="2332"/>
        </w:trPr>
        <w:tc>
          <w:tcPr>
            <w:tcW w:w="1521" w:type="dxa"/>
            <w:tcBorders>
              <w:top w:val="single" w:sz="8" w:space="0" w:color="000000"/>
              <w:left w:val="single" w:sz="16" w:space="0" w:color="000000"/>
              <w:bottom w:val="single" w:sz="16" w:space="0" w:color="000000"/>
              <w:right w:val="single" w:sz="8" w:space="0" w:color="000000"/>
            </w:tcBorders>
            <w:tcMar>
              <w:top w:w="80" w:type="dxa"/>
              <w:left w:w="80" w:type="dxa"/>
              <w:bottom w:w="80" w:type="dxa"/>
              <w:right w:w="80" w:type="dxa"/>
            </w:tcMar>
            <w:vAlign w:val="center"/>
          </w:tcPr>
          <w:p w:rsidR="0042548D" w:rsidRDefault="0042548D" w:rsidP="0042548D">
            <w:pPr>
              <w:pStyle w:val="BasicParagraph"/>
              <w:suppressAutoHyphens/>
              <w:rPr>
                <w:rFonts w:ascii="Garamond" w:hAnsi="Garamond" w:cs="Garamond"/>
              </w:rPr>
            </w:pPr>
            <w:r>
              <w:rPr>
                <w:rFonts w:ascii="Garamond" w:hAnsi="Garamond" w:cs="Garamond"/>
              </w:rPr>
              <w:t xml:space="preserve">11.3 </w:t>
            </w:r>
            <w:r w:rsidR="00FD0E78">
              <w:rPr>
                <w:rFonts w:ascii="Garamond" w:hAnsi="Garamond" w:cs="Garamond"/>
              </w:rPr>
              <w:t>Proširen i poboljšan</w:t>
            </w:r>
            <w:r>
              <w:rPr>
                <w:rFonts w:ascii="Garamond" w:hAnsi="Garamond" w:cs="Garamond"/>
              </w:rPr>
              <w:t xml:space="preserve"> </w:t>
            </w:r>
            <w:r w:rsidR="00FD0E78">
              <w:rPr>
                <w:rFonts w:ascii="Garamond" w:hAnsi="Garamond" w:cs="Garamond"/>
              </w:rPr>
              <w:t>Program podrške</w:t>
            </w:r>
            <w:r>
              <w:rPr>
                <w:rFonts w:ascii="Garamond" w:hAnsi="Garamond" w:cs="Garamond"/>
              </w:rPr>
              <w:t xml:space="preserve"> studenti</w:t>
            </w:r>
            <w:r w:rsidR="00FD0E78">
              <w:rPr>
                <w:rFonts w:ascii="Garamond" w:hAnsi="Garamond" w:cs="Garamond"/>
              </w:rPr>
              <w:t>ma stipendiranjem studenata</w:t>
            </w:r>
            <w:r>
              <w:rPr>
                <w:rFonts w:ascii="Garamond" w:hAnsi="Garamond" w:cs="Garamond"/>
              </w:rPr>
              <w:t xml:space="preserve"> na renomiranim ustanovama visokog obrazovanja</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42548D" w:rsidRDefault="00FD0E78">
            <w:pPr>
              <w:pStyle w:val="BasicParagraph"/>
              <w:suppressAutoHyphens/>
              <w:jc w:val="center"/>
              <w:rPr>
                <w:rFonts w:ascii="Garamond" w:hAnsi="Garamond" w:cs="Garamond"/>
              </w:rPr>
            </w:pPr>
            <w:r>
              <w:rPr>
                <w:rFonts w:ascii="Garamond" w:hAnsi="Garamond" w:cs="Garamond"/>
              </w:rPr>
              <w:t>Povećan broj stipendiranih studenata iz nacionalnih sredstava</w:t>
            </w:r>
          </w:p>
        </w:tc>
        <w:tc>
          <w:tcPr>
            <w:tcW w:w="128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42548D" w:rsidRDefault="00FD0E78">
            <w:pPr>
              <w:pStyle w:val="BasicParagraph"/>
              <w:suppressAutoHyphens/>
              <w:jc w:val="center"/>
              <w:rPr>
                <w:rFonts w:ascii="Garamond" w:hAnsi="Garamond" w:cs="Garamond"/>
              </w:rPr>
            </w:pPr>
            <w:r>
              <w:rPr>
                <w:rFonts w:ascii="Garamond" w:hAnsi="Garamond" w:cs="Garamond"/>
              </w:rPr>
              <w:t>MPNKS</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42548D" w:rsidRDefault="00FD0E78">
            <w:pPr>
              <w:pStyle w:val="BasicParagraph"/>
              <w:suppressAutoHyphens/>
              <w:jc w:val="center"/>
              <w:rPr>
                <w:rFonts w:ascii="Garamond" w:hAnsi="Garamond" w:cs="Garamond"/>
              </w:rPr>
            </w:pPr>
            <w:r>
              <w:rPr>
                <w:rFonts w:ascii="Garamond" w:hAnsi="Garamond" w:cs="Garamond"/>
              </w:rPr>
              <w:t>Kontinuirana aktivnost</w:t>
            </w:r>
          </w:p>
        </w:tc>
        <w:tc>
          <w:tcPr>
            <w:tcW w:w="1377"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42548D" w:rsidRDefault="00FD0E78">
            <w:pPr>
              <w:pStyle w:val="BasicParagraph"/>
              <w:suppressAutoHyphens/>
              <w:jc w:val="center"/>
              <w:rPr>
                <w:rFonts w:ascii="Garamond" w:hAnsi="Garamond" w:cs="Garamond"/>
              </w:rPr>
            </w:pPr>
            <w:r>
              <w:rPr>
                <w:rFonts w:ascii="Garamond" w:hAnsi="Garamond" w:cs="Garamond"/>
              </w:rPr>
              <w:t>Kontinuirana aktivnost</w:t>
            </w:r>
          </w:p>
        </w:tc>
        <w:tc>
          <w:tcPr>
            <w:tcW w:w="1403" w:type="dxa"/>
            <w:tcBorders>
              <w:top w:val="single" w:sz="8" w:space="0" w:color="000000"/>
              <w:left w:val="single" w:sz="8" w:space="0" w:color="000000"/>
              <w:bottom w:val="single" w:sz="16" w:space="0" w:color="000000"/>
              <w:right w:val="single" w:sz="8" w:space="0" w:color="000000"/>
            </w:tcBorders>
            <w:tcMar>
              <w:top w:w="80" w:type="dxa"/>
              <w:left w:w="80" w:type="dxa"/>
              <w:bottom w:w="80" w:type="dxa"/>
              <w:right w:w="80" w:type="dxa"/>
            </w:tcMar>
            <w:vAlign w:val="center"/>
          </w:tcPr>
          <w:p w:rsidR="0042548D" w:rsidRDefault="00FD0E78">
            <w:pPr>
              <w:pStyle w:val="BasicParagraph"/>
              <w:suppressAutoHyphens/>
              <w:jc w:val="center"/>
              <w:rPr>
                <w:rFonts w:ascii="Garamond" w:hAnsi="Garamond" w:cs="Garamond"/>
              </w:rPr>
            </w:pPr>
            <w:r>
              <w:rPr>
                <w:rFonts w:ascii="Garamond" w:hAnsi="Garamond" w:cs="Garamond"/>
              </w:rPr>
              <w:t>500.000</w:t>
            </w:r>
          </w:p>
        </w:tc>
        <w:tc>
          <w:tcPr>
            <w:tcW w:w="1539" w:type="dxa"/>
            <w:tcBorders>
              <w:top w:val="single" w:sz="8" w:space="0" w:color="000000"/>
              <w:left w:val="single" w:sz="8" w:space="0" w:color="000000"/>
              <w:bottom w:val="single" w:sz="16" w:space="0" w:color="000000"/>
              <w:right w:val="single" w:sz="16" w:space="0" w:color="000000"/>
            </w:tcBorders>
            <w:tcMar>
              <w:top w:w="80" w:type="dxa"/>
              <w:left w:w="80" w:type="dxa"/>
              <w:bottom w:w="80" w:type="dxa"/>
              <w:right w:w="80" w:type="dxa"/>
            </w:tcMar>
            <w:vAlign w:val="center"/>
          </w:tcPr>
          <w:p w:rsidR="0042548D" w:rsidRDefault="00FD0E78">
            <w:pPr>
              <w:pStyle w:val="BasicParagraph"/>
              <w:suppressAutoHyphens/>
              <w:jc w:val="center"/>
              <w:rPr>
                <w:rFonts w:ascii="Garamond" w:hAnsi="Garamond" w:cs="Garamond"/>
              </w:rPr>
            </w:pPr>
            <w:r>
              <w:rPr>
                <w:rFonts w:ascii="Garamond" w:hAnsi="Garamond" w:cs="Garamond"/>
              </w:rPr>
              <w:t xml:space="preserve">Budžet </w:t>
            </w:r>
          </w:p>
        </w:tc>
      </w:tr>
    </w:tbl>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644F2A" w:rsidRDefault="00644F2A" w:rsidP="00644F2A">
      <w:pPr>
        <w:pStyle w:val="BasicParagraph"/>
        <w:suppressAutoHyphens/>
        <w:rPr>
          <w:rFonts w:ascii="Garamond" w:hAnsi="Garamond" w:cs="Garamond"/>
          <w:b/>
          <w:bCs/>
          <w:sz w:val="28"/>
          <w:szCs w:val="28"/>
        </w:rPr>
      </w:pPr>
    </w:p>
    <w:p w:rsidR="00B92DCB" w:rsidRDefault="00B92DCB" w:rsidP="00644F2A">
      <w:pPr>
        <w:pStyle w:val="BasicParagraph"/>
        <w:suppressAutoHyphens/>
        <w:ind w:firstLine="567"/>
        <w:jc w:val="both"/>
        <w:rPr>
          <w:rFonts w:ascii="Garamond" w:hAnsi="Garamond" w:cs="Garamond"/>
          <w:b/>
          <w:bCs/>
          <w:sz w:val="28"/>
          <w:szCs w:val="28"/>
        </w:rPr>
      </w:pPr>
    </w:p>
    <w:p w:rsidR="00B92DCB" w:rsidRDefault="00B92DCB" w:rsidP="00644F2A">
      <w:pPr>
        <w:pStyle w:val="BasicParagraph"/>
        <w:suppressAutoHyphens/>
        <w:ind w:firstLine="567"/>
        <w:jc w:val="both"/>
        <w:rPr>
          <w:rFonts w:ascii="Garamond" w:hAnsi="Garamond" w:cs="Garamond"/>
          <w:b/>
          <w:bCs/>
          <w:sz w:val="28"/>
          <w:szCs w:val="28"/>
        </w:rPr>
      </w:pPr>
    </w:p>
    <w:p w:rsidR="00B92DCB" w:rsidRDefault="00B92DCB" w:rsidP="00644F2A">
      <w:pPr>
        <w:pStyle w:val="BasicParagraph"/>
        <w:suppressAutoHyphens/>
        <w:ind w:firstLine="567"/>
        <w:jc w:val="both"/>
        <w:rPr>
          <w:rFonts w:ascii="Garamond" w:hAnsi="Garamond" w:cs="Garamond"/>
          <w:b/>
          <w:bCs/>
          <w:sz w:val="28"/>
          <w:szCs w:val="28"/>
        </w:rPr>
      </w:pPr>
    </w:p>
    <w:p w:rsidR="00644F2A" w:rsidRDefault="001A25FD"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5</w:t>
      </w:r>
      <w:r w:rsidR="00644F2A">
        <w:rPr>
          <w:rFonts w:ascii="Garamond" w:hAnsi="Garamond" w:cs="Garamond"/>
          <w:b/>
          <w:bCs/>
          <w:sz w:val="28"/>
          <w:szCs w:val="28"/>
        </w:rPr>
        <w:t>. MONITORING, IZVJEŠTAVANJE I EVALUACIJA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 primjeni planiranih aktivnosti Strategije uključeni su Ministarstvo prosvjete,</w:t>
      </w:r>
      <w:r w:rsidR="00D546DD">
        <w:rPr>
          <w:rFonts w:ascii="Garamond" w:hAnsi="Garamond" w:cs="Garamond"/>
          <w:sz w:val="28"/>
          <w:szCs w:val="28"/>
        </w:rPr>
        <w:t xml:space="preserve"> </w:t>
      </w:r>
      <w:r>
        <w:rPr>
          <w:rFonts w:ascii="Garamond" w:hAnsi="Garamond" w:cs="Garamond"/>
          <w:sz w:val="28"/>
          <w:szCs w:val="28"/>
        </w:rPr>
        <w:t xml:space="preserve">nauke, kulture i sporta, ustanove visokog obrazovanja, Privredna komora, Agencija za kotrolu i obezbjeđenje kvaliteta visokog obrazovanja i Zavod za zapošljavanje.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 skladu sa Akcionim planom, za realizaciju planiranih ciljeva određenena je njihova pojedinačna ili zajednička odgovornost. Da bi realizacija bila blagovremena i koordinisana neophodno je formirati koordinacioni tim sastavljen od članova koji su kompetentni za oblasti obuhvaćene Strategijom. Tim treba da bude formiran od sljedećih članova: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 xml:space="preserve"> tri predstavnika Ministrstva prosvjete, nauke, kulture i sporta, koji bi koordinisali rad tima, a ujedno i realizaciju planiranih aktivnosti, organizaciju rada i upravljanje sistemom visokog obrazovanja i ustanovama visokog obrazovanja i izvršavali sekretarske poslove Komisije;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 xml:space="preserve">– </w:t>
      </w:r>
      <w:r>
        <w:rPr>
          <w:rFonts w:ascii="Garamond" w:hAnsi="Garamond" w:cs="Garamond"/>
          <w:sz w:val="28"/>
          <w:szCs w:val="28"/>
        </w:rPr>
        <w:t xml:space="preserve"> dva predstavnika ustanova visokog obrazovanja za oblasti studija (nastave) i ostalih djelatnosti na ustanovama;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ab/>
        <w:t xml:space="preserve"> predstavnik Privredne komore za oblast tržišta rada i zapošljavanja;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ab/>
        <w:t xml:space="preserve"> predstavnik Agencije za kontrolu i obazbjeđenje kvalite (AKOKVO) za oblast obezbjeđenja kvaliteta;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ab/>
        <w:t xml:space="preserve"> predstavnik IT sektora za razvoj ove oblasti.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Budući da su izdvojene oblasti u potpunosti funkcionalne u organizacionoj i upravljačkoj strukturi ustanova visokog obrazovanja, kao i ostalih ustanova i tijela, Koordinacioni tim će pripremiti principe i dinamiku rada, a koordinatori formirati radne grupe za svaku oblast. Zadatak radnih grupa je da u svojoj oblasti planira i kontroliše realizaciju aktivnosti, prateći indikatore, uz organizovanje periodičnih sastanaka. Radne grupe bi na šestomjesečnom nivou pripremale izvještaj o statusu aktivnosti, dok bi godišnje izvještaje o realizaciji zadataka pripremale za koordinacioni tim. Koordinacioni tim bi objedinjavao izvještaje radnih grupa i upoređivao realizaciju obaveza sa dinamičkim planom realizacije Strategije, i dostavljao Generalnom sekretarijatu Vlade, na mišljenje.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Završni izvještaj, na kraju planskog perioda, pripremio bi Koordinacioni tim sa prikazom konačne realizacije obaveza planiranih u Strategiji, uz ocjenu indikatora i uspješnosti i dostavljao ga Savjetu za visoko obrazovanje, na upoznavanje, prije procedure prema Vladi.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Završi izvještaj Ministarstvo dostavlja Vladi Crne Gore, na usvajanje.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U cilju objektivnijeg prikaza stanja u visokom obrazovanju i uspješnosti realizacije Strategije, na kraju četvorogodišnjeg perioda treba uraditi evaluaciju, koju bi sprovelo nezavisno ekspertsko tijelo ili eksperti angažovani unutar sistema, a koji poznaju oblast visokog obrazovanja.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Potreban iznos sredstava za evaluaciju zavisiće od modela za koji se Vlada opredijeli u tom trenutku.</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1A25FD"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6</w:t>
      </w:r>
      <w:r w:rsidR="00644F2A">
        <w:rPr>
          <w:rFonts w:ascii="Garamond" w:hAnsi="Garamond" w:cs="Garamond"/>
          <w:b/>
          <w:bCs/>
          <w:sz w:val="28"/>
          <w:szCs w:val="28"/>
        </w:rPr>
        <w:t>. KOMUNICIRANJE REFORMSKIH AKTIVNOSTI</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Informativni instrumenti za sprovođenje politika u strateškom dokumentu su različite kampanje, obuke, PR aktivnosti, informativne brošure, publikacije i mediji. Planirane aktivnosti je neophodno sprovoditi u duhu transparentnosti i uključivosti.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ab/>
        <w:t xml:space="preserve"> Planirane komunikacijske aktivnosti treba predstaviti u detaljnom Planu komunikacije. Plan komunikacije treba da sadrži jasan komunikacijski proces, prilagođen ciljnoj grupi i prirodi komunikacionih kanala.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ab/>
        <w:t xml:space="preserve"> Neophodno je uraditi detaljnu analizu zainteresovanih strana, kako bi se prepoznale ciljne grupe prema kojima treba komunicirati planirane reforme.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 xml:space="preserve"> U komunikacijskom procesu planiranih aktivnosti, postignutih rezultata i učinaka treba koristiti mjerljive indikatore.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 xml:space="preserve"> Poruke treba da budu usmjerene na svrhu donošenja ovog dokumenta, na važnost poboljšanja stanja u ovoj oblasti i na interes građana ostvarivanjem ciljeva strateškog dokumenta.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w:t>
      </w:r>
      <w:r>
        <w:rPr>
          <w:rFonts w:ascii="Garamond" w:hAnsi="Garamond" w:cs="Garamond"/>
          <w:sz w:val="28"/>
          <w:szCs w:val="28"/>
        </w:rPr>
        <w:tab/>
        <w:t xml:space="preserve"> Komunikacijske aktivnosti prilagoditi digitalnom dobu, tako da poruke bude vizuelne a process interaktivan.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 </w:t>
      </w:r>
    </w:p>
    <w:p w:rsidR="00644F2A" w:rsidRDefault="00644F2A" w:rsidP="00611AB6">
      <w:pPr>
        <w:pStyle w:val="BasicParagraph"/>
        <w:suppressAutoHyphens/>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b/>
          <w:bCs/>
          <w:sz w:val="28"/>
          <w:szCs w:val="28"/>
        </w:rPr>
      </w:pPr>
      <w:r>
        <w:rPr>
          <w:rFonts w:ascii="Garamond" w:hAnsi="Garamond" w:cs="Garamond"/>
          <w:b/>
          <w:bCs/>
          <w:sz w:val="28"/>
          <w:szCs w:val="28"/>
        </w:rPr>
        <w:t>PRILOG I</w:t>
      </w:r>
    </w:p>
    <w:p w:rsidR="00644F2A" w:rsidRDefault="00644F2A" w:rsidP="00644F2A">
      <w:pPr>
        <w:pStyle w:val="BasicParagraph"/>
        <w:suppressAutoHyphens/>
        <w:ind w:firstLine="567"/>
        <w:jc w:val="both"/>
        <w:rPr>
          <w:rFonts w:ascii="Garamond" w:hAnsi="Garamond" w:cs="Garamond"/>
          <w:b/>
          <w:bCs/>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b/>
          <w:bCs/>
          <w:sz w:val="28"/>
          <w:szCs w:val="28"/>
        </w:rPr>
        <w:t>OSNOVNI POJMOVI</w:t>
      </w:r>
      <w:r>
        <w:rPr>
          <w:rFonts w:ascii="Garamond" w:hAnsi="Garamond" w:cs="Garamond"/>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     </w:t>
      </w:r>
    </w:p>
    <w:p w:rsidR="00644F2A" w:rsidRPr="00821309" w:rsidRDefault="00644F2A" w:rsidP="00644F2A">
      <w:pPr>
        <w:pStyle w:val="BasicParagraph"/>
        <w:suppressAutoHyphens/>
        <w:ind w:firstLine="567"/>
        <w:jc w:val="both"/>
        <w:rPr>
          <w:rFonts w:ascii="Garamond" w:hAnsi="Garamond" w:cs="Garamond"/>
          <w:b/>
          <w:bCs/>
          <w:color w:val="0070C0"/>
          <w:sz w:val="28"/>
          <w:szCs w:val="28"/>
        </w:rPr>
      </w:pPr>
      <w:r w:rsidRPr="00821309">
        <w:rPr>
          <w:rFonts w:ascii="Garamond" w:hAnsi="Garamond" w:cs="Garamond"/>
          <w:b/>
          <w:bCs/>
          <w:color w:val="0070C0"/>
          <w:sz w:val="28"/>
          <w:szCs w:val="28"/>
        </w:rPr>
        <w:t>ISHODI UČENJA/KOMPETENCIJE</w:t>
      </w:r>
      <w:r w:rsidRPr="00821309">
        <w:rPr>
          <w:rFonts w:ascii="Garamond" w:hAnsi="Garamond" w:cs="Garamond"/>
          <w:b/>
          <w:bCs/>
          <w:color w:val="0070C0"/>
          <w:sz w:val="28"/>
          <w:szCs w:val="28"/>
          <w:vertAlign w:val="superscript"/>
        </w:rPr>
        <w:footnoteReference w:id="33"/>
      </w:r>
      <w:r w:rsidRPr="00821309">
        <w:rPr>
          <w:rFonts w:ascii="Garamond" w:hAnsi="Garamond" w:cs="Garamond"/>
          <w:b/>
          <w:bCs/>
          <w:color w:val="0070C0"/>
          <w:sz w:val="28"/>
          <w:szCs w:val="28"/>
        </w:rPr>
        <w:t xml:space="preserv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w:t>
      </w:r>
      <w:r>
        <w:rPr>
          <w:rFonts w:ascii="Garamond" w:hAnsi="Garamond" w:cs="Garamond"/>
          <w:sz w:val="28"/>
          <w:szCs w:val="28"/>
        </w:rPr>
        <w:tab/>
        <w:t xml:space="preserve"> </w:t>
      </w:r>
      <w:r w:rsidRPr="00821309">
        <w:rPr>
          <w:rFonts w:ascii="Garamond" w:hAnsi="Garamond" w:cs="Garamond"/>
          <w:color w:val="0070C0"/>
          <w:sz w:val="28"/>
          <w:szCs w:val="28"/>
        </w:rPr>
        <w:t xml:space="preserve">Ishodi učenja </w:t>
      </w:r>
      <w:r>
        <w:rPr>
          <w:rFonts w:ascii="Garamond" w:hAnsi="Garamond" w:cs="Garamond"/>
          <w:sz w:val="28"/>
          <w:szCs w:val="28"/>
        </w:rPr>
        <w:t>(Learning Outcomes) su kompetencije koje je osoba stekla učenjem i dokazala nakon postupka učenja.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w:t>
      </w:r>
      <w:r>
        <w:rPr>
          <w:rFonts w:ascii="Garamond" w:hAnsi="Garamond" w:cs="Garamond"/>
          <w:sz w:val="28"/>
          <w:szCs w:val="28"/>
        </w:rPr>
        <w:tab/>
        <w:t xml:space="preserve"> </w:t>
      </w:r>
      <w:r w:rsidRPr="00821309">
        <w:rPr>
          <w:rFonts w:ascii="Garamond" w:hAnsi="Garamond" w:cs="Garamond"/>
          <w:color w:val="0070C0"/>
          <w:sz w:val="28"/>
          <w:szCs w:val="28"/>
        </w:rPr>
        <w:t>Kompetencije</w:t>
      </w:r>
      <w:r>
        <w:rPr>
          <w:rFonts w:ascii="Garamond" w:hAnsi="Garamond" w:cs="Garamond"/>
          <w:sz w:val="28"/>
          <w:szCs w:val="28"/>
        </w:rPr>
        <w:t xml:space="preserve"> (Competences) označavaju skup znanja, vještina i pripadajuću samostalnost i odgovornost, često nazvane kompetencije u užem smislu (EU’s Key Competence Framework).</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w:t>
      </w:r>
      <w:r>
        <w:rPr>
          <w:rFonts w:ascii="Garamond" w:hAnsi="Garamond" w:cs="Garamond"/>
          <w:sz w:val="28"/>
          <w:szCs w:val="28"/>
        </w:rPr>
        <w:tab/>
        <w:t xml:space="preserve"> </w:t>
      </w:r>
      <w:r w:rsidRPr="00821309">
        <w:rPr>
          <w:rFonts w:ascii="Garamond" w:hAnsi="Garamond" w:cs="Garamond"/>
          <w:color w:val="0070C0"/>
          <w:sz w:val="28"/>
          <w:szCs w:val="28"/>
        </w:rPr>
        <w:t xml:space="preserve">Kvalifikacija </w:t>
      </w:r>
      <w:r>
        <w:rPr>
          <w:rFonts w:ascii="Garamond" w:hAnsi="Garamond" w:cs="Garamond"/>
          <w:sz w:val="28"/>
          <w:szCs w:val="28"/>
        </w:rPr>
        <w:t xml:space="preserve">(Qualification) je cjelovit skup određenog obima stečenih kompetencija koje su sve pojedinačno vrednovane (ishodi učenja).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o</w:t>
      </w:r>
      <w:r>
        <w:rPr>
          <w:rFonts w:ascii="Garamond" w:hAnsi="Garamond" w:cs="Garamond"/>
          <w:sz w:val="28"/>
          <w:szCs w:val="28"/>
        </w:rPr>
        <w:tab/>
        <w:t xml:space="preserve"> </w:t>
      </w:r>
      <w:r w:rsidRPr="00821309">
        <w:rPr>
          <w:rFonts w:ascii="Garamond" w:hAnsi="Garamond" w:cs="Garamond"/>
          <w:color w:val="0070C0"/>
          <w:sz w:val="28"/>
          <w:szCs w:val="28"/>
        </w:rPr>
        <w:t xml:space="preserve">Student u središtu procesa </w:t>
      </w:r>
      <w:r>
        <w:rPr>
          <w:rFonts w:ascii="Garamond" w:hAnsi="Garamond" w:cs="Garamond"/>
          <w:sz w:val="28"/>
          <w:szCs w:val="28"/>
        </w:rPr>
        <w:t>– neophodan uslov za realan uspjeh učenja i poučavanja u visokom obrazovanju.</w:t>
      </w:r>
    </w:p>
    <w:p w:rsidR="00644F2A" w:rsidRDefault="00644F2A" w:rsidP="00644F2A">
      <w:pPr>
        <w:pStyle w:val="BasicParagraph"/>
        <w:suppressAutoHyphens/>
        <w:ind w:firstLine="567"/>
        <w:jc w:val="both"/>
        <w:rPr>
          <w:rFonts w:ascii="Garamond" w:hAnsi="Garamond" w:cs="Garamond"/>
          <w:color w:val="00FFFF"/>
          <w:sz w:val="28"/>
          <w:szCs w:val="28"/>
        </w:rPr>
      </w:pPr>
    </w:p>
    <w:p w:rsidR="00644F2A" w:rsidRDefault="00644F2A" w:rsidP="00644F2A">
      <w:pPr>
        <w:pStyle w:val="BasicParagraph"/>
        <w:suppressAutoHyphens/>
        <w:ind w:firstLine="567"/>
        <w:jc w:val="both"/>
        <w:rPr>
          <w:rFonts w:ascii="Garamond" w:hAnsi="Garamond" w:cs="Garamond"/>
          <w:sz w:val="28"/>
          <w:szCs w:val="28"/>
        </w:rPr>
      </w:pPr>
      <w:r w:rsidRPr="00821309">
        <w:rPr>
          <w:rFonts w:ascii="Garamond" w:hAnsi="Garamond" w:cs="Garamond"/>
          <w:color w:val="0070C0"/>
          <w:sz w:val="28"/>
          <w:szCs w:val="28"/>
        </w:rPr>
        <w:t xml:space="preserve">Specifične kompetencije </w:t>
      </w:r>
      <w:r>
        <w:rPr>
          <w:rFonts w:ascii="Garamond" w:hAnsi="Garamond" w:cs="Garamond"/>
          <w:sz w:val="28"/>
          <w:szCs w:val="28"/>
        </w:rPr>
        <w:t xml:space="preserve">– stručne kompetencije za određenu discipline. </w:t>
      </w:r>
    </w:p>
    <w:p w:rsidR="00644F2A" w:rsidRDefault="00644F2A" w:rsidP="00644F2A">
      <w:pPr>
        <w:pStyle w:val="BasicParagraph"/>
        <w:suppressAutoHyphens/>
        <w:ind w:firstLine="567"/>
        <w:jc w:val="both"/>
        <w:rPr>
          <w:rFonts w:ascii="Garamond" w:hAnsi="Garamond" w:cs="Garamond"/>
          <w:sz w:val="28"/>
          <w:szCs w:val="28"/>
        </w:rPr>
      </w:pPr>
      <w:r w:rsidRPr="00821309">
        <w:rPr>
          <w:rFonts w:ascii="Garamond" w:hAnsi="Garamond" w:cs="Garamond"/>
          <w:color w:val="0070C0"/>
          <w:sz w:val="28"/>
          <w:szCs w:val="28"/>
        </w:rPr>
        <w:t xml:space="preserve">Generičke kompetencije </w:t>
      </w:r>
      <w:r>
        <w:rPr>
          <w:rFonts w:ascii="Garamond" w:hAnsi="Garamond" w:cs="Garamond"/>
          <w:sz w:val="28"/>
          <w:szCs w:val="28"/>
        </w:rPr>
        <w:t xml:space="preserve">– ključne kompetencije, prenosive vještine za 21. vijek.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Kombinacija znanja, vještina i stavova – 8 grupa: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1. Komunikacija na materinjem jeziku;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2. Komunikacija na stranom jeziku;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3. Matematičke kompetencije i osnovne kompetencije u nauci i tehnologiji;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4. Digitalne kompetencije;</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5. Učiti kako se uči;</w:t>
      </w:r>
    </w:p>
    <w:p w:rsidR="00644F2A" w:rsidRPr="005D5EC6" w:rsidRDefault="00644F2A" w:rsidP="00644F2A">
      <w:pPr>
        <w:pStyle w:val="BasicParagraph"/>
        <w:suppressAutoHyphens/>
        <w:ind w:firstLine="567"/>
        <w:jc w:val="both"/>
        <w:rPr>
          <w:rFonts w:ascii="Garamond" w:hAnsi="Garamond" w:cs="Garamond"/>
          <w:sz w:val="28"/>
          <w:szCs w:val="28"/>
          <w:lang w:val="fr-FR"/>
        </w:rPr>
      </w:pPr>
      <w:r w:rsidRPr="005D5EC6">
        <w:rPr>
          <w:rFonts w:ascii="Garamond" w:hAnsi="Garamond" w:cs="Garamond"/>
          <w:sz w:val="28"/>
          <w:szCs w:val="28"/>
          <w:lang w:val="fr-FR"/>
        </w:rPr>
        <w:t>6. Socijalne i građanske kompetencije –</w:t>
      </w:r>
    </w:p>
    <w:p w:rsidR="00644F2A" w:rsidRPr="005D5EC6" w:rsidRDefault="00644F2A" w:rsidP="00644F2A">
      <w:pPr>
        <w:pStyle w:val="BasicParagraph"/>
        <w:suppressAutoHyphens/>
        <w:ind w:left="283" w:firstLine="567"/>
        <w:jc w:val="both"/>
        <w:rPr>
          <w:rFonts w:ascii="Garamond" w:hAnsi="Garamond" w:cs="Garamond"/>
          <w:sz w:val="28"/>
          <w:szCs w:val="28"/>
          <w:lang w:val="fr-FR"/>
        </w:rPr>
      </w:pPr>
      <w:r w:rsidRPr="005D5EC6">
        <w:rPr>
          <w:rFonts w:ascii="Garamond" w:hAnsi="Garamond" w:cs="Garamond"/>
          <w:sz w:val="28"/>
          <w:szCs w:val="28"/>
          <w:lang w:val="fr-FR"/>
        </w:rPr>
        <w:t xml:space="preserve">– Spontani interes za druženje; </w:t>
      </w:r>
    </w:p>
    <w:p w:rsidR="00644F2A" w:rsidRPr="005D5EC6" w:rsidRDefault="00644F2A" w:rsidP="00644F2A">
      <w:pPr>
        <w:pStyle w:val="BasicParagraph"/>
        <w:suppressAutoHyphens/>
        <w:ind w:left="283" w:firstLine="567"/>
        <w:jc w:val="both"/>
        <w:rPr>
          <w:rFonts w:ascii="Garamond" w:hAnsi="Garamond" w:cs="Garamond"/>
          <w:sz w:val="28"/>
          <w:szCs w:val="28"/>
          <w:lang w:val="fr-FR"/>
        </w:rPr>
      </w:pPr>
      <w:r w:rsidRPr="005D5EC6">
        <w:rPr>
          <w:rFonts w:ascii="Garamond" w:hAnsi="Garamond" w:cs="Garamond"/>
          <w:sz w:val="28"/>
          <w:szCs w:val="28"/>
          <w:lang w:val="fr-FR"/>
        </w:rPr>
        <w:t>– Uspostavljanje osnovne emocionalne (samo) regulacije (pretežno dobro raspoloženje...);</w:t>
      </w:r>
    </w:p>
    <w:p w:rsidR="00644F2A" w:rsidRPr="005D5EC6" w:rsidRDefault="00644F2A" w:rsidP="00644F2A">
      <w:pPr>
        <w:pStyle w:val="BasicParagraph"/>
        <w:suppressAutoHyphens/>
        <w:ind w:left="283" w:firstLine="567"/>
        <w:jc w:val="both"/>
        <w:rPr>
          <w:rFonts w:ascii="Garamond" w:hAnsi="Garamond" w:cs="Garamond"/>
          <w:sz w:val="28"/>
          <w:szCs w:val="28"/>
          <w:lang w:val="fr-FR"/>
        </w:rPr>
      </w:pPr>
      <w:r w:rsidRPr="005D5EC6">
        <w:rPr>
          <w:rFonts w:ascii="Garamond" w:hAnsi="Garamond" w:cs="Garamond"/>
          <w:sz w:val="28"/>
          <w:szCs w:val="28"/>
          <w:lang w:val="fr-FR"/>
        </w:rPr>
        <w:t>– Samostalna i samoinicijativna interakcije sa vršnjacima (osjećanje sigurnosti u društvu...);</w:t>
      </w:r>
    </w:p>
    <w:p w:rsidR="00644F2A" w:rsidRPr="005D5EC6" w:rsidRDefault="00644F2A" w:rsidP="00644F2A">
      <w:pPr>
        <w:pStyle w:val="BasicParagraph"/>
        <w:suppressAutoHyphens/>
        <w:ind w:left="283" w:firstLine="567"/>
        <w:jc w:val="both"/>
        <w:rPr>
          <w:rFonts w:ascii="Garamond" w:hAnsi="Garamond" w:cs="Garamond"/>
          <w:sz w:val="28"/>
          <w:szCs w:val="28"/>
          <w:lang w:val="fr-FR"/>
        </w:rPr>
      </w:pPr>
      <w:r w:rsidRPr="005D5EC6">
        <w:rPr>
          <w:rFonts w:ascii="Garamond" w:hAnsi="Garamond" w:cs="Garamond"/>
          <w:sz w:val="28"/>
          <w:szCs w:val="28"/>
          <w:lang w:val="fr-FR"/>
        </w:rPr>
        <w:t>– Raspolaganje osnovnim socijalnim vještinama (spontano korišćenje osnovnih fraze...);</w:t>
      </w:r>
    </w:p>
    <w:p w:rsidR="00644F2A" w:rsidRPr="005D5EC6" w:rsidRDefault="00644F2A" w:rsidP="00644F2A">
      <w:pPr>
        <w:pStyle w:val="BasicParagraph"/>
        <w:suppressAutoHyphens/>
        <w:ind w:left="283" w:firstLine="567"/>
        <w:jc w:val="both"/>
        <w:rPr>
          <w:rFonts w:ascii="Garamond" w:hAnsi="Garamond" w:cs="Garamond"/>
          <w:sz w:val="28"/>
          <w:szCs w:val="28"/>
          <w:lang w:val="fr-FR"/>
        </w:rPr>
      </w:pPr>
      <w:r w:rsidRPr="005D5EC6">
        <w:rPr>
          <w:rFonts w:ascii="Garamond" w:hAnsi="Garamond" w:cs="Garamond"/>
          <w:sz w:val="28"/>
          <w:szCs w:val="28"/>
          <w:lang w:val="fr-FR"/>
        </w:rPr>
        <w:t xml:space="preserve">– Samostalnost u osnovnoj brizi za sebe (prehrana, osnovna higijena, odijevanje…); </w:t>
      </w:r>
    </w:p>
    <w:p w:rsidR="00644F2A" w:rsidRDefault="00644F2A" w:rsidP="00644F2A">
      <w:pPr>
        <w:pStyle w:val="BasicParagraph"/>
        <w:suppressAutoHyphens/>
        <w:ind w:left="283" w:firstLine="567"/>
        <w:jc w:val="both"/>
        <w:rPr>
          <w:rFonts w:ascii="Garamond" w:hAnsi="Garamond" w:cs="Garamond"/>
          <w:sz w:val="28"/>
          <w:szCs w:val="28"/>
        </w:rPr>
      </w:pPr>
      <w:r>
        <w:rPr>
          <w:rFonts w:ascii="Garamond" w:hAnsi="Garamond" w:cs="Garamond"/>
          <w:sz w:val="28"/>
          <w:szCs w:val="28"/>
        </w:rPr>
        <w:t>– Poštovanje pravila koja štite sebe i druge;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7. Preduzetničke vještine;</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8. Kulturološka svijest i umjetnička ekspresija.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firstLine="567"/>
        <w:jc w:val="both"/>
        <w:rPr>
          <w:rFonts w:ascii="Garamond" w:hAnsi="Garamond" w:cs="Garamond"/>
          <w:b/>
          <w:bCs/>
          <w:color w:val="0070C0"/>
          <w:sz w:val="28"/>
          <w:szCs w:val="28"/>
        </w:rPr>
      </w:pPr>
      <w:r w:rsidRPr="00821309">
        <w:rPr>
          <w:rFonts w:ascii="Garamond" w:hAnsi="Garamond" w:cs="Garamond"/>
          <w:b/>
          <w:bCs/>
          <w:color w:val="0070C0"/>
          <w:sz w:val="28"/>
          <w:szCs w:val="28"/>
        </w:rPr>
        <w:t>USTANOVE VISOKOG OBRAZOVANJA</w:t>
      </w:r>
    </w:p>
    <w:p w:rsidR="00644F2A" w:rsidRPr="00821309" w:rsidRDefault="00644F2A" w:rsidP="00644F2A">
      <w:pPr>
        <w:pStyle w:val="BasicParagraph"/>
        <w:suppressAutoHyphens/>
        <w:ind w:firstLine="567"/>
        <w:jc w:val="both"/>
        <w:rPr>
          <w:rFonts w:ascii="Garamond" w:hAnsi="Garamond" w:cs="Garamond"/>
          <w:color w:val="0070C0"/>
          <w:sz w:val="28"/>
          <w:szCs w:val="28"/>
        </w:rPr>
      </w:pPr>
    </w:p>
    <w:p w:rsidR="00644F2A" w:rsidRPr="00821309" w:rsidRDefault="00644F2A" w:rsidP="00644F2A">
      <w:pPr>
        <w:pStyle w:val="BasicParagraph"/>
        <w:suppressAutoHyphens/>
        <w:ind w:firstLine="567"/>
        <w:jc w:val="both"/>
        <w:rPr>
          <w:rFonts w:ascii="Garamond" w:hAnsi="Garamond" w:cs="Garamond"/>
          <w:color w:val="0070C0"/>
          <w:sz w:val="28"/>
          <w:szCs w:val="28"/>
        </w:rPr>
      </w:pPr>
      <w:r w:rsidRPr="00821309">
        <w:rPr>
          <w:rFonts w:ascii="Garamond" w:hAnsi="Garamond" w:cs="Garamond"/>
          <w:color w:val="0070C0"/>
          <w:sz w:val="28"/>
          <w:szCs w:val="28"/>
        </w:rPr>
        <w:t xml:space="preserve">Principi Salamonske konvencije </w:t>
      </w:r>
    </w:p>
    <w:p w:rsidR="00644F2A" w:rsidRPr="00821309" w:rsidRDefault="00644F2A" w:rsidP="00644F2A">
      <w:pPr>
        <w:pStyle w:val="BasicParagraph"/>
        <w:suppressAutoHyphens/>
        <w:ind w:firstLine="567"/>
        <w:jc w:val="both"/>
        <w:rPr>
          <w:rFonts w:ascii="Garamond" w:hAnsi="Garamond" w:cs="Garamond"/>
          <w:color w:val="0070C0"/>
          <w:sz w:val="28"/>
          <w:szCs w:val="28"/>
        </w:rPr>
      </w:pPr>
      <w:r w:rsidRPr="00821309">
        <w:rPr>
          <w:rFonts w:ascii="Garamond" w:hAnsi="Garamond" w:cs="Garamond"/>
          <w:color w:val="0070C0"/>
          <w:sz w:val="28"/>
          <w:szCs w:val="28"/>
        </w:rPr>
        <w:t>Autonomija s odgovornošću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Napredak zahtijeva da evropski univerziteti budu ovlašćeni da djeluju u skladu s vodećim principima autonomije s odgovornošću (privrženost principima Magna Charta Universitatum od 1988) i, naročito, principu akademske slobode. Tako, univerziteti moraju biti u mogućnosti da stvaraju svoje strategije, odabiraju prioritete u nastavi i naučnom istraživanju, raspoređuju svoja sredstva, profilišu nastavne planove i programe i postavljaju kriterije za prijem profesora i studenata.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Evropske institucije visokoškolskog obrazovanja prihvataju izazove rada u konkurentskom okruženju u svojoj sredini, u Evropi i u svijetu, ali da bi to uradile, potrebna im je određena sloboda upravljanja, slobodniji regulatorni okvir koji ih podržava i adekvatno finansiranje, ili će biti dovedene u nepovoljan položaj za saradnju i takmičenje (konkurentnost). </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firstLine="567"/>
        <w:jc w:val="both"/>
        <w:rPr>
          <w:rFonts w:ascii="Garamond" w:hAnsi="Garamond" w:cs="Garamond"/>
          <w:color w:val="0070C0"/>
          <w:sz w:val="28"/>
          <w:szCs w:val="28"/>
        </w:rPr>
      </w:pPr>
      <w:r w:rsidRPr="00821309">
        <w:rPr>
          <w:rFonts w:ascii="Garamond" w:hAnsi="Garamond" w:cs="Garamond"/>
          <w:color w:val="0070C0"/>
          <w:sz w:val="28"/>
          <w:szCs w:val="28"/>
        </w:rPr>
        <w:t>Obrazovanje kao javna odgovornost</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Evropsko područje visokog obrazovanja mora se izgraditi na evropskim tradicijama obrazovanja kao javne odgovornosti; na širokom i otvorenom pristupu dodiplomskim, kao i postdiplomskim studijama, obrazovanju za lični razvoj i učenju tokom cijelog života, građanskim pravima, kao i kratkoročnoj i dugoročnoj društvenoj važnosti. </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color w:val="00FFFF"/>
          <w:sz w:val="28"/>
          <w:szCs w:val="28"/>
        </w:rPr>
      </w:pPr>
      <w:r w:rsidRPr="00821309">
        <w:rPr>
          <w:rFonts w:ascii="Garamond" w:hAnsi="Garamond" w:cs="Garamond"/>
          <w:color w:val="0070C0"/>
          <w:sz w:val="28"/>
          <w:szCs w:val="28"/>
        </w:rPr>
        <w:t>Visoko obrazovanje zasnovano na naučnom istraživanju</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Pošto je naučno istraživanje pokretačka snaga visokog obrazovanja, stvaranje Evropskog prostora visokog obrazovanja se mora povezati s Evropskim prostorom naučnog istraživanja.</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color w:val="00FFFF"/>
          <w:sz w:val="28"/>
          <w:szCs w:val="28"/>
        </w:rPr>
      </w:pPr>
    </w:p>
    <w:p w:rsidR="00644F2A" w:rsidRPr="00821309" w:rsidRDefault="00644F2A" w:rsidP="00644F2A">
      <w:pPr>
        <w:pStyle w:val="BasicParagraph"/>
        <w:suppressAutoHyphens/>
        <w:ind w:firstLine="567"/>
        <w:jc w:val="both"/>
        <w:rPr>
          <w:rFonts w:ascii="Garamond" w:hAnsi="Garamond" w:cs="Garamond"/>
          <w:color w:val="0070C0"/>
          <w:sz w:val="28"/>
          <w:szCs w:val="28"/>
        </w:rPr>
      </w:pPr>
      <w:r w:rsidRPr="00821309">
        <w:rPr>
          <w:rFonts w:ascii="Garamond" w:hAnsi="Garamond" w:cs="Garamond"/>
          <w:color w:val="0070C0"/>
          <w:sz w:val="28"/>
          <w:szCs w:val="28"/>
        </w:rPr>
        <w:t>Organizaciona raznovrsnost</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Evropsko visoko obrazovanje karakteriše raznovrsnost u pogledu jezika, nacionalnih/državnih modela, tipova i profila ustanova i orijentacije nastavnih planova i programa. Istovremeno, budućnost mu zavisi od njegove sposobnosti da ovu raznovrsnost djelotvorno organizuje radi stvaranja pozitivnih rezultata i fleksibilnosti i prevazilaženja mogućih teškoća i nejasnoća. Obrazovne ustanove žele da raznolikost tretitraju kao prednost a ne kao razlog za nepriznavanje ili isključivanje. Institucije se obavezuju da će stvoriti dovoljno mehanizama samoregulacije kako bi osigurale minimalni nivo kohezije da njihovi napori na kompatibilnosti ne budu ugroženi s previše različitosti u definiciji i primjeni kredita, glavnih kategorija stepena i kriterijuma kvaliteta.</w:t>
      </w:r>
    </w:p>
    <w:p w:rsidR="00644F2A" w:rsidRDefault="00644F2A" w:rsidP="00644F2A">
      <w:pPr>
        <w:pStyle w:val="BasicParagraph"/>
        <w:suppressAutoHyphens/>
        <w:ind w:firstLine="567"/>
        <w:jc w:val="both"/>
        <w:rPr>
          <w:rFonts w:ascii="Garamond" w:hAnsi="Garamond" w:cs="Garamond"/>
          <w:sz w:val="28"/>
          <w:szCs w:val="28"/>
        </w:rPr>
      </w:pPr>
    </w:p>
    <w:p w:rsidR="00644F2A" w:rsidRPr="00821309" w:rsidRDefault="00644F2A" w:rsidP="00644F2A">
      <w:pPr>
        <w:pStyle w:val="BasicParagraph"/>
        <w:suppressAutoHyphens/>
        <w:ind w:firstLine="567"/>
        <w:jc w:val="both"/>
        <w:rPr>
          <w:rFonts w:ascii="Garamond" w:hAnsi="Garamond" w:cs="Garamond"/>
          <w:color w:val="0070C0"/>
          <w:sz w:val="28"/>
          <w:szCs w:val="28"/>
        </w:rPr>
      </w:pPr>
      <w:r w:rsidRPr="00821309">
        <w:rPr>
          <w:rFonts w:ascii="Garamond" w:hAnsi="Garamond" w:cs="Garamond"/>
          <w:color w:val="0070C0"/>
          <w:sz w:val="28"/>
          <w:szCs w:val="28"/>
        </w:rPr>
        <w:t>Centar izvrsnosti*</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Naučnoistraživačka ustanova ili grupa istraživača u ustanovi koja je po svojoj originalnosti, značenju i aktuelnosti postignutih rezultata u naučnoistraživačkoj djelatnosti, u vremenskom periodu od pet godina ostvarila vrhunske i međunarodno priznate rezultate u svojoj naučnoj oblasti istraživanja.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Centar izvrsnosti treba da ima: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program kojim se unapređuju naučna istraživanja na nacionalnom nivou, doprinosi jačanju nacionalne ekonomije i konkurentnosti na evropskom tržištu;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ostvarenu povezanost između znanja, istraživanja i inovacija, odnosno između istraživanja i privrede;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fokusirane istraživačke programe koji uključuju interdisciplinarne teme, rezultate iz primijenjenih, razvojnih i osnovnih istraživanja;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obezbijeđen prostor i infrastrukturu za realizaciju istraživanja;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kapacitet da obezbijedi radnu atmosferu koja doprinosi stvaranju novih rezultata;</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aktuelne, originalne i međunarodno priznate rezultate istraživanja;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programe za privlačenje finansiranja kroz evropske i druge međunarodne fondove kojima obezbjeđuje održivost i dalji rad;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obezbijeđene uslove za primjenu rezultata naučnih istraživanja u praksi;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w:t>
      </w:r>
      <w:r>
        <w:rPr>
          <w:rFonts w:ascii="Garamond" w:hAnsi="Garamond" w:cs="Garamond"/>
          <w:sz w:val="28"/>
          <w:szCs w:val="28"/>
        </w:rPr>
        <w:tab/>
        <w:t xml:space="preserve"> program kojim se podstiče stvaranje nove generacije naučno-tehnoloških talenata; </w:t>
      </w: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sposobnost za ostvarivanje dinamičnog partnerskog odnosa s organima državne uprave i lokalnom samoupravom.</w:t>
      </w:r>
    </w:p>
    <w:p w:rsidR="00644F2A" w:rsidRDefault="00644F2A" w:rsidP="00644F2A">
      <w:pPr>
        <w:pStyle w:val="BasicParagraph"/>
        <w:suppressAutoHyphens/>
        <w:ind w:firstLine="567"/>
        <w:jc w:val="both"/>
        <w:rPr>
          <w:rFonts w:ascii="Garamond" w:hAnsi="Garamond" w:cs="Garamond"/>
          <w:sz w:val="28"/>
          <w:szCs w:val="28"/>
        </w:rPr>
      </w:pPr>
    </w:p>
    <w:p w:rsidR="00644F2A" w:rsidRDefault="00644F2A" w:rsidP="00644F2A">
      <w:pPr>
        <w:pStyle w:val="BasicParagraph"/>
        <w:suppressAutoHyphens/>
        <w:ind w:firstLine="567"/>
        <w:jc w:val="both"/>
        <w:rPr>
          <w:rFonts w:ascii="Garamond" w:hAnsi="Garamond" w:cs="Garamond"/>
          <w:sz w:val="28"/>
          <w:szCs w:val="28"/>
        </w:rPr>
      </w:pPr>
      <w:r>
        <w:rPr>
          <w:rFonts w:ascii="Garamond" w:hAnsi="Garamond" w:cs="Garamond"/>
          <w:sz w:val="28"/>
          <w:szCs w:val="28"/>
        </w:rPr>
        <w:t xml:space="preserve">*Definicija iz Zakona o naučnoistraživačkoj djelatnosti. </w:t>
      </w:r>
    </w:p>
    <w:p w:rsidR="00644F2A" w:rsidRDefault="00644F2A"/>
    <w:sectPr w:rsidR="00644F2A" w:rsidSect="00644F2A">
      <w:footerReference w:type="default" r:id="rId1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DF" w:rsidRDefault="00F71BDF" w:rsidP="00644F2A">
      <w:pPr>
        <w:spacing w:after="0" w:line="240" w:lineRule="auto"/>
      </w:pPr>
      <w:r>
        <w:separator/>
      </w:r>
    </w:p>
  </w:endnote>
  <w:endnote w:type="continuationSeparator" w:id="0">
    <w:p w:rsidR="00F71BDF" w:rsidRDefault="00F71BDF" w:rsidP="006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89072"/>
      <w:docPartObj>
        <w:docPartGallery w:val="Page Numbers (Bottom of Page)"/>
        <w:docPartUnique/>
      </w:docPartObj>
    </w:sdtPr>
    <w:sdtEndPr>
      <w:rPr>
        <w:noProof/>
      </w:rPr>
    </w:sdtEndPr>
    <w:sdtContent>
      <w:p w:rsidR="00BE7B60" w:rsidRDefault="00692B19">
        <w:pPr>
          <w:pStyle w:val="Footer"/>
          <w:jc w:val="center"/>
        </w:pPr>
        <w:r>
          <w:fldChar w:fldCharType="begin"/>
        </w:r>
        <w:r>
          <w:instrText xml:space="preserve"> PAGE   \* MERGEFORMAT </w:instrText>
        </w:r>
        <w:r>
          <w:fldChar w:fldCharType="separate"/>
        </w:r>
        <w:r w:rsidR="004B432B">
          <w:rPr>
            <w:noProof/>
          </w:rPr>
          <w:t>2</w:t>
        </w:r>
        <w:r>
          <w:rPr>
            <w:noProof/>
          </w:rPr>
          <w:fldChar w:fldCharType="end"/>
        </w:r>
      </w:p>
    </w:sdtContent>
  </w:sdt>
  <w:p w:rsidR="00BE7B60" w:rsidRDefault="00BE7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DF" w:rsidRDefault="00F71BDF" w:rsidP="00644F2A">
      <w:pPr>
        <w:spacing w:after="0" w:line="240" w:lineRule="auto"/>
      </w:pPr>
      <w:r>
        <w:separator/>
      </w:r>
    </w:p>
  </w:footnote>
  <w:footnote w:type="continuationSeparator" w:id="0">
    <w:p w:rsidR="00F71BDF" w:rsidRDefault="00F71BDF" w:rsidP="00644F2A">
      <w:pPr>
        <w:spacing w:after="0" w:line="240" w:lineRule="auto"/>
      </w:pPr>
      <w:r>
        <w:continuationSeparator/>
      </w:r>
    </w:p>
  </w:footnote>
  <w:footnote w:id="1">
    <w:p w:rsidR="00BE7B60" w:rsidRDefault="00BE7B60" w:rsidP="00644F2A">
      <w:pPr>
        <w:pStyle w:val="BasicParagraph"/>
        <w:suppressAutoHyphens/>
        <w:jc w:val="both"/>
      </w:pPr>
      <w:r>
        <w:rPr>
          <w:vertAlign w:val="superscript"/>
        </w:rPr>
        <w:footnoteRef/>
      </w:r>
      <w:r>
        <w:rPr>
          <w:rFonts w:ascii="Garamond" w:hAnsi="Garamond" w:cs="Garamond"/>
          <w:sz w:val="22"/>
          <w:szCs w:val="22"/>
        </w:rPr>
        <w:t xml:space="preserve">     </w:t>
      </w:r>
      <w:r>
        <w:rPr>
          <w:sz w:val="22"/>
          <w:szCs w:val="22"/>
        </w:rPr>
        <w:t>¹</w:t>
      </w:r>
      <w:r>
        <w:rPr>
          <w:rFonts w:ascii="Garamond" w:hAnsi="Garamond" w:cs="Garamond"/>
          <w:sz w:val="22"/>
          <w:szCs w:val="22"/>
        </w:rPr>
        <w:t xml:space="preserve"> Ministarstvo prosvjete, nauke, kulture i sporta.</w:t>
      </w:r>
    </w:p>
  </w:footnote>
  <w:footnote w:id="2">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²</w:t>
      </w:r>
      <w:r>
        <w:t xml:space="preserve"> </w:t>
      </w:r>
      <w:r>
        <w:rPr>
          <w:rFonts w:ascii="Garamond" w:hAnsi="Garamond" w:cs="Garamond"/>
          <w:sz w:val="22"/>
          <w:szCs w:val="22"/>
        </w:rPr>
        <w:t>Savjet za visoko obrazovanje, Savjet za naučnoistraživačku djelatnost.</w:t>
      </w:r>
      <w:r>
        <w:rPr>
          <w:rFonts w:ascii="Garamond" w:hAnsi="Garamond" w:cs="Garamond"/>
          <w:sz w:val="22"/>
          <w:szCs w:val="22"/>
        </w:rPr>
        <w:tab/>
      </w:r>
    </w:p>
    <w:p w:rsidR="00BE7B60" w:rsidRDefault="00BE7B60" w:rsidP="00644F2A">
      <w:pPr>
        <w:pStyle w:val="BasicParagraph"/>
        <w:suppressAutoHyphens/>
        <w:jc w:val="both"/>
      </w:pPr>
    </w:p>
  </w:footnote>
  <w:footnote w:id="3">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³</w:t>
      </w:r>
      <w:r>
        <w:t xml:space="preserve"> </w:t>
      </w:r>
      <w:r>
        <w:rPr>
          <w:rFonts w:ascii="Garamond" w:hAnsi="Garamond" w:cs="Garamond"/>
          <w:sz w:val="22"/>
          <w:szCs w:val="22"/>
        </w:rPr>
        <w:t>Agencija za kontrolu i obezbjeđenje kvaliteta visokog obrazovanja Crne Gore.</w:t>
      </w:r>
      <w:r>
        <w:rPr>
          <w:rFonts w:ascii="Garamond" w:hAnsi="Garamond" w:cs="Garamond"/>
          <w:sz w:val="22"/>
          <w:szCs w:val="22"/>
        </w:rPr>
        <w:tab/>
      </w:r>
    </w:p>
    <w:p w:rsidR="00BE7B60" w:rsidRDefault="00BE7B60" w:rsidP="00644F2A">
      <w:pPr>
        <w:pStyle w:val="BasicParagraph"/>
        <w:suppressAutoHyphens/>
        <w:jc w:val="both"/>
      </w:pPr>
    </w:p>
  </w:footnote>
  <w:footnote w:id="4">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⁴</w:t>
      </w:r>
      <w:r>
        <w:t xml:space="preserve"> </w:t>
      </w:r>
      <w:r>
        <w:rPr>
          <w:rFonts w:ascii="Garamond" w:hAnsi="Garamond" w:cs="Garamond"/>
          <w:sz w:val="22"/>
          <w:szCs w:val="22"/>
        </w:rPr>
        <w:t>S T R A T E G I J A NAUČNOISTRAŽIVAČKE DJELATNOSTI 2017-2021. S AKCIONIM PLANOM,  Podgorica, oktobar 2017.</w:t>
      </w:r>
      <w:r>
        <w:rPr>
          <w:rFonts w:ascii="Garamond" w:hAnsi="Garamond" w:cs="Garamond"/>
          <w:sz w:val="22"/>
          <w:szCs w:val="22"/>
        </w:rPr>
        <w:tab/>
      </w:r>
    </w:p>
    <w:p w:rsidR="00BE7B60" w:rsidRDefault="00BE7B60" w:rsidP="00644F2A">
      <w:pPr>
        <w:pStyle w:val="BasicParagraph"/>
        <w:suppressAutoHyphens/>
        <w:jc w:val="both"/>
      </w:pPr>
    </w:p>
  </w:footnote>
  <w:footnote w:id="5">
    <w:p w:rsidR="00BE7B60" w:rsidRDefault="00BE7B60" w:rsidP="00644F2A">
      <w:pPr>
        <w:pStyle w:val="BasicParagraph"/>
        <w:suppressAutoHyphens/>
        <w:jc w:val="both"/>
      </w:pPr>
      <w:r>
        <w:rPr>
          <w:vertAlign w:val="superscript"/>
        </w:rPr>
        <w:footnoteRef/>
      </w:r>
      <w:r>
        <w:t xml:space="preserve">     </w:t>
      </w:r>
      <w:r>
        <w:rPr>
          <w:sz w:val="22"/>
          <w:szCs w:val="22"/>
        </w:rPr>
        <w:t>⁵</w:t>
      </w:r>
      <w:r>
        <w:t xml:space="preserve"> </w:t>
      </w:r>
      <w:r>
        <w:rPr>
          <w:rFonts w:ascii="Garamond" w:hAnsi="Garamond" w:cs="Garamond"/>
          <w:sz w:val="22"/>
          <w:szCs w:val="22"/>
        </w:rPr>
        <w:t>STRATEGIJA razvoja visokog obrazovanja u Crnoj Gori (2016-2020), Podgorica, jul 2016.</w:t>
      </w:r>
    </w:p>
  </w:footnote>
  <w:footnote w:id="6">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⁶</w:t>
      </w:r>
      <w:r>
        <w:t xml:space="preserve"> </w:t>
      </w:r>
      <w:r>
        <w:rPr>
          <w:rFonts w:ascii="Garamond" w:hAnsi="Garamond" w:cs="Garamond"/>
          <w:sz w:val="22"/>
          <w:szCs w:val="22"/>
        </w:rPr>
        <w:t>Završni izvještaj o realizaciji Strategije razvoja visokog obrazovanja u Crnoj Gori 2016-2020. godine.</w:t>
      </w:r>
      <w:r>
        <w:rPr>
          <w:rFonts w:ascii="Garamond" w:hAnsi="Garamond" w:cs="Garamond"/>
          <w:sz w:val="22"/>
          <w:szCs w:val="22"/>
        </w:rPr>
        <w:tab/>
      </w:r>
    </w:p>
    <w:p w:rsidR="00BE7B60" w:rsidRDefault="00BE7B60" w:rsidP="00644F2A">
      <w:pPr>
        <w:pStyle w:val="BasicParagraph"/>
        <w:suppressAutoHyphens/>
        <w:jc w:val="both"/>
      </w:pPr>
    </w:p>
  </w:footnote>
  <w:footnote w:id="7">
    <w:p w:rsidR="00BE7B60" w:rsidRPr="00A8618D"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⁷</w:t>
      </w:r>
      <w:r>
        <w:t xml:space="preserve"> </w:t>
      </w:r>
      <w:r>
        <w:rPr>
          <w:rFonts w:ascii="Garamond" w:hAnsi="Garamond" w:cs="Garamond"/>
          <w:sz w:val="22"/>
          <w:szCs w:val="22"/>
        </w:rPr>
        <w:t>Dr Thomas Ekman Jørgensen, Evaluacija devet ustanova visokog obrazovanja u Crnoj Gori, Izvještaj o analizi sistema, septembar 2018. godine, www.svo.gov.me.</w:t>
      </w:r>
    </w:p>
  </w:footnote>
  <w:footnote w:id="8">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⁸</w:t>
      </w:r>
      <w:r>
        <w:t xml:space="preserve"> </w:t>
      </w:r>
      <w:r>
        <w:rPr>
          <w:rFonts w:ascii="Garamond" w:hAnsi="Garamond" w:cs="Garamond"/>
          <w:sz w:val="22"/>
          <w:szCs w:val="22"/>
        </w:rPr>
        <w:t>https://www.heric.me/sadrzaj/analiticki-izvjestaj-podataka-prikupljenih-kroz-studiju-pracenja-diplomiranih-studenata.</w:t>
      </w:r>
      <w:r>
        <w:rPr>
          <w:rFonts w:ascii="Garamond" w:hAnsi="Garamond" w:cs="Garamond"/>
          <w:sz w:val="22"/>
          <w:szCs w:val="22"/>
        </w:rPr>
        <w:tab/>
      </w:r>
    </w:p>
    <w:p w:rsidR="00BE7B60" w:rsidRDefault="00BE7B60" w:rsidP="00644F2A">
      <w:pPr>
        <w:pStyle w:val="BasicParagraph"/>
        <w:suppressAutoHyphens/>
        <w:jc w:val="both"/>
      </w:pPr>
    </w:p>
  </w:footnote>
  <w:footnote w:id="9">
    <w:p w:rsidR="00BE7B60" w:rsidRDefault="00BE7B60" w:rsidP="00644F2A">
      <w:pPr>
        <w:pStyle w:val="BasicParagraph"/>
        <w:suppressAutoHyphens/>
        <w:jc w:val="both"/>
        <w:rPr>
          <w:rFonts w:ascii="Garamond" w:hAnsi="Garamond" w:cs="Garamond"/>
          <w:sz w:val="22"/>
          <w:szCs w:val="22"/>
        </w:rPr>
      </w:pPr>
      <w:r>
        <w:t xml:space="preserve">    </w:t>
      </w:r>
      <w:r>
        <w:rPr>
          <w:sz w:val="22"/>
          <w:szCs w:val="22"/>
        </w:rPr>
        <w:t>⁹</w:t>
      </w:r>
      <w:r>
        <w:t xml:space="preserve"> </w:t>
      </w:r>
      <w:r>
        <w:rPr>
          <w:rFonts w:ascii="Garamond" w:hAnsi="Garamond" w:cs="Garamond"/>
          <w:sz w:val="22"/>
          <w:szCs w:val="22"/>
        </w:rPr>
        <w:t xml:space="preserve">Hrvatski prevod revidiranog ESG-ja usvojenog na Ministarskoj konferenciji u Jerevanu 14. i 15. maja 2015. godine, https://enqa.eu › esg › ESG in Croatian by ASHE. </w:t>
      </w:r>
      <w:r>
        <w:rPr>
          <w:rFonts w:ascii="Garamond" w:hAnsi="Garamond" w:cs="Garamond"/>
          <w:sz w:val="22"/>
          <w:szCs w:val="22"/>
        </w:rPr>
        <w:tab/>
      </w:r>
    </w:p>
    <w:p w:rsidR="00BE7B60" w:rsidRDefault="00BE7B60" w:rsidP="00644F2A">
      <w:pPr>
        <w:pStyle w:val="BasicParagraph"/>
        <w:suppressAutoHyphens/>
        <w:jc w:val="both"/>
      </w:pPr>
    </w:p>
  </w:footnote>
  <w:footnote w:id="10">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¹⁰</w:t>
      </w:r>
      <w:r>
        <w:t xml:space="preserve"> </w:t>
      </w:r>
      <w:r>
        <w:rPr>
          <w:rFonts w:ascii="Garamond" w:hAnsi="Garamond" w:cs="Garamond"/>
          <w:sz w:val="22"/>
          <w:szCs w:val="22"/>
        </w:rPr>
        <w:t>Mr. sc. Marina KESNER-ŠKREB, LISABONSKA STRATEGIJA, Pojmovnik* , Institut za javne financije, Zagreb, https://hrcak.srce.hr&gt;file.</w:t>
      </w:r>
      <w:r>
        <w:rPr>
          <w:rFonts w:ascii="Garamond" w:hAnsi="Garamond" w:cs="Garamond"/>
          <w:sz w:val="22"/>
          <w:szCs w:val="22"/>
        </w:rPr>
        <w:tab/>
      </w:r>
    </w:p>
    <w:p w:rsidR="00BE7B60" w:rsidRDefault="00BE7B60" w:rsidP="00644F2A">
      <w:pPr>
        <w:pStyle w:val="BasicParagraph"/>
        <w:suppressAutoHyphens/>
        <w:jc w:val="both"/>
      </w:pPr>
    </w:p>
  </w:footnote>
  <w:footnote w:id="11">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¹¹</w:t>
      </w:r>
      <w:r>
        <w:t xml:space="preserve"> </w:t>
      </w:r>
      <w:r>
        <w:rPr>
          <w:rFonts w:ascii="Garamond" w:hAnsi="Garamond" w:cs="Garamond"/>
          <w:sz w:val="22"/>
          <w:szCs w:val="22"/>
        </w:rPr>
        <w:t>Salzburg II preporuke - UniZG http://www.unizg.hr. ›Istrazivanja›Publikacije.</w:t>
      </w:r>
      <w:r>
        <w:rPr>
          <w:rFonts w:ascii="Garamond" w:hAnsi="Garamond" w:cs="Garamond"/>
          <w:sz w:val="22"/>
          <w:szCs w:val="22"/>
        </w:rPr>
        <w:tab/>
      </w:r>
    </w:p>
    <w:p w:rsidR="00BE7B60" w:rsidRDefault="00BE7B60" w:rsidP="00644F2A">
      <w:pPr>
        <w:pStyle w:val="BasicParagraph"/>
        <w:suppressAutoHyphens/>
        <w:jc w:val="both"/>
      </w:pPr>
    </w:p>
  </w:footnote>
  <w:footnote w:id="12">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¹²</w:t>
      </w:r>
      <w:r>
        <w:t xml:space="preserve"> </w:t>
      </w:r>
      <w:r>
        <w:rPr>
          <w:rFonts w:ascii="Garamond" w:hAnsi="Garamond" w:cs="Garamond"/>
          <w:sz w:val="22"/>
          <w:szCs w:val="22"/>
        </w:rPr>
        <w:t>Mobilnost za bolje učenje, Strategija mobilnosti do 2020. godine za Evropski prostor visokog obrazovanja (EHEA),  Bukurešt, 2012; http://vfs.unsa.ba.</w:t>
      </w:r>
      <w:r>
        <w:rPr>
          <w:rFonts w:ascii="Garamond" w:hAnsi="Garamond" w:cs="Garamond"/>
          <w:sz w:val="22"/>
          <w:szCs w:val="22"/>
        </w:rPr>
        <w:tab/>
      </w:r>
    </w:p>
    <w:p w:rsidR="00BE7B60" w:rsidRDefault="00BE7B60" w:rsidP="00644F2A">
      <w:pPr>
        <w:pStyle w:val="BasicParagraph"/>
        <w:suppressAutoHyphens/>
        <w:jc w:val="both"/>
      </w:pPr>
    </w:p>
  </w:footnote>
  <w:footnote w:id="13">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¹³</w:t>
      </w:r>
      <w:r>
        <w:t xml:space="preserve"> </w:t>
      </w:r>
      <w:r>
        <w:rPr>
          <w:rFonts w:ascii="Garamond" w:hAnsi="Garamond" w:cs="Garamond"/>
          <w:sz w:val="22"/>
          <w:szCs w:val="22"/>
        </w:rPr>
        <w:t>Virgilio Meira Soares, Mišljenje na Nacrt zakona o visokom obrazovanju Republike Crne Gore, Lisabon, 28. jul 2003.</w:t>
      </w:r>
      <w:r>
        <w:rPr>
          <w:rFonts w:ascii="Garamond" w:hAnsi="Garamond" w:cs="Garamond"/>
          <w:sz w:val="22"/>
          <w:szCs w:val="22"/>
        </w:rPr>
        <w:tab/>
      </w:r>
    </w:p>
    <w:p w:rsidR="00BE7B60" w:rsidRDefault="00BE7B60" w:rsidP="00644F2A">
      <w:pPr>
        <w:pStyle w:val="BasicParagraph"/>
        <w:suppressAutoHyphens/>
        <w:jc w:val="both"/>
      </w:pPr>
    </w:p>
  </w:footnote>
  <w:footnote w:id="14">
    <w:p w:rsidR="00BE7B60" w:rsidRPr="00E24C10" w:rsidRDefault="00BE7B60" w:rsidP="00644F2A">
      <w:pPr>
        <w:pStyle w:val="BasicParagraph"/>
        <w:suppressAutoHyphens/>
        <w:jc w:val="both"/>
        <w:rPr>
          <w:rFonts w:ascii="Garamond" w:hAnsi="Garamond" w:cs="Garamond"/>
          <w:sz w:val="22"/>
          <w:szCs w:val="22"/>
        </w:rPr>
      </w:pPr>
      <w:r>
        <w:t xml:space="preserve">    </w:t>
      </w:r>
      <w:r>
        <w:rPr>
          <w:sz w:val="22"/>
          <w:szCs w:val="22"/>
        </w:rPr>
        <w:t>¹⁴</w:t>
      </w:r>
      <w:r>
        <w:t xml:space="preserve"> </w:t>
      </w:r>
      <w:r>
        <w:rPr>
          <w:rFonts w:ascii="Garamond" w:hAnsi="Garamond" w:cs="Garamond"/>
          <w:sz w:val="22"/>
          <w:szCs w:val="22"/>
        </w:rPr>
        <w:t>https://www.erisee.org/western-balkans-summit-2019-3-5-july-2019-poznan/.</w:t>
      </w:r>
      <w:r>
        <w:rPr>
          <w:rFonts w:ascii="Garamond" w:hAnsi="Garamond" w:cs="Garamond"/>
          <w:sz w:val="22"/>
          <w:szCs w:val="22"/>
        </w:rPr>
        <w:tab/>
      </w:r>
    </w:p>
  </w:footnote>
  <w:footnote w:id="15">
    <w:p w:rsidR="00BE7B60" w:rsidRPr="00E24C10" w:rsidRDefault="00BE7B60" w:rsidP="00644F2A">
      <w:pPr>
        <w:pStyle w:val="BasicParagraph"/>
        <w:suppressAutoHyphens/>
        <w:jc w:val="both"/>
        <w:rPr>
          <w:rFonts w:ascii="Garamond" w:hAnsi="Garamond" w:cs="Garamond"/>
          <w:sz w:val="22"/>
          <w:szCs w:val="22"/>
        </w:rPr>
      </w:pPr>
      <w:r>
        <w:t xml:space="preserve">     </w:t>
      </w:r>
      <w:r>
        <w:rPr>
          <w:sz w:val="22"/>
          <w:szCs w:val="22"/>
        </w:rPr>
        <w:t>¹⁵</w:t>
      </w:r>
      <w:r>
        <w:t xml:space="preserve"> </w:t>
      </w:r>
      <w:r>
        <w:rPr>
          <w:rFonts w:ascii="Garamond" w:hAnsi="Garamond" w:cs="Garamond"/>
          <w:sz w:val="22"/>
          <w:szCs w:val="22"/>
        </w:rPr>
        <w:t>https://eacea.ec.europa.eu/national-policies/eurydice/content/legislation-45_me.</w:t>
      </w:r>
      <w:r>
        <w:rPr>
          <w:rFonts w:ascii="Garamond" w:hAnsi="Garamond" w:cs="Garamond"/>
          <w:sz w:val="22"/>
          <w:szCs w:val="22"/>
        </w:rPr>
        <w:tab/>
      </w:r>
    </w:p>
  </w:footnote>
  <w:footnote w:id="16">
    <w:p w:rsidR="00BE7B60" w:rsidRDefault="00BE7B60" w:rsidP="00644F2A">
      <w:pPr>
        <w:pStyle w:val="BasicParagraph"/>
        <w:suppressAutoHyphens/>
        <w:jc w:val="both"/>
        <w:rPr>
          <w:rFonts w:ascii="Garamond" w:hAnsi="Garamond" w:cs="Garamond"/>
          <w:sz w:val="22"/>
          <w:szCs w:val="22"/>
        </w:rPr>
      </w:pPr>
      <w:r>
        <w:t xml:space="preserve">    </w:t>
      </w:r>
      <w:r>
        <w:rPr>
          <w:sz w:val="22"/>
          <w:szCs w:val="22"/>
        </w:rPr>
        <w:t>¹⁶</w:t>
      </w:r>
      <w:r>
        <w:t xml:space="preserve"> </w:t>
      </w:r>
      <w:r>
        <w:rPr>
          <w:rFonts w:ascii="Garamond" w:hAnsi="Garamond" w:cs="Garamond"/>
          <w:sz w:val="22"/>
          <w:szCs w:val="22"/>
        </w:rPr>
        <w:t>https://akokvo.me/zakoni/</w:t>
      </w:r>
      <w:r>
        <w:rPr>
          <w:rFonts w:ascii="Garamond" w:hAnsi="Garamond" w:cs="Garamond"/>
          <w:sz w:val="22"/>
          <w:szCs w:val="22"/>
        </w:rPr>
        <w:tab/>
      </w:r>
    </w:p>
    <w:p w:rsidR="00BE7B60" w:rsidRDefault="00BE7B60" w:rsidP="00644F2A">
      <w:pPr>
        <w:pStyle w:val="BasicParagraph"/>
        <w:suppressAutoHyphens/>
        <w:jc w:val="both"/>
      </w:pPr>
    </w:p>
    <w:p w:rsidR="00BE7B60" w:rsidRDefault="00BE7B60" w:rsidP="00644F2A">
      <w:pPr>
        <w:pStyle w:val="BasicParagraph"/>
        <w:suppressAutoHyphens/>
        <w:jc w:val="both"/>
      </w:pPr>
    </w:p>
    <w:p w:rsidR="00BE7B60" w:rsidRDefault="00BE7B60" w:rsidP="00644F2A">
      <w:pPr>
        <w:pStyle w:val="BasicParagraph"/>
        <w:suppressAutoHyphens/>
        <w:jc w:val="both"/>
      </w:pPr>
    </w:p>
  </w:footnote>
  <w:footnote w:id="17">
    <w:p w:rsidR="00BE7B60" w:rsidRDefault="00BE7B60" w:rsidP="00644F2A">
      <w:pPr>
        <w:pStyle w:val="BasicParagraph"/>
        <w:suppressAutoHyphens/>
        <w:jc w:val="both"/>
        <w:rPr>
          <w:rFonts w:ascii="Garamond" w:hAnsi="Garamond" w:cs="Garamond"/>
          <w:sz w:val="22"/>
          <w:szCs w:val="22"/>
        </w:rPr>
      </w:pPr>
      <w:r>
        <w:t xml:space="preserve">    </w:t>
      </w:r>
      <w:r>
        <w:rPr>
          <w:sz w:val="22"/>
          <w:szCs w:val="22"/>
        </w:rPr>
        <w:t>¹⁷</w:t>
      </w:r>
      <w:r>
        <w:t xml:space="preserve"> </w:t>
      </w:r>
      <w:r>
        <w:rPr>
          <w:rFonts w:ascii="Garamond" w:hAnsi="Garamond" w:cs="Garamond"/>
          <w:sz w:val="22"/>
          <w:szCs w:val="22"/>
        </w:rPr>
        <w:t>https://data.oecd.org/eduresource/public-spending-on-education.htm#indicator-chart.</w:t>
      </w:r>
      <w:r>
        <w:rPr>
          <w:rFonts w:ascii="Garamond" w:hAnsi="Garamond" w:cs="Garamond"/>
          <w:sz w:val="22"/>
          <w:szCs w:val="22"/>
        </w:rPr>
        <w:tab/>
      </w:r>
    </w:p>
    <w:p w:rsidR="00BE7B60" w:rsidRDefault="00BE7B60" w:rsidP="00644F2A">
      <w:pPr>
        <w:pStyle w:val="BasicParagraph"/>
        <w:suppressAutoHyphens/>
        <w:jc w:val="both"/>
      </w:pPr>
    </w:p>
  </w:footnote>
  <w:footnote w:id="18">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¹⁸</w:t>
      </w:r>
      <w:r>
        <w:t xml:space="preserve"> </w:t>
      </w:r>
      <w:r>
        <w:rPr>
          <w:rFonts w:ascii="Garamond" w:hAnsi="Garamond" w:cs="Garamond"/>
          <w:sz w:val="22"/>
          <w:szCs w:val="22"/>
        </w:rPr>
        <w:t xml:space="preserve">Nivo i podnivoi kvalifikacije obrazovanja: </w:t>
      </w:r>
    </w:p>
    <w:p w:rsidR="00BE7B60" w:rsidRDefault="00BE7B60" w:rsidP="00644F2A">
      <w:pPr>
        <w:pStyle w:val="BasicParagraph"/>
        <w:suppressAutoHyphens/>
        <w:jc w:val="both"/>
        <w:rPr>
          <w:rFonts w:ascii="Garamond" w:hAnsi="Garamond" w:cs="Garamond"/>
          <w:sz w:val="22"/>
          <w:szCs w:val="22"/>
        </w:rPr>
      </w:pPr>
      <w:r>
        <w:rPr>
          <w:rFonts w:ascii="Garamond" w:hAnsi="Garamond" w:cs="Garamond"/>
          <w:sz w:val="22"/>
          <w:szCs w:val="22"/>
        </w:rPr>
        <w:t xml:space="preserve">VI nivo - 180 ECTS; </w:t>
      </w:r>
    </w:p>
    <w:p w:rsidR="00BE7B60" w:rsidRDefault="00BE7B60" w:rsidP="00644F2A">
      <w:pPr>
        <w:pStyle w:val="BasicParagraph"/>
        <w:suppressAutoHyphens/>
        <w:jc w:val="both"/>
        <w:rPr>
          <w:rFonts w:ascii="Garamond" w:hAnsi="Garamond" w:cs="Garamond"/>
          <w:sz w:val="22"/>
          <w:szCs w:val="22"/>
        </w:rPr>
      </w:pPr>
      <w:r>
        <w:rPr>
          <w:rFonts w:ascii="Garamond" w:hAnsi="Garamond" w:cs="Garamond"/>
          <w:sz w:val="22"/>
          <w:szCs w:val="22"/>
        </w:rPr>
        <w:t xml:space="preserve">VII-1 podnivo - 240-360 ECTS (180+60 ili 240 ili 300 ili 360 ECTS); </w:t>
      </w:r>
    </w:p>
    <w:p w:rsidR="00BE7B60" w:rsidRDefault="00BE7B60" w:rsidP="00644F2A">
      <w:pPr>
        <w:pStyle w:val="BasicParagraph"/>
        <w:suppressAutoHyphens/>
        <w:jc w:val="both"/>
        <w:rPr>
          <w:rFonts w:ascii="Garamond" w:hAnsi="Garamond" w:cs="Garamond"/>
          <w:sz w:val="22"/>
          <w:szCs w:val="22"/>
        </w:rPr>
      </w:pPr>
      <w:r>
        <w:rPr>
          <w:rFonts w:ascii="Garamond" w:hAnsi="Garamond" w:cs="Garamond"/>
          <w:sz w:val="22"/>
          <w:szCs w:val="22"/>
        </w:rPr>
        <w:t xml:space="preserve">VII-2 podnivo - masteri i magistri; </w:t>
      </w:r>
    </w:p>
    <w:p w:rsidR="00BE7B60" w:rsidRDefault="00BE7B60" w:rsidP="00644F2A">
      <w:pPr>
        <w:pStyle w:val="BasicParagraph"/>
        <w:suppressAutoHyphens/>
        <w:jc w:val="both"/>
        <w:rPr>
          <w:rFonts w:ascii="Garamond" w:hAnsi="Garamond" w:cs="Garamond"/>
          <w:sz w:val="22"/>
          <w:szCs w:val="22"/>
        </w:rPr>
      </w:pPr>
      <w:r>
        <w:rPr>
          <w:rFonts w:ascii="Garamond" w:hAnsi="Garamond" w:cs="Garamond"/>
          <w:sz w:val="22"/>
          <w:szCs w:val="22"/>
        </w:rPr>
        <w:t>VIII nivo - doktorske studije.</w:t>
      </w:r>
    </w:p>
    <w:p w:rsidR="00BE7B60" w:rsidRDefault="00BE7B60" w:rsidP="00644F2A">
      <w:pPr>
        <w:pStyle w:val="BasicParagraph"/>
      </w:pPr>
      <w:r>
        <w:tab/>
      </w:r>
    </w:p>
    <w:p w:rsidR="00BE7B60" w:rsidRDefault="00BE7B60" w:rsidP="00644F2A">
      <w:pPr>
        <w:pStyle w:val="BasicParagraph"/>
      </w:pPr>
    </w:p>
  </w:footnote>
  <w:footnote w:id="19">
    <w:p w:rsidR="00BE7B60" w:rsidRDefault="00BE7B60" w:rsidP="00644F2A">
      <w:pPr>
        <w:pStyle w:val="BasicParagraph"/>
        <w:suppressAutoHyphens/>
        <w:jc w:val="both"/>
        <w:rPr>
          <w:rFonts w:ascii="Garamond" w:hAnsi="Garamond" w:cs="Garamond"/>
          <w:sz w:val="22"/>
          <w:szCs w:val="22"/>
        </w:rPr>
      </w:pPr>
      <w:r>
        <w:rPr>
          <w:vertAlign w:val="superscript"/>
        </w:rPr>
        <w:footnoteRef/>
      </w:r>
      <w:r>
        <w:t xml:space="preserve">     </w:t>
      </w:r>
      <w:r>
        <w:rPr>
          <w:sz w:val="22"/>
          <w:szCs w:val="22"/>
        </w:rPr>
        <w:t>¹⁹</w:t>
      </w:r>
      <w:r>
        <w:t xml:space="preserve"> </w:t>
      </w:r>
      <w:r>
        <w:rPr>
          <w:rFonts w:ascii="Garamond" w:hAnsi="Garamond" w:cs="Garamond"/>
          <w:sz w:val="22"/>
          <w:szCs w:val="22"/>
        </w:rPr>
        <w:t>https://data.oecd.org/unemp/unemployment-rates-by-education-level.htm#indicator-chart</w:t>
      </w:r>
      <w:r>
        <w:rPr>
          <w:rFonts w:ascii="Garamond" w:hAnsi="Garamond" w:cs="Garamond"/>
          <w:sz w:val="22"/>
          <w:szCs w:val="22"/>
        </w:rPr>
        <w:tab/>
      </w:r>
    </w:p>
    <w:p w:rsidR="00BE7B60" w:rsidRDefault="00BE7B60" w:rsidP="00644F2A">
      <w:pPr>
        <w:pStyle w:val="BasicParagraph"/>
        <w:suppressAutoHyphens/>
        <w:jc w:val="both"/>
      </w:pPr>
    </w:p>
  </w:footnote>
  <w:footnote w:id="20">
    <w:p w:rsidR="00BE7B60" w:rsidRPr="00E24C10" w:rsidRDefault="00BE7B60" w:rsidP="00644F2A">
      <w:pPr>
        <w:pStyle w:val="BasicParagraph"/>
        <w:suppressAutoHyphens/>
        <w:jc w:val="both"/>
        <w:rPr>
          <w:rFonts w:ascii="Garamond" w:hAnsi="Garamond" w:cs="Garamond"/>
          <w:sz w:val="22"/>
          <w:szCs w:val="22"/>
        </w:rPr>
      </w:pPr>
      <w:r>
        <w:t xml:space="preserve">    </w:t>
      </w:r>
      <w:r>
        <w:rPr>
          <w:sz w:val="22"/>
          <w:szCs w:val="22"/>
        </w:rPr>
        <w:t>²⁰</w:t>
      </w:r>
      <w:r>
        <w:t xml:space="preserve"> </w:t>
      </w:r>
      <w:r>
        <w:rPr>
          <w:rFonts w:ascii="Garamond" w:hAnsi="Garamond" w:cs="Garamond"/>
          <w:sz w:val="22"/>
          <w:szCs w:val="22"/>
        </w:rPr>
        <w:t>Zakon o visokom obrazovanju Crne Gore, član 44.</w:t>
      </w:r>
      <w:r>
        <w:rPr>
          <w:rFonts w:ascii="Garamond" w:hAnsi="Garamond" w:cs="Garamond"/>
          <w:sz w:val="22"/>
          <w:szCs w:val="22"/>
        </w:rPr>
        <w:tab/>
      </w:r>
    </w:p>
  </w:footnote>
  <w:footnote w:id="21">
    <w:p w:rsidR="00BE7B60" w:rsidRDefault="00BE7B60" w:rsidP="00644F2A">
      <w:pPr>
        <w:pStyle w:val="BasicParagraph"/>
        <w:suppressAutoHyphens/>
        <w:jc w:val="both"/>
        <w:rPr>
          <w:rFonts w:ascii="Garamond" w:hAnsi="Garamond" w:cs="Garamond"/>
          <w:sz w:val="22"/>
          <w:szCs w:val="22"/>
        </w:rPr>
      </w:pPr>
      <w:r>
        <w:rPr>
          <w:sz w:val="22"/>
          <w:szCs w:val="22"/>
        </w:rPr>
        <w:t xml:space="preserve">  ²¹</w:t>
      </w:r>
      <w:r>
        <w:t xml:space="preserve"> </w:t>
      </w:r>
      <w:r>
        <w:rPr>
          <w:rFonts w:ascii="Garamond" w:hAnsi="Garamond" w:cs="Garamond"/>
          <w:sz w:val="22"/>
          <w:szCs w:val="22"/>
        </w:rPr>
        <w:t>Zakon o visokom obrazovanju Crne Gore, član 81, 86 i 89.</w:t>
      </w:r>
      <w:r>
        <w:rPr>
          <w:rFonts w:ascii="Garamond" w:hAnsi="Garamond" w:cs="Garamond"/>
          <w:sz w:val="22"/>
          <w:szCs w:val="22"/>
        </w:rPr>
        <w:tab/>
      </w:r>
    </w:p>
    <w:p w:rsidR="00BE7B60" w:rsidRDefault="00BE7B60" w:rsidP="00644F2A">
      <w:pPr>
        <w:pStyle w:val="BasicParagraph"/>
        <w:suppressAutoHyphens/>
        <w:jc w:val="both"/>
      </w:pPr>
    </w:p>
  </w:footnote>
  <w:footnote w:id="22">
    <w:p w:rsidR="00BE7B60" w:rsidRDefault="00BE7B60" w:rsidP="00644F2A">
      <w:pPr>
        <w:pStyle w:val="BasicParagraph"/>
        <w:suppressAutoHyphens/>
        <w:jc w:val="both"/>
        <w:rPr>
          <w:rFonts w:ascii="Garamond" w:hAnsi="Garamond" w:cs="Garamond"/>
          <w:sz w:val="22"/>
          <w:szCs w:val="22"/>
        </w:rPr>
      </w:pPr>
      <w:r>
        <w:rPr>
          <w:vertAlign w:val="superscript"/>
        </w:rPr>
        <w:footnoteRef/>
      </w:r>
      <w:r>
        <w:rPr>
          <w:sz w:val="22"/>
          <w:szCs w:val="22"/>
        </w:rPr>
        <w:t xml:space="preserve">   </w:t>
      </w:r>
      <w:r>
        <w:rPr>
          <w:rFonts w:ascii="Garamond" w:hAnsi="Garamond" w:cs="Garamond"/>
          <w:sz w:val="22"/>
          <w:szCs w:val="22"/>
        </w:rPr>
        <w:t>Nivoi ishoda učenja (npr. međunarodni za priznavanje diploma i kvalifikacija, nacionalni za uspostavljanje nacionalnog okvira kvalifikacija i sistema obezbjeđenja kvaliteta, institucionalni za planiranje studijskih programa (kurikuluma) na ustanovi, za predmete i nastvane jedinice da bi studenti i nastavnici znali kako da planiraju nastavu, provjere i ocjenjivanje).</w:t>
      </w:r>
      <w:r>
        <w:rPr>
          <w:rFonts w:ascii="Garamond" w:hAnsi="Garamond" w:cs="Garamond"/>
          <w:sz w:val="22"/>
          <w:szCs w:val="22"/>
        </w:rPr>
        <w:tab/>
      </w:r>
    </w:p>
    <w:p w:rsidR="00BE7B60" w:rsidRDefault="00BE7B60" w:rsidP="00644F2A">
      <w:pPr>
        <w:pStyle w:val="BasicParagraph"/>
        <w:suppressAutoHyphens/>
        <w:jc w:val="both"/>
      </w:pPr>
    </w:p>
  </w:footnote>
  <w:footnote w:id="23">
    <w:p w:rsidR="00BE7B60" w:rsidRDefault="00BE7B60" w:rsidP="00644F2A">
      <w:pPr>
        <w:pStyle w:val="BasicParagraph"/>
        <w:suppressAutoHyphens/>
        <w:jc w:val="both"/>
        <w:rPr>
          <w:rFonts w:ascii="Garamond" w:hAnsi="Garamond" w:cs="Garamond"/>
          <w:sz w:val="22"/>
          <w:szCs w:val="22"/>
        </w:rPr>
      </w:pPr>
      <w:r>
        <w:rPr>
          <w:vertAlign w:val="superscript"/>
        </w:rPr>
        <w:footnoteRef/>
      </w:r>
      <w:r>
        <w:rPr>
          <w:sz w:val="22"/>
          <w:szCs w:val="22"/>
        </w:rPr>
        <w:t xml:space="preserve">    </w:t>
      </w:r>
      <w:r>
        <w:rPr>
          <w:rFonts w:ascii="Garamond" w:hAnsi="Garamond" w:cs="Garamond"/>
          <w:sz w:val="22"/>
          <w:szCs w:val="22"/>
        </w:rPr>
        <w:t>Taksonomija (npr. Bloomova) kao klasifikacija koja omogućava da se na vidljiv i mjerljiv način izraze ekvalitati za različite vrste znanja, vještina i stavova studenata.</w:t>
      </w:r>
      <w:r>
        <w:rPr>
          <w:rFonts w:ascii="Garamond" w:hAnsi="Garamond" w:cs="Garamond"/>
          <w:sz w:val="22"/>
          <w:szCs w:val="22"/>
        </w:rPr>
        <w:tab/>
      </w:r>
    </w:p>
    <w:p w:rsidR="00BE7B60" w:rsidRDefault="00BE7B60" w:rsidP="00644F2A">
      <w:pPr>
        <w:pStyle w:val="BasicParagraph"/>
        <w:suppressAutoHyphens/>
        <w:jc w:val="both"/>
      </w:pPr>
    </w:p>
  </w:footnote>
  <w:footnote w:id="24">
    <w:p w:rsidR="00BE7B60" w:rsidRPr="00E24C10" w:rsidRDefault="00BE7B60" w:rsidP="00644F2A">
      <w:pPr>
        <w:pStyle w:val="BasicParagraph"/>
        <w:suppressAutoHyphens/>
        <w:jc w:val="both"/>
        <w:rPr>
          <w:rFonts w:ascii="Garamond" w:hAnsi="Garamond" w:cs="Garamond"/>
          <w:sz w:val="22"/>
          <w:szCs w:val="22"/>
        </w:rPr>
      </w:pPr>
      <w:r>
        <w:t xml:space="preserve">   </w:t>
      </w:r>
      <w:r>
        <w:rPr>
          <w:sz w:val="22"/>
          <w:szCs w:val="22"/>
        </w:rPr>
        <w:t>²⁴</w:t>
      </w:r>
      <w:r>
        <w:t xml:space="preserve"> </w:t>
      </w:r>
      <w:r>
        <w:rPr>
          <w:rFonts w:ascii="Garamond" w:hAnsi="Garamond" w:cs="Garamond"/>
          <w:sz w:val="22"/>
          <w:szCs w:val="22"/>
        </w:rPr>
        <w:t>European Commission/EACEA/Eurydice, 2018. The European Higher Education Area in 2018: Bologna Process Implementation Report. Luxembourg: Publications Office of the European Union.</w:t>
      </w:r>
      <w:r>
        <w:rPr>
          <w:rFonts w:ascii="Garamond" w:hAnsi="Garamond" w:cs="Garamond"/>
          <w:sz w:val="22"/>
          <w:szCs w:val="22"/>
        </w:rPr>
        <w:tab/>
      </w:r>
    </w:p>
  </w:footnote>
  <w:footnote w:id="25">
    <w:p w:rsidR="00BE7B60" w:rsidRDefault="00BE7B60" w:rsidP="00644F2A">
      <w:pPr>
        <w:pStyle w:val="BasicParagraph"/>
        <w:suppressAutoHyphens/>
        <w:jc w:val="both"/>
        <w:rPr>
          <w:rFonts w:ascii="Garamond" w:hAnsi="Garamond" w:cs="Garamond"/>
          <w:sz w:val="22"/>
          <w:szCs w:val="22"/>
        </w:rPr>
      </w:pPr>
      <w:r>
        <w:t xml:space="preserve">      </w:t>
      </w:r>
      <w:r>
        <w:rPr>
          <w:sz w:val="22"/>
          <w:szCs w:val="22"/>
        </w:rPr>
        <w:t>²⁵</w:t>
      </w:r>
      <w:r>
        <w:t xml:space="preserve"> </w:t>
      </w:r>
      <w:r>
        <w:rPr>
          <w:rFonts w:ascii="Garamond" w:hAnsi="Garamond" w:cs="Garamond"/>
          <w:sz w:val="22"/>
          <w:szCs w:val="22"/>
        </w:rPr>
        <w:t>Mjerljivi ishodi učenje za praktična/činjenična znanja (Factual knowledge) definišu kao skup stečenih zasebnih informacija.</w:t>
      </w:r>
    </w:p>
    <w:p w:rsidR="00BE7B60" w:rsidRDefault="00BE7B60" w:rsidP="00644F2A">
      <w:pPr>
        <w:pStyle w:val="BasicParagraph"/>
        <w:suppressAutoHyphens/>
        <w:jc w:val="both"/>
        <w:rPr>
          <w:rFonts w:ascii="Garamond" w:hAnsi="Garamond" w:cs="Garamond"/>
          <w:sz w:val="22"/>
          <w:szCs w:val="22"/>
        </w:rPr>
      </w:pPr>
      <w:r>
        <w:rPr>
          <w:rFonts w:ascii="Garamond" w:hAnsi="Garamond" w:cs="Garamond"/>
          <w:sz w:val="22"/>
          <w:szCs w:val="22"/>
        </w:rPr>
        <w:t>Praktične kompetencije podrazumijevaju manuelne vještine i primjenu procedura kao i viši nivo praktičnih sposobnosti i znanja, kao što su primjena iskustva ili znanja na razvoj ili eksperimentisanje.</w:t>
      </w:r>
    </w:p>
    <w:p w:rsidR="00BE7B60" w:rsidRDefault="00BE7B60" w:rsidP="00644F2A">
      <w:pPr>
        <w:pStyle w:val="BasicParagraph"/>
        <w:suppressAutoHyphens/>
        <w:jc w:val="both"/>
      </w:pPr>
      <w:r>
        <w:rPr>
          <w:rFonts w:ascii="Garamond" w:hAnsi="Garamond" w:cs="Garamond"/>
          <w:sz w:val="22"/>
          <w:szCs w:val="22"/>
        </w:rPr>
        <w:t>Stručne kompetencije za određeno zanimanje i sposobnost koje se stiču kroz obrazovanje i obuku. Stručna kompetencija, često je sinonim za činjeničnu kompetenciju, a označava sposobnost za savladavanje tipičnih zadataka i relacija vezanih za profesiju, koje je, prema određenim zahtjevima, potrebno riješiti samostalno i samoodgovorno.</w:t>
      </w:r>
      <w:r>
        <w:rPr>
          <w:rFonts w:ascii="Garamond" w:hAnsi="Garamond" w:cs="Garamond"/>
          <w:sz w:val="22"/>
          <w:szCs w:val="22"/>
        </w:rPr>
        <w:tab/>
      </w:r>
    </w:p>
  </w:footnote>
  <w:footnote w:id="26">
    <w:p w:rsidR="00BE7B60" w:rsidRPr="00E24C10" w:rsidRDefault="00BE7B60" w:rsidP="00E24C10">
      <w:pPr>
        <w:pStyle w:val="BasicParagraph"/>
        <w:suppressAutoHyphens/>
        <w:ind w:firstLine="720"/>
        <w:jc w:val="both"/>
        <w:rPr>
          <w:rFonts w:ascii="Garamond" w:hAnsi="Garamond" w:cs="Garamond"/>
          <w:sz w:val="22"/>
          <w:szCs w:val="22"/>
        </w:rPr>
      </w:pPr>
      <w:r>
        <w:rPr>
          <w:sz w:val="22"/>
          <w:szCs w:val="22"/>
        </w:rPr>
        <w:t>²⁶</w:t>
      </w:r>
      <w:r>
        <w:t xml:space="preserve"> </w:t>
      </w:r>
      <w:r>
        <w:rPr>
          <w:rFonts w:ascii="Garamond" w:hAnsi="Garamond" w:cs="Garamond"/>
          <w:sz w:val="22"/>
          <w:szCs w:val="22"/>
        </w:rPr>
        <w:t>Trends 2018, forthcoming, takođe pogledati https://eua.eu/issues/20:learning-teaching.html.</w:t>
      </w:r>
      <w:r>
        <w:rPr>
          <w:rFonts w:ascii="Garamond" w:hAnsi="Garamond" w:cs="Garamond"/>
          <w:sz w:val="22"/>
          <w:szCs w:val="22"/>
        </w:rPr>
        <w:tab/>
      </w:r>
    </w:p>
  </w:footnote>
  <w:footnote w:id="27">
    <w:p w:rsidR="00BE7B60" w:rsidRDefault="00BE7B60" w:rsidP="00E24C10">
      <w:pPr>
        <w:pStyle w:val="BasicParagraph"/>
        <w:suppressAutoHyphens/>
        <w:ind w:firstLine="720"/>
        <w:jc w:val="both"/>
        <w:rPr>
          <w:rFonts w:ascii="Garamond" w:hAnsi="Garamond" w:cs="Garamond"/>
          <w:sz w:val="22"/>
          <w:szCs w:val="22"/>
        </w:rPr>
      </w:pPr>
      <w:r>
        <w:rPr>
          <w:sz w:val="22"/>
          <w:szCs w:val="22"/>
        </w:rPr>
        <w:t>²⁷</w:t>
      </w:r>
      <w:r>
        <w:t xml:space="preserve"> </w:t>
      </w:r>
      <w:r>
        <w:rPr>
          <w:rFonts w:ascii="Garamond" w:hAnsi="Garamond" w:cs="Garamond"/>
          <w:sz w:val="22"/>
          <w:szCs w:val="22"/>
        </w:rPr>
        <w:t>http://www.ehea.info/media.ehea.info/file/2018_Paris/77/1/EHEAParis2018_Communique_final_952771.pdf</w:t>
      </w:r>
    </w:p>
    <w:p w:rsidR="00BE7B60" w:rsidRDefault="00BE7B60" w:rsidP="00644F2A">
      <w:pPr>
        <w:pStyle w:val="BasicParagraph"/>
        <w:suppressAutoHyphens/>
        <w:jc w:val="both"/>
      </w:pPr>
    </w:p>
  </w:footnote>
  <w:footnote w:id="28">
    <w:p w:rsidR="00BE7B60" w:rsidRDefault="00BE7B60" w:rsidP="00644F2A">
      <w:pPr>
        <w:pStyle w:val="BasicParagraph"/>
        <w:suppressAutoHyphens/>
        <w:jc w:val="both"/>
        <w:rPr>
          <w:rFonts w:ascii="Garamond" w:hAnsi="Garamond" w:cs="Garamond"/>
          <w:sz w:val="22"/>
          <w:szCs w:val="22"/>
        </w:rPr>
      </w:pPr>
      <w:r>
        <w:t xml:space="preserve">     </w:t>
      </w:r>
      <w:r>
        <w:rPr>
          <w:sz w:val="22"/>
          <w:szCs w:val="22"/>
        </w:rPr>
        <w:t>²⁸</w:t>
      </w:r>
      <w:r>
        <w:t xml:space="preserve"> </w:t>
      </w:r>
      <w:r>
        <w:rPr>
          <w:rFonts w:ascii="Garamond" w:hAnsi="Garamond" w:cs="Garamond"/>
          <w:sz w:val="22"/>
          <w:szCs w:val="22"/>
        </w:rPr>
        <w:t>PRAVILNIK O BLIŽIM USLOVIMA ZA OSNIVANJE, OBAVLJANJE DJELATNOSTI, POSTUPKU LICENCIRANJA I NAČINU VOĐENJA REGISTRA USTANOVA VISOKOG OBRAZOVANJA.</w:t>
      </w:r>
      <w:r>
        <w:rPr>
          <w:rFonts w:ascii="Garamond" w:hAnsi="Garamond" w:cs="Garamond"/>
          <w:sz w:val="22"/>
          <w:szCs w:val="22"/>
        </w:rPr>
        <w:tab/>
      </w:r>
    </w:p>
    <w:p w:rsidR="00BE7B60" w:rsidRDefault="00BE7B60" w:rsidP="00644F2A">
      <w:pPr>
        <w:pStyle w:val="BasicParagraph"/>
        <w:suppressAutoHyphens/>
        <w:jc w:val="both"/>
      </w:pPr>
    </w:p>
  </w:footnote>
  <w:footnote w:id="29">
    <w:p w:rsidR="00BE7B60" w:rsidRDefault="00BE7B60" w:rsidP="00E24C10">
      <w:pPr>
        <w:pStyle w:val="BasicParagraph"/>
        <w:suppressAutoHyphens/>
        <w:ind w:firstLine="720"/>
        <w:jc w:val="both"/>
        <w:rPr>
          <w:rFonts w:ascii="Garamond" w:hAnsi="Garamond" w:cs="Garamond"/>
          <w:sz w:val="22"/>
          <w:szCs w:val="22"/>
        </w:rPr>
      </w:pPr>
      <w:r>
        <w:rPr>
          <w:sz w:val="22"/>
          <w:szCs w:val="22"/>
        </w:rPr>
        <w:t>²⁹</w:t>
      </w:r>
      <w:r>
        <w:t xml:space="preserve"> </w:t>
      </w:r>
      <w:r>
        <w:rPr>
          <w:rFonts w:ascii="Garamond" w:hAnsi="Garamond" w:cs="Garamond"/>
          <w:sz w:val="22"/>
          <w:szCs w:val="22"/>
        </w:rPr>
        <w:t xml:space="preserve">Kultura kvaliteta odnosi se na niz zajedničkih, prihvaćenih i integrisanih obrazaca kvaliteta (poznatijih pod pojmom načela kvaliteta) koji se mogu pronaći u organizacionoj kulturi i sistemima upravljanja ustanovom. </w:t>
      </w:r>
    </w:p>
    <w:p w:rsidR="00BE7B60" w:rsidRDefault="00BE7B60" w:rsidP="00644F2A">
      <w:pPr>
        <w:pStyle w:val="BasicParagraph"/>
        <w:suppressAutoHyphens/>
        <w:jc w:val="both"/>
        <w:rPr>
          <w:rFonts w:ascii="Garamond" w:hAnsi="Garamond" w:cs="Garamond"/>
          <w:sz w:val="22"/>
          <w:szCs w:val="22"/>
        </w:rPr>
      </w:pPr>
      <w:r>
        <w:rPr>
          <w:rFonts w:ascii="Garamond" w:hAnsi="Garamond" w:cs="Garamond"/>
          <w:sz w:val="22"/>
          <w:szCs w:val="22"/>
        </w:rPr>
        <w:t xml:space="preserve">Kultura kvaliteta može se definisati i kao sposobnost ustanove ili individualnog programa da razvije sistem obezbjeđenja kvaliteta u svakodnevnom radu ustanove i time postigne kontinuirano obezbjeđenje kvaliteta, ne oslanjajući se isključivo na periodičnu evaluaciju. </w:t>
      </w:r>
    </w:p>
    <w:p w:rsidR="00BE7B60" w:rsidRDefault="00BE7B60" w:rsidP="00644F2A">
      <w:pPr>
        <w:pStyle w:val="BasicParagraph"/>
      </w:pPr>
      <w:r>
        <w:tab/>
      </w:r>
    </w:p>
    <w:p w:rsidR="00BE7B60" w:rsidRDefault="00BE7B60" w:rsidP="00644F2A">
      <w:pPr>
        <w:pStyle w:val="BasicParagraph"/>
      </w:pPr>
    </w:p>
  </w:footnote>
  <w:footnote w:id="30">
    <w:p w:rsidR="00BE7B60" w:rsidRPr="00E24C10" w:rsidRDefault="00BE7B60" w:rsidP="00E24C10">
      <w:pPr>
        <w:pStyle w:val="BasicParagraph"/>
        <w:suppressAutoHyphens/>
        <w:ind w:firstLine="720"/>
        <w:jc w:val="both"/>
        <w:rPr>
          <w:rFonts w:ascii="Garamond" w:hAnsi="Garamond" w:cs="Garamond"/>
          <w:sz w:val="22"/>
          <w:szCs w:val="22"/>
        </w:rPr>
      </w:pPr>
      <w:r>
        <w:rPr>
          <w:sz w:val="22"/>
          <w:szCs w:val="22"/>
        </w:rPr>
        <w:t>³⁰</w:t>
      </w:r>
      <w:r>
        <w:t xml:space="preserve"> </w:t>
      </w:r>
      <w:r>
        <w:rPr>
          <w:rFonts w:ascii="Garamond" w:hAnsi="Garamond" w:cs="Garamond"/>
          <w:sz w:val="22"/>
          <w:szCs w:val="22"/>
        </w:rPr>
        <w:t>U Zakonu o akademskom integritetu, akademski integritet je definisan kao akademsko ponašanje koje obezbjeđuje očuvanje akademske čestitosti, dostojanstva profesije, kvaliteta rada i proizvoda rada, duha ravnopravne saradnje sa svim učesnicima akademskog procesa, usmjerenosti na istinu kao temeljnu vrijednost i poštovanje zakonskih propisa kao osnove odgovornosti članova akademske zajednice odnosno svako ponašanje koje je u skladu sa načelima akademskog integriteta.</w:t>
      </w:r>
      <w:r>
        <w:rPr>
          <w:rFonts w:ascii="Garamond" w:hAnsi="Garamond" w:cs="Garamond"/>
          <w:sz w:val="22"/>
          <w:szCs w:val="22"/>
        </w:rPr>
        <w:tab/>
      </w:r>
    </w:p>
  </w:footnote>
  <w:footnote w:id="31">
    <w:p w:rsidR="00BE7B60" w:rsidRPr="00643FC0" w:rsidRDefault="00BE7B60" w:rsidP="00644F2A">
      <w:pPr>
        <w:pStyle w:val="BasicParagraph"/>
        <w:suppressAutoHyphens/>
        <w:jc w:val="both"/>
        <w:rPr>
          <w:rFonts w:ascii="Garamond" w:hAnsi="Garamond" w:cs="Garamond"/>
          <w:sz w:val="22"/>
          <w:szCs w:val="22"/>
        </w:rPr>
      </w:pPr>
      <w:r>
        <w:t xml:space="preserve">  </w:t>
      </w:r>
      <w:r>
        <w:tab/>
        <w:t xml:space="preserve"> </w:t>
      </w:r>
      <w:r>
        <w:rPr>
          <w:sz w:val="22"/>
          <w:szCs w:val="22"/>
        </w:rPr>
        <w:t>³¹</w:t>
      </w:r>
      <w:r>
        <w:t xml:space="preserve"> </w:t>
      </w:r>
      <w:r>
        <w:rPr>
          <w:rFonts w:ascii="Garamond" w:hAnsi="Garamond" w:cs="Garamond"/>
          <w:sz w:val="22"/>
          <w:szCs w:val="22"/>
        </w:rPr>
        <w:t>Zakon o akademskom integritetu je definisao da se Načelo čestitosti zasniva na samostalnosti u naučnom, obrazovnom i stručnom radu, kao i poštovanju tuđeg rada i djela. Načelo objektivnosti predviđa da članovi i akademska zajednica ne smiju da dopuste da predrasude i pristrasnost bilo koje vrste utiču na njihovu objektivnost u akademskim, istraţivačkim, administrativnim, poslovnim i upravljaĉkim djelatnostima. Načelo otvorenosti - rezultati istraživanja članova akademske zajednice treba da su dostupni javnosti i naučnim i akademskim mrežama. Načelo slobode u nastavi i istraživanju - ustanove visokog obrazovanja treba da zaštite sve članove akademske zajednice od svakog pokušaja ograničavanja ili uskraćivanja slobode u obrazovnom, odnosno naučnoistražvačkom radu i Načelo odgovornosti - odgovornost ustanova se ogleda u poštovanju normi kvaliteta, etičkih normi i promovisanju izvrsnosti, kao i otvorenosti za kritičko sagledavanje njihove sveukupne djelatnosti od strane društva.</w:t>
      </w:r>
      <w:r>
        <w:rPr>
          <w:rFonts w:ascii="Garamond" w:hAnsi="Garamond" w:cs="Garamond"/>
          <w:sz w:val="22"/>
          <w:szCs w:val="22"/>
        </w:rPr>
        <w:tab/>
      </w:r>
    </w:p>
  </w:footnote>
  <w:footnote w:id="32">
    <w:p w:rsidR="00BE7B60" w:rsidRDefault="00BE7B60" w:rsidP="00644F2A">
      <w:pPr>
        <w:pStyle w:val="BasicParagraph"/>
        <w:suppressAutoHyphens/>
        <w:jc w:val="both"/>
        <w:rPr>
          <w:rFonts w:ascii="Garamond" w:hAnsi="Garamond" w:cs="Garamond"/>
          <w:sz w:val="22"/>
          <w:szCs w:val="22"/>
        </w:rPr>
      </w:pPr>
      <w:r>
        <w:t xml:space="preserve">    </w:t>
      </w:r>
      <w:r>
        <w:rPr>
          <w:sz w:val="22"/>
          <w:szCs w:val="22"/>
        </w:rPr>
        <w:t>³²</w:t>
      </w:r>
      <w:r>
        <w:t xml:space="preserve"> </w:t>
      </w:r>
      <w:r>
        <w:rPr>
          <w:rFonts w:ascii="Garamond" w:hAnsi="Garamond" w:cs="Garamond"/>
          <w:sz w:val="22"/>
          <w:szCs w:val="22"/>
        </w:rPr>
        <w:t>Primjer plana integriteta - Agencija za sprječavanje korupcije. www.antikorupcija.me › documents › Primjer_plan...</w:t>
      </w:r>
    </w:p>
    <w:p w:rsidR="00BE7B60" w:rsidRDefault="00BE7B60" w:rsidP="00644F2A">
      <w:pPr>
        <w:pStyle w:val="BasicParagraph"/>
        <w:suppressAutoHyphens/>
        <w:jc w:val="both"/>
      </w:pPr>
    </w:p>
  </w:footnote>
  <w:footnote w:id="33">
    <w:p w:rsidR="00BE7B60" w:rsidRDefault="00BE7B60" w:rsidP="00D546DD">
      <w:pPr>
        <w:pStyle w:val="BasicParagraph"/>
        <w:suppressAutoHyphens/>
        <w:ind w:firstLine="720"/>
        <w:jc w:val="both"/>
      </w:pPr>
      <w:r>
        <w:rPr>
          <w:sz w:val="22"/>
          <w:szCs w:val="22"/>
        </w:rPr>
        <w:t>³³</w:t>
      </w:r>
      <w:r>
        <w:rPr>
          <w:rFonts w:ascii="Garamond" w:hAnsi="Garamond" w:cs="Garamond"/>
          <w:sz w:val="22"/>
          <w:szCs w:val="22"/>
        </w:rPr>
        <w:t xml:space="preserve"> Prof. dr. sc. Blaženka Divjak, Ishodi učenja – zašto i kako? Ministarstvo znanosti i obrazovanja, 21. 12. 2017. (Key competences for lifelong learning EU http://eur-lex.europa.eu/legal-content).</w:t>
      </w:r>
      <w:r>
        <w:rPr>
          <w:rFonts w:ascii="Garamond" w:hAnsi="Garamond" w:cs="Garamond"/>
          <w:sz w:val="22"/>
          <w:szCs w:val="22"/>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4128"/>
    <w:multiLevelType w:val="hybridMultilevel"/>
    <w:tmpl w:val="60A6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DB"/>
    <w:rsid w:val="000260FA"/>
    <w:rsid w:val="000466F6"/>
    <w:rsid w:val="000466F8"/>
    <w:rsid w:val="00085A81"/>
    <w:rsid w:val="00087783"/>
    <w:rsid w:val="00095A94"/>
    <w:rsid w:val="001209BD"/>
    <w:rsid w:val="00166796"/>
    <w:rsid w:val="00173691"/>
    <w:rsid w:val="00191AF4"/>
    <w:rsid w:val="00193D04"/>
    <w:rsid w:val="001A25FD"/>
    <w:rsid w:val="001F0CEE"/>
    <w:rsid w:val="00204C8A"/>
    <w:rsid w:val="00225489"/>
    <w:rsid w:val="00234190"/>
    <w:rsid w:val="00251FDB"/>
    <w:rsid w:val="00264695"/>
    <w:rsid w:val="002A1805"/>
    <w:rsid w:val="002A4691"/>
    <w:rsid w:val="002A5E38"/>
    <w:rsid w:val="002B77AB"/>
    <w:rsid w:val="002C21EB"/>
    <w:rsid w:val="002D3A97"/>
    <w:rsid w:val="002F2EC9"/>
    <w:rsid w:val="002F3C30"/>
    <w:rsid w:val="00315F42"/>
    <w:rsid w:val="00330ED1"/>
    <w:rsid w:val="00352F89"/>
    <w:rsid w:val="00392473"/>
    <w:rsid w:val="003A17F1"/>
    <w:rsid w:val="003E333F"/>
    <w:rsid w:val="003F19FD"/>
    <w:rsid w:val="00422A9C"/>
    <w:rsid w:val="0042548D"/>
    <w:rsid w:val="00454D70"/>
    <w:rsid w:val="00465127"/>
    <w:rsid w:val="00475F16"/>
    <w:rsid w:val="00476AC8"/>
    <w:rsid w:val="004811B5"/>
    <w:rsid w:val="004844B3"/>
    <w:rsid w:val="0049413B"/>
    <w:rsid w:val="004A068A"/>
    <w:rsid w:val="004A6650"/>
    <w:rsid w:val="004B432B"/>
    <w:rsid w:val="0051182F"/>
    <w:rsid w:val="0052018B"/>
    <w:rsid w:val="00520475"/>
    <w:rsid w:val="00527BED"/>
    <w:rsid w:val="005318ED"/>
    <w:rsid w:val="0056733B"/>
    <w:rsid w:val="005B2F7A"/>
    <w:rsid w:val="005D0316"/>
    <w:rsid w:val="005D50FB"/>
    <w:rsid w:val="005D5EC6"/>
    <w:rsid w:val="005F73DC"/>
    <w:rsid w:val="00611AB6"/>
    <w:rsid w:val="00623AF6"/>
    <w:rsid w:val="00640A07"/>
    <w:rsid w:val="00640D92"/>
    <w:rsid w:val="00642E30"/>
    <w:rsid w:val="00643FC0"/>
    <w:rsid w:val="006440F7"/>
    <w:rsid w:val="00644F2A"/>
    <w:rsid w:val="006657DE"/>
    <w:rsid w:val="00670AAA"/>
    <w:rsid w:val="00692B19"/>
    <w:rsid w:val="006B1441"/>
    <w:rsid w:val="00730026"/>
    <w:rsid w:val="00736C4F"/>
    <w:rsid w:val="00777682"/>
    <w:rsid w:val="007B205D"/>
    <w:rsid w:val="007B5968"/>
    <w:rsid w:val="007E5DBE"/>
    <w:rsid w:val="00801454"/>
    <w:rsid w:val="00821309"/>
    <w:rsid w:val="00845AF8"/>
    <w:rsid w:val="00857D43"/>
    <w:rsid w:val="00884DBB"/>
    <w:rsid w:val="008961D6"/>
    <w:rsid w:val="008A5474"/>
    <w:rsid w:val="008C4DEC"/>
    <w:rsid w:val="00922771"/>
    <w:rsid w:val="00943F17"/>
    <w:rsid w:val="00945D99"/>
    <w:rsid w:val="00952229"/>
    <w:rsid w:val="00954298"/>
    <w:rsid w:val="009904C9"/>
    <w:rsid w:val="009A2E23"/>
    <w:rsid w:val="009D282E"/>
    <w:rsid w:val="009D3E03"/>
    <w:rsid w:val="00A01FE7"/>
    <w:rsid w:val="00A2571F"/>
    <w:rsid w:val="00A40202"/>
    <w:rsid w:val="00A4389A"/>
    <w:rsid w:val="00A657BF"/>
    <w:rsid w:val="00A80550"/>
    <w:rsid w:val="00A8618D"/>
    <w:rsid w:val="00AA015D"/>
    <w:rsid w:val="00AE4801"/>
    <w:rsid w:val="00B14170"/>
    <w:rsid w:val="00B659C3"/>
    <w:rsid w:val="00B9207D"/>
    <w:rsid w:val="00B92DCB"/>
    <w:rsid w:val="00B93E4B"/>
    <w:rsid w:val="00BE7B60"/>
    <w:rsid w:val="00C01B84"/>
    <w:rsid w:val="00C25914"/>
    <w:rsid w:val="00C54E80"/>
    <w:rsid w:val="00C560C4"/>
    <w:rsid w:val="00C73174"/>
    <w:rsid w:val="00C763DC"/>
    <w:rsid w:val="00CB3587"/>
    <w:rsid w:val="00CD0B45"/>
    <w:rsid w:val="00CE13FD"/>
    <w:rsid w:val="00CF6527"/>
    <w:rsid w:val="00D11B22"/>
    <w:rsid w:val="00D14E85"/>
    <w:rsid w:val="00D163C4"/>
    <w:rsid w:val="00D22903"/>
    <w:rsid w:val="00D522E8"/>
    <w:rsid w:val="00D546DD"/>
    <w:rsid w:val="00D5639D"/>
    <w:rsid w:val="00D6478B"/>
    <w:rsid w:val="00D8244A"/>
    <w:rsid w:val="00D859BA"/>
    <w:rsid w:val="00DB0929"/>
    <w:rsid w:val="00DE6131"/>
    <w:rsid w:val="00DF7D58"/>
    <w:rsid w:val="00E24C10"/>
    <w:rsid w:val="00E33D55"/>
    <w:rsid w:val="00E50E0D"/>
    <w:rsid w:val="00E61EEA"/>
    <w:rsid w:val="00EB05E0"/>
    <w:rsid w:val="00EB53DC"/>
    <w:rsid w:val="00ED1E9A"/>
    <w:rsid w:val="00F0512A"/>
    <w:rsid w:val="00F46239"/>
    <w:rsid w:val="00F46329"/>
    <w:rsid w:val="00F53734"/>
    <w:rsid w:val="00F539AD"/>
    <w:rsid w:val="00F56E4A"/>
    <w:rsid w:val="00F71BDF"/>
    <w:rsid w:val="00F75716"/>
    <w:rsid w:val="00F84966"/>
    <w:rsid w:val="00F964D8"/>
    <w:rsid w:val="00FA4FFB"/>
    <w:rsid w:val="00FD0E78"/>
    <w:rsid w:val="00FF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A69FB-3524-4FF9-9B9F-899E0A91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AA"/>
  </w:style>
  <w:style w:type="paragraph" w:styleId="Heading1">
    <w:name w:val="heading 1"/>
    <w:basedOn w:val="Normal"/>
    <w:next w:val="Normal"/>
    <w:link w:val="Heading1Char"/>
    <w:uiPriority w:val="9"/>
    <w:qFormat/>
    <w:rsid w:val="003A1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4F2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644F2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24C10"/>
    <w:rPr>
      <w:color w:val="0563C1" w:themeColor="hyperlink"/>
      <w:u w:val="single"/>
    </w:rPr>
  </w:style>
  <w:style w:type="character" w:customStyle="1" w:styleId="UnresolvedMention1">
    <w:name w:val="Unresolved Mention1"/>
    <w:basedOn w:val="DefaultParagraphFont"/>
    <w:uiPriority w:val="99"/>
    <w:semiHidden/>
    <w:unhideWhenUsed/>
    <w:rsid w:val="00E24C10"/>
    <w:rPr>
      <w:color w:val="605E5C"/>
      <w:shd w:val="clear" w:color="auto" w:fill="E1DFDD"/>
    </w:rPr>
  </w:style>
  <w:style w:type="paragraph" w:styleId="BalloonText">
    <w:name w:val="Balloon Text"/>
    <w:basedOn w:val="Normal"/>
    <w:link w:val="BalloonTextChar"/>
    <w:uiPriority w:val="99"/>
    <w:semiHidden/>
    <w:unhideWhenUsed/>
    <w:rsid w:val="0082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09"/>
    <w:rPr>
      <w:rFonts w:ascii="Tahoma" w:hAnsi="Tahoma" w:cs="Tahoma"/>
      <w:sz w:val="16"/>
      <w:szCs w:val="16"/>
    </w:rPr>
  </w:style>
  <w:style w:type="paragraph" w:styleId="CommentText">
    <w:name w:val="annotation text"/>
    <w:basedOn w:val="Normal"/>
    <w:link w:val="CommentTextChar"/>
    <w:uiPriority w:val="99"/>
    <w:unhideWhenUsed/>
    <w:rsid w:val="00B93E4B"/>
    <w:pPr>
      <w:spacing w:line="240" w:lineRule="auto"/>
    </w:pPr>
    <w:rPr>
      <w:sz w:val="20"/>
      <w:szCs w:val="20"/>
    </w:rPr>
  </w:style>
  <w:style w:type="character" w:customStyle="1" w:styleId="CommentTextChar">
    <w:name w:val="Comment Text Char"/>
    <w:basedOn w:val="DefaultParagraphFont"/>
    <w:link w:val="CommentText"/>
    <w:uiPriority w:val="99"/>
    <w:rsid w:val="00B93E4B"/>
    <w:rPr>
      <w:sz w:val="20"/>
      <w:szCs w:val="20"/>
    </w:rPr>
  </w:style>
  <w:style w:type="character" w:customStyle="1" w:styleId="Heading1Char">
    <w:name w:val="Heading 1 Char"/>
    <w:basedOn w:val="DefaultParagraphFont"/>
    <w:link w:val="Heading1"/>
    <w:uiPriority w:val="9"/>
    <w:rsid w:val="003A17F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1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AF4"/>
  </w:style>
  <w:style w:type="paragraph" w:styleId="Footer">
    <w:name w:val="footer"/>
    <w:basedOn w:val="Normal"/>
    <w:link w:val="FooterChar"/>
    <w:uiPriority w:val="99"/>
    <w:unhideWhenUsed/>
    <w:rsid w:val="00191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AF4"/>
  </w:style>
  <w:style w:type="table" w:styleId="TableGrid">
    <w:name w:val="Table Grid"/>
    <w:basedOn w:val="TableNormal"/>
    <w:uiPriority w:val="39"/>
    <w:unhideWhenUsed/>
    <w:rsid w:val="002A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EC6"/>
    <w:rPr>
      <w:sz w:val="16"/>
      <w:szCs w:val="16"/>
    </w:rPr>
  </w:style>
  <w:style w:type="paragraph" w:styleId="CommentSubject">
    <w:name w:val="annotation subject"/>
    <w:basedOn w:val="CommentText"/>
    <w:next w:val="CommentText"/>
    <w:link w:val="CommentSubjectChar"/>
    <w:uiPriority w:val="99"/>
    <w:semiHidden/>
    <w:unhideWhenUsed/>
    <w:rsid w:val="005D5EC6"/>
    <w:rPr>
      <w:b/>
      <w:bCs/>
    </w:rPr>
  </w:style>
  <w:style w:type="character" w:customStyle="1" w:styleId="CommentSubjectChar">
    <w:name w:val="Comment Subject Char"/>
    <w:basedOn w:val="CommentTextChar"/>
    <w:link w:val="CommentSubject"/>
    <w:uiPriority w:val="99"/>
    <w:semiHidden/>
    <w:rsid w:val="005D5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9124">
      <w:bodyDiv w:val="1"/>
      <w:marLeft w:val="0"/>
      <w:marRight w:val="0"/>
      <w:marTop w:val="0"/>
      <w:marBottom w:val="0"/>
      <w:divBdr>
        <w:top w:val="none" w:sz="0" w:space="0" w:color="auto"/>
        <w:left w:val="none" w:sz="0" w:space="0" w:color="auto"/>
        <w:bottom w:val="none" w:sz="0" w:space="0" w:color="auto"/>
        <w:right w:val="none" w:sz="0" w:space="0" w:color="auto"/>
      </w:divBdr>
      <w:divsChild>
        <w:div w:id="307445288">
          <w:marLeft w:val="547"/>
          <w:marRight w:val="0"/>
          <w:marTop w:val="0"/>
          <w:marBottom w:val="0"/>
          <w:divBdr>
            <w:top w:val="none" w:sz="0" w:space="0" w:color="auto"/>
            <w:left w:val="none" w:sz="0" w:space="0" w:color="auto"/>
            <w:bottom w:val="none" w:sz="0" w:space="0" w:color="auto"/>
            <w:right w:val="none" w:sz="0" w:space="0" w:color="auto"/>
          </w:divBdr>
        </w:div>
      </w:divsChild>
    </w:div>
    <w:div w:id="314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vo.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southeuropeanstudies.eu/our-partners/associate-partners/"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la.ac.uk/postgraduate/erasmusmundus/ceeres/associatepartn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AD2C2-FFEC-40D1-8B2E-5E0A25FA25A9}"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C8A7B39F-C628-43FB-8B28-A50713992026}">
      <dgm:prSet phldrT="[Text]" custT="1"/>
      <dgm:spPr/>
      <dgm:t>
        <a:bodyPr/>
        <a:lstStyle/>
        <a:p>
          <a:pPr algn="ctr"/>
          <a:r>
            <a:rPr lang="sr-Latn-RS" sz="1200">
              <a:latin typeface="Garamond" pitchFamily="18" charset="0"/>
            </a:rPr>
            <a:t>Program ekonomskih reformi </a:t>
          </a:r>
          <a:endParaRPr lang="en-US" sz="1200">
            <a:latin typeface="Garamond" pitchFamily="18" charset="0"/>
          </a:endParaRPr>
        </a:p>
      </dgm:t>
    </dgm:pt>
    <dgm:pt modelId="{B398B857-D6A3-4C75-B06B-BC9A8428C7C8}" type="sibTrans" cxnId="{F74686BC-C43C-4F00-AC57-E5F1D3E8E0D4}">
      <dgm:prSet/>
      <dgm:spPr/>
      <dgm:t>
        <a:bodyPr/>
        <a:lstStyle/>
        <a:p>
          <a:pPr algn="ctr"/>
          <a:endParaRPr lang="en-US"/>
        </a:p>
      </dgm:t>
    </dgm:pt>
    <dgm:pt modelId="{38B3E77F-D1CA-4A73-96C8-9E62BD1ABA12}" type="parTrans" cxnId="{F74686BC-C43C-4F00-AC57-E5F1D3E8E0D4}">
      <dgm:prSet/>
      <dgm:spPr/>
      <dgm:t>
        <a:bodyPr/>
        <a:lstStyle/>
        <a:p>
          <a:pPr algn="ctr"/>
          <a:endParaRPr lang="en-US"/>
        </a:p>
      </dgm:t>
    </dgm:pt>
    <dgm:pt modelId="{F151696E-84D2-4F53-8B18-50FA830DEE73}">
      <dgm:prSet phldrT="[Text]" custT="1"/>
      <dgm:spPr/>
      <dgm:t>
        <a:bodyPr/>
        <a:lstStyle/>
        <a:p>
          <a:pPr algn="ctr"/>
          <a:r>
            <a:rPr lang="sr-Latn-RS" sz="1200">
              <a:latin typeface="Garamond" pitchFamily="18" charset="0"/>
            </a:rPr>
            <a:t>Strategija pametne specijalizacije </a:t>
          </a:r>
          <a:endParaRPr lang="en-US" sz="1200">
            <a:latin typeface="Garamond" pitchFamily="18" charset="0"/>
          </a:endParaRPr>
        </a:p>
      </dgm:t>
    </dgm:pt>
    <dgm:pt modelId="{D680C960-0DA2-4F14-9A17-08FF9796E05D}" type="sibTrans" cxnId="{CCBCE381-D08E-4D93-88BD-07D7F81CDDB6}">
      <dgm:prSet/>
      <dgm:spPr/>
      <dgm:t>
        <a:bodyPr/>
        <a:lstStyle/>
        <a:p>
          <a:pPr algn="ctr"/>
          <a:endParaRPr lang="en-US"/>
        </a:p>
      </dgm:t>
    </dgm:pt>
    <dgm:pt modelId="{00353279-1AB8-4CFB-AEFA-C79A0CF25130}" type="parTrans" cxnId="{CCBCE381-D08E-4D93-88BD-07D7F81CDDB6}">
      <dgm:prSet/>
      <dgm:spPr/>
      <dgm:t>
        <a:bodyPr/>
        <a:lstStyle/>
        <a:p>
          <a:pPr algn="ctr"/>
          <a:endParaRPr lang="en-US"/>
        </a:p>
      </dgm:t>
    </dgm:pt>
    <dgm:pt modelId="{CF8F834A-3E5B-41B4-A204-D292C82273D8}">
      <dgm:prSet phldrT="[Text]" custT="1"/>
      <dgm:spPr/>
      <dgm:t>
        <a:bodyPr/>
        <a:lstStyle/>
        <a:p>
          <a:pPr algn="ctr"/>
          <a:r>
            <a:rPr lang="sr-Latn-RS" sz="1200">
              <a:latin typeface="Garamond" pitchFamily="18" charset="0"/>
            </a:rPr>
            <a:t>Nacionalna strategija održivog razvoja </a:t>
          </a:r>
          <a:endParaRPr lang="en-US" sz="1200">
            <a:latin typeface="Garamond" pitchFamily="18" charset="0"/>
          </a:endParaRPr>
        </a:p>
      </dgm:t>
    </dgm:pt>
    <dgm:pt modelId="{64FF2430-B94C-4227-9831-2CCA1686CEA8}" type="sibTrans" cxnId="{71AD09D6-FEDF-4EFB-862D-347266A20268}">
      <dgm:prSet/>
      <dgm:spPr/>
      <dgm:t>
        <a:bodyPr/>
        <a:lstStyle/>
        <a:p>
          <a:pPr algn="ctr"/>
          <a:endParaRPr lang="en-US"/>
        </a:p>
      </dgm:t>
    </dgm:pt>
    <dgm:pt modelId="{2C673362-E920-48A9-A7BC-15B313E55FDC}" type="parTrans" cxnId="{71AD09D6-FEDF-4EFB-862D-347266A20268}">
      <dgm:prSet/>
      <dgm:spPr/>
      <dgm:t>
        <a:bodyPr/>
        <a:lstStyle/>
        <a:p>
          <a:pPr algn="ctr"/>
          <a:endParaRPr lang="en-US"/>
        </a:p>
      </dgm:t>
    </dgm:pt>
    <dgm:pt modelId="{F0189440-E1C6-43CF-B6E8-4E0CD91CFEE6}">
      <dgm:prSet phldrT="[Text]" custT="1"/>
      <dgm:spPr/>
      <dgm:t>
        <a:bodyPr/>
        <a:lstStyle/>
        <a:p>
          <a:pPr algn="ctr"/>
          <a:r>
            <a:rPr lang="sr-Latn-RS" sz="1200">
              <a:latin typeface="Garamond" pitchFamily="18" charset="0"/>
            </a:rPr>
            <a:t>Pravci razvoja Crne Gore </a:t>
          </a:r>
          <a:endParaRPr lang="en-US" sz="1200">
            <a:latin typeface="Garamond" pitchFamily="18" charset="0"/>
          </a:endParaRPr>
        </a:p>
      </dgm:t>
    </dgm:pt>
    <dgm:pt modelId="{D6C499DB-DDC3-4E04-929B-6B68B66D8448}" type="sibTrans" cxnId="{8C9FE5B2-B750-42D1-A6A4-CD00CEEFB832}">
      <dgm:prSet/>
      <dgm:spPr/>
      <dgm:t>
        <a:bodyPr/>
        <a:lstStyle/>
        <a:p>
          <a:pPr algn="ctr"/>
          <a:endParaRPr lang="en-US"/>
        </a:p>
      </dgm:t>
    </dgm:pt>
    <dgm:pt modelId="{9702671A-C00A-4C6D-8936-0333AA34F391}" type="parTrans" cxnId="{8C9FE5B2-B750-42D1-A6A4-CD00CEEFB832}">
      <dgm:prSet/>
      <dgm:spPr/>
      <dgm:t>
        <a:bodyPr/>
        <a:lstStyle/>
        <a:p>
          <a:pPr algn="ctr"/>
          <a:endParaRPr lang="en-US"/>
        </a:p>
      </dgm:t>
    </dgm:pt>
    <dgm:pt modelId="{1B4DD0D0-C184-4AC0-A041-B378AB708A1A}">
      <dgm:prSet phldrT="[Text]" custT="1"/>
      <dgm:spPr/>
      <dgm:t>
        <a:bodyPr/>
        <a:lstStyle/>
        <a:p>
          <a:pPr algn="ctr"/>
          <a:r>
            <a:rPr lang="sr-Latn-RS" sz="1200">
              <a:latin typeface="Garamond" pitchFamily="18" charset="0"/>
            </a:rPr>
            <a:t>Strategija razvoja visokog obrazovanja 2021</a:t>
          </a:r>
          <a:r>
            <a:rPr lang="sr-Latn-RS" sz="1200">
              <a:latin typeface="Times New Roman" panose="02020603050405020304" pitchFamily="18" charset="0"/>
              <a:cs typeface="Times New Roman" panose="02020603050405020304" pitchFamily="18" charset="0"/>
            </a:rPr>
            <a:t>‒</a:t>
          </a:r>
          <a:r>
            <a:rPr lang="sr-Latn-RS" sz="1200">
              <a:latin typeface="Garamond" pitchFamily="18" charset="0"/>
            </a:rPr>
            <a:t>2025</a:t>
          </a:r>
          <a:endParaRPr lang="en-US" sz="1200">
            <a:latin typeface="Garamond" pitchFamily="18" charset="0"/>
          </a:endParaRPr>
        </a:p>
      </dgm:t>
    </dgm:pt>
    <dgm:pt modelId="{AD8E512C-30C6-46B3-A3F1-16209D780184}" type="sibTrans" cxnId="{DDFA8756-7A8E-4A1D-AE9F-41441ED24A06}">
      <dgm:prSet/>
      <dgm:spPr/>
      <dgm:t>
        <a:bodyPr/>
        <a:lstStyle/>
        <a:p>
          <a:pPr algn="ctr"/>
          <a:endParaRPr lang="en-US"/>
        </a:p>
      </dgm:t>
    </dgm:pt>
    <dgm:pt modelId="{C9823655-BB20-48B6-B403-5A2FCAEFB455}" type="parTrans" cxnId="{DDFA8756-7A8E-4A1D-AE9F-41441ED24A06}">
      <dgm:prSet/>
      <dgm:spPr/>
      <dgm:t>
        <a:bodyPr/>
        <a:lstStyle/>
        <a:p>
          <a:pPr algn="ctr"/>
          <a:endParaRPr lang="en-US"/>
        </a:p>
      </dgm:t>
    </dgm:pt>
    <dgm:pt modelId="{8DDC3434-3637-4C5A-9D1A-834C3459D543}" type="pres">
      <dgm:prSet presAssocID="{0DFAD2C2-FFEC-40D1-8B2E-5E0A25FA25A9}" presName="composite" presStyleCnt="0">
        <dgm:presLayoutVars>
          <dgm:chMax val="1"/>
          <dgm:dir/>
          <dgm:resizeHandles val="exact"/>
        </dgm:presLayoutVars>
      </dgm:prSet>
      <dgm:spPr/>
      <dgm:t>
        <a:bodyPr/>
        <a:lstStyle/>
        <a:p>
          <a:endParaRPr lang="sr-Latn-ME"/>
        </a:p>
      </dgm:t>
    </dgm:pt>
    <dgm:pt modelId="{88128DAC-0617-4586-9391-E554F98DFE14}" type="pres">
      <dgm:prSet presAssocID="{0DFAD2C2-FFEC-40D1-8B2E-5E0A25FA25A9}" presName="radial" presStyleCnt="0">
        <dgm:presLayoutVars>
          <dgm:animLvl val="ctr"/>
        </dgm:presLayoutVars>
      </dgm:prSet>
      <dgm:spPr/>
    </dgm:pt>
    <dgm:pt modelId="{89CAB849-EEE7-4639-B881-888BE4FA397F}" type="pres">
      <dgm:prSet presAssocID="{1B4DD0D0-C184-4AC0-A041-B378AB708A1A}" presName="centerShape" presStyleLbl="vennNode1" presStyleIdx="0" presStyleCnt="5"/>
      <dgm:spPr/>
      <dgm:t>
        <a:bodyPr/>
        <a:lstStyle/>
        <a:p>
          <a:endParaRPr lang="sr-Latn-ME"/>
        </a:p>
      </dgm:t>
    </dgm:pt>
    <dgm:pt modelId="{763F050B-61AC-4A0A-B0C6-FF95E848851C}" type="pres">
      <dgm:prSet presAssocID="{F0189440-E1C6-43CF-B6E8-4E0CD91CFEE6}" presName="node" presStyleLbl="vennNode1" presStyleIdx="1" presStyleCnt="5" custScaleX="131252">
        <dgm:presLayoutVars>
          <dgm:bulletEnabled val="1"/>
        </dgm:presLayoutVars>
      </dgm:prSet>
      <dgm:spPr/>
      <dgm:t>
        <a:bodyPr/>
        <a:lstStyle/>
        <a:p>
          <a:endParaRPr lang="sr-Latn-ME"/>
        </a:p>
      </dgm:t>
    </dgm:pt>
    <dgm:pt modelId="{F92DAED3-3E52-41A2-88F5-A2128F93C244}" type="pres">
      <dgm:prSet presAssocID="{CF8F834A-3E5B-41B4-A204-D292C82273D8}" presName="node" presStyleLbl="vennNode1" presStyleIdx="2" presStyleCnt="5" custScaleX="124903">
        <dgm:presLayoutVars>
          <dgm:bulletEnabled val="1"/>
        </dgm:presLayoutVars>
      </dgm:prSet>
      <dgm:spPr/>
      <dgm:t>
        <a:bodyPr/>
        <a:lstStyle/>
        <a:p>
          <a:endParaRPr lang="sr-Latn-ME"/>
        </a:p>
      </dgm:t>
    </dgm:pt>
    <dgm:pt modelId="{FC4FDF58-9D6F-4D1F-9FF4-81105331694B}" type="pres">
      <dgm:prSet presAssocID="{F151696E-84D2-4F53-8B18-50FA830DEE73}" presName="node" presStyleLbl="vennNode1" presStyleIdx="3" presStyleCnt="5" custScaleX="141584">
        <dgm:presLayoutVars>
          <dgm:bulletEnabled val="1"/>
        </dgm:presLayoutVars>
      </dgm:prSet>
      <dgm:spPr/>
      <dgm:t>
        <a:bodyPr/>
        <a:lstStyle/>
        <a:p>
          <a:endParaRPr lang="sr-Latn-ME"/>
        </a:p>
      </dgm:t>
    </dgm:pt>
    <dgm:pt modelId="{F847170F-1E02-4AB9-9836-B4359CFDCA83}" type="pres">
      <dgm:prSet presAssocID="{C8A7B39F-C628-43FB-8B28-A50713992026}" presName="node" presStyleLbl="vennNode1" presStyleIdx="4" presStyleCnt="5" custScaleX="132942">
        <dgm:presLayoutVars>
          <dgm:bulletEnabled val="1"/>
        </dgm:presLayoutVars>
      </dgm:prSet>
      <dgm:spPr/>
      <dgm:t>
        <a:bodyPr/>
        <a:lstStyle/>
        <a:p>
          <a:endParaRPr lang="sr-Latn-ME"/>
        </a:p>
      </dgm:t>
    </dgm:pt>
  </dgm:ptLst>
  <dgm:cxnLst>
    <dgm:cxn modelId="{2508500C-F351-4AAA-AC23-34100B78288D}" type="presOf" srcId="{C8A7B39F-C628-43FB-8B28-A50713992026}" destId="{F847170F-1E02-4AB9-9836-B4359CFDCA83}" srcOrd="0" destOrd="0" presId="urn:microsoft.com/office/officeart/2005/8/layout/radial3"/>
    <dgm:cxn modelId="{CCBCE381-D08E-4D93-88BD-07D7F81CDDB6}" srcId="{1B4DD0D0-C184-4AC0-A041-B378AB708A1A}" destId="{F151696E-84D2-4F53-8B18-50FA830DEE73}" srcOrd="2" destOrd="0" parTransId="{00353279-1AB8-4CFB-AEFA-C79A0CF25130}" sibTransId="{D680C960-0DA2-4F14-9A17-08FF9796E05D}"/>
    <dgm:cxn modelId="{F74686BC-C43C-4F00-AC57-E5F1D3E8E0D4}" srcId="{1B4DD0D0-C184-4AC0-A041-B378AB708A1A}" destId="{C8A7B39F-C628-43FB-8B28-A50713992026}" srcOrd="3" destOrd="0" parTransId="{38B3E77F-D1CA-4A73-96C8-9E62BD1ABA12}" sibTransId="{B398B857-D6A3-4C75-B06B-BC9A8428C7C8}"/>
    <dgm:cxn modelId="{B0DC299A-0ADE-4256-953B-F1BDB09DE478}" type="presOf" srcId="{1B4DD0D0-C184-4AC0-A041-B378AB708A1A}" destId="{89CAB849-EEE7-4639-B881-888BE4FA397F}" srcOrd="0" destOrd="0" presId="urn:microsoft.com/office/officeart/2005/8/layout/radial3"/>
    <dgm:cxn modelId="{8C9FE5B2-B750-42D1-A6A4-CD00CEEFB832}" srcId="{1B4DD0D0-C184-4AC0-A041-B378AB708A1A}" destId="{F0189440-E1C6-43CF-B6E8-4E0CD91CFEE6}" srcOrd="0" destOrd="0" parTransId="{9702671A-C00A-4C6D-8936-0333AA34F391}" sibTransId="{D6C499DB-DDC3-4E04-929B-6B68B66D8448}"/>
    <dgm:cxn modelId="{84FDFABD-E352-41B4-87C4-2D9A291D3859}" type="presOf" srcId="{F151696E-84D2-4F53-8B18-50FA830DEE73}" destId="{FC4FDF58-9D6F-4D1F-9FF4-81105331694B}" srcOrd="0" destOrd="0" presId="urn:microsoft.com/office/officeart/2005/8/layout/radial3"/>
    <dgm:cxn modelId="{DDFA8756-7A8E-4A1D-AE9F-41441ED24A06}" srcId="{0DFAD2C2-FFEC-40D1-8B2E-5E0A25FA25A9}" destId="{1B4DD0D0-C184-4AC0-A041-B378AB708A1A}" srcOrd="0" destOrd="0" parTransId="{C9823655-BB20-48B6-B403-5A2FCAEFB455}" sibTransId="{AD8E512C-30C6-46B3-A3F1-16209D780184}"/>
    <dgm:cxn modelId="{54941B52-5724-4D85-AA9A-3CA0FB2F9A6A}" type="presOf" srcId="{F0189440-E1C6-43CF-B6E8-4E0CD91CFEE6}" destId="{763F050B-61AC-4A0A-B0C6-FF95E848851C}" srcOrd="0" destOrd="0" presId="urn:microsoft.com/office/officeart/2005/8/layout/radial3"/>
    <dgm:cxn modelId="{B91ADC34-C9E7-4D28-B393-5F6910121296}" type="presOf" srcId="{0DFAD2C2-FFEC-40D1-8B2E-5E0A25FA25A9}" destId="{8DDC3434-3637-4C5A-9D1A-834C3459D543}" srcOrd="0" destOrd="0" presId="urn:microsoft.com/office/officeart/2005/8/layout/radial3"/>
    <dgm:cxn modelId="{4C6A480F-5DD8-4E00-8B7A-F63F1C6795D1}" type="presOf" srcId="{CF8F834A-3E5B-41B4-A204-D292C82273D8}" destId="{F92DAED3-3E52-41A2-88F5-A2128F93C244}" srcOrd="0" destOrd="0" presId="urn:microsoft.com/office/officeart/2005/8/layout/radial3"/>
    <dgm:cxn modelId="{71AD09D6-FEDF-4EFB-862D-347266A20268}" srcId="{1B4DD0D0-C184-4AC0-A041-B378AB708A1A}" destId="{CF8F834A-3E5B-41B4-A204-D292C82273D8}" srcOrd="1" destOrd="0" parTransId="{2C673362-E920-48A9-A7BC-15B313E55FDC}" sibTransId="{64FF2430-B94C-4227-9831-2CCA1686CEA8}"/>
    <dgm:cxn modelId="{18185603-0437-4FF8-A645-8BE1FEB56123}" type="presParOf" srcId="{8DDC3434-3637-4C5A-9D1A-834C3459D543}" destId="{88128DAC-0617-4586-9391-E554F98DFE14}" srcOrd="0" destOrd="0" presId="urn:microsoft.com/office/officeart/2005/8/layout/radial3"/>
    <dgm:cxn modelId="{C57624A6-C77B-4932-9940-369E5EABA400}" type="presParOf" srcId="{88128DAC-0617-4586-9391-E554F98DFE14}" destId="{89CAB849-EEE7-4639-B881-888BE4FA397F}" srcOrd="0" destOrd="0" presId="urn:microsoft.com/office/officeart/2005/8/layout/radial3"/>
    <dgm:cxn modelId="{624A3FDF-5204-4349-AF89-6203B28585CA}" type="presParOf" srcId="{88128DAC-0617-4586-9391-E554F98DFE14}" destId="{763F050B-61AC-4A0A-B0C6-FF95E848851C}" srcOrd="1" destOrd="0" presId="urn:microsoft.com/office/officeart/2005/8/layout/radial3"/>
    <dgm:cxn modelId="{42CF8D79-8CB2-4245-859C-E098451A25EB}" type="presParOf" srcId="{88128DAC-0617-4586-9391-E554F98DFE14}" destId="{F92DAED3-3E52-41A2-88F5-A2128F93C244}" srcOrd="2" destOrd="0" presId="urn:microsoft.com/office/officeart/2005/8/layout/radial3"/>
    <dgm:cxn modelId="{AAB2F4B2-3C60-4907-A902-EFE0CAC0E70C}" type="presParOf" srcId="{88128DAC-0617-4586-9391-E554F98DFE14}" destId="{FC4FDF58-9D6F-4D1F-9FF4-81105331694B}" srcOrd="3" destOrd="0" presId="urn:microsoft.com/office/officeart/2005/8/layout/radial3"/>
    <dgm:cxn modelId="{99CD0544-8062-4DDC-9F98-8BF402C4A34C}" type="presParOf" srcId="{88128DAC-0617-4586-9391-E554F98DFE14}" destId="{F847170F-1E02-4AB9-9836-B4359CFDCA83}"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AB849-EEE7-4639-B881-888BE4FA397F}">
      <dsp:nvSpPr>
        <dsp:cNvPr id="0" name=""/>
        <dsp:cNvSpPr/>
      </dsp:nvSpPr>
      <dsp:spPr>
        <a:xfrm>
          <a:off x="1644830" y="740159"/>
          <a:ext cx="1843906" cy="184390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RS" sz="1200" kern="1200">
              <a:latin typeface="Garamond" pitchFamily="18" charset="0"/>
            </a:rPr>
            <a:t>Strategija razvoja visokog obrazovanja 2021</a:t>
          </a:r>
          <a:r>
            <a:rPr lang="sr-Latn-RS" sz="1200" kern="1200">
              <a:latin typeface="Times New Roman" panose="02020603050405020304" pitchFamily="18" charset="0"/>
              <a:cs typeface="Times New Roman" panose="02020603050405020304" pitchFamily="18" charset="0"/>
            </a:rPr>
            <a:t>‒</a:t>
          </a:r>
          <a:r>
            <a:rPr lang="sr-Latn-RS" sz="1200" kern="1200">
              <a:latin typeface="Garamond" pitchFamily="18" charset="0"/>
            </a:rPr>
            <a:t>2025</a:t>
          </a:r>
          <a:endParaRPr lang="en-US" sz="1200" kern="1200">
            <a:latin typeface="Garamond" pitchFamily="18" charset="0"/>
          </a:endParaRPr>
        </a:p>
      </dsp:txBody>
      <dsp:txXfrm>
        <a:off x="1914864" y="1010193"/>
        <a:ext cx="1303838" cy="1303838"/>
      </dsp:txXfrm>
    </dsp:sp>
    <dsp:sp modelId="{763F050B-61AC-4A0A-B0C6-FF95E848851C}">
      <dsp:nvSpPr>
        <dsp:cNvPr id="0" name=""/>
        <dsp:cNvSpPr/>
      </dsp:nvSpPr>
      <dsp:spPr>
        <a:xfrm>
          <a:off x="1961743" y="329"/>
          <a:ext cx="1210081" cy="9219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RS" sz="1200" kern="1200">
              <a:latin typeface="Garamond" pitchFamily="18" charset="0"/>
            </a:rPr>
            <a:t>Pravci razvoja Crne Gore </a:t>
          </a:r>
          <a:endParaRPr lang="en-US" sz="1200" kern="1200">
            <a:latin typeface="Garamond" pitchFamily="18" charset="0"/>
          </a:endParaRPr>
        </a:p>
      </dsp:txBody>
      <dsp:txXfrm>
        <a:off x="2138955" y="135346"/>
        <a:ext cx="855657" cy="651919"/>
      </dsp:txXfrm>
    </dsp:sp>
    <dsp:sp modelId="{F92DAED3-3E52-41A2-88F5-A2128F93C244}">
      <dsp:nvSpPr>
        <dsp:cNvPr id="0" name=""/>
        <dsp:cNvSpPr/>
      </dsp:nvSpPr>
      <dsp:spPr>
        <a:xfrm>
          <a:off x="3191817" y="1201135"/>
          <a:ext cx="1151546" cy="9219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RS" sz="1200" kern="1200">
              <a:latin typeface="Garamond" pitchFamily="18" charset="0"/>
            </a:rPr>
            <a:t>Nacionalna strategija održivog razvoja </a:t>
          </a:r>
          <a:endParaRPr lang="en-US" sz="1200" kern="1200">
            <a:latin typeface="Garamond" pitchFamily="18" charset="0"/>
          </a:endParaRPr>
        </a:p>
      </dsp:txBody>
      <dsp:txXfrm>
        <a:off x="3360457" y="1336152"/>
        <a:ext cx="814266" cy="651919"/>
      </dsp:txXfrm>
    </dsp:sp>
    <dsp:sp modelId="{FC4FDF58-9D6F-4D1F-9FF4-81105331694B}">
      <dsp:nvSpPr>
        <dsp:cNvPr id="0" name=""/>
        <dsp:cNvSpPr/>
      </dsp:nvSpPr>
      <dsp:spPr>
        <a:xfrm>
          <a:off x="1914114" y="2401942"/>
          <a:ext cx="1305337" cy="9219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RS" sz="1200" kern="1200">
              <a:latin typeface="Garamond" pitchFamily="18" charset="0"/>
            </a:rPr>
            <a:t>Strategija pametne specijalizacije </a:t>
          </a:r>
          <a:endParaRPr lang="en-US" sz="1200" kern="1200">
            <a:latin typeface="Garamond" pitchFamily="18" charset="0"/>
          </a:endParaRPr>
        </a:p>
      </dsp:txBody>
      <dsp:txXfrm>
        <a:off x="2105276" y="2536959"/>
        <a:ext cx="923013" cy="651919"/>
      </dsp:txXfrm>
    </dsp:sp>
    <dsp:sp modelId="{F847170F-1E02-4AB9-9836-B4359CFDCA83}">
      <dsp:nvSpPr>
        <dsp:cNvPr id="0" name=""/>
        <dsp:cNvSpPr/>
      </dsp:nvSpPr>
      <dsp:spPr>
        <a:xfrm>
          <a:off x="753145" y="1201135"/>
          <a:ext cx="1225662" cy="9219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r-Latn-RS" sz="1200" kern="1200">
              <a:latin typeface="Garamond" pitchFamily="18" charset="0"/>
            </a:rPr>
            <a:t>Program ekonomskih reformi </a:t>
          </a:r>
          <a:endParaRPr lang="en-US" sz="1200" kern="1200">
            <a:latin typeface="Garamond" pitchFamily="18" charset="0"/>
          </a:endParaRPr>
        </a:p>
      </dsp:txBody>
      <dsp:txXfrm>
        <a:off x="932639" y="1336152"/>
        <a:ext cx="866674" cy="6519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1802-1FDA-4B6E-8386-B1AB5F80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24337</Words>
  <Characters>138725</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Mudonja</dc:creator>
  <cp:lastModifiedBy>Nina Milosevic</cp:lastModifiedBy>
  <cp:revision>2</cp:revision>
  <cp:lastPrinted>2021-12-07T07:52:00Z</cp:lastPrinted>
  <dcterms:created xsi:type="dcterms:W3CDTF">2021-12-10T07:25:00Z</dcterms:created>
  <dcterms:modified xsi:type="dcterms:W3CDTF">2021-12-10T07:25:00Z</dcterms:modified>
</cp:coreProperties>
</file>