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77740" w14:textId="77777777" w:rsidR="008B2B5E" w:rsidRDefault="000A3EBE">
      <w:pPr>
        <w:jc w:val="center"/>
        <w:rPr>
          <w:rFonts w:ascii="Trebuchet MS" w:eastAsia="Trebuchet MS" w:hAnsi="Trebuchet MS" w:cs="Trebuchet MS"/>
          <w:i/>
        </w:rPr>
      </w:pPr>
      <w:r>
        <w:rPr>
          <w:rFonts w:ascii="Trebuchet MS" w:eastAsia="Trebuchet MS" w:hAnsi="Trebuchet MS" w:cs="Trebuchet MS"/>
          <w:i/>
          <w:noProof/>
          <w:lang w:val="en-US" w:eastAsia="en-US"/>
        </w:rPr>
        <w:drawing>
          <wp:inline distT="0" distB="0" distL="0" distR="0" wp14:anchorId="30444FC1" wp14:editId="3CA31D27">
            <wp:extent cx="990600" cy="1217926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M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307" cy="122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 w:eastAsia="Trebuchet MS" w:hAnsi="Trebuchet MS" w:cs="Trebuchet MS"/>
          <w:i/>
          <w:noProof/>
          <w:lang w:val="en-US" w:eastAsia="en-US"/>
        </w:rPr>
        <w:drawing>
          <wp:inline distT="0" distB="0" distL="0" distR="0" wp14:anchorId="6FD92E19" wp14:editId="79CA5F2D">
            <wp:extent cx="1524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S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351" cy="1147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697C9" w14:textId="77777777" w:rsidR="008B2B5E" w:rsidRDefault="008B2B5E">
      <w:pPr>
        <w:jc w:val="center"/>
        <w:rPr>
          <w:rFonts w:ascii="Trebuchet MS" w:eastAsia="Trebuchet MS" w:hAnsi="Trebuchet MS" w:cs="Trebuchet MS"/>
          <w:i/>
        </w:rPr>
      </w:pPr>
    </w:p>
    <w:p w14:paraId="7179C312" w14:textId="77777777" w:rsidR="008B2B5E" w:rsidRDefault="008B2B5E">
      <w:pPr>
        <w:rPr>
          <w:rFonts w:ascii="Trebuchet MS" w:eastAsia="Trebuchet MS" w:hAnsi="Trebuchet MS" w:cs="Trebuchet MS"/>
          <w:i/>
        </w:rPr>
      </w:pPr>
    </w:p>
    <w:p w14:paraId="673D8D90" w14:textId="77777777" w:rsidR="000A3EBE" w:rsidRDefault="000A3EBE">
      <w:pPr>
        <w:rPr>
          <w:rFonts w:ascii="Trebuchet MS" w:eastAsia="Trebuchet MS" w:hAnsi="Trebuchet MS" w:cs="Trebuchet MS"/>
          <w:i/>
        </w:rPr>
      </w:pPr>
    </w:p>
    <w:p w14:paraId="3F6CA940" w14:textId="5DC13F56" w:rsidR="008B2B5E" w:rsidRDefault="00DC418C">
      <w:pPr>
        <w:pBdr>
          <w:top w:val="single" w:sz="4" w:space="1" w:color="000000"/>
        </w:pBdr>
        <w:shd w:val="clear" w:color="auto" w:fill="D9D9D9"/>
        <w:spacing w:after="0" w:line="240" w:lineRule="auto"/>
        <w:jc w:val="center"/>
        <w:rPr>
          <w:rFonts w:ascii="Trebuchet MS" w:eastAsia="Trebuchet MS" w:hAnsi="Trebuchet MS" w:cs="Trebuchet MS"/>
          <w:b/>
          <w:sz w:val="56"/>
          <w:szCs w:val="56"/>
        </w:rPr>
      </w:pPr>
      <w:r>
        <w:rPr>
          <w:rFonts w:ascii="Trebuchet MS" w:eastAsia="Trebuchet MS" w:hAnsi="Trebuchet MS" w:cs="Trebuchet MS"/>
          <w:b/>
          <w:sz w:val="56"/>
          <w:szCs w:val="56"/>
        </w:rPr>
        <w:t xml:space="preserve">IZVJEŠTAJ O REALIZACIJI </w:t>
      </w:r>
      <w:r w:rsidR="00A532C6">
        <w:rPr>
          <w:rFonts w:ascii="Trebuchet MS" w:eastAsia="Trebuchet MS" w:hAnsi="Trebuchet MS" w:cs="Trebuchet MS"/>
          <w:b/>
          <w:sz w:val="56"/>
          <w:szCs w:val="56"/>
        </w:rPr>
        <w:t>GODIŠNJ</w:t>
      </w:r>
      <w:r>
        <w:rPr>
          <w:rFonts w:ascii="Trebuchet MS" w:eastAsia="Trebuchet MS" w:hAnsi="Trebuchet MS" w:cs="Trebuchet MS"/>
          <w:b/>
          <w:sz w:val="56"/>
          <w:szCs w:val="56"/>
        </w:rPr>
        <w:t>EG</w:t>
      </w:r>
      <w:r w:rsidR="00A532C6">
        <w:rPr>
          <w:rFonts w:ascii="Trebuchet MS" w:eastAsia="Trebuchet MS" w:hAnsi="Trebuchet MS" w:cs="Trebuchet MS"/>
          <w:b/>
          <w:sz w:val="56"/>
          <w:szCs w:val="56"/>
        </w:rPr>
        <w:t xml:space="preserve"> PLAN</w:t>
      </w:r>
      <w:r>
        <w:rPr>
          <w:rFonts w:ascii="Trebuchet MS" w:eastAsia="Trebuchet MS" w:hAnsi="Trebuchet MS" w:cs="Trebuchet MS"/>
          <w:b/>
          <w:sz w:val="56"/>
          <w:szCs w:val="56"/>
        </w:rPr>
        <w:t>A</w:t>
      </w:r>
      <w:r w:rsidR="00A532C6">
        <w:rPr>
          <w:rFonts w:ascii="Trebuchet MS" w:eastAsia="Trebuchet MS" w:hAnsi="Trebuchet MS" w:cs="Trebuchet MS"/>
          <w:b/>
          <w:sz w:val="56"/>
          <w:szCs w:val="56"/>
        </w:rPr>
        <w:t xml:space="preserve"> OBRAZOVANJA ODRASLIH</w:t>
      </w:r>
    </w:p>
    <w:p w14:paraId="46A5D138" w14:textId="77777777" w:rsidR="008B2B5E" w:rsidRDefault="00A532C6">
      <w:pPr>
        <w:pBdr>
          <w:bottom w:val="single" w:sz="4" w:space="1" w:color="000000"/>
        </w:pBdr>
        <w:shd w:val="clear" w:color="auto" w:fill="D9D9D9"/>
        <w:spacing w:after="0" w:line="240" w:lineRule="auto"/>
        <w:jc w:val="center"/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56"/>
          <w:szCs w:val="56"/>
        </w:rPr>
        <w:t>ZA 2024. GODINU</w:t>
      </w:r>
    </w:p>
    <w:p w14:paraId="62582A6F" w14:textId="77777777" w:rsidR="008B2B5E" w:rsidRDefault="008B2B5E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8"/>
          <w:szCs w:val="28"/>
        </w:rPr>
      </w:pPr>
    </w:p>
    <w:p w14:paraId="6B60BD09" w14:textId="7F0F961C" w:rsidR="008B2B5E" w:rsidRDefault="00DC418C">
      <w:pPr>
        <w:spacing w:after="0" w:line="240" w:lineRule="auto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 w:rsidR="00A532C6"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IZVJEŠTAJ O REALIZACIJI</w:t>
      </w:r>
      <w:r w:rsidR="00A532C6"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GODIŠNJEG PLANA OBRAZOVANJA ODRASLIH ZA 2024. GODINU:</w:t>
      </w:r>
    </w:p>
    <w:p w14:paraId="794104DE" w14:textId="77777777" w:rsidR="008B2B5E" w:rsidRDefault="00A532C6">
      <w:pPr>
        <w:spacing w:after="0" w:line="240" w:lineRule="auto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JU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Centar za stručno obrazovanje - Odjeljenje za obrazovanje odraslih i cjeloživotno učenje</w:t>
      </w:r>
    </w:p>
    <w:p w14:paraId="4E64A991" w14:textId="77777777" w:rsidR="008B2B5E" w:rsidRDefault="008B2B5E">
      <w:pPr>
        <w:spacing w:after="0" w:line="240" w:lineRule="auto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06C9EF54" w14:textId="77777777" w:rsidR="000A3EBE" w:rsidRDefault="000A3EBE">
      <w:pPr>
        <w:spacing w:after="0" w:line="240" w:lineRule="auto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0BEF2037" w14:textId="77777777" w:rsidR="000A3EBE" w:rsidRDefault="000A3EBE">
      <w:pPr>
        <w:spacing w:after="0" w:line="240" w:lineRule="auto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6FB3A862" w14:textId="77777777" w:rsidR="000A3EBE" w:rsidRDefault="000A3EBE">
      <w:pPr>
        <w:spacing w:after="0" w:line="240" w:lineRule="auto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5A4F9F9A" w14:textId="77777777" w:rsidR="000A3EBE" w:rsidRDefault="000A3EBE">
      <w:pPr>
        <w:spacing w:after="0" w:line="240" w:lineRule="auto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3BAAB548" w14:textId="77777777" w:rsidR="000A3EBE" w:rsidRDefault="000A3EBE">
      <w:pPr>
        <w:spacing w:after="0" w:line="240" w:lineRule="auto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1EF958EF" w14:textId="77777777" w:rsidR="000A3EBE" w:rsidRDefault="000A3EBE">
      <w:pPr>
        <w:spacing w:after="0" w:line="240" w:lineRule="auto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5ED59121" w14:textId="77777777" w:rsidR="000A3EBE" w:rsidRDefault="000A3EBE">
      <w:pPr>
        <w:spacing w:after="0" w:line="240" w:lineRule="auto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422D83B1" w14:textId="77777777" w:rsidR="000A3EBE" w:rsidRDefault="000A3EBE">
      <w:pPr>
        <w:spacing w:after="0" w:line="240" w:lineRule="auto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6721FBEF" w14:textId="77777777" w:rsidR="008B2B5E" w:rsidRDefault="00A532C6">
      <w:pPr>
        <w:spacing w:after="0" w:line="240" w:lineRule="auto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Podgorica</w:t>
      </w:r>
    </w:p>
    <w:p w14:paraId="1DCAE97A" w14:textId="292F2E18" w:rsidR="008B2B5E" w:rsidRDefault="00A532C6">
      <w:pPr>
        <w:spacing w:after="0" w:line="240" w:lineRule="auto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Januar 202</w:t>
      </w:r>
      <w:r w:rsidR="00DC418C">
        <w:rPr>
          <w:rFonts w:ascii="Trebuchet MS" w:eastAsia="Trebuchet MS" w:hAnsi="Trebuchet MS" w:cs="Trebuchet MS"/>
          <w:color w:val="000000"/>
          <w:sz w:val="20"/>
          <w:szCs w:val="20"/>
        </w:rPr>
        <w:t>5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 godine</w:t>
      </w:r>
      <w:r>
        <w:br w:type="page"/>
      </w:r>
    </w:p>
    <w:p w14:paraId="0154EB59" w14:textId="4BB34E5B" w:rsidR="008B2B5E" w:rsidRPr="00DC418C" w:rsidRDefault="008B2B5E" w:rsidP="00DC418C">
      <w:pPr>
        <w:spacing w:before="240" w:after="240" w:line="240" w:lineRule="auto"/>
        <w:jc w:val="both"/>
        <w:rPr>
          <w:rFonts w:ascii="Trebuchet MS" w:eastAsia="Trebuchet MS" w:hAnsi="Trebuchet MS" w:cs="Trebuchet MS"/>
          <w:color w:val="FF0000"/>
        </w:rPr>
      </w:pPr>
    </w:p>
    <w:p w14:paraId="31D574CC" w14:textId="77777777"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I UVODNI REZIME</w:t>
      </w:r>
    </w:p>
    <w:p w14:paraId="64EE8A2E" w14:textId="0A580940"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Centar za stručno obrazovanje je u januaru 202</w:t>
      </w:r>
      <w:r w:rsidR="00682758">
        <w:rPr>
          <w:rFonts w:ascii="Trebuchet MS" w:eastAsia="Trebuchet MS" w:hAnsi="Trebuchet MS" w:cs="Trebuchet MS"/>
          <w:sz w:val="20"/>
          <w:szCs w:val="20"/>
        </w:rPr>
        <w:t>4</w:t>
      </w:r>
      <w:r>
        <w:rPr>
          <w:rFonts w:ascii="Trebuchet MS" w:eastAsia="Trebuchet MS" w:hAnsi="Trebuchet MS" w:cs="Trebuchet MS"/>
          <w:sz w:val="20"/>
          <w:szCs w:val="20"/>
        </w:rPr>
        <w:t xml:space="preserve">. godine sa ministarstvima i institucijama socijalnog partnerstva pripremio predlog Godišnjeg plana obrazovanja odraslih za 2024. godinu u skladu sa Zakonom o obrazovanju odraslih. </w:t>
      </w:r>
    </w:p>
    <w:p w14:paraId="2E37E469" w14:textId="77777777"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U skladu sa prethodnim Planom obrazovanja odraslih i Strategijom obrazovanja odraslih (2015 – 2025), prioritetne oblasti obrazovanja odraslih za 2024. godinu su: </w:t>
      </w:r>
    </w:p>
    <w:p w14:paraId="31425C46" w14:textId="77777777"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Programi i aktivnosti cjeloživotnog obrazovanja i učenja;</w:t>
      </w:r>
    </w:p>
    <w:p w14:paraId="59DAB1E2" w14:textId="77777777"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Unapređenje znanja, vještina i kompetencija nezaposlenih lica;</w:t>
      </w:r>
    </w:p>
    <w:p w14:paraId="35E71DBE" w14:textId="77777777"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Unapređenje kompetencija zaposlenih;</w:t>
      </w:r>
    </w:p>
    <w:p w14:paraId="7E6CD86A" w14:textId="77777777"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Osiguranje kvaliteta u obrazovanju odraslih;</w:t>
      </w:r>
    </w:p>
    <w:p w14:paraId="30B744E8" w14:textId="77777777"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Obezbjeđenje fleksibilnog i održivog sistema obrazovanja odraslih.</w:t>
      </w:r>
    </w:p>
    <w:p w14:paraId="01DB4F6D" w14:textId="77777777"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Strateški ciljevi Godišnjeg plana obrazovanja odraslih za 2024. godinu su: </w:t>
      </w:r>
    </w:p>
    <w:p w14:paraId="5582C597" w14:textId="77777777"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Povećati socijalnu uključenost odraslih građana kroz aktivnosti cjeloživotnog učenja i obrazovanja;</w:t>
      </w:r>
    </w:p>
    <w:p w14:paraId="14E30628" w14:textId="77777777"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Unapređivati znanja, vještine i kompetencije odraslih za zapošljivost, mobilnost na tržištu rada i konkurentnost;</w:t>
      </w:r>
    </w:p>
    <w:p w14:paraId="646FDDE8" w14:textId="77777777"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Povećati kompetencije zaposlenih u cilju postizanja bržeg privrednog rasta;</w:t>
      </w:r>
    </w:p>
    <w:p w14:paraId="32A10205" w14:textId="77777777"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Uspostaviti sistem osiguranja kvaliteta u obrazovanju odraslih;</w:t>
      </w:r>
    </w:p>
    <w:p w14:paraId="65D75381" w14:textId="77777777"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Obezbijediti fleksibilan i održiv sistem obrazovanja odraslih. </w:t>
      </w:r>
    </w:p>
    <w:p w14:paraId="10AB65F7" w14:textId="77777777"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Operativni ciljevi Godišnjeg plana obrazovanja odraslih za 2024. godinu su: </w:t>
      </w:r>
    </w:p>
    <w:p w14:paraId="1A737000" w14:textId="77777777"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Unaprijediti obrazovnu ponudu za odrasle sa programima koji su namijenjeni različitim ciljnim grupama;</w:t>
      </w:r>
    </w:p>
    <w:p w14:paraId="599C7D7A" w14:textId="77777777"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Povećati broj programa za sticanje stručnih kvalifikacija koje nedostaju na tržištu rada i programa za unapređenje ključnih kompetencija;</w:t>
      </w:r>
    </w:p>
    <w:p w14:paraId="6386841D" w14:textId="77777777"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Povećati broj programa obrazovanja i aktivnosti na stručnom usavršavanju i specijalizaciji zaposlenih;</w:t>
      </w:r>
    </w:p>
    <w:p w14:paraId="3A8741B9" w14:textId="77777777"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Organizovati aktivnosti na utvrđivanju kvaliteta rada što većeg broja licenciranih organizatora obrazovanja odraslih sa jasnim preporukama za unapređenje oblasti obrazovanja odraslih;</w:t>
      </w:r>
    </w:p>
    <w:p w14:paraId="71F13357" w14:textId="77777777" w:rsidR="008B2B5E" w:rsidRDefault="00A532C6">
      <w:pPr>
        <w:numPr>
          <w:ilvl w:val="0"/>
          <w:numId w:val="8"/>
        </w:numPr>
        <w:spacing w:after="24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Razmotriti mogućnosti za stvaranje održivog sistema finansiranja obrazovanja odraslih kroz uključivanja svih aktera/zainteresovanih strana.</w:t>
      </w:r>
    </w:p>
    <w:p w14:paraId="4D4B8857" w14:textId="5E224D52"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 nastavku dat je prikaz kratke analize iz izvještaja o realizaciji Godišnjeg plana obrazovanja odraslih za 202</w:t>
      </w:r>
      <w:r w:rsidR="00DC418C">
        <w:rPr>
          <w:rFonts w:ascii="Trebuchet MS" w:eastAsia="Trebuchet MS" w:hAnsi="Trebuchet MS" w:cs="Trebuchet MS"/>
          <w:sz w:val="20"/>
          <w:szCs w:val="20"/>
        </w:rPr>
        <w:t>4</w:t>
      </w:r>
      <w:r>
        <w:rPr>
          <w:rFonts w:ascii="Trebuchet MS" w:eastAsia="Trebuchet MS" w:hAnsi="Trebuchet MS" w:cs="Trebuchet MS"/>
          <w:sz w:val="20"/>
          <w:szCs w:val="20"/>
        </w:rPr>
        <w:t>. godinu, koji će služiti kao referentni podaci za analizu podataka iz Plana obrazovanja odraslih za 202</w:t>
      </w:r>
      <w:r w:rsidR="00DC418C">
        <w:rPr>
          <w:rFonts w:ascii="Trebuchet MS" w:eastAsia="Trebuchet MS" w:hAnsi="Trebuchet MS" w:cs="Trebuchet MS"/>
          <w:sz w:val="20"/>
          <w:szCs w:val="20"/>
        </w:rPr>
        <w:t>5</w:t>
      </w:r>
      <w:r>
        <w:rPr>
          <w:rFonts w:ascii="Trebuchet MS" w:eastAsia="Trebuchet MS" w:hAnsi="Trebuchet MS" w:cs="Trebuchet MS"/>
          <w:sz w:val="20"/>
          <w:szCs w:val="20"/>
        </w:rPr>
        <w:t>. godinu.</w:t>
      </w:r>
    </w:p>
    <w:p w14:paraId="65BA55A2" w14:textId="77777777" w:rsidR="008B2B5E" w:rsidRDefault="00A532C6">
      <w:pPr>
        <w:spacing w:after="0" w:line="240" w:lineRule="auto"/>
        <w:rPr>
          <w:rFonts w:ascii="Trebuchet MS" w:eastAsia="Trebuchet MS" w:hAnsi="Trebuchet MS" w:cs="Trebuchet MS"/>
          <w:b/>
          <w:sz w:val="20"/>
          <w:szCs w:val="20"/>
        </w:rPr>
      </w:pPr>
      <w:r>
        <w:br w:type="page"/>
      </w:r>
    </w:p>
    <w:p w14:paraId="38741480" w14:textId="77777777"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lastRenderedPageBreak/>
        <w:t>II INFORMACIJA O STATUSU INDIKATORA USPJEHA (NAPREDAK U POSTIZANJU STRATEŠKIH I OPERATIVNIH CILJEVA)</w:t>
      </w:r>
    </w:p>
    <w:p w14:paraId="58433483" w14:textId="77777777" w:rsidR="008B2B5E" w:rsidRDefault="00A532C6">
      <w:pPr>
        <w:shd w:val="clear" w:color="auto" w:fill="D9D9D9"/>
        <w:spacing w:before="240" w:after="240" w:line="240" w:lineRule="auto"/>
        <w:jc w:val="center"/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I</w:t>
      </w:r>
    </w:p>
    <w:p w14:paraId="02887EFC" w14:textId="05EDB221" w:rsidR="00FE0789" w:rsidRPr="00933FB5" w:rsidRDefault="00FE0789" w:rsidP="00FE0789">
      <w:pPr>
        <w:pStyle w:val="NormalWeb"/>
        <w:spacing w:before="240" w:beforeAutospacing="0" w:after="240" w:afterAutospacing="0"/>
        <w:jc w:val="both"/>
        <w:rPr>
          <w:lang w:eastAsia="en-US"/>
        </w:rPr>
      </w:pPr>
      <w:bookmarkStart w:id="0" w:name="_Hlk191371705"/>
      <w:r w:rsidRPr="00933FB5">
        <w:rPr>
          <w:rFonts w:ascii="Trebuchet MS" w:hAnsi="Trebuchet MS"/>
          <w:b/>
          <w:bCs/>
          <w:sz w:val="20"/>
          <w:szCs w:val="20"/>
          <w:lang w:eastAsia="en-US"/>
        </w:rPr>
        <w:t>U toku 202</w:t>
      </w:r>
      <w:r w:rsidR="00682758" w:rsidRPr="00933FB5">
        <w:rPr>
          <w:rFonts w:ascii="Trebuchet MS" w:hAnsi="Trebuchet MS"/>
          <w:b/>
          <w:bCs/>
          <w:sz w:val="20"/>
          <w:szCs w:val="20"/>
          <w:lang w:eastAsia="en-US"/>
        </w:rPr>
        <w:t>4</w:t>
      </w:r>
      <w:r w:rsidRPr="00933FB5">
        <w:rPr>
          <w:rFonts w:ascii="Trebuchet MS" w:hAnsi="Trebuchet MS"/>
          <w:b/>
          <w:bCs/>
          <w:sz w:val="20"/>
          <w:szCs w:val="20"/>
          <w:lang w:eastAsia="en-US"/>
        </w:rPr>
        <w:t xml:space="preserve">. godine na osnovu </w:t>
      </w:r>
      <w:r w:rsidRPr="00933FB5"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>dostavljenih</w:t>
      </w:r>
      <w:r w:rsidRPr="00933FB5">
        <w:rPr>
          <w:rFonts w:ascii="Trebuchet MS" w:hAnsi="Trebuchet MS"/>
          <w:b/>
          <w:bCs/>
          <w:sz w:val="20"/>
          <w:szCs w:val="20"/>
          <w:lang w:eastAsia="en-US"/>
        </w:rPr>
        <w:t xml:space="preserve"> podataka iz MEIS baze i podataka institucija koje su bile uključene u realizaciju Godišnjeg plana obrazovanja odraslih za 202</w:t>
      </w:r>
      <w:r w:rsidR="00933FB5" w:rsidRPr="00933FB5">
        <w:rPr>
          <w:rFonts w:ascii="Trebuchet MS" w:hAnsi="Trebuchet MS"/>
          <w:b/>
          <w:bCs/>
          <w:sz w:val="20"/>
          <w:szCs w:val="20"/>
          <w:lang w:eastAsia="en-US"/>
        </w:rPr>
        <w:t>4</w:t>
      </w:r>
      <w:r w:rsidRPr="00933FB5">
        <w:rPr>
          <w:rFonts w:ascii="Trebuchet MS" w:hAnsi="Trebuchet MS"/>
          <w:b/>
          <w:bCs/>
          <w:sz w:val="20"/>
          <w:szCs w:val="20"/>
          <w:lang w:eastAsia="en-US"/>
        </w:rPr>
        <w:t>. godinu, u različite oblike edukativnih aktivnosti bilo je uključeno</w:t>
      </w:r>
      <w:r w:rsidR="009E07E1">
        <w:rPr>
          <w:rFonts w:ascii="Trebuchet MS" w:hAnsi="Trebuchet MS"/>
          <w:b/>
          <w:bCs/>
          <w:sz w:val="20"/>
          <w:szCs w:val="20"/>
          <w:lang w:eastAsia="en-US"/>
        </w:rPr>
        <w:t xml:space="preserve"> ukupno</w:t>
      </w:r>
      <w:r w:rsidRPr="00933FB5">
        <w:rPr>
          <w:rFonts w:ascii="Trebuchet MS" w:hAnsi="Trebuchet MS"/>
          <w:b/>
          <w:bCs/>
          <w:sz w:val="20"/>
          <w:szCs w:val="20"/>
          <w:lang w:eastAsia="en-US"/>
        </w:rPr>
        <w:t xml:space="preserve"> </w:t>
      </w:r>
      <w:r w:rsidR="00B85D68" w:rsidRPr="0024339B"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>18</w:t>
      </w:r>
      <w:r w:rsidR="0024339B"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>389</w:t>
      </w:r>
      <w:r w:rsidRPr="0024339B">
        <w:rPr>
          <w:rFonts w:ascii="Trebuchet MS" w:hAnsi="Trebuchet MS"/>
          <w:b/>
          <w:bCs/>
          <w:sz w:val="20"/>
          <w:szCs w:val="20"/>
          <w:lang w:eastAsia="en-US"/>
        </w:rPr>
        <w:t xml:space="preserve"> </w:t>
      </w:r>
      <w:r w:rsidR="00D96AD8">
        <w:rPr>
          <w:rFonts w:ascii="Trebuchet MS" w:hAnsi="Trebuchet MS"/>
          <w:b/>
          <w:bCs/>
          <w:sz w:val="20"/>
          <w:szCs w:val="20"/>
          <w:lang w:eastAsia="en-US"/>
        </w:rPr>
        <w:t xml:space="preserve"> </w:t>
      </w:r>
      <w:r w:rsidR="009E07E1">
        <w:rPr>
          <w:rFonts w:ascii="Trebuchet MS" w:hAnsi="Trebuchet MS"/>
          <w:b/>
          <w:bCs/>
          <w:sz w:val="20"/>
          <w:szCs w:val="20"/>
          <w:lang w:eastAsia="en-US"/>
        </w:rPr>
        <w:t xml:space="preserve"> </w:t>
      </w:r>
      <w:r w:rsidRPr="00933FB5">
        <w:rPr>
          <w:rFonts w:ascii="Trebuchet MS" w:hAnsi="Trebuchet MS"/>
          <w:b/>
          <w:bCs/>
          <w:sz w:val="20"/>
          <w:szCs w:val="20"/>
          <w:lang w:eastAsia="en-US"/>
        </w:rPr>
        <w:t>polaznika/polaznica</w:t>
      </w:r>
      <w:r w:rsidRPr="00933FB5">
        <w:rPr>
          <w:rFonts w:ascii="Trebuchet MS" w:hAnsi="Trebuchet MS"/>
          <w:sz w:val="20"/>
          <w:szCs w:val="20"/>
          <w:lang w:eastAsia="en-US"/>
        </w:rPr>
        <w:t xml:space="preserve"> dok je tokom 202</w:t>
      </w:r>
      <w:r w:rsidR="00682758" w:rsidRPr="00933FB5">
        <w:rPr>
          <w:rFonts w:ascii="Trebuchet MS" w:hAnsi="Trebuchet MS"/>
          <w:sz w:val="20"/>
          <w:szCs w:val="20"/>
          <w:lang w:eastAsia="en-US"/>
        </w:rPr>
        <w:t>3</w:t>
      </w:r>
      <w:r w:rsidRPr="00933FB5">
        <w:rPr>
          <w:rFonts w:ascii="Trebuchet MS" w:hAnsi="Trebuchet MS"/>
          <w:sz w:val="20"/>
          <w:szCs w:val="20"/>
          <w:lang w:eastAsia="en-US"/>
        </w:rPr>
        <w:t xml:space="preserve">. godine različite oblike edukacije pohađalo </w:t>
      </w:r>
      <w:r w:rsidR="0024339B">
        <w:rPr>
          <w:rFonts w:ascii="Trebuchet MS" w:hAnsi="Trebuchet MS"/>
          <w:sz w:val="20"/>
          <w:szCs w:val="20"/>
          <w:lang w:eastAsia="en-US"/>
        </w:rPr>
        <w:t xml:space="preserve">znatno </w:t>
      </w:r>
      <w:r w:rsidR="00B85D68" w:rsidRPr="00933FB5">
        <w:rPr>
          <w:rFonts w:ascii="Trebuchet MS" w:hAnsi="Trebuchet MS"/>
          <w:sz w:val="20"/>
          <w:szCs w:val="20"/>
          <w:lang w:eastAsia="en-US"/>
        </w:rPr>
        <w:t>više</w:t>
      </w:r>
      <w:r w:rsidRPr="00933FB5">
        <w:rPr>
          <w:rFonts w:ascii="Trebuchet MS" w:hAnsi="Trebuchet MS"/>
          <w:sz w:val="20"/>
          <w:szCs w:val="20"/>
          <w:lang w:eastAsia="en-US"/>
        </w:rPr>
        <w:t xml:space="preserve"> polaznika, tačnije </w:t>
      </w:r>
      <w:r w:rsidR="00682758" w:rsidRPr="00933FB5"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>34961</w:t>
      </w:r>
      <w:r w:rsidRPr="00933FB5">
        <w:rPr>
          <w:rFonts w:ascii="Trebuchet MS" w:hAnsi="Trebuchet MS"/>
          <w:sz w:val="20"/>
          <w:szCs w:val="20"/>
          <w:lang w:eastAsia="en-US"/>
        </w:rPr>
        <w:t xml:space="preserve"> lic</w:t>
      </w:r>
      <w:r w:rsidR="00682758" w:rsidRPr="00933FB5">
        <w:rPr>
          <w:rFonts w:ascii="Trebuchet MS" w:hAnsi="Trebuchet MS"/>
          <w:sz w:val="20"/>
          <w:szCs w:val="20"/>
          <w:lang w:eastAsia="en-US"/>
        </w:rPr>
        <w:t>e</w:t>
      </w:r>
      <w:r w:rsidRPr="00933FB5">
        <w:rPr>
          <w:rFonts w:ascii="Trebuchet MS" w:hAnsi="Trebuchet MS"/>
          <w:sz w:val="20"/>
          <w:szCs w:val="20"/>
          <w:lang w:eastAsia="en-US"/>
        </w:rPr>
        <w:t xml:space="preserve">. Od ukupnog broja polaznika, prema podacima iz MEIS baze, </w:t>
      </w:r>
      <w:r w:rsidR="00CE5360" w:rsidRPr="00933FB5"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>74</w:t>
      </w:r>
      <w:r w:rsidRPr="00933FB5"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 xml:space="preserve"> lica</w:t>
      </w:r>
      <w:r w:rsidRPr="00933FB5">
        <w:rPr>
          <w:rFonts w:ascii="Trebuchet MS" w:hAnsi="Trebuchet MS"/>
          <w:sz w:val="20"/>
          <w:szCs w:val="20"/>
          <w:lang w:eastAsia="en-US"/>
        </w:rPr>
        <w:t xml:space="preserve"> je pohađalo prilagođeni program osnovnog obrazovanja odraslih, </w:t>
      </w:r>
      <w:r w:rsidRPr="00933FB5"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>1</w:t>
      </w:r>
      <w:r w:rsidR="00682758" w:rsidRPr="00933FB5"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>4</w:t>
      </w:r>
      <w:r w:rsidR="005E211D" w:rsidRPr="00933FB5"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>02</w:t>
      </w:r>
      <w:r w:rsidRPr="00933FB5"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 xml:space="preserve"> lica</w:t>
      </w:r>
      <w:r w:rsidRPr="00933FB5">
        <w:rPr>
          <w:rFonts w:ascii="Trebuchet MS" w:hAnsi="Trebuchet MS"/>
          <w:sz w:val="20"/>
          <w:szCs w:val="20"/>
          <w:lang w:eastAsia="en-US"/>
        </w:rPr>
        <w:t xml:space="preserve"> </w:t>
      </w:r>
      <w:r w:rsidR="00682758" w:rsidRPr="00933FB5">
        <w:rPr>
          <w:rFonts w:ascii="Trebuchet MS" w:hAnsi="Trebuchet MS"/>
          <w:sz w:val="20"/>
          <w:szCs w:val="20"/>
          <w:lang w:eastAsia="en-US"/>
        </w:rPr>
        <w:t>je</w:t>
      </w:r>
      <w:r w:rsidRPr="00933FB5">
        <w:rPr>
          <w:rFonts w:ascii="Trebuchet MS" w:hAnsi="Trebuchet MS"/>
          <w:sz w:val="20"/>
          <w:szCs w:val="20"/>
          <w:lang w:eastAsia="en-US"/>
        </w:rPr>
        <w:t xml:space="preserve"> pohađal</w:t>
      </w:r>
      <w:r w:rsidR="00682758" w:rsidRPr="00933FB5">
        <w:rPr>
          <w:rFonts w:ascii="Trebuchet MS" w:hAnsi="Trebuchet MS"/>
          <w:sz w:val="20"/>
          <w:szCs w:val="20"/>
          <w:lang w:eastAsia="en-US"/>
        </w:rPr>
        <w:t>o</w:t>
      </w:r>
      <w:r w:rsidRPr="00933FB5">
        <w:rPr>
          <w:rFonts w:ascii="Trebuchet MS" w:hAnsi="Trebuchet MS"/>
          <w:sz w:val="20"/>
          <w:szCs w:val="20"/>
          <w:lang w:eastAsia="en-US"/>
        </w:rPr>
        <w:t xml:space="preserve"> programe obrazovanja za sticanje stručnih kvalifikacija, </w:t>
      </w:r>
      <w:r w:rsidR="005E211D" w:rsidRPr="00933FB5"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>1022</w:t>
      </w:r>
      <w:r w:rsidRPr="00933FB5"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 xml:space="preserve"> lica</w:t>
      </w:r>
      <w:r w:rsidRPr="00933FB5">
        <w:rPr>
          <w:rFonts w:ascii="Trebuchet MS" w:hAnsi="Trebuchet MS"/>
          <w:sz w:val="20"/>
          <w:szCs w:val="20"/>
          <w:lang w:eastAsia="en-US"/>
        </w:rPr>
        <w:t xml:space="preserve"> je pohađalo programe obrazovanja za sticanje ključnih kompetencija, programe obrazovanja za unapređenje ključnih vještina pohađala su </w:t>
      </w:r>
      <w:r w:rsidR="00682758" w:rsidRPr="00933FB5"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>2</w:t>
      </w:r>
      <w:r w:rsidR="005E211D" w:rsidRPr="00933FB5"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>7</w:t>
      </w:r>
      <w:r w:rsidRPr="00933FB5"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 xml:space="preserve"> lica, </w:t>
      </w:r>
      <w:r w:rsidRPr="00933FB5">
        <w:rPr>
          <w:rFonts w:ascii="Trebuchet MS" w:hAnsi="Trebuchet MS"/>
          <w:sz w:val="20"/>
          <w:szCs w:val="20"/>
          <w:lang w:eastAsia="en-US"/>
        </w:rPr>
        <w:t xml:space="preserve">a programe za stručno usavršavanje </w:t>
      </w:r>
      <w:r w:rsidR="005E211D" w:rsidRPr="00933FB5"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>177</w:t>
      </w:r>
      <w:r w:rsidRPr="00933FB5"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 xml:space="preserve"> lica</w:t>
      </w:r>
      <w:r w:rsidRPr="00933FB5">
        <w:rPr>
          <w:rFonts w:ascii="Trebuchet MS" w:hAnsi="Trebuchet MS"/>
          <w:sz w:val="20"/>
          <w:szCs w:val="20"/>
          <w:lang w:eastAsia="en-US"/>
        </w:rPr>
        <w:t>. Ostali polaznici pohađali su programe obrazovanja za sticanje znanja i vještina iz različitih oblasti, motivacione programe, obuke na radu i sl. </w:t>
      </w:r>
    </w:p>
    <w:p w14:paraId="497C2D83" w14:textId="708622E3" w:rsidR="00FE0789" w:rsidRPr="004806BF" w:rsidRDefault="00FE0789" w:rsidP="00FE078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275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>Uzimajući u obzir ukupan broj odraslih lica u Crnoj Gori, koji prema oficijelnom podatku dobijenom sa popisa sprovedenog od strane MONSTAT-a 2011. godine iznosi</w:t>
      </w:r>
      <w:r w:rsidRPr="00682758">
        <w:rPr>
          <w:rFonts w:eastAsia="Times New Roman"/>
          <w:b/>
          <w:bCs/>
          <w:color w:val="000000"/>
          <w:lang w:eastAsia="en-US"/>
        </w:rPr>
        <w:t xml:space="preserve"> </w:t>
      </w:r>
      <w:r w:rsidR="00AE3E9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>260</w:t>
      </w:r>
      <w:r w:rsidRPr="0068275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 xml:space="preserve"> 2</w:t>
      </w:r>
      <w:r w:rsidR="00AE3E9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>77</w:t>
      </w:r>
      <w:r w:rsidRPr="0068275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 xml:space="preserve"> procenat učešća odraslih u aktivnostim cjeloživotnog učenja u 2020. godini iznosio je 9,48%, dok je 2021. godine taj procenat 7,35%, a u 2022. godinu nastavljen je pad te je </w:t>
      </w:r>
      <w:r w:rsidRPr="005E211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>procenat učešća odraslih u CŽU svega 5.5%, ali u 2023. godini dolazi do porasta učešća odraslih 13,09</w:t>
      </w:r>
      <w:r w:rsidRPr="00933FB5">
        <w:rPr>
          <w:rFonts w:ascii="Trebuchet MS" w:eastAsia="Times New Roman" w:hAnsi="Trebuchet MS" w:cs="Times New Roman"/>
          <w:b/>
          <w:bCs/>
          <w:sz w:val="20"/>
          <w:szCs w:val="20"/>
          <w:lang w:eastAsia="en-US"/>
        </w:rPr>
        <w:t xml:space="preserve">%. </w:t>
      </w:r>
      <w:r w:rsidR="00AE3E9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>P</w:t>
      </w:r>
      <w:r w:rsidR="00AE3E98" w:rsidRPr="0068275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 xml:space="preserve">rema oficijelnom podatku dobijenom sa popisa sprovedenog od strane MONSTAT-a </w:t>
      </w:r>
      <w:r w:rsidR="00AE3E98" w:rsidRPr="0074445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 xml:space="preserve">2023. godine ukupan broj odraslih lica </w:t>
      </w:r>
      <w:r w:rsidR="0058286C" w:rsidRPr="0074445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 xml:space="preserve">je </w:t>
      </w:r>
      <w:r w:rsidR="00AE3E98" w:rsidRPr="0074445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>336 232</w:t>
      </w:r>
      <w:r w:rsidR="0058286C" w:rsidRPr="0074445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 xml:space="preserve"> pa je  shodno tome</w:t>
      </w:r>
      <w:r w:rsidR="00AE3E98" w:rsidRPr="0074445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 xml:space="preserve"> procenat učešća odraslih u aktivnostim cjeloživotnog učenja</w:t>
      </w:r>
      <w:r w:rsidR="005E211D" w:rsidRPr="00744453">
        <w:rPr>
          <w:rFonts w:ascii="Trebuchet MS" w:eastAsia="Times New Roman" w:hAnsi="Trebuchet MS" w:cs="Times New Roman"/>
          <w:b/>
          <w:bCs/>
          <w:sz w:val="20"/>
          <w:szCs w:val="20"/>
          <w:lang w:eastAsia="en-US"/>
        </w:rPr>
        <w:t xml:space="preserve"> </w:t>
      </w:r>
      <w:r w:rsidR="0058286C" w:rsidRPr="00744453">
        <w:rPr>
          <w:rFonts w:ascii="Trebuchet MS" w:eastAsia="Times New Roman" w:hAnsi="Trebuchet MS" w:cs="Times New Roman"/>
          <w:b/>
          <w:bCs/>
          <w:sz w:val="20"/>
          <w:szCs w:val="20"/>
          <w:lang w:eastAsia="en-US"/>
        </w:rPr>
        <w:t>u</w:t>
      </w:r>
      <w:r w:rsidR="005E211D" w:rsidRPr="00744453">
        <w:rPr>
          <w:rFonts w:ascii="Trebuchet MS" w:eastAsia="Times New Roman" w:hAnsi="Trebuchet MS" w:cs="Times New Roman"/>
          <w:b/>
          <w:bCs/>
          <w:sz w:val="20"/>
          <w:szCs w:val="20"/>
          <w:lang w:eastAsia="en-US"/>
        </w:rPr>
        <w:t xml:space="preserve"> 2024 godini </w:t>
      </w:r>
      <w:r w:rsidR="001C2BC1" w:rsidRPr="0024339B">
        <w:rPr>
          <w:rFonts w:ascii="Trebuchet MS" w:eastAsia="Times New Roman" w:hAnsi="Trebuchet MS" w:cs="Times New Roman"/>
          <w:b/>
          <w:bCs/>
          <w:sz w:val="20"/>
          <w:szCs w:val="20"/>
          <w:lang w:eastAsia="en-US"/>
        </w:rPr>
        <w:t>5</w:t>
      </w:r>
      <w:r w:rsidR="00BD1D16" w:rsidRPr="0024339B">
        <w:rPr>
          <w:rFonts w:ascii="Trebuchet MS" w:eastAsia="Times New Roman" w:hAnsi="Trebuchet MS" w:cs="Times New Roman"/>
          <w:b/>
          <w:bCs/>
          <w:sz w:val="20"/>
          <w:szCs w:val="20"/>
          <w:lang w:eastAsia="en-US"/>
        </w:rPr>
        <w:t>.47</w:t>
      </w:r>
      <w:r w:rsidR="0024339B">
        <w:rPr>
          <w:rFonts w:ascii="Trebuchet MS" w:eastAsia="Times New Roman" w:hAnsi="Trebuchet MS" w:cs="Times New Roman"/>
          <w:b/>
          <w:bCs/>
          <w:sz w:val="20"/>
          <w:szCs w:val="20"/>
          <w:lang w:eastAsia="en-US"/>
        </w:rPr>
        <w:t>%</w:t>
      </w:r>
      <w:r w:rsidR="00744453" w:rsidRPr="00744453">
        <w:rPr>
          <w:rFonts w:ascii="Trebuchet MS" w:eastAsia="Times New Roman" w:hAnsi="Trebuchet MS" w:cs="Times New Roman"/>
          <w:b/>
          <w:bCs/>
          <w:sz w:val="20"/>
          <w:szCs w:val="20"/>
          <w:lang w:eastAsia="en-US"/>
        </w:rPr>
        <w:t xml:space="preserve">  I</w:t>
      </w:r>
      <w:r w:rsidRPr="0074445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>zv</w:t>
      </w:r>
      <w:r w:rsidRPr="0068275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>ještajni podaci nijesu uključili sve planirane aktere jer nijesu sve institucije dostavile tražene podatke</w:t>
      </w:r>
      <w:r w:rsidR="00933FB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>, a određeni broj ministarstava nije</w:t>
      </w:r>
      <w:r w:rsidR="0083534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 xml:space="preserve"> uzeo učešće i</w:t>
      </w:r>
      <w:r w:rsidR="00933FB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 xml:space="preserve"> dostavio podatke prilikom izrade Godišnjeg plana obrazovanja odraslih za 2024. godinu.</w:t>
      </w:r>
      <w:r w:rsidRPr="0068275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 xml:space="preserve"> </w:t>
      </w:r>
    </w:p>
    <w:p w14:paraId="3E181EE1" w14:textId="702FAC5B" w:rsidR="00FE0789" w:rsidRPr="00D96AD8" w:rsidRDefault="00FE0789" w:rsidP="00FE07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275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>Cilj je dalje raditi na promociji cjeloživotnog učenja i kreiranju opsežnije obrazovne ponude za sve kategorije građana shodno uzrastu, kao i obrazovnom profilu. U 2019. godini više od petine (20,3 %) stanovnika EU-27 imalo je 65 ili više godina. Predviđa se da će se udio osoba u dobi od 80 ili više godina u stanovništvu EU-27 u razdoblju od 2019. do 2100. povećati za dva i</w:t>
      </w:r>
      <w:r w:rsidR="001B510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 xml:space="preserve"> </w:t>
      </w:r>
      <w:r w:rsidRPr="0068275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 xml:space="preserve">po puta i to sa 5,8 % na 14,6 </w:t>
      </w:r>
      <w:r w:rsidRPr="00835343">
        <w:rPr>
          <w:rFonts w:ascii="Trebuchet MS" w:eastAsia="Times New Roman" w:hAnsi="Trebuchet MS" w:cs="Times New Roman"/>
          <w:b/>
          <w:bCs/>
          <w:sz w:val="20"/>
          <w:szCs w:val="20"/>
          <w:lang w:eastAsia="en-US"/>
        </w:rPr>
        <w:t xml:space="preserve">%. </w:t>
      </w:r>
      <w:r w:rsidRPr="004806BF">
        <w:rPr>
          <w:rFonts w:ascii="Trebuchet MS" w:eastAsia="Times New Roman" w:hAnsi="Trebuchet MS" w:cs="Times New Roman"/>
          <w:b/>
          <w:bCs/>
          <w:sz w:val="20"/>
          <w:szCs w:val="20"/>
          <w:lang w:eastAsia="en-US"/>
        </w:rPr>
        <w:t xml:space="preserve">U Crnoj Gori taj procenat biće mnogo veći, jer je </w:t>
      </w:r>
      <w:r w:rsidR="00835343" w:rsidRPr="004806BF">
        <w:rPr>
          <w:rFonts w:ascii="Trebuchet MS" w:eastAsia="Times New Roman" w:hAnsi="Trebuchet MS" w:cs="Times New Roman"/>
          <w:b/>
          <w:bCs/>
          <w:sz w:val="20"/>
          <w:szCs w:val="20"/>
          <w:lang w:eastAsia="en-US"/>
        </w:rPr>
        <w:t>prema podacima sa popisa</w:t>
      </w:r>
      <w:r w:rsidRPr="004806BF">
        <w:rPr>
          <w:rFonts w:ascii="Trebuchet MS" w:eastAsia="Times New Roman" w:hAnsi="Trebuchet MS" w:cs="Times New Roman"/>
          <w:b/>
          <w:bCs/>
          <w:sz w:val="20"/>
          <w:szCs w:val="20"/>
          <w:lang w:eastAsia="en-US"/>
        </w:rPr>
        <w:t xml:space="preserve"> 2011. bilo 12,8% lica starosti iznad 65 godina</w:t>
      </w:r>
      <w:r w:rsidR="00835343" w:rsidRPr="004806BF">
        <w:rPr>
          <w:rFonts w:ascii="Trebuchet MS" w:eastAsia="Times New Roman" w:hAnsi="Trebuchet MS" w:cs="Times New Roman"/>
          <w:b/>
          <w:bCs/>
          <w:sz w:val="20"/>
          <w:szCs w:val="20"/>
          <w:lang w:eastAsia="en-US"/>
        </w:rPr>
        <w:t xml:space="preserve">, a prema podacima sa popisa iz 2023 godine je 16,84 </w:t>
      </w:r>
      <w:r w:rsidRPr="004806BF">
        <w:rPr>
          <w:rFonts w:ascii="Trebuchet MS" w:eastAsia="Times New Roman" w:hAnsi="Trebuchet MS" w:cs="Times New Roman"/>
          <w:b/>
          <w:bCs/>
          <w:sz w:val="20"/>
          <w:szCs w:val="20"/>
          <w:lang w:eastAsia="en-US"/>
        </w:rPr>
        <w:t>! Težnja je da se fokus obrazovne politike stavi upravo ono što je nacionalni i evropski izazov.</w:t>
      </w:r>
    </w:p>
    <w:bookmarkEnd w:id="0"/>
    <w:p w14:paraId="6E654F67" w14:textId="4EC06C7E" w:rsidR="008B2B5E" w:rsidRPr="00682758" w:rsidRDefault="00A532C6" w:rsidP="00FE0789">
      <w:pPr>
        <w:shd w:val="clear" w:color="auto" w:fill="D9D9D9"/>
        <w:spacing w:before="240" w:after="24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 w:rsidRPr="00682758">
        <w:rPr>
          <w:rFonts w:ascii="Trebuchet MS" w:eastAsia="Trebuchet MS" w:hAnsi="Trebuchet MS" w:cs="Trebuchet MS"/>
          <w:b/>
          <w:sz w:val="20"/>
          <w:szCs w:val="20"/>
        </w:rPr>
        <w:t>II</w:t>
      </w:r>
    </w:p>
    <w:p w14:paraId="6EC120C3" w14:textId="50B951DB" w:rsidR="004806BF" w:rsidRPr="00744453" w:rsidRDefault="00FE0789" w:rsidP="00744453">
      <w:pPr>
        <w:spacing w:before="240" w:after="24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en-US"/>
        </w:rPr>
      </w:pPr>
      <w:r w:rsidRPr="00682758">
        <w:rPr>
          <w:rFonts w:ascii="Trebuchet MS" w:eastAsia="Times New Roman" w:hAnsi="Trebuchet MS" w:cs="Times New Roman"/>
          <w:color w:val="000000"/>
          <w:sz w:val="20"/>
          <w:szCs w:val="20"/>
          <w:lang w:eastAsia="en-US"/>
        </w:rPr>
        <w:t>U okviru II prioritetnog cilja koji se odnosi na unapređenje znanja, vještina i kompetencija odraslih za zapošljivost, mobilnost na tržištu rada i konkurentnost, indikator uspjeha se mjeri unapređenjem znanja, vještina i kompetencija odraslih za zapošljivost, mobilnost na tržištu rada i konkurentnost kroz razvoj minimum pet stručnih kvalifikacija na nivou godine i povećanje broja zaposlenih uključenih u programe stručnog usavršavanja za minimum 1% na godišnjem nivou.</w:t>
      </w:r>
      <w:r w:rsidR="00744453">
        <w:rPr>
          <w:rFonts w:ascii="Trebuchet MS" w:eastAsia="Times New Roman" w:hAnsi="Trebuchet MS" w:cs="Times New Roman"/>
          <w:color w:val="000000"/>
          <w:sz w:val="20"/>
          <w:szCs w:val="20"/>
          <w:lang w:eastAsia="en-US"/>
        </w:rPr>
        <w:t xml:space="preserve"> </w:t>
      </w:r>
      <w:proofErr w:type="spellStart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>Veoma</w:t>
      </w:r>
      <w:proofErr w:type="spellEnd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 xml:space="preserve"> je </w:t>
      </w:r>
      <w:proofErr w:type="spellStart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>teško</w:t>
      </w:r>
      <w:proofErr w:type="spellEnd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 xml:space="preserve"> </w:t>
      </w:r>
      <w:proofErr w:type="spellStart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>uraditi</w:t>
      </w:r>
      <w:proofErr w:type="spellEnd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 xml:space="preserve"> </w:t>
      </w:r>
      <w:proofErr w:type="spellStart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>analizu</w:t>
      </w:r>
      <w:proofErr w:type="spellEnd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 xml:space="preserve"> </w:t>
      </w:r>
      <w:proofErr w:type="spellStart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>i</w:t>
      </w:r>
      <w:proofErr w:type="spellEnd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 xml:space="preserve"> </w:t>
      </w:r>
      <w:proofErr w:type="spellStart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>komparaciju</w:t>
      </w:r>
      <w:proofErr w:type="spellEnd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 xml:space="preserve"> </w:t>
      </w:r>
      <w:proofErr w:type="spellStart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>podataka</w:t>
      </w:r>
      <w:proofErr w:type="spellEnd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 xml:space="preserve"> </w:t>
      </w:r>
      <w:proofErr w:type="spellStart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>sa</w:t>
      </w:r>
      <w:proofErr w:type="spellEnd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 xml:space="preserve"> </w:t>
      </w:r>
      <w:proofErr w:type="spellStart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>prethodnom</w:t>
      </w:r>
      <w:proofErr w:type="spellEnd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 xml:space="preserve"> </w:t>
      </w:r>
      <w:proofErr w:type="spellStart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>godinom</w:t>
      </w:r>
      <w:proofErr w:type="spellEnd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 xml:space="preserve"> </w:t>
      </w:r>
      <w:proofErr w:type="spellStart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>kao</w:t>
      </w:r>
      <w:proofErr w:type="spellEnd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 xml:space="preserve"> </w:t>
      </w:r>
      <w:proofErr w:type="spellStart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>i</w:t>
      </w:r>
      <w:proofErr w:type="spellEnd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 xml:space="preserve"> </w:t>
      </w:r>
      <w:proofErr w:type="spellStart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>sa</w:t>
      </w:r>
      <w:proofErr w:type="spellEnd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 xml:space="preserve"> </w:t>
      </w:r>
      <w:proofErr w:type="spellStart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>godinama</w:t>
      </w:r>
      <w:proofErr w:type="spellEnd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 xml:space="preserve"> </w:t>
      </w:r>
      <w:proofErr w:type="spellStart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>iz</w:t>
      </w:r>
      <w:proofErr w:type="spellEnd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 xml:space="preserve"> </w:t>
      </w:r>
      <w:proofErr w:type="spellStart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>prethodnog</w:t>
      </w:r>
      <w:proofErr w:type="spellEnd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 xml:space="preserve"> </w:t>
      </w:r>
      <w:proofErr w:type="spellStart"/>
      <w:proofErr w:type="gramStart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>perioda</w:t>
      </w:r>
      <w:proofErr w:type="spellEnd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 xml:space="preserve">  </w:t>
      </w:r>
      <w:proofErr w:type="spellStart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>jer</w:t>
      </w:r>
      <w:proofErr w:type="spellEnd"/>
      <w:proofErr w:type="gramEnd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 xml:space="preserve"> u </w:t>
      </w:r>
      <w:proofErr w:type="spellStart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>izvještajima</w:t>
      </w:r>
      <w:proofErr w:type="spellEnd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 xml:space="preserve"> </w:t>
      </w:r>
      <w:proofErr w:type="spellStart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>nijesu</w:t>
      </w:r>
      <w:proofErr w:type="spellEnd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 xml:space="preserve"> u </w:t>
      </w:r>
      <w:proofErr w:type="spellStart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>potpunosti</w:t>
      </w:r>
      <w:proofErr w:type="spellEnd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 xml:space="preserve">  </w:t>
      </w:r>
      <w:proofErr w:type="spellStart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>bili</w:t>
      </w:r>
      <w:proofErr w:type="spellEnd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 xml:space="preserve">  </w:t>
      </w:r>
      <w:proofErr w:type="spellStart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>obrađeni</w:t>
      </w:r>
      <w:proofErr w:type="spellEnd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 xml:space="preserve"> </w:t>
      </w:r>
      <w:proofErr w:type="spellStart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>i</w:t>
      </w:r>
      <w:proofErr w:type="spellEnd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 xml:space="preserve"> </w:t>
      </w:r>
      <w:proofErr w:type="spellStart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>dostupni</w:t>
      </w:r>
      <w:proofErr w:type="spellEnd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 xml:space="preserve">  </w:t>
      </w:r>
      <w:proofErr w:type="spellStart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>svi</w:t>
      </w:r>
      <w:proofErr w:type="spellEnd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 xml:space="preserve"> </w:t>
      </w:r>
      <w:proofErr w:type="spellStart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>podaci</w:t>
      </w:r>
      <w:proofErr w:type="spellEnd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 xml:space="preserve"> o </w:t>
      </w:r>
      <w:proofErr w:type="spellStart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>broju</w:t>
      </w:r>
      <w:proofErr w:type="spellEnd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 xml:space="preserve"> </w:t>
      </w:r>
      <w:proofErr w:type="spellStart"/>
      <w:r w:rsidR="004806BF" w:rsidRPr="0024339B">
        <w:rPr>
          <w:rFonts w:ascii="Trebuchet MS" w:eastAsia="Times New Roman" w:hAnsi="Trebuchet MS" w:cs="Times New Roman"/>
          <w:sz w:val="20"/>
          <w:szCs w:val="20"/>
          <w:lang w:val="en-US" w:eastAsia="en-US"/>
        </w:rPr>
        <w:t>polaznika</w:t>
      </w:r>
      <w:proofErr w:type="spellEnd"/>
      <w:r w:rsidR="004806BF" w:rsidRPr="0024339B">
        <w:rPr>
          <w:rFonts w:ascii="Times New Roman" w:eastAsia="Times New Roman" w:hAnsi="Times New Roman" w:cs="Times New Roman"/>
          <w:sz w:val="27"/>
          <w:szCs w:val="27"/>
          <w:lang w:val="en-US" w:eastAsia="en-US"/>
        </w:rPr>
        <w:t>.</w:t>
      </w:r>
    </w:p>
    <w:p w14:paraId="5084D477" w14:textId="42F6765B" w:rsidR="00FE0789" w:rsidRPr="0024339B" w:rsidRDefault="00FE0789" w:rsidP="00FE078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2758">
        <w:rPr>
          <w:rFonts w:ascii="Trebuchet MS" w:eastAsia="Times New Roman" w:hAnsi="Trebuchet MS" w:cs="Times New Roman"/>
          <w:color w:val="000000"/>
          <w:sz w:val="20"/>
          <w:szCs w:val="20"/>
          <w:lang w:eastAsia="en-US"/>
        </w:rPr>
        <w:t xml:space="preserve">Prema ovom Izvještaju o realizaciji Godišnjeg plana obrazovanja odraslih za </w:t>
      </w:r>
      <w:r w:rsidRPr="00682758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en-US"/>
        </w:rPr>
        <w:t>202</w:t>
      </w:r>
      <w:r w:rsidR="005E211D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en-US"/>
        </w:rPr>
        <w:t>4</w:t>
      </w:r>
      <w:r w:rsidRPr="00682758">
        <w:rPr>
          <w:rFonts w:ascii="Trebuchet MS" w:eastAsia="Times New Roman" w:hAnsi="Trebuchet MS" w:cs="Times New Roman"/>
          <w:color w:val="000000"/>
          <w:sz w:val="20"/>
          <w:szCs w:val="20"/>
          <w:lang w:eastAsia="en-US"/>
        </w:rPr>
        <w:t>. godinu, ključni nosilac aktivnosti u ovoj prioritetnoj oblasti Zavod za zapošljavanje Crne Gore dostavio</w:t>
      </w:r>
      <w:r w:rsidR="00835343">
        <w:rPr>
          <w:rFonts w:ascii="Trebuchet MS" w:eastAsia="Times New Roman" w:hAnsi="Trebuchet MS" w:cs="Times New Roman"/>
          <w:color w:val="000000"/>
          <w:sz w:val="20"/>
          <w:szCs w:val="20"/>
          <w:lang w:eastAsia="en-US"/>
        </w:rPr>
        <w:t xml:space="preserve"> je</w:t>
      </w:r>
      <w:r w:rsidRPr="00682758">
        <w:rPr>
          <w:rFonts w:ascii="Trebuchet MS" w:eastAsia="Times New Roman" w:hAnsi="Trebuchet MS" w:cs="Times New Roman"/>
          <w:color w:val="000000"/>
          <w:sz w:val="20"/>
          <w:szCs w:val="20"/>
          <w:lang w:eastAsia="en-US"/>
        </w:rPr>
        <w:t xml:space="preserve"> podatak</w:t>
      </w:r>
      <w:r w:rsidR="00835343">
        <w:rPr>
          <w:rFonts w:ascii="Trebuchet MS" w:eastAsia="Times New Roman" w:hAnsi="Trebuchet MS" w:cs="Times New Roman"/>
          <w:color w:val="000000"/>
          <w:sz w:val="20"/>
          <w:szCs w:val="20"/>
          <w:lang w:eastAsia="en-US"/>
        </w:rPr>
        <w:t xml:space="preserve"> da je </w:t>
      </w:r>
      <w:r w:rsidRPr="00682758">
        <w:rPr>
          <w:rFonts w:ascii="Trebuchet MS" w:eastAsia="Times New Roman" w:hAnsi="Trebuchet MS" w:cs="Times New Roman"/>
          <w:color w:val="000000"/>
          <w:sz w:val="20"/>
          <w:szCs w:val="20"/>
          <w:lang w:eastAsia="en-US"/>
        </w:rPr>
        <w:t xml:space="preserve"> </w:t>
      </w:r>
      <w:r w:rsidR="00835343" w:rsidRPr="0024339B">
        <w:rPr>
          <w:rFonts w:ascii="Trebuchet MS" w:eastAsia="Times New Roman" w:hAnsi="Trebuchet MS" w:cs="Times New Roman"/>
          <w:sz w:val="20"/>
          <w:szCs w:val="20"/>
          <w:lang w:eastAsia="en-US"/>
        </w:rPr>
        <w:t xml:space="preserve">bilo </w:t>
      </w:r>
      <w:r w:rsidRPr="0024339B">
        <w:rPr>
          <w:rFonts w:ascii="Trebuchet MS" w:eastAsia="Times New Roman" w:hAnsi="Trebuchet MS" w:cs="Times New Roman"/>
          <w:sz w:val="20"/>
          <w:szCs w:val="20"/>
          <w:lang w:eastAsia="en-US"/>
        </w:rPr>
        <w:t xml:space="preserve">uključeno je </w:t>
      </w:r>
      <w:r w:rsidR="00B85D68" w:rsidRPr="0024339B">
        <w:rPr>
          <w:rFonts w:ascii="Trebuchet MS" w:eastAsia="Times New Roman" w:hAnsi="Trebuchet MS" w:cs="Times New Roman"/>
          <w:sz w:val="20"/>
          <w:szCs w:val="20"/>
          <w:lang w:eastAsia="en-US"/>
        </w:rPr>
        <w:t xml:space="preserve"> 1</w:t>
      </w:r>
      <w:r w:rsidR="00D96AD8" w:rsidRPr="0024339B">
        <w:rPr>
          <w:rFonts w:ascii="Trebuchet MS" w:eastAsia="Times New Roman" w:hAnsi="Trebuchet MS" w:cs="Times New Roman"/>
          <w:sz w:val="20"/>
          <w:szCs w:val="20"/>
          <w:lang w:eastAsia="en-US"/>
        </w:rPr>
        <w:t>5045</w:t>
      </w:r>
      <w:r w:rsidR="00B85D68" w:rsidRPr="0024339B">
        <w:rPr>
          <w:rFonts w:ascii="Trebuchet MS" w:eastAsia="Times New Roman" w:hAnsi="Trebuchet MS" w:cs="Times New Roman"/>
          <w:sz w:val="20"/>
          <w:szCs w:val="20"/>
          <w:lang w:eastAsia="en-US"/>
        </w:rPr>
        <w:t xml:space="preserve"> lica</w:t>
      </w:r>
      <w:r w:rsidR="0024339B" w:rsidRPr="0024339B">
        <w:rPr>
          <w:rFonts w:ascii="Trebuchet MS" w:eastAsia="Times New Roman" w:hAnsi="Trebuchet MS" w:cs="Times New Roman"/>
          <w:sz w:val="20"/>
          <w:szCs w:val="20"/>
          <w:lang w:eastAsia="en-US"/>
        </w:rPr>
        <w:t>, od čega je 13333 lica bilo uključeno u aktivnosti koje se odnose na profesionalnu orjentaciju</w:t>
      </w:r>
      <w:r w:rsidR="001113F7" w:rsidRPr="0024339B">
        <w:rPr>
          <w:rFonts w:ascii="Trebuchet MS" w:eastAsia="Times New Roman" w:hAnsi="Trebuchet MS" w:cs="Times New Roman"/>
          <w:sz w:val="20"/>
          <w:szCs w:val="20"/>
          <w:lang w:eastAsia="en-US"/>
        </w:rPr>
        <w:t>.</w:t>
      </w:r>
    </w:p>
    <w:p w14:paraId="317261A6" w14:textId="77777777" w:rsidR="00FE0789" w:rsidRPr="00682758" w:rsidRDefault="00FE0789">
      <w:pPr>
        <w:spacing w:before="240" w:after="24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3FA41C67" w14:textId="77777777" w:rsidR="008B2B5E" w:rsidRPr="00682758" w:rsidRDefault="00A532C6">
      <w:pPr>
        <w:shd w:val="clear" w:color="auto" w:fill="D9D9D9"/>
        <w:spacing w:before="240" w:after="24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 w:rsidRPr="00682758">
        <w:rPr>
          <w:rFonts w:ascii="Trebuchet MS" w:eastAsia="Trebuchet MS" w:hAnsi="Trebuchet MS" w:cs="Trebuchet MS"/>
          <w:b/>
          <w:sz w:val="20"/>
          <w:szCs w:val="20"/>
        </w:rPr>
        <w:t>III</w:t>
      </w:r>
    </w:p>
    <w:p w14:paraId="7D1C43F9" w14:textId="77777777" w:rsidR="00FE0789" w:rsidRPr="00682758" w:rsidRDefault="00FE0789" w:rsidP="00FE078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1" w:name="_Hlk191371729"/>
      <w:r w:rsidRPr="00682758">
        <w:rPr>
          <w:rFonts w:ascii="Trebuchet MS" w:eastAsia="Times New Roman" w:hAnsi="Trebuchet MS" w:cs="Times New Roman"/>
          <w:color w:val="000000"/>
          <w:sz w:val="20"/>
          <w:szCs w:val="20"/>
          <w:lang w:eastAsia="en-US"/>
        </w:rPr>
        <w:t xml:space="preserve">U okviru </w:t>
      </w:r>
      <w:r w:rsidRPr="0068275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>III prioritetnog cilja</w:t>
      </w:r>
      <w:r w:rsidRPr="00682758">
        <w:rPr>
          <w:rFonts w:ascii="Trebuchet MS" w:eastAsia="Times New Roman" w:hAnsi="Trebuchet MS" w:cs="Times New Roman"/>
          <w:color w:val="000000"/>
          <w:sz w:val="20"/>
          <w:szCs w:val="20"/>
          <w:lang w:eastAsia="en-US"/>
        </w:rPr>
        <w:t xml:space="preserve"> koji se odnosi na </w:t>
      </w:r>
      <w:r w:rsidRPr="00682758">
        <w:rPr>
          <w:rFonts w:ascii="Trebuchet MS" w:eastAsia="Times New Roman" w:hAnsi="Trebuchet MS" w:cs="Times New Roman"/>
          <w:b/>
          <w:bCs/>
          <w:i/>
          <w:iCs/>
          <w:color w:val="000000"/>
          <w:sz w:val="20"/>
          <w:szCs w:val="20"/>
          <w:lang w:eastAsia="en-US"/>
        </w:rPr>
        <w:t>povećanje kompetencija zaposlenih u cilju postizanja bržeg privrednog rasta</w:t>
      </w:r>
      <w:r w:rsidRPr="00682758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en-US"/>
        </w:rPr>
        <w:t xml:space="preserve">, </w:t>
      </w:r>
      <w:r w:rsidRPr="00682758">
        <w:rPr>
          <w:rFonts w:ascii="Trebuchet MS" w:eastAsia="Times New Roman" w:hAnsi="Trebuchet MS" w:cs="Times New Roman"/>
          <w:color w:val="000000"/>
          <w:sz w:val="20"/>
          <w:szCs w:val="20"/>
          <w:lang w:eastAsia="en-US"/>
        </w:rPr>
        <w:t>indikator uspjeha se mjeri povećanjem kompetencija zaposlenih u cilju postizanja bržeg privrednog rasta kroz povećanje broja zaposlenih uključenih u programe za sticanje i razvoj ključnih kompetencija za minimum 1 % na godišnjem nivou.</w:t>
      </w:r>
    </w:p>
    <w:p w14:paraId="2D86C49A" w14:textId="6A71D3FA" w:rsidR="00FE0789" w:rsidRPr="00D96AD8" w:rsidRDefault="00FE078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37C25">
        <w:rPr>
          <w:rFonts w:ascii="Trebuchet MS" w:eastAsia="Times New Roman" w:hAnsi="Trebuchet MS" w:cs="Times New Roman"/>
          <w:color w:val="000000"/>
          <w:sz w:val="20"/>
          <w:szCs w:val="20"/>
          <w:lang w:eastAsia="en-US"/>
        </w:rPr>
        <w:t xml:space="preserve">Prema podacima iz Izvještaja o realizaciji Godišnjeg plana obrazovanja odraslih za 2020. godinu </w:t>
      </w:r>
      <w:r w:rsidRPr="00837C2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u w:val="single"/>
          <w:lang w:eastAsia="en-US"/>
        </w:rPr>
        <w:t>15507</w:t>
      </w:r>
      <w:r w:rsidRPr="00837C25">
        <w:rPr>
          <w:rFonts w:ascii="Trebuchet MS" w:eastAsia="Times New Roman" w:hAnsi="Trebuchet MS" w:cs="Times New Roman"/>
          <w:color w:val="000000"/>
          <w:sz w:val="20"/>
          <w:szCs w:val="20"/>
          <w:lang w:eastAsia="en-US"/>
        </w:rPr>
        <w:t xml:space="preserve"> zaposlenih je učestvovalo u edukacijama koje su organizovale institucije sistema, dok je u 2021. godini u ovakve aktivnosti bilo uključeno </w:t>
      </w:r>
      <w:r w:rsidRPr="00837C2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u w:val="single"/>
          <w:lang w:eastAsia="en-US"/>
        </w:rPr>
        <w:t>11546</w:t>
      </w:r>
      <w:r w:rsidRPr="00837C2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 xml:space="preserve"> </w:t>
      </w:r>
      <w:r w:rsidRPr="00837C25">
        <w:rPr>
          <w:rFonts w:ascii="Trebuchet MS" w:eastAsia="Times New Roman" w:hAnsi="Trebuchet MS" w:cs="Times New Roman"/>
          <w:color w:val="000000"/>
          <w:sz w:val="20"/>
          <w:szCs w:val="20"/>
          <w:lang w:eastAsia="en-US"/>
        </w:rPr>
        <w:t xml:space="preserve">polaznika, što je evidentan pad za 25,5% u odnosu na 2020. Taj pad se nastavio i u 2022. godini kada je prema dostupnim podacim obuke pohađalo </w:t>
      </w:r>
      <w:r w:rsidRPr="00837C2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u w:val="single"/>
          <w:lang w:eastAsia="en-US"/>
        </w:rPr>
        <w:t>9733</w:t>
      </w:r>
      <w:r w:rsidRPr="00837C25">
        <w:rPr>
          <w:rFonts w:ascii="Trebuchet MS" w:eastAsia="Times New Roman" w:hAnsi="Trebuchet MS" w:cs="Times New Roman"/>
          <w:color w:val="000000"/>
          <w:sz w:val="20"/>
          <w:szCs w:val="20"/>
          <w:lang w:eastAsia="en-US"/>
        </w:rPr>
        <w:t xml:space="preserve"> zaposlena lica. Međutim, broj polaznika koji učestvovao u različitim edukacijama </w:t>
      </w:r>
      <w:r w:rsidR="00DF0D32" w:rsidRPr="00837C25">
        <w:rPr>
          <w:rFonts w:ascii="Trebuchet MS" w:eastAsia="Times New Roman" w:hAnsi="Trebuchet MS" w:cs="Times New Roman"/>
          <w:color w:val="000000"/>
          <w:sz w:val="20"/>
          <w:szCs w:val="20"/>
          <w:lang w:eastAsia="en-US"/>
        </w:rPr>
        <w:t>u 2023 godini je</w:t>
      </w:r>
      <w:r w:rsidRPr="00837C25">
        <w:rPr>
          <w:rFonts w:ascii="Trebuchet MS" w:eastAsia="Times New Roman" w:hAnsi="Trebuchet MS" w:cs="Times New Roman"/>
          <w:color w:val="000000"/>
          <w:sz w:val="20"/>
          <w:szCs w:val="20"/>
          <w:lang w:eastAsia="en-US"/>
        </w:rPr>
        <w:t xml:space="preserve"> </w:t>
      </w:r>
      <w:r w:rsidRPr="00837C2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u w:val="single"/>
          <w:lang w:eastAsia="en-US"/>
        </w:rPr>
        <w:t>24229</w:t>
      </w:r>
      <w:r w:rsidRPr="00837C2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 xml:space="preserve"> </w:t>
      </w:r>
      <w:r w:rsidRPr="00837C25">
        <w:rPr>
          <w:rFonts w:ascii="Trebuchet MS" w:eastAsia="Times New Roman" w:hAnsi="Trebuchet MS" w:cs="Times New Roman"/>
          <w:color w:val="000000"/>
          <w:sz w:val="20"/>
          <w:szCs w:val="20"/>
          <w:lang w:eastAsia="en-US"/>
        </w:rPr>
        <w:t xml:space="preserve">što predstavlja </w:t>
      </w:r>
      <w:r w:rsidRPr="00837C2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>59,8%</w:t>
      </w:r>
      <w:r w:rsidRPr="00837C25">
        <w:rPr>
          <w:rFonts w:ascii="Trebuchet MS" w:eastAsia="Times New Roman" w:hAnsi="Trebuchet MS" w:cs="Times New Roman"/>
          <w:color w:val="000000"/>
          <w:sz w:val="20"/>
          <w:szCs w:val="20"/>
          <w:lang w:eastAsia="en-US"/>
        </w:rPr>
        <w:t xml:space="preserve"> više u odnosu na broj polaznika u 2022. godini</w:t>
      </w:r>
      <w:r w:rsidRPr="00837C25">
        <w:rPr>
          <w:rFonts w:ascii="Trebuchet MS" w:eastAsia="Times New Roman" w:hAnsi="Trebuchet MS" w:cs="Times New Roman"/>
          <w:sz w:val="20"/>
          <w:szCs w:val="20"/>
          <w:lang w:eastAsia="en-US"/>
        </w:rPr>
        <w:t>.</w:t>
      </w:r>
      <w:r w:rsidR="00DF0D32" w:rsidRPr="00837C25">
        <w:rPr>
          <w:rFonts w:ascii="Trebuchet MS" w:eastAsia="Times New Roman" w:hAnsi="Trebuchet MS" w:cs="Times New Roman"/>
          <w:sz w:val="20"/>
          <w:szCs w:val="20"/>
          <w:lang w:eastAsia="en-US"/>
        </w:rPr>
        <w:t xml:space="preserve"> </w:t>
      </w:r>
      <w:r w:rsidR="00DF0D32" w:rsidRPr="00D96AD8">
        <w:rPr>
          <w:rFonts w:ascii="Trebuchet MS" w:eastAsia="Times New Roman" w:hAnsi="Trebuchet MS" w:cs="Times New Roman"/>
          <w:sz w:val="20"/>
          <w:szCs w:val="20"/>
          <w:lang w:eastAsia="en-US"/>
        </w:rPr>
        <w:t>U toku 2024, godine 13415 zaposlenih je bilo uključeno u različite edukativne aktivnosti</w:t>
      </w:r>
      <w:r w:rsidR="009E07E1">
        <w:rPr>
          <w:rFonts w:ascii="Trebuchet MS" w:eastAsia="Times New Roman" w:hAnsi="Trebuchet MS" w:cs="Times New Roman"/>
          <w:sz w:val="20"/>
          <w:szCs w:val="20"/>
          <w:lang w:eastAsia="en-US"/>
        </w:rPr>
        <w:t xml:space="preserve">, što predstavlja umanjenje u odnosu na 2023. godinu. </w:t>
      </w:r>
      <w:r w:rsidR="0058286C">
        <w:rPr>
          <w:rFonts w:ascii="Trebuchet MS" w:eastAsia="Times New Roman" w:hAnsi="Trebuchet MS" w:cs="Times New Roman"/>
          <w:sz w:val="20"/>
          <w:szCs w:val="20"/>
          <w:lang w:eastAsia="en-US"/>
        </w:rPr>
        <w:t xml:space="preserve">Posebno </w:t>
      </w:r>
      <w:r w:rsidR="00837C25">
        <w:rPr>
          <w:rFonts w:ascii="Trebuchet MS" w:eastAsia="Times New Roman" w:hAnsi="Trebuchet MS" w:cs="Times New Roman"/>
          <w:sz w:val="20"/>
          <w:szCs w:val="20"/>
          <w:lang w:eastAsia="en-US"/>
        </w:rPr>
        <w:t>za ovaj</w:t>
      </w:r>
      <w:r w:rsidR="0058286C">
        <w:rPr>
          <w:rFonts w:ascii="Trebuchet MS" w:eastAsia="Times New Roman" w:hAnsi="Trebuchet MS" w:cs="Times New Roman"/>
          <w:sz w:val="20"/>
          <w:szCs w:val="20"/>
          <w:lang w:eastAsia="en-US"/>
        </w:rPr>
        <w:t xml:space="preserve"> prioritetn</w:t>
      </w:r>
      <w:r w:rsidR="00837C25">
        <w:rPr>
          <w:rFonts w:ascii="Trebuchet MS" w:eastAsia="Times New Roman" w:hAnsi="Trebuchet MS" w:cs="Times New Roman"/>
          <w:sz w:val="20"/>
          <w:szCs w:val="20"/>
          <w:lang w:eastAsia="en-US"/>
        </w:rPr>
        <w:t>i cilj je</w:t>
      </w:r>
      <w:r w:rsidR="0058286C">
        <w:rPr>
          <w:rFonts w:ascii="Trebuchet MS" w:eastAsia="Times New Roman" w:hAnsi="Trebuchet MS" w:cs="Times New Roman"/>
          <w:sz w:val="20"/>
          <w:szCs w:val="20"/>
          <w:lang w:eastAsia="en-US"/>
        </w:rPr>
        <w:t xml:space="preserve">je važno istaći da </w:t>
      </w:r>
      <w:r w:rsidR="00837C25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en-US"/>
        </w:rPr>
        <w:t xml:space="preserve">svi </w:t>
      </w:r>
      <w:r w:rsidR="0058286C" w:rsidRPr="0058286C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en-US"/>
        </w:rPr>
        <w:t>nosioci aktivnosti  nijesu dostavili tražene podatke</w:t>
      </w:r>
      <w:r w:rsidR="0058286C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en-US"/>
        </w:rPr>
        <w:t xml:space="preserve"> za izvještaj</w:t>
      </w:r>
      <w:r w:rsidR="0058286C" w:rsidRPr="0058286C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en-US"/>
        </w:rPr>
        <w:t>, a određeni broj  nadležnih ministarstava nije uzeo učešće i dostavio podatke prilikom izrade Godišnjeg plana obrazovanja odraslih za 2024. godinu.</w:t>
      </w:r>
    </w:p>
    <w:bookmarkEnd w:id="1"/>
    <w:p w14:paraId="047CB7E2" w14:textId="77777777" w:rsidR="008B2B5E" w:rsidRPr="00682758" w:rsidRDefault="00A532C6">
      <w:pPr>
        <w:shd w:val="clear" w:color="auto" w:fill="D9D9D9"/>
        <w:spacing w:before="240" w:after="24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 w:rsidRPr="00682758">
        <w:rPr>
          <w:rFonts w:ascii="Trebuchet MS" w:eastAsia="Trebuchet MS" w:hAnsi="Trebuchet MS" w:cs="Trebuchet MS"/>
          <w:b/>
          <w:sz w:val="20"/>
          <w:szCs w:val="20"/>
        </w:rPr>
        <w:t>IV</w:t>
      </w:r>
    </w:p>
    <w:p w14:paraId="2F3A2852" w14:textId="0CE144A7" w:rsidR="00FE0789" w:rsidRPr="0024339B" w:rsidRDefault="00FE0789" w:rsidP="00FE0789">
      <w:pPr>
        <w:spacing w:before="240" w:after="24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bookmarkStart w:id="2" w:name="_Hlk191371917"/>
      <w:r w:rsidRPr="00682758">
        <w:rPr>
          <w:rFonts w:ascii="Trebuchet MS" w:eastAsia="Trebuchet MS" w:hAnsi="Trebuchet MS" w:cs="Trebuchet MS"/>
          <w:b/>
          <w:i/>
          <w:sz w:val="20"/>
          <w:szCs w:val="20"/>
        </w:rPr>
        <w:t>Uspostavljanje sistema osiguranja kvaliteta u obrazovanju odraslih</w:t>
      </w:r>
      <w:r w:rsidRPr="00682758">
        <w:rPr>
          <w:rFonts w:ascii="Trebuchet MS" w:eastAsia="Trebuchet MS" w:hAnsi="Trebuchet MS" w:cs="Trebuchet MS"/>
          <w:sz w:val="20"/>
          <w:szCs w:val="20"/>
        </w:rPr>
        <w:t xml:space="preserve"> je </w:t>
      </w:r>
      <w:r w:rsidRPr="00682758">
        <w:rPr>
          <w:rFonts w:ascii="Trebuchet MS" w:eastAsia="Trebuchet MS" w:hAnsi="Trebuchet MS" w:cs="Trebuchet MS"/>
          <w:b/>
          <w:sz w:val="20"/>
          <w:szCs w:val="20"/>
        </w:rPr>
        <w:t xml:space="preserve">III prioritetni cilj </w:t>
      </w:r>
      <w:r w:rsidRPr="00682758">
        <w:rPr>
          <w:rFonts w:ascii="Trebuchet MS" w:eastAsia="Trebuchet MS" w:hAnsi="Trebuchet MS" w:cs="Trebuchet MS"/>
          <w:sz w:val="20"/>
          <w:szCs w:val="20"/>
        </w:rPr>
        <w:t>Godišnjeg plana obrazovanja odraslih za 202</w:t>
      </w:r>
      <w:r w:rsidR="009E07E1">
        <w:rPr>
          <w:rFonts w:ascii="Trebuchet MS" w:eastAsia="Trebuchet MS" w:hAnsi="Trebuchet MS" w:cs="Trebuchet MS"/>
          <w:sz w:val="20"/>
          <w:szCs w:val="20"/>
        </w:rPr>
        <w:t>4</w:t>
      </w:r>
      <w:r w:rsidRPr="00682758">
        <w:rPr>
          <w:rFonts w:ascii="Trebuchet MS" w:eastAsia="Trebuchet MS" w:hAnsi="Trebuchet MS" w:cs="Trebuchet MS"/>
          <w:sz w:val="20"/>
          <w:szCs w:val="20"/>
        </w:rPr>
        <w:t xml:space="preserve">. godinu. </w:t>
      </w:r>
      <w:r w:rsidR="009E07E1">
        <w:rPr>
          <w:rFonts w:ascii="Trebuchet MS" w:eastAsia="Trebuchet MS" w:hAnsi="Trebuchet MS" w:cs="Trebuchet MS"/>
          <w:sz w:val="20"/>
          <w:szCs w:val="20"/>
        </w:rPr>
        <w:t>Pojedini i</w:t>
      </w:r>
      <w:r w:rsidRPr="00682758">
        <w:rPr>
          <w:rFonts w:ascii="Trebuchet MS" w:eastAsia="Trebuchet MS" w:hAnsi="Trebuchet MS" w:cs="Trebuchet MS"/>
          <w:sz w:val="20"/>
          <w:szCs w:val="20"/>
        </w:rPr>
        <w:t xml:space="preserve">ndikatori ostvarivanja ovog cilja su kvalitativni i odnose se na svaku aktivnost u okviru definisanog cilja. </w:t>
      </w:r>
      <w:r w:rsidRPr="00837C25">
        <w:rPr>
          <w:rFonts w:ascii="Trebuchet MS" w:eastAsia="Trebuchet MS" w:hAnsi="Trebuchet MS" w:cs="Trebuchet MS"/>
          <w:sz w:val="20"/>
          <w:szCs w:val="20"/>
        </w:rPr>
        <w:t xml:space="preserve">Podaci za 2022. godinu </w:t>
      </w:r>
      <w:r w:rsidR="002C1902" w:rsidRPr="00837C25">
        <w:rPr>
          <w:rFonts w:ascii="Trebuchet MS" w:eastAsia="Trebuchet MS" w:hAnsi="Trebuchet MS" w:cs="Trebuchet MS"/>
          <w:sz w:val="20"/>
          <w:szCs w:val="20"/>
        </w:rPr>
        <w:t xml:space="preserve">pokazuju da je </w:t>
      </w:r>
      <w:r w:rsidRPr="00837C25">
        <w:rPr>
          <w:rFonts w:ascii="Trebuchet MS" w:eastAsia="Trebuchet MS" w:hAnsi="Trebuchet MS" w:cs="Trebuchet MS"/>
          <w:b/>
          <w:sz w:val="20"/>
          <w:szCs w:val="20"/>
          <w:u w:val="single"/>
        </w:rPr>
        <w:t>360</w:t>
      </w:r>
      <w:r w:rsidRPr="00837C25">
        <w:rPr>
          <w:rFonts w:ascii="Trebuchet MS" w:eastAsia="Trebuchet MS" w:hAnsi="Trebuchet MS" w:cs="Trebuchet MS"/>
          <w:sz w:val="20"/>
          <w:szCs w:val="20"/>
        </w:rPr>
        <w:t xml:space="preserve"> nastavnika pohađal</w:t>
      </w:r>
      <w:r w:rsidR="002C1902" w:rsidRPr="00837C25">
        <w:rPr>
          <w:rFonts w:ascii="Trebuchet MS" w:eastAsia="Trebuchet MS" w:hAnsi="Trebuchet MS" w:cs="Trebuchet MS"/>
          <w:sz w:val="20"/>
          <w:szCs w:val="20"/>
        </w:rPr>
        <w:t>o</w:t>
      </w:r>
      <w:r w:rsidRPr="00837C25">
        <w:rPr>
          <w:rFonts w:ascii="Trebuchet MS" w:eastAsia="Trebuchet MS" w:hAnsi="Trebuchet MS" w:cs="Trebuchet MS"/>
          <w:sz w:val="20"/>
          <w:szCs w:val="20"/>
        </w:rPr>
        <w:t xml:space="preserve"> obuke za andragoško osposobljavanje nastavnog kadra. U 2023. godini evidentiran je blagi porast u odnosu na 2022. godinu jer je obuke i različite oblike stručnog usavršavanja</w:t>
      </w:r>
      <w:r w:rsidR="002C1902" w:rsidRPr="00837C25">
        <w:rPr>
          <w:rFonts w:ascii="Trebuchet MS" w:eastAsia="Trebuchet MS" w:hAnsi="Trebuchet MS" w:cs="Trebuchet MS"/>
          <w:sz w:val="20"/>
          <w:szCs w:val="20"/>
        </w:rPr>
        <w:t xml:space="preserve"> nastavnog</w:t>
      </w:r>
      <w:r w:rsidRPr="00837C25">
        <w:rPr>
          <w:rFonts w:ascii="Trebuchet MS" w:eastAsia="Trebuchet MS" w:hAnsi="Trebuchet MS" w:cs="Trebuchet MS"/>
          <w:sz w:val="20"/>
          <w:szCs w:val="20"/>
        </w:rPr>
        <w:t xml:space="preserve"> kadra pohađalo je </w:t>
      </w:r>
      <w:r w:rsidRPr="00837C25">
        <w:rPr>
          <w:rFonts w:ascii="Trebuchet MS" w:eastAsia="Trebuchet MS" w:hAnsi="Trebuchet MS" w:cs="Trebuchet MS"/>
          <w:b/>
          <w:sz w:val="20"/>
          <w:szCs w:val="20"/>
          <w:u w:val="single"/>
        </w:rPr>
        <w:t>387</w:t>
      </w:r>
      <w:r w:rsidRPr="00837C25">
        <w:rPr>
          <w:rFonts w:ascii="Trebuchet MS" w:eastAsia="Trebuchet MS" w:hAnsi="Trebuchet MS" w:cs="Trebuchet MS"/>
          <w:sz w:val="20"/>
          <w:szCs w:val="20"/>
        </w:rPr>
        <w:t xml:space="preserve"> polaznika.</w:t>
      </w:r>
      <w:r w:rsidR="00DF0D32" w:rsidRPr="00837C25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837C25" w:rsidRPr="0024339B">
        <w:rPr>
          <w:rFonts w:ascii="Trebuchet MS" w:eastAsia="Trebuchet MS" w:hAnsi="Trebuchet MS" w:cs="Trebuchet MS"/>
          <w:sz w:val="20"/>
          <w:szCs w:val="20"/>
        </w:rPr>
        <w:t>Obuku za</w:t>
      </w:r>
      <w:r w:rsidR="00DF0D32" w:rsidRPr="0024339B">
        <w:rPr>
          <w:rFonts w:ascii="Trebuchet MS" w:eastAsia="Trebuchet MS" w:hAnsi="Trebuchet MS" w:cs="Trebuchet MS"/>
          <w:sz w:val="20"/>
          <w:szCs w:val="20"/>
        </w:rPr>
        <w:t xml:space="preserve"> andragoško osposobljavanj</w:t>
      </w:r>
      <w:r w:rsidR="00837C25" w:rsidRPr="0024339B">
        <w:rPr>
          <w:rFonts w:ascii="Trebuchet MS" w:eastAsia="Trebuchet MS" w:hAnsi="Trebuchet MS" w:cs="Trebuchet MS"/>
          <w:sz w:val="20"/>
          <w:szCs w:val="20"/>
        </w:rPr>
        <w:t>e</w:t>
      </w:r>
      <w:r w:rsidR="00DF0D32" w:rsidRPr="0024339B">
        <w:rPr>
          <w:rFonts w:ascii="Trebuchet MS" w:eastAsia="Trebuchet MS" w:hAnsi="Trebuchet MS" w:cs="Trebuchet MS"/>
          <w:sz w:val="20"/>
          <w:szCs w:val="20"/>
        </w:rPr>
        <w:t xml:space="preserve"> nastavnog kadra koji radi u obrazovanju odraslih pohađalo je 78 polaznika/ca</w:t>
      </w:r>
      <w:r w:rsidR="00837C25" w:rsidRPr="0024339B">
        <w:rPr>
          <w:rFonts w:ascii="Trebuchet MS" w:eastAsia="Trebuchet MS" w:hAnsi="Trebuchet MS" w:cs="Trebuchet MS"/>
          <w:sz w:val="20"/>
          <w:szCs w:val="20"/>
        </w:rPr>
        <w:t xml:space="preserve"> u 2024. godini</w:t>
      </w:r>
      <w:r w:rsidR="00DF0D32" w:rsidRPr="0024339B">
        <w:rPr>
          <w:rFonts w:ascii="Trebuchet MS" w:eastAsia="Trebuchet MS" w:hAnsi="Trebuchet MS" w:cs="Trebuchet MS"/>
          <w:sz w:val="20"/>
          <w:szCs w:val="20"/>
        </w:rPr>
        <w:t>.</w:t>
      </w:r>
    </w:p>
    <w:bookmarkEnd w:id="2"/>
    <w:p w14:paraId="76E8276E" w14:textId="77777777" w:rsidR="00FE0789" w:rsidRPr="00682758" w:rsidRDefault="00FE0789">
      <w:pPr>
        <w:spacing w:before="240" w:after="240" w:line="240" w:lineRule="auto"/>
        <w:jc w:val="both"/>
        <w:rPr>
          <w:rFonts w:ascii="Trebuchet MS" w:eastAsia="Trebuchet MS" w:hAnsi="Trebuchet MS" w:cs="Trebuchet MS"/>
          <w:b/>
          <w:i/>
          <w:sz w:val="20"/>
          <w:szCs w:val="20"/>
        </w:rPr>
      </w:pPr>
    </w:p>
    <w:p w14:paraId="07DC4CF5" w14:textId="77777777" w:rsidR="008B2B5E" w:rsidRPr="00682758" w:rsidRDefault="00A532C6">
      <w:pPr>
        <w:shd w:val="clear" w:color="auto" w:fill="D9D9D9"/>
        <w:spacing w:before="240" w:after="24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 w:rsidRPr="00682758">
        <w:rPr>
          <w:rFonts w:ascii="Trebuchet MS" w:eastAsia="Trebuchet MS" w:hAnsi="Trebuchet MS" w:cs="Trebuchet MS"/>
          <w:b/>
          <w:sz w:val="20"/>
          <w:szCs w:val="20"/>
        </w:rPr>
        <w:t>V</w:t>
      </w:r>
    </w:p>
    <w:p w14:paraId="55A33133" w14:textId="26EDECB7" w:rsidR="008B2B5E" w:rsidRDefault="00A532C6">
      <w:pPr>
        <w:spacing w:before="240" w:after="240" w:line="240" w:lineRule="auto"/>
        <w:rPr>
          <w:rFonts w:ascii="Trebuchet MS" w:eastAsia="Trebuchet MS" w:hAnsi="Trebuchet MS" w:cs="Trebuchet MS"/>
          <w:color w:val="E36C09"/>
          <w:sz w:val="20"/>
          <w:szCs w:val="20"/>
        </w:rPr>
      </w:pPr>
      <w:bookmarkStart w:id="3" w:name="_Hlk191371936"/>
      <w:bookmarkStart w:id="4" w:name="_GoBack"/>
      <w:r w:rsidRPr="00682758">
        <w:rPr>
          <w:rFonts w:ascii="Trebuchet MS" w:eastAsia="Trebuchet MS" w:hAnsi="Trebuchet MS" w:cs="Trebuchet MS"/>
          <w:b/>
          <w:i/>
          <w:sz w:val="20"/>
          <w:szCs w:val="20"/>
        </w:rPr>
        <w:t xml:space="preserve">Obezbijediti fleksibilan i održiv sistem obrazovanja odraslih </w:t>
      </w:r>
      <w:r w:rsidRPr="00682758">
        <w:rPr>
          <w:rFonts w:ascii="Trebuchet MS" w:eastAsia="Trebuchet MS" w:hAnsi="Trebuchet MS" w:cs="Trebuchet MS"/>
          <w:sz w:val="20"/>
          <w:szCs w:val="20"/>
        </w:rPr>
        <w:t xml:space="preserve">kao </w:t>
      </w:r>
      <w:r w:rsidRPr="00682758">
        <w:rPr>
          <w:rFonts w:ascii="Trebuchet MS" w:eastAsia="Trebuchet MS" w:hAnsi="Trebuchet MS" w:cs="Trebuchet MS"/>
          <w:b/>
          <w:sz w:val="20"/>
          <w:szCs w:val="20"/>
        </w:rPr>
        <w:t xml:space="preserve">V prioritetni cilj, </w:t>
      </w:r>
      <w:r w:rsidRPr="00682758">
        <w:rPr>
          <w:rFonts w:ascii="Trebuchet MS" w:eastAsia="Trebuchet MS" w:hAnsi="Trebuchet MS" w:cs="Trebuchet MS"/>
          <w:sz w:val="20"/>
          <w:szCs w:val="20"/>
        </w:rPr>
        <w:t>podrazumijeva takođe niz mjera i aktivnosti u okviru kojih su indikatori opšte postavljeni. U okviru ovog cilja broj polaznika kao indikator nije dostupan</w:t>
      </w:r>
      <w:r w:rsidRPr="00682758">
        <w:rPr>
          <w:rFonts w:ascii="Trebuchet MS" w:eastAsia="Trebuchet MS" w:hAnsi="Trebuchet MS" w:cs="Trebuchet MS"/>
          <w:color w:val="E36C09"/>
          <w:sz w:val="20"/>
          <w:szCs w:val="20"/>
        </w:rPr>
        <w:t>.</w:t>
      </w:r>
    </w:p>
    <w:bookmarkEnd w:id="3"/>
    <w:bookmarkEnd w:id="4"/>
    <w:p w14:paraId="109F0159" w14:textId="3F037724" w:rsidR="00744453" w:rsidRDefault="00744453">
      <w:pPr>
        <w:spacing w:before="240" w:after="240" w:line="240" w:lineRule="auto"/>
        <w:rPr>
          <w:rFonts w:ascii="Trebuchet MS" w:eastAsia="Trebuchet MS" w:hAnsi="Trebuchet MS" w:cs="Trebuchet MS"/>
          <w:color w:val="E36C09"/>
          <w:sz w:val="20"/>
          <w:szCs w:val="20"/>
        </w:rPr>
      </w:pPr>
    </w:p>
    <w:p w14:paraId="02FE88AF" w14:textId="79CE4490" w:rsidR="00744453" w:rsidRDefault="00744453">
      <w:pPr>
        <w:spacing w:before="240" w:after="240" w:line="240" w:lineRule="auto"/>
        <w:rPr>
          <w:rFonts w:ascii="Trebuchet MS" w:eastAsia="Trebuchet MS" w:hAnsi="Trebuchet MS" w:cs="Trebuchet MS"/>
          <w:color w:val="E36C09"/>
          <w:sz w:val="20"/>
          <w:szCs w:val="20"/>
        </w:rPr>
      </w:pPr>
    </w:p>
    <w:p w14:paraId="792941D8" w14:textId="77777777" w:rsidR="00744453" w:rsidRPr="004806BF" w:rsidRDefault="00744453">
      <w:pPr>
        <w:spacing w:before="240" w:after="240" w:line="240" w:lineRule="auto"/>
        <w:rPr>
          <w:rFonts w:ascii="Trebuchet MS" w:eastAsia="Trebuchet MS" w:hAnsi="Trebuchet MS" w:cs="Trebuchet MS"/>
          <w:color w:val="E36C09"/>
          <w:sz w:val="20"/>
          <w:szCs w:val="20"/>
        </w:rPr>
      </w:pPr>
    </w:p>
    <w:p w14:paraId="70A358DA" w14:textId="77777777" w:rsidR="008B2B5E" w:rsidRDefault="00A532C6">
      <w:pPr>
        <w:spacing w:after="24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lastRenderedPageBreak/>
        <w:t xml:space="preserve">III </w:t>
      </w:r>
      <w:r>
        <w:rPr>
          <w:rFonts w:ascii="Trebuchet MS" w:eastAsia="Trebuchet MS" w:hAnsi="Trebuchet MS" w:cs="Trebuchet MS"/>
          <w:b/>
        </w:rPr>
        <w:t>Tabela aktivnosti predviđenih Godišnjim planom obrazovanja odraslih za 2024. godinu</w:t>
      </w:r>
    </w:p>
    <w:p w14:paraId="45948F8B" w14:textId="77777777" w:rsidR="008B2B5E" w:rsidRDefault="00A532C6">
      <w:pPr>
        <w:pStyle w:val="Heading2"/>
        <w:numPr>
          <w:ilvl w:val="0"/>
          <w:numId w:val="7"/>
        </w:numPr>
        <w:spacing w:before="0" w:after="120" w:line="240" w:lineRule="auto"/>
        <w:ind w:left="274" w:hanging="274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  <w:bookmarkStart w:id="5" w:name="_heading=h.gjdgxs" w:colFirst="0" w:colLast="0"/>
      <w:bookmarkEnd w:id="5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PRIORITETNA OBLAST: </w:t>
      </w:r>
      <w:r>
        <w:rPr>
          <w:rFonts w:ascii="Trebuchet MS" w:eastAsia="Trebuchet MS" w:hAnsi="Trebuchet MS" w:cs="Trebuchet MS"/>
          <w:b/>
          <w:color w:val="000000"/>
          <w:sz w:val="24"/>
          <w:szCs w:val="24"/>
          <w:u w:val="single"/>
        </w:rPr>
        <w:t>PROGRAMI I AKTIVNOSTI CJELOŽIVOTNOG OBRAZOVANJA I UČENJA</w:t>
      </w:r>
    </w:p>
    <w:tbl>
      <w:tblPr>
        <w:tblStyle w:val="a"/>
        <w:tblW w:w="15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1"/>
        <w:gridCol w:w="2834"/>
        <w:gridCol w:w="1891"/>
        <w:gridCol w:w="2814"/>
        <w:gridCol w:w="5740"/>
      </w:tblGrid>
      <w:tr w:rsidR="008B2B5E" w14:paraId="05488463" w14:textId="77777777" w:rsidTr="000A3EBE">
        <w:trPr>
          <w:tblHeader/>
          <w:jc w:val="center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F539425" w14:textId="77777777"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Aktivnosti kojima se neposredno ostvaruju operativni ciljevi</w:t>
            </w:r>
            <w:r w:rsidR="00F168DF">
              <w:rPr>
                <w:rFonts w:ascii="Trebuchet MS" w:eastAsia="Trebuchet MS" w:hAnsi="Trebuchet MS" w:cs="Trebuchet MS"/>
                <w:b/>
              </w:rPr>
              <w:t>,</w:t>
            </w:r>
            <w:r>
              <w:rPr>
                <w:rFonts w:ascii="Trebuchet MS" w:eastAsia="Trebuchet MS" w:hAnsi="Trebuchet MS" w:cs="Trebuchet MS"/>
                <w:b/>
              </w:rPr>
              <w:t xml:space="preserve"> a posredno strateški ciljevi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46748AC" w14:textId="77777777"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Partnerske institucije odgovorne za sprovođenje aktivnosti i institucija nadležna za praćenje sprovođenja i izvještavanja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95BEACB" w14:textId="0A745293" w:rsidR="008B2B5E" w:rsidRDefault="00DC418C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Ocjena realizacije aktivnosti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64B2E69" w14:textId="77777777"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Planirana i utrošena finansijska sredstva i fondovi za sprovođenje aktivnosti (informacije o izvorima finansiranja)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D40429E" w14:textId="77777777"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Indikatori rezultata</w:t>
            </w:r>
          </w:p>
        </w:tc>
      </w:tr>
      <w:tr w:rsidR="008B2B5E" w14:paraId="6FDE9950" w14:textId="77777777" w:rsidTr="000A3EBE">
        <w:trPr>
          <w:jc w:val="center"/>
        </w:trPr>
        <w:tc>
          <w:tcPr>
            <w:tcW w:w="2561" w:type="dxa"/>
          </w:tcPr>
          <w:p w14:paraId="4A0B8D66" w14:textId="77777777" w:rsidR="008B2B5E" w:rsidRPr="000A3EBE" w:rsidRDefault="00A532C6">
            <w:pPr>
              <w:spacing w:before="40" w:after="40" w:line="240" w:lineRule="auto"/>
              <w:ind w:left="57" w:right="57"/>
              <w:rPr>
                <w:rFonts w:ascii="Trebuchet MS" w:eastAsia="Trebuchet MS" w:hAnsi="Trebuchet MS" w:cs="Trebuchet MS"/>
                <w:b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t>Realizacija programa osnovnog obrazovanja za odrasla lica</w:t>
            </w:r>
            <w:r w:rsidRPr="000A3EBE">
              <w:rPr>
                <w:rFonts w:ascii="Trebuchet MS" w:eastAsia="Trebuchet MS" w:hAnsi="Trebuchet MS" w:cs="Trebuchet MS"/>
                <w:b/>
                <w:vertAlign w:val="superscript"/>
              </w:rPr>
              <w:footnoteReference w:id="1"/>
            </w:r>
          </w:p>
        </w:tc>
        <w:tc>
          <w:tcPr>
            <w:tcW w:w="2834" w:type="dxa"/>
          </w:tcPr>
          <w:p w14:paraId="383C6E2D" w14:textId="77777777" w:rsidR="008B2B5E" w:rsidRPr="000A3EB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t>Centar za stručno obrazovanje</w:t>
            </w:r>
            <w:r w:rsidRPr="000A3EBE">
              <w:rPr>
                <w:rFonts w:ascii="Trebuchet MS" w:eastAsia="Trebuchet MS" w:hAnsi="Trebuchet MS" w:cs="Trebuchet MS"/>
              </w:rPr>
              <w:t xml:space="preserve"> /</w:t>
            </w:r>
          </w:p>
          <w:p w14:paraId="015B9250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 xml:space="preserve">Licencirani organizatori obrazovanja odraslih </w:t>
            </w:r>
          </w:p>
          <w:p w14:paraId="3108B1FF" w14:textId="77777777" w:rsidR="008B2B5E" w:rsidRPr="000A3EBE" w:rsidRDefault="008B2B5E">
            <w:pP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891" w:type="dxa"/>
          </w:tcPr>
          <w:p w14:paraId="35A1608D" w14:textId="4A179B56" w:rsidR="008B2B5E" w:rsidRPr="000A3EBE" w:rsidRDefault="00200661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Realizovano</w:t>
            </w:r>
          </w:p>
        </w:tc>
        <w:tc>
          <w:tcPr>
            <w:tcW w:w="2814" w:type="dxa"/>
          </w:tcPr>
          <w:p w14:paraId="0B01C932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90.000,00€ Budžet</w:t>
            </w:r>
          </w:p>
        </w:tc>
        <w:tc>
          <w:tcPr>
            <w:tcW w:w="5740" w:type="dxa"/>
          </w:tcPr>
          <w:p w14:paraId="5E90355D" w14:textId="41D8CE59"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 xml:space="preserve">Broj polaznika koji su pohađali prilagođeni program osnovnog obrazovanja odraslih </w:t>
            </w:r>
          </w:p>
          <w:p w14:paraId="22B4A08E" w14:textId="0E75545C" w:rsidR="00650F82" w:rsidRPr="009D5DC9" w:rsidRDefault="00650F82" w:rsidP="00650F82">
            <w:pPr>
              <w:spacing w:after="160" w:line="259" w:lineRule="auto"/>
              <w:contextualSpacing/>
              <w:jc w:val="both"/>
              <w:rPr>
                <w:rFonts w:ascii="Trebuchet MS" w:eastAsiaTheme="minorEastAsia" w:hAnsi="Trebuchet MS"/>
                <w:lang w:val="en-US"/>
              </w:rPr>
            </w:pPr>
            <w:r w:rsidRPr="009D5DC9">
              <w:rPr>
                <w:rFonts w:ascii="Trebuchet MS" w:eastAsiaTheme="minorEastAsia" w:hAnsi="Trebuchet MS"/>
                <w:lang w:val="en-US"/>
              </w:rPr>
              <w:t xml:space="preserve">U program </w:t>
            </w:r>
            <w:proofErr w:type="spellStart"/>
            <w:r w:rsidRPr="009D5DC9">
              <w:rPr>
                <w:rFonts w:ascii="Trebuchet MS" w:eastAsiaTheme="minorEastAsia" w:hAnsi="Trebuchet MS"/>
                <w:lang w:val="en-US"/>
              </w:rPr>
              <w:t>osnovnog</w:t>
            </w:r>
            <w:proofErr w:type="spellEnd"/>
            <w:r w:rsidRPr="009D5DC9">
              <w:rPr>
                <w:rFonts w:ascii="Trebuchet MS" w:eastAsiaTheme="minorEastAsia" w:hAnsi="Trebuchet MS"/>
                <w:lang w:val="en-US"/>
              </w:rPr>
              <w:t xml:space="preserve"> </w:t>
            </w:r>
            <w:proofErr w:type="spellStart"/>
            <w:r w:rsidRPr="009D5DC9">
              <w:rPr>
                <w:rFonts w:ascii="Trebuchet MS" w:eastAsiaTheme="minorEastAsia" w:hAnsi="Trebuchet MS"/>
                <w:lang w:val="en-US"/>
              </w:rPr>
              <w:t>obrazovanja</w:t>
            </w:r>
            <w:proofErr w:type="spellEnd"/>
            <w:r w:rsidRPr="009D5DC9">
              <w:rPr>
                <w:rFonts w:ascii="Trebuchet MS" w:eastAsiaTheme="minorEastAsia" w:hAnsi="Trebuchet MS"/>
                <w:lang w:val="en-US"/>
              </w:rPr>
              <w:t xml:space="preserve"> </w:t>
            </w:r>
            <w:proofErr w:type="spellStart"/>
            <w:r w:rsidRPr="009D5DC9">
              <w:rPr>
                <w:rFonts w:ascii="Trebuchet MS" w:eastAsiaTheme="minorEastAsia" w:hAnsi="Trebuchet MS"/>
                <w:lang w:val="en-US"/>
              </w:rPr>
              <w:t>odraslih</w:t>
            </w:r>
            <w:proofErr w:type="spellEnd"/>
            <w:r w:rsidRPr="009D5DC9">
              <w:rPr>
                <w:rFonts w:ascii="Trebuchet MS" w:eastAsiaTheme="minorEastAsia" w:hAnsi="Trebuchet MS"/>
                <w:lang w:val="en-US"/>
              </w:rPr>
              <w:t xml:space="preserve"> u </w:t>
            </w:r>
            <w:proofErr w:type="spellStart"/>
            <w:r w:rsidRPr="009D5DC9">
              <w:rPr>
                <w:rFonts w:ascii="Trebuchet MS" w:eastAsiaTheme="minorEastAsia" w:hAnsi="Trebuchet MS"/>
                <w:lang w:val="en-US"/>
              </w:rPr>
              <w:t>toku</w:t>
            </w:r>
            <w:proofErr w:type="spellEnd"/>
            <w:r w:rsidRPr="009D5DC9">
              <w:rPr>
                <w:rFonts w:ascii="Trebuchet MS" w:eastAsiaTheme="minorEastAsia" w:hAnsi="Trebuchet MS"/>
                <w:lang w:val="en-US"/>
              </w:rPr>
              <w:t xml:space="preserve"> 2024. </w:t>
            </w:r>
            <w:proofErr w:type="spellStart"/>
            <w:r w:rsidRPr="009D5DC9">
              <w:rPr>
                <w:rFonts w:ascii="Trebuchet MS" w:eastAsiaTheme="minorEastAsia" w:hAnsi="Trebuchet MS"/>
                <w:lang w:val="en-US"/>
              </w:rPr>
              <w:t>godine</w:t>
            </w:r>
            <w:proofErr w:type="spellEnd"/>
            <w:r w:rsidRPr="009D5DC9">
              <w:rPr>
                <w:rFonts w:ascii="Trebuchet MS" w:eastAsiaTheme="minorEastAsia" w:hAnsi="Trebuchet MS"/>
                <w:lang w:val="en-US"/>
              </w:rPr>
              <w:t xml:space="preserve"> </w:t>
            </w:r>
            <w:proofErr w:type="spellStart"/>
            <w:r w:rsidRPr="009D5DC9">
              <w:rPr>
                <w:rFonts w:ascii="Trebuchet MS" w:eastAsiaTheme="minorEastAsia" w:hAnsi="Trebuchet MS"/>
                <w:lang w:val="en-US"/>
              </w:rPr>
              <w:t>bilo</w:t>
            </w:r>
            <w:proofErr w:type="spellEnd"/>
            <w:r w:rsidRPr="009D5DC9">
              <w:rPr>
                <w:rFonts w:ascii="Trebuchet MS" w:eastAsiaTheme="minorEastAsia" w:hAnsi="Trebuchet MS"/>
                <w:lang w:val="en-US"/>
              </w:rPr>
              <w:t xml:space="preserve"> je </w:t>
            </w:r>
            <w:proofErr w:type="spellStart"/>
            <w:r w:rsidRPr="009D5DC9">
              <w:rPr>
                <w:rFonts w:ascii="Trebuchet MS" w:eastAsiaTheme="minorEastAsia" w:hAnsi="Trebuchet MS"/>
                <w:lang w:val="en-US"/>
              </w:rPr>
              <w:t>uključeno</w:t>
            </w:r>
            <w:proofErr w:type="spellEnd"/>
            <w:r w:rsidRPr="009D5DC9">
              <w:rPr>
                <w:rFonts w:ascii="Trebuchet MS" w:eastAsiaTheme="minorEastAsia" w:hAnsi="Trebuchet MS"/>
                <w:lang w:val="en-US"/>
              </w:rPr>
              <w:t xml:space="preserve"> 100 </w:t>
            </w:r>
            <w:proofErr w:type="spellStart"/>
            <w:r w:rsidRPr="009D5DC9">
              <w:rPr>
                <w:rFonts w:ascii="Trebuchet MS" w:eastAsiaTheme="minorEastAsia" w:hAnsi="Trebuchet MS"/>
                <w:lang w:val="en-US"/>
              </w:rPr>
              <w:t>polaznika</w:t>
            </w:r>
            <w:proofErr w:type="spellEnd"/>
            <w:r w:rsidR="002F5AD5" w:rsidRPr="009D5DC9">
              <w:rPr>
                <w:rFonts w:ascii="Trebuchet MS" w:eastAsiaTheme="minorEastAsia" w:hAnsi="Trebuchet MS"/>
                <w:lang w:val="en-US"/>
              </w:rPr>
              <w:t>/ca</w:t>
            </w:r>
            <w:r w:rsidRPr="009D5DC9">
              <w:rPr>
                <w:rFonts w:ascii="Trebuchet MS" w:eastAsiaTheme="minorEastAsia" w:hAnsi="Trebuchet MS"/>
                <w:lang w:val="en-US"/>
              </w:rPr>
              <w:t>.</w:t>
            </w:r>
          </w:p>
          <w:p w14:paraId="5D948776" w14:textId="05DACAC6" w:rsidR="0071177F" w:rsidRPr="0071177F" w:rsidRDefault="00650F82" w:rsidP="00650F82">
            <w:pPr>
              <w:spacing w:after="160" w:line="259" w:lineRule="auto"/>
              <w:contextualSpacing/>
              <w:jc w:val="both"/>
              <w:rPr>
                <w:rFonts w:ascii="Trebuchet MS" w:eastAsiaTheme="minorEastAsia" w:hAnsi="Trebuchet MS"/>
                <w:color w:val="FF0000"/>
                <w:lang w:val="en-US"/>
              </w:rPr>
            </w:pPr>
            <w:r w:rsidRPr="009D5DC9">
              <w:rPr>
                <w:rFonts w:ascii="Trebuchet MS" w:eastAsiaTheme="minorEastAsia" w:hAnsi="Trebuchet MS"/>
                <w:lang w:val="en-US"/>
              </w:rPr>
              <w:t xml:space="preserve">U program </w:t>
            </w:r>
            <w:proofErr w:type="spellStart"/>
            <w:r w:rsidRPr="009D5DC9">
              <w:rPr>
                <w:rFonts w:ascii="Trebuchet MS" w:eastAsiaTheme="minorEastAsia" w:hAnsi="Trebuchet MS"/>
                <w:lang w:val="en-US"/>
              </w:rPr>
              <w:t>elementarnog</w:t>
            </w:r>
            <w:proofErr w:type="spellEnd"/>
            <w:r w:rsidRPr="009D5DC9">
              <w:rPr>
                <w:rFonts w:ascii="Trebuchet MS" w:eastAsiaTheme="minorEastAsia" w:hAnsi="Trebuchet MS"/>
                <w:lang w:val="en-US"/>
              </w:rPr>
              <w:t xml:space="preserve"> </w:t>
            </w:r>
            <w:proofErr w:type="spellStart"/>
            <w:r w:rsidRPr="009D5DC9">
              <w:rPr>
                <w:rFonts w:ascii="Trebuchet MS" w:eastAsiaTheme="minorEastAsia" w:hAnsi="Trebuchet MS"/>
                <w:lang w:val="en-US"/>
              </w:rPr>
              <w:t>funkcionalnog</w:t>
            </w:r>
            <w:proofErr w:type="spellEnd"/>
            <w:r w:rsidRPr="009D5DC9">
              <w:rPr>
                <w:rFonts w:ascii="Trebuchet MS" w:eastAsiaTheme="minorEastAsia" w:hAnsi="Trebuchet MS"/>
                <w:lang w:val="en-US"/>
              </w:rPr>
              <w:t xml:space="preserve"> </w:t>
            </w:r>
            <w:proofErr w:type="spellStart"/>
            <w:r w:rsidRPr="009D5DC9">
              <w:rPr>
                <w:rFonts w:ascii="Trebuchet MS" w:eastAsiaTheme="minorEastAsia" w:hAnsi="Trebuchet MS"/>
                <w:lang w:val="en-US"/>
              </w:rPr>
              <w:t>opismenjavanja</w:t>
            </w:r>
            <w:proofErr w:type="spellEnd"/>
            <w:r w:rsidRPr="009D5DC9">
              <w:rPr>
                <w:rFonts w:ascii="Trebuchet MS" w:eastAsiaTheme="minorEastAsia" w:hAnsi="Trebuchet MS"/>
                <w:lang w:val="en-US"/>
              </w:rPr>
              <w:t xml:space="preserve"> </w:t>
            </w:r>
            <w:proofErr w:type="spellStart"/>
            <w:r w:rsidRPr="009D5DC9">
              <w:rPr>
                <w:rFonts w:ascii="Trebuchet MS" w:eastAsiaTheme="minorEastAsia" w:hAnsi="Trebuchet MS"/>
                <w:lang w:val="en-US"/>
              </w:rPr>
              <w:t>bilo</w:t>
            </w:r>
            <w:proofErr w:type="spellEnd"/>
            <w:r w:rsidRPr="009D5DC9">
              <w:rPr>
                <w:rFonts w:ascii="Trebuchet MS" w:eastAsiaTheme="minorEastAsia" w:hAnsi="Trebuchet MS"/>
                <w:lang w:val="en-US"/>
              </w:rPr>
              <w:t xml:space="preserve"> je </w:t>
            </w:r>
            <w:proofErr w:type="spellStart"/>
            <w:r w:rsidRPr="009D5DC9">
              <w:rPr>
                <w:rFonts w:ascii="Trebuchet MS" w:eastAsiaTheme="minorEastAsia" w:hAnsi="Trebuchet MS"/>
                <w:lang w:val="en-US"/>
              </w:rPr>
              <w:t>uključen</w:t>
            </w:r>
            <w:r w:rsidR="0071177F" w:rsidRPr="009D5DC9">
              <w:rPr>
                <w:rFonts w:ascii="Trebuchet MS" w:eastAsiaTheme="minorEastAsia" w:hAnsi="Trebuchet MS"/>
                <w:lang w:val="en-US"/>
              </w:rPr>
              <w:t>o</w:t>
            </w:r>
            <w:proofErr w:type="spellEnd"/>
            <w:r w:rsidRPr="009D5DC9">
              <w:rPr>
                <w:rFonts w:ascii="Trebuchet MS" w:eastAsiaTheme="minorEastAsia" w:hAnsi="Trebuchet MS"/>
                <w:lang w:val="en-US"/>
              </w:rPr>
              <w:t xml:space="preserve">  1</w:t>
            </w:r>
            <w:r w:rsidR="00725F1C" w:rsidRPr="009D5DC9">
              <w:rPr>
                <w:rFonts w:ascii="Trebuchet MS" w:eastAsiaTheme="minorEastAsia" w:hAnsi="Trebuchet MS"/>
                <w:lang w:val="en-US"/>
              </w:rPr>
              <w:t>4</w:t>
            </w:r>
            <w:r w:rsidRPr="009D5DC9">
              <w:rPr>
                <w:rFonts w:ascii="Trebuchet MS" w:eastAsiaTheme="minorEastAsia" w:hAnsi="Trebuchet MS"/>
                <w:lang w:val="en-US"/>
              </w:rPr>
              <w:t xml:space="preserve"> </w:t>
            </w:r>
            <w:proofErr w:type="spellStart"/>
            <w:r w:rsidRPr="009D5DC9">
              <w:rPr>
                <w:rFonts w:ascii="Trebuchet MS" w:eastAsiaTheme="minorEastAsia" w:hAnsi="Trebuchet MS"/>
                <w:lang w:val="en-US"/>
              </w:rPr>
              <w:t>polaznika</w:t>
            </w:r>
            <w:proofErr w:type="spellEnd"/>
            <w:r w:rsidR="002F5AD5" w:rsidRPr="009D5DC9">
              <w:rPr>
                <w:rFonts w:ascii="Trebuchet MS" w:eastAsiaTheme="minorEastAsia" w:hAnsi="Trebuchet MS"/>
                <w:lang w:val="en-US"/>
              </w:rPr>
              <w:t>/ca</w:t>
            </w:r>
            <w:r w:rsidRPr="009D5DC9">
              <w:rPr>
                <w:rFonts w:ascii="Trebuchet MS" w:eastAsiaTheme="minorEastAsia" w:hAnsi="Trebuchet MS"/>
                <w:lang w:val="en-US"/>
              </w:rPr>
              <w:t>.</w:t>
            </w:r>
          </w:p>
          <w:p w14:paraId="357100C7" w14:textId="77777777" w:rsidR="00650F82" w:rsidRPr="00650F82" w:rsidRDefault="00650F82" w:rsidP="00650F82">
            <w:pP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52FEF9AA" w14:textId="77777777"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 xml:space="preserve">Broj licenciranih organizatora obrazovanja odraslih koji su realizovali prilagođeni program osnovnog obrazovanja odraslih </w:t>
            </w:r>
          </w:p>
          <w:p w14:paraId="48AC9C5F" w14:textId="77777777" w:rsidR="00E42ECC" w:rsidRPr="009D5DC9" w:rsidRDefault="00E42ECC" w:rsidP="00E42ECC">
            <w:pPr>
              <w:spacing w:after="0" w:line="259" w:lineRule="auto"/>
              <w:contextualSpacing/>
              <w:jc w:val="both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 xml:space="preserve">4 licencirane ustanove za realizaciju programa  osnovnog obrazovanja odraslih </w:t>
            </w:r>
          </w:p>
          <w:p w14:paraId="52612C2D" w14:textId="4FF35CA7" w:rsidR="00E42ECC" w:rsidRPr="009D5DC9" w:rsidRDefault="00E42ECC" w:rsidP="00E42ECC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contextualSpacing/>
              <w:jc w:val="both"/>
              <w:rPr>
                <w:rFonts w:ascii="Trebuchet MS" w:eastAsiaTheme="minorEastAsia" w:hAnsi="Trebuchet MS"/>
                <w:b/>
                <w:u w:val="single"/>
                <w:lang w:val="en-US"/>
              </w:rPr>
            </w:pPr>
            <w:r w:rsidRPr="009D5DC9">
              <w:rPr>
                <w:rFonts w:ascii="Trebuchet MS" w:hAnsi="Trebuchet MS"/>
                <w:lang w:val="en-US"/>
              </w:rPr>
              <w:t xml:space="preserve">JU </w:t>
            </w:r>
            <w:proofErr w:type="spellStart"/>
            <w:r w:rsidRPr="009D5DC9">
              <w:rPr>
                <w:rFonts w:ascii="Trebuchet MS" w:hAnsi="Trebuchet MS"/>
                <w:lang w:val="en-US"/>
              </w:rPr>
              <w:t>Osnovna</w:t>
            </w:r>
            <w:proofErr w:type="spellEnd"/>
            <w:r w:rsidRPr="009D5DC9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9D5DC9">
              <w:rPr>
                <w:rFonts w:ascii="Trebuchet MS" w:hAnsi="Trebuchet MS"/>
                <w:lang w:val="en-US"/>
              </w:rPr>
              <w:t>škola</w:t>
            </w:r>
            <w:proofErr w:type="spellEnd"/>
            <w:r w:rsidRPr="009D5DC9">
              <w:rPr>
                <w:rFonts w:ascii="Trebuchet MS" w:hAnsi="Trebuchet MS"/>
                <w:lang w:val="en-US"/>
              </w:rPr>
              <w:t xml:space="preserve"> »</w:t>
            </w:r>
            <w:proofErr w:type="spellStart"/>
            <w:r w:rsidRPr="009D5DC9">
              <w:rPr>
                <w:rFonts w:ascii="Trebuchet MS" w:hAnsi="Trebuchet MS"/>
                <w:lang w:val="en-US"/>
              </w:rPr>
              <w:t>Pavle</w:t>
            </w:r>
            <w:proofErr w:type="spellEnd"/>
            <w:r w:rsidRPr="009D5DC9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9D5DC9">
              <w:rPr>
                <w:rFonts w:ascii="Trebuchet MS" w:hAnsi="Trebuchet MS"/>
                <w:lang w:val="en-US"/>
              </w:rPr>
              <w:t>Žižić</w:t>
            </w:r>
            <w:proofErr w:type="spellEnd"/>
            <w:r w:rsidRPr="009D5DC9">
              <w:rPr>
                <w:rFonts w:ascii="Trebuchet MS" w:hAnsi="Trebuchet MS"/>
                <w:lang w:val="en-US"/>
              </w:rPr>
              <w:t xml:space="preserve">«, </w:t>
            </w:r>
            <w:proofErr w:type="spellStart"/>
            <w:r w:rsidRPr="009D5DC9">
              <w:rPr>
                <w:rFonts w:ascii="Trebuchet MS" w:hAnsi="Trebuchet MS"/>
                <w:lang w:val="en-US"/>
              </w:rPr>
              <w:t>Bijelo</w:t>
            </w:r>
            <w:proofErr w:type="spellEnd"/>
            <w:r w:rsidRPr="009D5DC9">
              <w:rPr>
                <w:rFonts w:ascii="Trebuchet MS" w:hAnsi="Trebuchet MS"/>
                <w:lang w:val="en-US"/>
              </w:rPr>
              <w:t xml:space="preserve"> Polje</w:t>
            </w:r>
          </w:p>
          <w:p w14:paraId="303270D2" w14:textId="46366083" w:rsidR="00E42ECC" w:rsidRPr="009D5DC9" w:rsidRDefault="00E42ECC" w:rsidP="00E42ECC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contextualSpacing/>
              <w:jc w:val="both"/>
              <w:rPr>
                <w:rFonts w:ascii="Trebuchet MS" w:eastAsiaTheme="minorEastAsia" w:hAnsi="Trebuchet MS"/>
                <w:b/>
                <w:u w:val="single"/>
                <w:lang w:val="en-US"/>
              </w:rPr>
            </w:pPr>
            <w:r w:rsidRPr="009D5DC9">
              <w:rPr>
                <w:rFonts w:ascii="Trebuchet MS" w:hAnsi="Trebuchet MS"/>
                <w:lang w:val="en-US"/>
              </w:rPr>
              <w:t xml:space="preserve">JU </w:t>
            </w:r>
            <w:proofErr w:type="spellStart"/>
            <w:r w:rsidRPr="009D5DC9">
              <w:rPr>
                <w:rFonts w:ascii="Trebuchet MS" w:hAnsi="Trebuchet MS"/>
                <w:lang w:val="en-US"/>
              </w:rPr>
              <w:t>Škola</w:t>
            </w:r>
            <w:proofErr w:type="spellEnd"/>
            <w:r w:rsidRPr="009D5DC9">
              <w:rPr>
                <w:rFonts w:ascii="Trebuchet MS" w:hAnsi="Trebuchet MS"/>
                <w:lang w:val="en-US"/>
              </w:rPr>
              <w:t xml:space="preserve"> za </w:t>
            </w:r>
            <w:proofErr w:type="spellStart"/>
            <w:r w:rsidRPr="009D5DC9">
              <w:rPr>
                <w:rFonts w:ascii="Trebuchet MS" w:hAnsi="Trebuchet MS"/>
                <w:lang w:val="en-US"/>
              </w:rPr>
              <w:t>srednje</w:t>
            </w:r>
            <w:proofErr w:type="spellEnd"/>
            <w:r w:rsidRPr="009D5DC9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9D5DC9">
              <w:rPr>
                <w:rFonts w:ascii="Trebuchet MS" w:hAnsi="Trebuchet MS"/>
                <w:lang w:val="en-US"/>
              </w:rPr>
              <w:t>i</w:t>
            </w:r>
            <w:proofErr w:type="spellEnd"/>
            <w:r w:rsidRPr="009D5DC9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9D5DC9">
              <w:rPr>
                <w:rFonts w:ascii="Trebuchet MS" w:hAnsi="Trebuchet MS"/>
                <w:lang w:val="en-US"/>
              </w:rPr>
              <w:t>više</w:t>
            </w:r>
            <w:proofErr w:type="spellEnd"/>
            <w:r w:rsidRPr="009D5DC9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9D5DC9">
              <w:rPr>
                <w:rFonts w:ascii="Trebuchet MS" w:hAnsi="Trebuchet MS"/>
                <w:lang w:val="en-US"/>
              </w:rPr>
              <w:t>stručno</w:t>
            </w:r>
            <w:proofErr w:type="spellEnd"/>
            <w:r w:rsidRPr="009D5DC9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9D5DC9">
              <w:rPr>
                <w:rFonts w:ascii="Trebuchet MS" w:hAnsi="Trebuchet MS"/>
                <w:lang w:val="en-US"/>
              </w:rPr>
              <w:t>obrazovanje</w:t>
            </w:r>
            <w:proofErr w:type="spellEnd"/>
            <w:r w:rsidRPr="009D5DC9">
              <w:rPr>
                <w:rFonts w:ascii="Trebuchet MS" w:hAnsi="Trebuchet MS"/>
                <w:lang w:val="en-US"/>
              </w:rPr>
              <w:t xml:space="preserve"> »</w:t>
            </w:r>
            <w:proofErr w:type="spellStart"/>
            <w:r w:rsidRPr="009D5DC9">
              <w:rPr>
                <w:rFonts w:ascii="Trebuchet MS" w:hAnsi="Trebuchet MS"/>
                <w:lang w:val="en-US"/>
              </w:rPr>
              <w:t>Sergije</w:t>
            </w:r>
            <w:proofErr w:type="spellEnd"/>
            <w:r w:rsidRPr="009D5DC9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9D5DC9">
              <w:rPr>
                <w:rFonts w:ascii="Trebuchet MS" w:hAnsi="Trebuchet MS"/>
                <w:lang w:val="en-US"/>
              </w:rPr>
              <w:t>Stanić</w:t>
            </w:r>
            <w:proofErr w:type="spellEnd"/>
            <w:r w:rsidRPr="009D5DC9">
              <w:rPr>
                <w:rFonts w:ascii="Trebuchet MS" w:hAnsi="Trebuchet MS"/>
                <w:lang w:val="en-US"/>
              </w:rPr>
              <w:t>« Podgorica</w:t>
            </w:r>
          </w:p>
          <w:p w14:paraId="7A6C35F8" w14:textId="2F21665F" w:rsidR="00E42ECC" w:rsidRPr="009D5DC9" w:rsidRDefault="00E42ECC" w:rsidP="00E42ECC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contextualSpacing/>
              <w:jc w:val="both"/>
              <w:rPr>
                <w:rFonts w:ascii="Trebuchet MS" w:eastAsiaTheme="minorEastAsia" w:hAnsi="Trebuchet MS"/>
                <w:b/>
                <w:u w:val="single"/>
                <w:lang w:val="en-US"/>
              </w:rPr>
            </w:pPr>
            <w:r w:rsidRPr="009D5DC9">
              <w:rPr>
                <w:rFonts w:ascii="Trebuchet MS" w:hAnsi="Trebuchet MS"/>
                <w:lang w:val="en-US"/>
              </w:rPr>
              <w:t>JU Osnovna škola »Marko Miljanov« Podgorica</w:t>
            </w:r>
          </w:p>
          <w:p w14:paraId="220520FB" w14:textId="7A98C075" w:rsidR="00E42ECC" w:rsidRPr="009D5DC9" w:rsidRDefault="00E42ECC" w:rsidP="00E42ECC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contextualSpacing/>
              <w:jc w:val="both"/>
              <w:rPr>
                <w:rFonts w:ascii="Trebuchet MS" w:eastAsiaTheme="minorEastAsia" w:hAnsi="Trebuchet MS"/>
                <w:b/>
                <w:u w:val="single"/>
                <w:lang w:val="en-US"/>
              </w:rPr>
            </w:pPr>
            <w:r w:rsidRPr="009D5DC9">
              <w:rPr>
                <w:rFonts w:ascii="Trebuchet MS" w:hAnsi="Trebuchet MS"/>
                <w:lang w:val="en-US"/>
              </w:rPr>
              <w:t xml:space="preserve">JU </w:t>
            </w:r>
            <w:proofErr w:type="spellStart"/>
            <w:r w:rsidRPr="009D5DC9">
              <w:rPr>
                <w:rFonts w:ascii="Trebuchet MS" w:hAnsi="Trebuchet MS"/>
                <w:lang w:val="en-US"/>
              </w:rPr>
              <w:t>Osnovna</w:t>
            </w:r>
            <w:proofErr w:type="spellEnd"/>
            <w:r w:rsidRPr="009D5DC9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9D5DC9">
              <w:rPr>
                <w:rFonts w:ascii="Trebuchet MS" w:hAnsi="Trebuchet MS"/>
                <w:lang w:val="en-US"/>
              </w:rPr>
              <w:t>škola</w:t>
            </w:r>
            <w:proofErr w:type="spellEnd"/>
            <w:r w:rsidRPr="009D5DC9">
              <w:rPr>
                <w:rFonts w:ascii="Trebuchet MS" w:hAnsi="Trebuchet MS"/>
                <w:lang w:val="en-US"/>
              </w:rPr>
              <w:t xml:space="preserve"> »</w:t>
            </w:r>
            <w:proofErr w:type="spellStart"/>
            <w:r w:rsidRPr="009D5DC9">
              <w:rPr>
                <w:rFonts w:ascii="Trebuchet MS" w:hAnsi="Trebuchet MS"/>
                <w:lang w:val="en-US"/>
              </w:rPr>
              <w:t>Radoje</w:t>
            </w:r>
            <w:proofErr w:type="spellEnd"/>
            <w:r w:rsidRPr="009D5DC9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9D5DC9">
              <w:rPr>
                <w:rFonts w:ascii="Trebuchet MS" w:hAnsi="Trebuchet MS"/>
                <w:lang w:val="en-US"/>
              </w:rPr>
              <w:t>Čizmović</w:t>
            </w:r>
            <w:proofErr w:type="spellEnd"/>
            <w:r w:rsidRPr="009D5DC9">
              <w:rPr>
                <w:rFonts w:ascii="Trebuchet MS" w:hAnsi="Trebuchet MS"/>
                <w:lang w:val="en-US"/>
              </w:rPr>
              <w:t xml:space="preserve">« </w:t>
            </w:r>
            <w:proofErr w:type="spellStart"/>
            <w:r w:rsidRPr="009D5DC9">
              <w:rPr>
                <w:rFonts w:ascii="Trebuchet MS" w:hAnsi="Trebuchet MS"/>
                <w:lang w:val="en-US"/>
              </w:rPr>
              <w:t>Nikšić</w:t>
            </w:r>
            <w:proofErr w:type="spellEnd"/>
            <w:r w:rsidRPr="009D5DC9">
              <w:rPr>
                <w:rFonts w:ascii="Trebuchet MS" w:hAnsi="Trebuchet MS"/>
                <w:lang w:val="en-US"/>
              </w:rPr>
              <w:t xml:space="preserve"> </w:t>
            </w:r>
          </w:p>
          <w:p w14:paraId="5AC9195B" w14:textId="1B8EDA80" w:rsidR="00E42ECC" w:rsidRPr="000A3EBE" w:rsidRDefault="00E42ECC" w:rsidP="00E42ECC">
            <w:pP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</w:tc>
      </w:tr>
      <w:tr w:rsidR="008B2B5E" w14:paraId="5169B2C8" w14:textId="77777777" w:rsidTr="000A3EBE">
        <w:trPr>
          <w:jc w:val="center"/>
        </w:trPr>
        <w:tc>
          <w:tcPr>
            <w:tcW w:w="2561" w:type="dxa"/>
          </w:tcPr>
          <w:p w14:paraId="49AC896C" w14:textId="77777777" w:rsidR="008B2B5E" w:rsidRPr="000A3EB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t xml:space="preserve">Sprovođenje aktivnosti u cilju podizanja svijesti građana o važnosti cjeloživotnog učenja i prava na </w:t>
            </w:r>
            <w:r w:rsidRPr="000A3EBE">
              <w:rPr>
                <w:rFonts w:ascii="Trebuchet MS" w:eastAsia="Trebuchet MS" w:hAnsi="Trebuchet MS" w:cs="Trebuchet MS"/>
                <w:b/>
              </w:rPr>
              <w:lastRenderedPageBreak/>
              <w:t>visokokvalitetno obrazovanje u bilo kojem trenutku svog života</w:t>
            </w:r>
            <w:r w:rsidRPr="000A3EBE">
              <w:rPr>
                <w:rFonts w:ascii="Trebuchet MS" w:eastAsia="Trebuchet MS" w:hAnsi="Trebuchet MS" w:cs="Trebuchet MS"/>
                <w:b/>
                <w:vertAlign w:val="superscript"/>
              </w:rPr>
              <w:footnoteReference w:id="2"/>
            </w:r>
            <w:r w:rsidRPr="000A3EBE">
              <w:rPr>
                <w:rFonts w:ascii="Trebuchet MS" w:eastAsia="Trebuchet MS" w:hAnsi="Trebuchet MS" w:cs="Trebuchet MS"/>
                <w:b/>
              </w:rPr>
              <w:t xml:space="preserve"> (realizovanje promotivnih kampanja, obilježavanje Dana pismenosti, Dana starih i sl.)</w:t>
            </w:r>
          </w:p>
        </w:tc>
        <w:tc>
          <w:tcPr>
            <w:tcW w:w="2834" w:type="dxa"/>
          </w:tcPr>
          <w:p w14:paraId="7B20DBB5" w14:textId="77777777" w:rsidR="008B2B5E" w:rsidRPr="000A3EB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lastRenderedPageBreak/>
              <w:t>Centar za stručno obrazovanje /</w:t>
            </w:r>
            <w:r w:rsidRPr="000A3EBE">
              <w:rPr>
                <w:rFonts w:ascii="Trebuchet MS" w:eastAsia="Trebuchet MS" w:hAnsi="Trebuchet MS" w:cs="Trebuchet MS"/>
              </w:rPr>
              <w:t xml:space="preserve"> </w:t>
            </w:r>
          </w:p>
          <w:p w14:paraId="3699A90A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Ministarstvo prosvjete</w:t>
            </w:r>
            <w:r w:rsidR="00043954" w:rsidRPr="000A3EBE">
              <w:rPr>
                <w:rFonts w:ascii="Trebuchet MS" w:eastAsia="Trebuchet MS" w:hAnsi="Trebuchet MS" w:cs="Trebuchet MS"/>
                <w:color w:val="000000"/>
              </w:rPr>
              <w:t>, nuke i inovacija</w:t>
            </w:r>
          </w:p>
          <w:p w14:paraId="3FF6A8E5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lastRenderedPageBreak/>
              <w:t>Licencirani organizatori obrazovanja odraslih</w:t>
            </w:r>
          </w:p>
          <w:p w14:paraId="74BA1EDF" w14:textId="77777777" w:rsidR="008B2B5E" w:rsidRPr="000A3EB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Socijalni partneri</w:t>
            </w:r>
          </w:p>
          <w:p w14:paraId="233F4E5E" w14:textId="77777777" w:rsidR="008B2B5E" w:rsidRPr="000A3EB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891" w:type="dxa"/>
          </w:tcPr>
          <w:p w14:paraId="4EAE41A4" w14:textId="5D49697E" w:rsidR="008B2B5E" w:rsidRPr="009D5DC9" w:rsidRDefault="009D5DC9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9D5DC9">
              <w:rPr>
                <w:rFonts w:ascii="Trebuchet MS" w:eastAsia="Trebuchet MS" w:hAnsi="Trebuchet MS" w:cs="Trebuchet MS"/>
                <w:b/>
              </w:rPr>
              <w:lastRenderedPageBreak/>
              <w:t>Realizovano</w:t>
            </w:r>
          </w:p>
        </w:tc>
        <w:tc>
          <w:tcPr>
            <w:tcW w:w="2814" w:type="dxa"/>
          </w:tcPr>
          <w:p w14:paraId="0E191416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1.500,00€ Budžet</w:t>
            </w:r>
          </w:p>
          <w:p w14:paraId="73244BDB" w14:textId="77777777" w:rsidR="008B2B5E" w:rsidRPr="000A3EB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740" w:type="dxa"/>
          </w:tcPr>
          <w:p w14:paraId="527F15C8" w14:textId="4473AD25" w:rsidR="008B2B5E" w:rsidRDefault="00A532C6" w:rsidP="00650F82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 xml:space="preserve">Broj edukativnih aktivnosti realizovanih kroz manifestaciju </w:t>
            </w:r>
            <w:r w:rsidR="003551F5" w:rsidRPr="000A3EBE">
              <w:rPr>
                <w:rFonts w:ascii="Trebuchet MS" w:eastAsia="Trebuchet MS" w:hAnsi="Trebuchet MS" w:cs="Trebuchet MS"/>
              </w:rPr>
              <w:t>»</w:t>
            </w:r>
            <w:r w:rsidRPr="000A3EBE">
              <w:rPr>
                <w:rFonts w:ascii="Trebuchet MS" w:eastAsia="Trebuchet MS" w:hAnsi="Trebuchet MS" w:cs="Trebuchet MS"/>
              </w:rPr>
              <w:t>Dani obrazovanja i učenja odraslih</w:t>
            </w:r>
            <w:r w:rsidR="003551F5" w:rsidRPr="000A3EBE">
              <w:rPr>
                <w:rFonts w:ascii="Trebuchet MS" w:eastAsia="Trebuchet MS" w:hAnsi="Trebuchet MS" w:cs="Trebuchet MS"/>
              </w:rPr>
              <w:t>«</w:t>
            </w:r>
          </w:p>
          <w:p w14:paraId="4A0495CC" w14:textId="77777777" w:rsidR="00650F82" w:rsidRPr="009D5DC9" w:rsidRDefault="00650F82" w:rsidP="00650F82">
            <w:pPr>
              <w:spacing w:before="40" w:after="40" w:line="240" w:lineRule="auto"/>
              <w:jc w:val="both"/>
              <w:rPr>
                <w:rFonts w:ascii="Trebuchet MS" w:hAnsi="Trebuchet MS"/>
              </w:rPr>
            </w:pPr>
            <w:r w:rsidRPr="009D5DC9">
              <w:rPr>
                <w:rFonts w:ascii="Trebuchet MS" w:hAnsi="Trebuchet MS"/>
              </w:rPr>
              <w:t xml:space="preserve">Manifestacija XXXIII Dana obrazovanja i učenja odraslih organizovana je u periodu od 18. novembra do 15. decembra </w:t>
            </w:r>
            <w:r w:rsidRPr="009D5DC9">
              <w:rPr>
                <w:rFonts w:ascii="Trebuchet MS" w:hAnsi="Trebuchet MS"/>
              </w:rPr>
              <w:lastRenderedPageBreak/>
              <w:t>2024. godine. U okviru manifestacije realizovana je 21 aktivnost:</w:t>
            </w:r>
          </w:p>
          <w:p w14:paraId="2CF380F6" w14:textId="77777777" w:rsidR="00650F82" w:rsidRPr="009D5DC9" w:rsidRDefault="00650F82" w:rsidP="00650F82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ontextualSpacing/>
              <w:jc w:val="both"/>
              <w:rPr>
                <w:rFonts w:ascii="Trebuchet MS" w:hAnsi="Trebuchet MS"/>
              </w:rPr>
            </w:pPr>
            <w:r w:rsidRPr="009D5DC9">
              <w:rPr>
                <w:rFonts w:ascii="Trebuchet MS" w:hAnsi="Trebuchet MS"/>
              </w:rPr>
              <w:t>Okrugli sto na temu  »Brzi odgovor obrazovnog sistema na zahtjeve i potrebe tržišta rada i poslodavaca-inovativni modeli učenja« u Podgorici na početku manifestacije organizovao je Centar za stručno obrazovanje u saradnji sa Ministarstvom prosvjete nauke i inovacija</w:t>
            </w:r>
          </w:p>
          <w:p w14:paraId="14A72CA5" w14:textId="77777777" w:rsidR="00650F82" w:rsidRPr="009D5DC9" w:rsidRDefault="00650F82" w:rsidP="00650F82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ontextualSpacing/>
              <w:jc w:val="both"/>
              <w:rPr>
                <w:rFonts w:ascii="Trebuchet MS" w:hAnsi="Trebuchet MS"/>
              </w:rPr>
            </w:pPr>
            <w:r w:rsidRPr="009D5DC9">
              <w:rPr>
                <w:rFonts w:ascii="Trebuchet MS" w:hAnsi="Trebuchet MS"/>
              </w:rPr>
              <w:t>Okrugli sto na temu: «Inovativni modeli obrazovanja i učenja za unapređenje stručnog obrazovanja i obrazovanja odraslih« organizovao je Centar za stručno obrazovanje u saradnji sa Srednjom stručnom školom »Ivan Goran Kovačić« u Herceg Novom i u Golubovcima u saradnji sa Srednjom mješovitom školom Golubovci.</w:t>
            </w:r>
          </w:p>
          <w:p w14:paraId="6C687029" w14:textId="77777777" w:rsidR="00650F82" w:rsidRPr="009D5DC9" w:rsidRDefault="00650F82" w:rsidP="00650F82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ontextualSpacing/>
              <w:jc w:val="both"/>
              <w:rPr>
                <w:rFonts w:ascii="Trebuchet MS" w:hAnsi="Trebuchet MS"/>
              </w:rPr>
            </w:pPr>
            <w:r w:rsidRPr="009D5DC9">
              <w:rPr>
                <w:rFonts w:ascii="Trebuchet MS" w:hAnsi="Trebuchet MS"/>
              </w:rPr>
              <w:t>Okrugli sto na temu »CE marking Platform« organizovala je Privredna komora Crne Gore</w:t>
            </w:r>
          </w:p>
          <w:p w14:paraId="7DA3B3E6" w14:textId="77777777" w:rsidR="00650F82" w:rsidRPr="009D5DC9" w:rsidRDefault="00650F82" w:rsidP="00650F82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ontextualSpacing/>
              <w:jc w:val="both"/>
              <w:rPr>
                <w:rFonts w:ascii="Trebuchet MS" w:hAnsi="Trebuchet MS"/>
              </w:rPr>
            </w:pPr>
            <w:r w:rsidRPr="009D5DC9">
              <w:rPr>
                <w:rFonts w:ascii="Trebuchet MS" w:hAnsi="Trebuchet MS"/>
              </w:rPr>
              <w:t>Panel diskusiju na temu »Turizam-potrebe i izazovi tržišta rada u Crnoj Gori organizovao je Centar za stručno obrazovanje u Kolašinu</w:t>
            </w:r>
          </w:p>
          <w:p w14:paraId="0C398B0C" w14:textId="77777777" w:rsidR="00650F82" w:rsidRPr="009D5DC9" w:rsidRDefault="00650F82" w:rsidP="00650F82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ontextualSpacing/>
              <w:jc w:val="both"/>
              <w:rPr>
                <w:rFonts w:ascii="Trebuchet MS" w:hAnsi="Trebuchet MS"/>
              </w:rPr>
            </w:pPr>
            <w:r w:rsidRPr="009D5DC9">
              <w:rPr>
                <w:rFonts w:ascii="Trebuchet MS" w:hAnsi="Trebuchet MS"/>
              </w:rPr>
              <w:t xml:space="preserve">Konferenciju« Medijska pismenost u digitalnom ekosistemu vještačke inteligencije« organizovalo je Ministarstvo prosvjete, nauke i inovacija u okviru Projekta EPALE </w:t>
            </w:r>
          </w:p>
          <w:p w14:paraId="16981504" w14:textId="77777777" w:rsidR="00650F82" w:rsidRPr="009D5DC9" w:rsidRDefault="00650F82" w:rsidP="00650F82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ontextualSpacing/>
              <w:jc w:val="both"/>
              <w:rPr>
                <w:rFonts w:ascii="Trebuchet MS" w:hAnsi="Trebuchet MS"/>
              </w:rPr>
            </w:pPr>
            <w:r w:rsidRPr="009D5DC9">
              <w:rPr>
                <w:rFonts w:ascii="Trebuchet MS" w:hAnsi="Trebuchet MS"/>
              </w:rPr>
              <w:t xml:space="preserve">Dva seminara na temu »Stop rodnim stereotipima pri izboru zanimanja organizovao je Centar za stručno obrazovanje  u Podgorici za predstavnike pedagoško -psiholoških službi u saradnji sa Srednjom stručnom školom »Spasoje Raspopović« i za zaposlene iz </w:t>
            </w:r>
            <w:r w:rsidRPr="009D5DC9">
              <w:rPr>
                <w:rFonts w:ascii="Trebuchet MS" w:hAnsi="Trebuchet MS"/>
              </w:rPr>
              <w:lastRenderedPageBreak/>
              <w:t>obrazovnih institucija – Zavoda za udžbenike i nastavna sredstva, Zavoda za školstvo  i Centra za stručno obrazovanje</w:t>
            </w:r>
          </w:p>
          <w:p w14:paraId="636B0322" w14:textId="77777777" w:rsidR="00650F82" w:rsidRPr="009D5DC9" w:rsidRDefault="00650F82" w:rsidP="00650F82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ontextualSpacing/>
              <w:jc w:val="both"/>
              <w:rPr>
                <w:rFonts w:ascii="Trebuchet MS" w:hAnsi="Trebuchet MS"/>
              </w:rPr>
            </w:pPr>
            <w:r w:rsidRPr="009D5DC9">
              <w:rPr>
                <w:rFonts w:ascii="Trebuchet MS" w:hAnsi="Trebuchet MS"/>
              </w:rPr>
              <w:t>Privredna komora Crne Gore je organizovala tri seminara za zaposlene u privredi: »Izazovi i značaj primjene Izvještaja o održivom poslovanju kao dio ESG«, »Uticaj implementacije ESG(koncept održivog razvoja) koncepta na proces izvršenja interne revizije« i »Primjena AL u poslovanju«</w:t>
            </w:r>
          </w:p>
          <w:p w14:paraId="1B641089" w14:textId="77777777" w:rsidR="00650F82" w:rsidRPr="009D5DC9" w:rsidRDefault="00650F82" w:rsidP="00650F82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ontextualSpacing/>
              <w:jc w:val="both"/>
              <w:rPr>
                <w:rFonts w:ascii="Trebuchet MS" w:hAnsi="Trebuchet MS"/>
              </w:rPr>
            </w:pPr>
            <w:r w:rsidRPr="009D5DC9">
              <w:rPr>
                <w:rFonts w:ascii="Trebuchet MS" w:hAnsi="Trebuchet MS"/>
              </w:rPr>
              <w:t>Centar za stručno obrazovanje je organizovao pet radionica za RE roditelje:</w:t>
            </w:r>
          </w:p>
          <w:p w14:paraId="68DB21CC" w14:textId="77777777" w:rsidR="00650F82" w:rsidRPr="009D5DC9" w:rsidRDefault="00650F82" w:rsidP="00650F82">
            <w:pPr>
              <w:pStyle w:val="ListParagraph"/>
              <w:spacing w:before="40" w:after="40" w:line="240" w:lineRule="auto"/>
              <w:jc w:val="both"/>
              <w:rPr>
                <w:rFonts w:ascii="Trebuchet MS" w:hAnsi="Trebuchet MS"/>
              </w:rPr>
            </w:pPr>
            <w:r w:rsidRPr="009D5DC9">
              <w:rPr>
                <w:rFonts w:ascii="Trebuchet MS" w:hAnsi="Trebuchet MS"/>
              </w:rPr>
              <w:t>u saradnji sa Opštinskom organizacijom Crvenog krsta Tivat na temu «Značaj obrazovanja i učenja za lični iporodični razvoj u Tivtu</w:t>
            </w:r>
          </w:p>
          <w:p w14:paraId="39AC7AA2" w14:textId="77777777" w:rsidR="00650F82" w:rsidRPr="009D5DC9" w:rsidRDefault="00650F82" w:rsidP="00650F82">
            <w:pPr>
              <w:pStyle w:val="ListParagraph"/>
              <w:spacing w:before="40" w:after="40" w:line="240" w:lineRule="auto"/>
              <w:jc w:val="both"/>
              <w:rPr>
                <w:rFonts w:ascii="Trebuchet MS" w:hAnsi="Trebuchet MS"/>
              </w:rPr>
            </w:pPr>
            <w:r w:rsidRPr="009D5DC9">
              <w:rPr>
                <w:rFonts w:ascii="Trebuchet MS" w:hAnsi="Trebuchet MS"/>
              </w:rPr>
              <w:t>u saradnji sa JU Osnovna škola «Vuk Kardžić« na temu Uloga roditelja u životu i školovanju djece« u Beranama</w:t>
            </w:r>
          </w:p>
          <w:p w14:paraId="28E9656E" w14:textId="77777777" w:rsidR="00650F82" w:rsidRPr="009D5DC9" w:rsidRDefault="00650F82" w:rsidP="00650F82">
            <w:pPr>
              <w:pStyle w:val="ListParagraph"/>
              <w:spacing w:before="40" w:after="40" w:line="240" w:lineRule="auto"/>
              <w:jc w:val="both"/>
              <w:rPr>
                <w:rFonts w:ascii="Trebuchet MS" w:hAnsi="Trebuchet MS"/>
              </w:rPr>
            </w:pPr>
            <w:r w:rsidRPr="009D5DC9">
              <w:rPr>
                <w:rFonts w:ascii="Trebuchet MS" w:hAnsi="Trebuchet MS"/>
              </w:rPr>
              <w:t>u saradnji sa JU Osnovna škola »Pavle Žižić« na temu »Dječje potrebe« u Bijelom Polju</w:t>
            </w:r>
          </w:p>
          <w:p w14:paraId="1CE4F8DE" w14:textId="77777777" w:rsidR="00650F82" w:rsidRPr="009D5DC9" w:rsidRDefault="00650F82" w:rsidP="00650F82">
            <w:pPr>
              <w:pStyle w:val="ListParagraph"/>
              <w:spacing w:before="40" w:after="40" w:line="240" w:lineRule="auto"/>
              <w:jc w:val="both"/>
              <w:rPr>
                <w:rFonts w:ascii="Trebuchet MS" w:hAnsi="Trebuchet MS"/>
              </w:rPr>
            </w:pPr>
            <w:r w:rsidRPr="009D5DC9">
              <w:rPr>
                <w:rFonts w:ascii="Trebuchet MS" w:hAnsi="Trebuchet MS"/>
              </w:rPr>
              <w:t>u saradnji sa JU Osnovna škola «Radoje Čizmović« na temu »Položaj djeteta u porodici i dječje potrebe« u Nikšiću</w:t>
            </w:r>
          </w:p>
          <w:p w14:paraId="172C1034" w14:textId="77777777" w:rsidR="00650F82" w:rsidRPr="009D5DC9" w:rsidRDefault="00650F82" w:rsidP="00650F82">
            <w:pPr>
              <w:pStyle w:val="ListParagraph"/>
              <w:spacing w:before="40" w:after="40" w:line="240" w:lineRule="auto"/>
              <w:jc w:val="both"/>
              <w:rPr>
                <w:rFonts w:ascii="Trebuchet MS" w:hAnsi="Trebuchet MS"/>
              </w:rPr>
            </w:pPr>
            <w:r w:rsidRPr="009D5DC9">
              <w:rPr>
                <w:rFonts w:ascii="Trebuchet MS" w:hAnsi="Trebuchet MS"/>
              </w:rPr>
              <w:t xml:space="preserve">u saradnji sa JU Osnovna škola »Marko Miljanov« na temu »Školski uspjesi i neuspjesi« </w:t>
            </w:r>
          </w:p>
          <w:p w14:paraId="10764D2C" w14:textId="77777777" w:rsidR="00650F82" w:rsidRPr="009D5DC9" w:rsidRDefault="00650F82" w:rsidP="00650F82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ontextualSpacing/>
              <w:jc w:val="both"/>
              <w:rPr>
                <w:rFonts w:ascii="Trebuchet MS" w:hAnsi="Trebuchet MS"/>
              </w:rPr>
            </w:pPr>
            <w:r w:rsidRPr="009D5DC9">
              <w:rPr>
                <w:rFonts w:ascii="Trebuchet MS" w:hAnsi="Trebuchet MS"/>
              </w:rPr>
              <w:t>Prezentacije su organizovale dvije licenirane ustanove za obrazovanje odraslih: Takmičarske frizure PU organizator obrazovanja odraslih «Zoran« i prezentaciju  obrazovnih aktivnosti za azilante i RE populaciju JU Gimnazija »Slobodan Škerović« u Podgorici</w:t>
            </w:r>
          </w:p>
          <w:p w14:paraId="257B3FE4" w14:textId="77777777" w:rsidR="00650F82" w:rsidRPr="009D5DC9" w:rsidRDefault="00650F82" w:rsidP="00650F82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ontextualSpacing/>
              <w:jc w:val="both"/>
              <w:rPr>
                <w:rFonts w:ascii="Trebuchet MS" w:hAnsi="Trebuchet MS"/>
              </w:rPr>
            </w:pPr>
            <w:r w:rsidRPr="009D5DC9">
              <w:rPr>
                <w:rFonts w:ascii="Trebuchet MS" w:hAnsi="Trebuchet MS"/>
              </w:rPr>
              <w:lastRenderedPageBreak/>
              <w:t>Predavanje na temu »Online platforme za učenje i njihova gemifikacija« organizovao je Logate- Institut za informacione tehnologije</w:t>
            </w:r>
          </w:p>
          <w:p w14:paraId="044EDC6F" w14:textId="77777777" w:rsidR="00650F82" w:rsidRPr="009D5DC9" w:rsidRDefault="00650F82" w:rsidP="00650F82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ontextualSpacing/>
              <w:jc w:val="both"/>
              <w:rPr>
                <w:rFonts w:ascii="Trebuchet MS" w:hAnsi="Trebuchet MS"/>
              </w:rPr>
            </w:pPr>
            <w:r w:rsidRPr="009D5DC9">
              <w:rPr>
                <w:rFonts w:ascii="Trebuchet MS" w:hAnsi="Trebuchet MS"/>
              </w:rPr>
              <w:t>Centar za stručno obrazovanje je organizovao promociju analize »Djevojčice u stručnom obrazovanju«.</w:t>
            </w:r>
          </w:p>
          <w:p w14:paraId="606B3031" w14:textId="77777777" w:rsidR="00650F82" w:rsidRPr="009D5DC9" w:rsidRDefault="00650F82" w:rsidP="00650F82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ontextualSpacing/>
              <w:jc w:val="both"/>
              <w:rPr>
                <w:rFonts w:ascii="Trebuchet MS" w:hAnsi="Trebuchet MS"/>
              </w:rPr>
            </w:pPr>
            <w:r w:rsidRPr="009D5DC9">
              <w:rPr>
                <w:rFonts w:ascii="Trebuchet MS" w:hAnsi="Trebuchet MS"/>
              </w:rPr>
              <w:t>Post PLA Projekta MC VET organizovao je Centar za stručno obrazovanje u saradnji sa JU Srednja stručna škola »Ivan Uskoković« u Podgorici na kojoj su bili prisutni predstavnici Skupštine Crne Gore, Ministarstva prosvjete nauke i inovacija, Naučno tehnološkog parka, Ispitnog centra, univerzitata i licenciranih ustanova za obrazovanje odraslih</w:t>
            </w:r>
          </w:p>
          <w:p w14:paraId="24C64A1F" w14:textId="77777777" w:rsidR="00650F82" w:rsidRPr="009D5DC9" w:rsidRDefault="00650F82" w:rsidP="00650F82">
            <w:pP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707371FE" w14:textId="1FD4203E" w:rsidR="008B2B5E" w:rsidRDefault="00A532C6" w:rsidP="00650F82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Broj zainteresovanih građana i predstavnika stručne javnosti uključenih u edukativne aktivnosti</w:t>
            </w:r>
          </w:p>
          <w:p w14:paraId="27E5AD70" w14:textId="2BFDEE56" w:rsidR="00DF6D3E" w:rsidRPr="009D5DC9" w:rsidRDefault="00DF6D3E" w:rsidP="00DF6D3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>U aktivnosti je bilo uikljuečno oko 400 lica.</w:t>
            </w:r>
          </w:p>
          <w:p w14:paraId="16166A56" w14:textId="74FA2155" w:rsidR="007C5936" w:rsidRDefault="00A532C6" w:rsidP="00650F82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 xml:space="preserve">Broj lica koja su učestvovala na aktivnostima posvećenim obilježavanju Međunarodnog dana pismenosti, </w:t>
            </w:r>
          </w:p>
          <w:p w14:paraId="3ADDADA5" w14:textId="2114756E" w:rsidR="007C5936" w:rsidRPr="009D5DC9" w:rsidRDefault="007C5936" w:rsidP="007C593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hAnsi="Trebuchet MS"/>
              </w:rPr>
              <w:t>Međunarodni dan pismenosti obilježen je organizovanjem okruglog stola na temu »Pismenost za XXI vijek«. Okrugli sto je organizovan za stručnu javnost predstavnike obrazovnih ustanova, licenciranih organizatora obrazovanja odraslih i institucija socijalng partnerstva(20 učesnika/ca okruglo</w:t>
            </w:r>
            <w:r w:rsidR="00650F82" w:rsidRPr="009D5DC9">
              <w:rPr>
                <w:rFonts w:ascii="Trebuchet MS" w:hAnsi="Trebuchet MS"/>
              </w:rPr>
              <w:t>g stola).</w:t>
            </w:r>
          </w:p>
          <w:p w14:paraId="17E92366" w14:textId="5BC8B18B" w:rsidR="008B2B5E" w:rsidRDefault="00B64B2C" w:rsidP="00650F82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 xml:space="preserve">Broj lica koja su učestvovala na aktivnostima posvećenim obilježavanju 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  <w:r w:rsidR="00A532C6" w:rsidRPr="000A3EBE">
              <w:rPr>
                <w:rFonts w:ascii="Trebuchet MS" w:eastAsia="Trebuchet MS" w:hAnsi="Trebuchet MS" w:cs="Trebuchet MS"/>
              </w:rPr>
              <w:t>Međunarodnog dana starijih osoba</w:t>
            </w:r>
          </w:p>
          <w:p w14:paraId="298F99F0" w14:textId="121ED8E6" w:rsidR="00650F82" w:rsidRPr="0007354B" w:rsidRDefault="00650F82" w:rsidP="0007354B">
            <w:pPr>
              <w:contextualSpacing/>
              <w:rPr>
                <w:rFonts w:ascii="Trebuchet MS" w:hAnsi="Trebuchet MS"/>
                <w:b/>
                <w:caps/>
                <w:color w:val="FF0000"/>
              </w:rPr>
            </w:pPr>
            <w:r w:rsidRPr="009D5DC9">
              <w:rPr>
                <w:rFonts w:ascii="Trebuchet MS" w:hAnsi="Trebuchet MS"/>
              </w:rPr>
              <w:lastRenderedPageBreak/>
              <w:t>Međunarodni dan  starijih osoba obilježen je organizacijom radionice »Stilovi komunikacije« u Nikšiću. Radionica je realizovana u prostorijama Crvenog krsta u Nikšiću za članove Kluba starijih 65 + (15 učesnika)</w:t>
            </w:r>
          </w:p>
          <w:p w14:paraId="65FFB8EC" w14:textId="0826F2B4" w:rsidR="008B2B5E" w:rsidRDefault="00A532C6" w:rsidP="00650F82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Broj medijskih nastupa/objava u kojima se promoviše obrazovanje odraslih i cjeloživotno učenje</w:t>
            </w:r>
          </w:p>
          <w:p w14:paraId="5939A5B3" w14:textId="54DBAFBA" w:rsidR="00844A17" w:rsidRPr="009D5DC9" w:rsidRDefault="00844A17" w:rsidP="00844A1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 xml:space="preserve">Više medijskih nastupa je bilo u cilju promocije manifestacije XXIII Dani obrazovanja i učenja odraslih i aktivnosti koje se realizuju u okviru nje. Posebni medijski nastupi posvećeni su organizaciji regionalne konferencije </w:t>
            </w:r>
            <w:r w:rsidRPr="009D5DC9">
              <w:rPr>
                <w:rFonts w:ascii="Trebuchet MS" w:hAnsi="Trebuchet MS"/>
              </w:rPr>
              <w:t>Medijska pismenost u digitalnom ekosistemu vještačke inteligencije</w:t>
            </w:r>
            <w:r w:rsidR="00D20D2A" w:rsidRPr="009D5DC9">
              <w:rPr>
                <w:rFonts w:ascii="Trebuchet MS" w:hAnsi="Trebuchet MS"/>
              </w:rPr>
              <w:t xml:space="preserve">. Sve aktivnosti su najavljene na društvenim mreažama Centra za stručno obrazovanje </w:t>
            </w:r>
          </w:p>
          <w:p w14:paraId="1E6630C5" w14:textId="77777777" w:rsidR="008B2B5E" w:rsidRPr="000A3EB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8B2B5E" w14:paraId="446B5E43" w14:textId="77777777" w:rsidTr="000A3EBE">
        <w:trPr>
          <w:jc w:val="center"/>
        </w:trPr>
        <w:tc>
          <w:tcPr>
            <w:tcW w:w="2561" w:type="dxa"/>
          </w:tcPr>
          <w:p w14:paraId="5EFC8BDB" w14:textId="77777777" w:rsidR="008B2B5E" w:rsidRPr="000A3EB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lastRenderedPageBreak/>
              <w:t>Informisanje građana o mogućnostima koje nudi sistem obrazovanja odraslih</w:t>
            </w:r>
          </w:p>
        </w:tc>
        <w:tc>
          <w:tcPr>
            <w:tcW w:w="2834" w:type="dxa"/>
          </w:tcPr>
          <w:p w14:paraId="198E2B4D" w14:textId="77777777" w:rsidR="008B2B5E" w:rsidRPr="000A3EB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t>Ministarstvo prosvjete</w:t>
            </w:r>
            <w:r w:rsidR="000A7DBF" w:rsidRPr="000A3EBE">
              <w:rPr>
                <w:rFonts w:ascii="Trebuchet MS" w:eastAsia="Trebuchet MS" w:hAnsi="Trebuchet MS" w:cs="Trebuchet MS"/>
                <w:b/>
              </w:rPr>
              <w:t>, nauke i inovacija</w:t>
            </w:r>
            <w:r w:rsidRPr="000A3EBE">
              <w:rPr>
                <w:rFonts w:ascii="Trebuchet MS" w:eastAsia="Trebuchet MS" w:hAnsi="Trebuchet MS" w:cs="Trebuchet MS"/>
                <w:b/>
              </w:rPr>
              <w:t>/</w:t>
            </w:r>
          </w:p>
          <w:p w14:paraId="7E1FDB2C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Centar za stručno obrazovanje</w:t>
            </w:r>
          </w:p>
        </w:tc>
        <w:tc>
          <w:tcPr>
            <w:tcW w:w="1891" w:type="dxa"/>
          </w:tcPr>
          <w:p w14:paraId="27281BA6" w14:textId="07AE0DEE" w:rsidR="008B2B5E" w:rsidRPr="000A3EBE" w:rsidRDefault="00200661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Realizovano</w:t>
            </w:r>
          </w:p>
        </w:tc>
        <w:tc>
          <w:tcPr>
            <w:tcW w:w="2814" w:type="dxa"/>
          </w:tcPr>
          <w:p w14:paraId="48B9821A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n/a</w:t>
            </w:r>
          </w:p>
        </w:tc>
        <w:tc>
          <w:tcPr>
            <w:tcW w:w="5740" w:type="dxa"/>
          </w:tcPr>
          <w:p w14:paraId="0FC0EE46" w14:textId="76417136" w:rsidR="008B2B5E" w:rsidRDefault="00A532C6" w:rsidP="00DC17F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Aktivnosti preduzete u cilju informisanja građana (vodiči, flajeri, publikacije, portali, medijska gostovanja i sl)</w:t>
            </w:r>
          </w:p>
          <w:p w14:paraId="0CDD54BA" w14:textId="77777777" w:rsidR="00DC17F1" w:rsidRPr="009D5DC9" w:rsidRDefault="00DC17F1" w:rsidP="00DC1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>Organizovanje promotivnih aktivnosti u organizaciji Centra za stručno obrazovanje:</w:t>
            </w:r>
          </w:p>
          <w:p w14:paraId="47A12A37" w14:textId="2315A6C5" w:rsidR="00DC17F1" w:rsidRPr="009D5DC9" w:rsidRDefault="00DC17F1" w:rsidP="00DC1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 xml:space="preserve">Pripremljen je flajer manifestacije »XXIII Dani obrazovanja i učenja odraslih« 18. novembar-15. decembar 2025. godine. Slogan manifestacije »Nove tehnologije i inovativni modeli obrazovanja i učenja« </w:t>
            </w:r>
          </w:p>
          <w:p w14:paraId="2336F6D4" w14:textId="77777777" w:rsidR="00AD3D0E" w:rsidRPr="009D5DC9" w:rsidRDefault="00AD3D0E" w:rsidP="00AD3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>Kontinuirano objavljivanje informacija na sajtu, društvenim mrežama i dr.</w:t>
            </w:r>
          </w:p>
          <w:p w14:paraId="10ABA072" w14:textId="77777777" w:rsidR="00AD3D0E" w:rsidRPr="00DC17F1" w:rsidRDefault="00AD3D0E" w:rsidP="00DC1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rebuchet MS" w:eastAsia="Trebuchet MS" w:hAnsi="Trebuchet MS" w:cs="Trebuchet MS"/>
                <w:color w:val="FF0000"/>
              </w:rPr>
            </w:pPr>
          </w:p>
          <w:p w14:paraId="2E9CE004" w14:textId="77777777" w:rsidR="008B2B5E" w:rsidRDefault="00A532C6" w:rsidP="00DC17F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Organizovanje promotivnih aktivnosti</w:t>
            </w:r>
          </w:p>
          <w:p w14:paraId="75902DC4" w14:textId="77777777" w:rsidR="00DC17F1" w:rsidRPr="009D5DC9" w:rsidRDefault="00DC17F1" w:rsidP="00DC1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>Centar za stručno obrazovanje je organizovao promotivne aktivnosti regionalnog projekta MC VET Mikrokvalifikacije</w:t>
            </w:r>
            <w:r w:rsidR="00AD3D0E" w:rsidRPr="009D5DC9">
              <w:rPr>
                <w:rFonts w:ascii="Trebuchet MS" w:eastAsia="Trebuchet MS" w:hAnsi="Trebuchet MS" w:cs="Trebuchet MS"/>
              </w:rPr>
              <w:t>-</w:t>
            </w:r>
            <w:r w:rsidR="00AD3D0E" w:rsidRPr="009D5DC9">
              <w:rPr>
                <w:rFonts w:ascii="Trebuchet MS" w:eastAsia="Trebuchet MS" w:hAnsi="Trebuchet MS" w:cs="Trebuchet MS"/>
              </w:rPr>
              <w:lastRenderedPageBreak/>
              <w:t>Novi putevi za jačanje kapaciteta u stručnom obrazovanju</w:t>
            </w:r>
            <w:r w:rsidRPr="009D5DC9">
              <w:rPr>
                <w:rFonts w:ascii="Trebuchet MS" w:eastAsia="Trebuchet MS" w:hAnsi="Trebuchet MS" w:cs="Trebuchet MS"/>
              </w:rPr>
              <w:t xml:space="preserve">  i projekta VET VEB </w:t>
            </w:r>
            <w:r w:rsidR="00AD3D0E" w:rsidRPr="009D5DC9">
              <w:rPr>
                <w:rFonts w:ascii="Trebuchet MS" w:eastAsia="Trebuchet MS" w:hAnsi="Trebuchet MS" w:cs="Trebuchet MS"/>
              </w:rPr>
              <w:t>koji se realizuje u saradnji sa zemljama EU</w:t>
            </w:r>
          </w:p>
          <w:p w14:paraId="7781AA33" w14:textId="3E037FEB" w:rsidR="00AD3D0E" w:rsidRPr="000A3EBE" w:rsidRDefault="00AD3D0E" w:rsidP="00DC1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9D5DC9">
              <w:rPr>
                <w:rFonts w:ascii="Trebuchet MS" w:eastAsia="Trebuchet MS" w:hAnsi="Trebuchet MS" w:cs="Trebuchet MS"/>
              </w:rPr>
              <w:t>Centar za stručno obrazovanje je organizovao stručno usavršavanje za zaposlene u licenciranim ustanovama za obrazovanje odraslih koji realizuju programe za sticanje stručnih kvalifikacija i ključnih vještina na temu: Karijerno informisanje, savjetovanje i vođenje u obrazovanju odraslih</w:t>
            </w:r>
          </w:p>
        </w:tc>
      </w:tr>
      <w:tr w:rsidR="008B2B5E" w14:paraId="2BF8D79E" w14:textId="77777777" w:rsidTr="000A3EBE">
        <w:trPr>
          <w:trHeight w:val="476"/>
          <w:jc w:val="center"/>
        </w:trPr>
        <w:tc>
          <w:tcPr>
            <w:tcW w:w="2561" w:type="dxa"/>
          </w:tcPr>
          <w:p w14:paraId="660C145E" w14:textId="77777777" w:rsidR="008B2B5E" w:rsidRPr="000A3EB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lastRenderedPageBreak/>
              <w:t>Razvijanje i realizacija programa obrazovanja za sticanje stručnih kvalifikacija, ključnih kompetencija</w:t>
            </w:r>
            <w:r w:rsidRPr="000A3EBE">
              <w:rPr>
                <w:rFonts w:ascii="Trebuchet MS" w:eastAsia="Trebuchet MS" w:hAnsi="Trebuchet MS" w:cs="Trebuchet MS"/>
                <w:b/>
                <w:vertAlign w:val="superscript"/>
              </w:rPr>
              <w:footnoteReference w:id="3"/>
            </w:r>
            <w:r w:rsidRPr="000A3EBE">
              <w:rPr>
                <w:rFonts w:ascii="Trebuchet MS" w:eastAsia="Trebuchet MS" w:hAnsi="Trebuchet MS" w:cs="Trebuchet MS"/>
                <w:b/>
                <w:vertAlign w:val="superscript"/>
              </w:rPr>
              <w:footnoteReference w:id="4"/>
            </w:r>
            <w:r w:rsidRPr="000A3EBE">
              <w:rPr>
                <w:rFonts w:ascii="Trebuchet MS" w:eastAsia="Trebuchet MS" w:hAnsi="Trebuchet MS" w:cs="Trebuchet MS"/>
                <w:b/>
              </w:rPr>
              <w:t xml:space="preserve"> i ključnih vještina</w:t>
            </w:r>
          </w:p>
        </w:tc>
        <w:tc>
          <w:tcPr>
            <w:tcW w:w="2834" w:type="dxa"/>
          </w:tcPr>
          <w:p w14:paraId="787646CB" w14:textId="77777777" w:rsidR="008B2B5E" w:rsidRPr="000A3EB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t>Centar za stručno obrazovanje/</w:t>
            </w:r>
          </w:p>
          <w:p w14:paraId="6C86C21E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Licencirani organizatori obrazovanja odraslih</w:t>
            </w:r>
          </w:p>
        </w:tc>
        <w:tc>
          <w:tcPr>
            <w:tcW w:w="1891" w:type="dxa"/>
          </w:tcPr>
          <w:p w14:paraId="08D1FA27" w14:textId="3B5914C4" w:rsidR="008B2B5E" w:rsidRPr="000A3EBE" w:rsidRDefault="00200661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Realizovano</w:t>
            </w:r>
          </w:p>
        </w:tc>
        <w:tc>
          <w:tcPr>
            <w:tcW w:w="2814" w:type="dxa"/>
          </w:tcPr>
          <w:p w14:paraId="7A766A61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n/a</w:t>
            </w:r>
          </w:p>
          <w:p w14:paraId="2BDBFEA1" w14:textId="77777777" w:rsidR="008B2B5E" w:rsidRPr="000A3EB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  <w:color w:val="000000"/>
              </w:rPr>
            </w:pPr>
          </w:p>
        </w:tc>
        <w:tc>
          <w:tcPr>
            <w:tcW w:w="5740" w:type="dxa"/>
          </w:tcPr>
          <w:p w14:paraId="31C435D7" w14:textId="47CBE4B9" w:rsidR="008B2B5E" w:rsidRPr="0007354B" w:rsidRDefault="00A532C6" w:rsidP="0007354B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7354B">
              <w:rPr>
                <w:rFonts w:ascii="Trebuchet MS" w:eastAsia="Trebuchet MS" w:hAnsi="Trebuchet MS" w:cs="Trebuchet MS"/>
              </w:rPr>
              <w:t>Broj usvojenih programa obrazovanja za sticanje stručnih kvalifikacija</w:t>
            </w:r>
          </w:p>
          <w:p w14:paraId="29250C6E" w14:textId="5F0041C2" w:rsidR="00D01C7F" w:rsidRPr="0067579B" w:rsidRDefault="00D01C7F" w:rsidP="0007354B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67579B">
              <w:rPr>
                <w:rFonts w:ascii="Trebuchet MS" w:eastAsia="Trebuchet MS" w:hAnsi="Trebuchet MS" w:cs="Trebuchet MS"/>
              </w:rPr>
              <w:t>Uradjeno je 10 programa obrazovanja za sticanje stručnih kvalifikacija:</w:t>
            </w:r>
          </w:p>
          <w:p w14:paraId="7D0F461B" w14:textId="77777777" w:rsidR="00D01C7F" w:rsidRPr="0067579B" w:rsidRDefault="00D01C7F" w:rsidP="007C59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rebuchet MS" w:eastAsiaTheme="minorEastAsia" w:hAnsi="Trebuchet MS"/>
                <w:szCs w:val="24"/>
              </w:rPr>
            </w:pPr>
            <w:r w:rsidRPr="0067579B">
              <w:rPr>
                <w:rFonts w:ascii="Trebuchet MS" w:eastAsiaTheme="minorEastAsia" w:hAnsi="Trebuchet MS"/>
                <w:szCs w:val="24"/>
              </w:rPr>
              <w:t>Pomoćni/Pomoćna prodavač/prodavačica prehrambene robe</w:t>
            </w:r>
          </w:p>
          <w:p w14:paraId="4E017284" w14:textId="77777777" w:rsidR="00D01C7F" w:rsidRPr="0067579B" w:rsidRDefault="00D01C7F" w:rsidP="007C59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rebuchet MS" w:eastAsiaTheme="minorEastAsia" w:hAnsi="Trebuchet MS"/>
                <w:szCs w:val="24"/>
              </w:rPr>
            </w:pPr>
            <w:r w:rsidRPr="0067579B">
              <w:rPr>
                <w:rFonts w:ascii="Trebuchet MS" w:eastAsiaTheme="minorEastAsia" w:hAnsi="Trebuchet MS"/>
                <w:szCs w:val="24"/>
              </w:rPr>
              <w:t>Prodavač/Prodavačica prehrambene robe</w:t>
            </w:r>
          </w:p>
          <w:p w14:paraId="289323C5" w14:textId="77777777" w:rsidR="00D01C7F" w:rsidRPr="0067579B" w:rsidRDefault="00D01C7F" w:rsidP="007C59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rebuchet MS" w:eastAsiaTheme="minorEastAsia" w:hAnsi="Trebuchet MS"/>
                <w:szCs w:val="24"/>
              </w:rPr>
            </w:pPr>
            <w:r w:rsidRPr="0067579B">
              <w:rPr>
                <w:rFonts w:ascii="Trebuchet MS" w:eastAsiaTheme="minorEastAsia" w:hAnsi="Trebuchet MS"/>
                <w:szCs w:val="24"/>
              </w:rPr>
              <w:t>Pomoćni/Pomoćna prodavač/prodavačica neprehrambene robe</w:t>
            </w:r>
          </w:p>
          <w:p w14:paraId="2FD01309" w14:textId="5A2B507F" w:rsidR="00D01C7F" w:rsidRPr="0067579B" w:rsidRDefault="00D01C7F" w:rsidP="007C59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rebuchet MS" w:eastAsiaTheme="minorEastAsia" w:hAnsi="Trebuchet MS"/>
                <w:szCs w:val="24"/>
              </w:rPr>
            </w:pPr>
            <w:r w:rsidRPr="0067579B">
              <w:rPr>
                <w:rFonts w:ascii="Trebuchet MS" w:eastAsiaTheme="minorEastAsia" w:hAnsi="Trebuchet MS"/>
                <w:szCs w:val="24"/>
              </w:rPr>
              <w:t>Prodavač/Prodavačica neprehrambene robe</w:t>
            </w:r>
          </w:p>
          <w:p w14:paraId="3FA91F60" w14:textId="4A2BB223" w:rsidR="00D01C7F" w:rsidRPr="0067579B" w:rsidRDefault="00D01C7F" w:rsidP="007C59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rebuchet MS" w:eastAsiaTheme="minorEastAsia" w:hAnsi="Trebuchet MS"/>
                <w:szCs w:val="24"/>
              </w:rPr>
            </w:pPr>
            <w:r w:rsidRPr="0067579B">
              <w:rPr>
                <w:rFonts w:ascii="Trebuchet MS" w:eastAsiaTheme="minorEastAsia" w:hAnsi="Trebuchet MS"/>
                <w:szCs w:val="24"/>
              </w:rPr>
              <w:t xml:space="preserve">Pomoćnik/ca instalatera sistema obnovljivih izvora energije; </w:t>
            </w:r>
          </w:p>
          <w:p w14:paraId="56257FDD" w14:textId="77777777" w:rsidR="00D01C7F" w:rsidRPr="0067579B" w:rsidRDefault="00D01C7F" w:rsidP="007C59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rebuchet MS" w:eastAsiaTheme="minorEastAsia" w:hAnsi="Trebuchet MS"/>
                <w:szCs w:val="24"/>
              </w:rPr>
            </w:pPr>
            <w:r w:rsidRPr="0067579B">
              <w:rPr>
                <w:rFonts w:ascii="Trebuchet MS" w:eastAsiaTheme="minorEastAsia" w:hAnsi="Trebuchet MS"/>
                <w:szCs w:val="24"/>
              </w:rPr>
              <w:t>Instalater/Instalaterka solarnih fotonaponskih elektrana(Odluka o formiranju radne grupe)</w:t>
            </w:r>
          </w:p>
          <w:p w14:paraId="77A720E4" w14:textId="77777777" w:rsidR="00D01C7F" w:rsidRPr="0067579B" w:rsidRDefault="00D01C7F" w:rsidP="007C59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rebuchet MS" w:eastAsiaTheme="minorEastAsia" w:hAnsi="Trebuchet MS"/>
                <w:szCs w:val="24"/>
              </w:rPr>
            </w:pPr>
            <w:r w:rsidRPr="0067579B">
              <w:rPr>
                <w:rFonts w:ascii="Trebuchet MS" w:eastAsiaTheme="minorEastAsia" w:hAnsi="Trebuchet MS"/>
                <w:szCs w:val="24"/>
              </w:rPr>
              <w:t>Servir</w:t>
            </w:r>
          </w:p>
          <w:p w14:paraId="61A5C256" w14:textId="77777777" w:rsidR="00D01C7F" w:rsidRPr="0067579B" w:rsidRDefault="00D01C7F" w:rsidP="007C59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rebuchet MS" w:eastAsiaTheme="minorEastAsia" w:hAnsi="Trebuchet MS"/>
                <w:szCs w:val="24"/>
              </w:rPr>
            </w:pPr>
            <w:r w:rsidRPr="0067579B">
              <w:rPr>
                <w:rFonts w:ascii="Trebuchet MS" w:eastAsiaTheme="minorEastAsia" w:hAnsi="Trebuchet MS"/>
                <w:szCs w:val="24"/>
              </w:rPr>
              <w:t>Barmen</w:t>
            </w:r>
          </w:p>
          <w:p w14:paraId="2F1D52A8" w14:textId="77777777" w:rsidR="00D01C7F" w:rsidRPr="0067579B" w:rsidRDefault="00D01C7F" w:rsidP="007C59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rebuchet MS" w:eastAsiaTheme="minorEastAsia" w:hAnsi="Trebuchet MS"/>
                <w:szCs w:val="24"/>
              </w:rPr>
            </w:pPr>
            <w:r w:rsidRPr="0067579B">
              <w:rPr>
                <w:rFonts w:ascii="Trebuchet MS" w:eastAsiaTheme="minorEastAsia" w:hAnsi="Trebuchet MS"/>
                <w:szCs w:val="24"/>
              </w:rPr>
              <w:t>Barista</w:t>
            </w:r>
          </w:p>
          <w:p w14:paraId="12F8C2B6" w14:textId="77777777" w:rsidR="00D01C7F" w:rsidRPr="009D5DC9" w:rsidRDefault="00D01C7F" w:rsidP="007C59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rebuchet MS" w:eastAsiaTheme="minorEastAsia" w:hAnsi="Trebuchet MS"/>
                <w:b/>
                <w:color w:val="FF0000"/>
                <w:szCs w:val="24"/>
              </w:rPr>
            </w:pPr>
            <w:r w:rsidRPr="0067579B">
              <w:rPr>
                <w:rFonts w:ascii="Trebuchet MS" w:eastAsiaTheme="minorEastAsia" w:hAnsi="Trebuchet MS"/>
                <w:szCs w:val="24"/>
              </w:rPr>
              <w:t>Restoranski konobar</w:t>
            </w:r>
          </w:p>
          <w:p w14:paraId="4ABBF187" w14:textId="77777777" w:rsidR="00D01C7F" w:rsidRPr="009D5DC9" w:rsidRDefault="00D01C7F" w:rsidP="00D01C7F">
            <w:pPr>
              <w:pStyle w:val="ListParagraph"/>
              <w:spacing w:after="0" w:line="240" w:lineRule="auto"/>
              <w:contextualSpacing/>
              <w:jc w:val="both"/>
              <w:rPr>
                <w:rFonts w:ascii="Garamond" w:eastAsiaTheme="minorEastAsia" w:hAnsi="Garamond"/>
                <w:b/>
                <w:sz w:val="24"/>
                <w:szCs w:val="24"/>
              </w:rPr>
            </w:pPr>
          </w:p>
          <w:p w14:paraId="27E7A770" w14:textId="77777777" w:rsidR="00D01C7F" w:rsidRPr="00D01C7F" w:rsidRDefault="00D01C7F" w:rsidP="00D01C7F">
            <w:pP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  <w:color w:val="FF0000"/>
                <w:sz w:val="24"/>
                <w:szCs w:val="24"/>
              </w:rPr>
            </w:pPr>
          </w:p>
          <w:p w14:paraId="4F523A4B" w14:textId="4221B021" w:rsidR="008B2B5E" w:rsidRPr="0007354B" w:rsidRDefault="00A532C6" w:rsidP="0007354B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rPr>
                <w:rFonts w:ascii="Trebuchet MS" w:eastAsia="Trebuchet MS" w:hAnsi="Trebuchet MS" w:cs="Trebuchet MS"/>
                <w:color w:val="FF0000"/>
              </w:rPr>
            </w:pPr>
            <w:r w:rsidRPr="0007354B">
              <w:rPr>
                <w:rFonts w:ascii="Trebuchet MS" w:eastAsia="Trebuchet MS" w:hAnsi="Trebuchet MS" w:cs="Trebuchet MS"/>
              </w:rPr>
              <w:t>Broj akreditovanih programa obrazovanja za sticanje ključnih kompetencija</w:t>
            </w:r>
          </w:p>
          <w:p w14:paraId="3173657E" w14:textId="1E860B66" w:rsidR="00D01C7F" w:rsidRPr="009D5DC9" w:rsidRDefault="00B64B2C" w:rsidP="00D01C7F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>P</w:t>
            </w:r>
            <w:r w:rsidR="00D01C7F" w:rsidRPr="009D5DC9">
              <w:rPr>
                <w:rFonts w:ascii="Trebuchet MS" w:eastAsia="Trebuchet MS" w:hAnsi="Trebuchet MS" w:cs="Trebuchet MS"/>
              </w:rPr>
              <w:t xml:space="preserve">et programa obrazovanja za </w:t>
            </w:r>
            <w:r w:rsidR="007C5936" w:rsidRPr="009D5DC9">
              <w:rPr>
                <w:rFonts w:ascii="Trebuchet MS" w:eastAsia="Trebuchet MS" w:hAnsi="Trebuchet MS" w:cs="Trebuchet MS"/>
              </w:rPr>
              <w:t xml:space="preserve">sticanje </w:t>
            </w:r>
            <w:r w:rsidR="00D01C7F" w:rsidRPr="009D5DC9">
              <w:rPr>
                <w:rFonts w:ascii="Trebuchet MS" w:eastAsia="Trebuchet MS" w:hAnsi="Trebuchet MS" w:cs="Trebuchet MS"/>
              </w:rPr>
              <w:t>ključnih kompetencija</w:t>
            </w:r>
          </w:p>
          <w:p w14:paraId="6D01C63F" w14:textId="6C7CCC0B" w:rsidR="00D01C7F" w:rsidRPr="009D5DC9" w:rsidRDefault="00D01C7F" w:rsidP="007C5936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>Ekološka pismenost</w:t>
            </w:r>
          </w:p>
          <w:p w14:paraId="0AACBF0E" w14:textId="420A7AD4" w:rsidR="007C5936" w:rsidRPr="009D5DC9" w:rsidRDefault="007C5936" w:rsidP="007C5936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>Digitalna analitika i upravljanje podacima</w:t>
            </w:r>
          </w:p>
          <w:p w14:paraId="2716FDBF" w14:textId="4941BB9F" w:rsidR="007C5936" w:rsidRPr="009D5DC9" w:rsidRDefault="007C5936" w:rsidP="007C5936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>Dizajn i optimizacija korisničkog iskustva</w:t>
            </w:r>
          </w:p>
          <w:p w14:paraId="79C7A06B" w14:textId="40B19C4A" w:rsidR="007C5936" w:rsidRPr="009D5DC9" w:rsidRDefault="007C5936" w:rsidP="007C5936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>Obrada podataka i mašinsko učenje</w:t>
            </w:r>
          </w:p>
          <w:p w14:paraId="18B67486" w14:textId="77777777" w:rsidR="007C5936" w:rsidRPr="009D5DC9" w:rsidRDefault="007C5936" w:rsidP="007C5936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>Primjena full-stack tehnologija za razvoj web aplikacija</w:t>
            </w:r>
          </w:p>
          <w:p w14:paraId="073E3E20" w14:textId="77777777" w:rsidR="00B64B2C" w:rsidRDefault="00B64B2C" w:rsidP="00B64B2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20932A23" w14:textId="05541F37" w:rsidR="008B2B5E" w:rsidRPr="0007354B" w:rsidRDefault="00A532C6" w:rsidP="0007354B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rPr>
                <w:rFonts w:ascii="Trebuchet MS" w:eastAsia="Trebuchet MS" w:hAnsi="Trebuchet MS" w:cs="Trebuchet MS"/>
                <w:color w:val="FF0000"/>
              </w:rPr>
            </w:pPr>
            <w:r w:rsidRPr="0007354B">
              <w:rPr>
                <w:rFonts w:ascii="Trebuchet MS" w:eastAsia="Trebuchet MS" w:hAnsi="Trebuchet MS" w:cs="Trebuchet MS"/>
              </w:rPr>
              <w:t>Broj usvojenih programa obrazovanja za sticanje ključnih vještina</w:t>
            </w:r>
          </w:p>
          <w:p w14:paraId="2416E26B" w14:textId="7B4E43AA" w:rsidR="00D01C7F" w:rsidRPr="009D5DC9" w:rsidRDefault="00D01C7F" w:rsidP="00D01C7F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>Licencirane ustanove za obrazovanje odraslih su pripremile uz podršku Centra za stručno obrazovanje 12 programa obrazovanja za sticanje ključnih vještina</w:t>
            </w:r>
            <w:r w:rsidR="007C5936" w:rsidRPr="009D5DC9">
              <w:rPr>
                <w:rFonts w:ascii="Trebuchet MS" w:eastAsia="Trebuchet MS" w:hAnsi="Trebuchet MS" w:cs="Trebuchet MS"/>
              </w:rPr>
              <w:t>:</w:t>
            </w:r>
          </w:p>
          <w:p w14:paraId="699932D1" w14:textId="77777777" w:rsidR="007C5936" w:rsidRPr="009D5DC9" w:rsidRDefault="007C5936" w:rsidP="007C59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rebuchet MS" w:eastAsiaTheme="minorEastAsia" w:hAnsi="Trebuchet MS"/>
              </w:rPr>
            </w:pPr>
            <w:r w:rsidRPr="009D5DC9">
              <w:rPr>
                <w:rFonts w:ascii="Trebuchet MS" w:eastAsiaTheme="minorEastAsia" w:hAnsi="Trebuchet MS"/>
              </w:rPr>
              <w:t>Manuelno testiranje softvera na osnovnom nivou</w:t>
            </w:r>
          </w:p>
          <w:p w14:paraId="353F5FF5" w14:textId="77777777" w:rsidR="007C5936" w:rsidRPr="009D5DC9" w:rsidRDefault="007C5936" w:rsidP="007C59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rebuchet MS" w:eastAsiaTheme="minorEastAsia" w:hAnsi="Trebuchet MS"/>
              </w:rPr>
            </w:pPr>
            <w:r w:rsidRPr="009D5DC9">
              <w:rPr>
                <w:rFonts w:ascii="Trebuchet MS" w:eastAsiaTheme="minorEastAsia" w:hAnsi="Trebuchet MS"/>
              </w:rPr>
              <w:t xml:space="preserve">Primjena NET frameworka za kreiranje web aplikacija </w:t>
            </w:r>
          </w:p>
          <w:p w14:paraId="5B510049" w14:textId="77777777" w:rsidR="007C5936" w:rsidRPr="009D5DC9" w:rsidRDefault="007C5936" w:rsidP="007C59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rebuchet MS" w:eastAsiaTheme="minorEastAsia" w:hAnsi="Trebuchet MS"/>
              </w:rPr>
            </w:pPr>
            <w:r w:rsidRPr="009D5DC9">
              <w:rPr>
                <w:rFonts w:ascii="Trebuchet MS" w:eastAsiaTheme="minorEastAsia" w:hAnsi="Trebuchet MS"/>
              </w:rPr>
              <w:t>Kreiranje aplikacije primjenom React Framework-a</w:t>
            </w:r>
          </w:p>
          <w:p w14:paraId="4D84D8E5" w14:textId="77777777" w:rsidR="007C5936" w:rsidRPr="009D5DC9" w:rsidRDefault="007C5936" w:rsidP="007C59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rebuchet MS" w:eastAsiaTheme="minorEastAsia" w:hAnsi="Trebuchet MS"/>
              </w:rPr>
            </w:pPr>
            <w:r w:rsidRPr="009D5DC9">
              <w:rPr>
                <w:rFonts w:ascii="Trebuchet MS" w:eastAsiaTheme="minorEastAsia" w:hAnsi="Trebuchet MS"/>
              </w:rPr>
              <w:t>Baze podataka &amp;SQL</w:t>
            </w:r>
          </w:p>
          <w:p w14:paraId="7C81A400" w14:textId="77777777" w:rsidR="007C5936" w:rsidRPr="009D5DC9" w:rsidRDefault="007C5936" w:rsidP="007C59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rebuchet MS" w:eastAsiaTheme="minorEastAsia" w:hAnsi="Trebuchet MS"/>
              </w:rPr>
            </w:pPr>
            <w:r w:rsidRPr="009D5DC9">
              <w:rPr>
                <w:rFonts w:ascii="Trebuchet MS" w:eastAsiaTheme="minorEastAsia" w:hAnsi="Trebuchet MS"/>
              </w:rPr>
              <w:t>Django Python</w:t>
            </w:r>
          </w:p>
          <w:p w14:paraId="147D99E6" w14:textId="77777777" w:rsidR="007C5936" w:rsidRPr="009D5DC9" w:rsidRDefault="007C5936" w:rsidP="007C59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rebuchet MS" w:eastAsiaTheme="minorEastAsia" w:hAnsi="Trebuchet MS"/>
              </w:rPr>
            </w:pPr>
            <w:r w:rsidRPr="009D5DC9">
              <w:rPr>
                <w:rFonts w:ascii="Trebuchet MS" w:eastAsiaTheme="minorEastAsia" w:hAnsi="Trebuchet MS"/>
              </w:rPr>
              <w:t>Power Bl</w:t>
            </w:r>
          </w:p>
          <w:p w14:paraId="3185D6CF" w14:textId="77777777" w:rsidR="007C5936" w:rsidRPr="009D5DC9" w:rsidRDefault="007C5936" w:rsidP="007C59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rebuchet MS" w:eastAsiaTheme="minorEastAsia" w:hAnsi="Trebuchet MS"/>
              </w:rPr>
            </w:pPr>
            <w:r w:rsidRPr="009D5DC9">
              <w:rPr>
                <w:rFonts w:ascii="Trebuchet MS" w:eastAsiaTheme="minorEastAsia" w:hAnsi="Trebuchet MS"/>
              </w:rPr>
              <w:t>Python</w:t>
            </w:r>
          </w:p>
          <w:p w14:paraId="768E9D43" w14:textId="77777777" w:rsidR="007C5936" w:rsidRPr="009D5DC9" w:rsidRDefault="007C5936" w:rsidP="007C59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rebuchet MS" w:eastAsiaTheme="minorEastAsia" w:hAnsi="Trebuchet MS"/>
              </w:rPr>
            </w:pPr>
            <w:r w:rsidRPr="009D5DC9">
              <w:rPr>
                <w:rFonts w:ascii="Trebuchet MS" w:eastAsiaTheme="minorEastAsia" w:hAnsi="Trebuchet MS"/>
              </w:rPr>
              <w:t>Projektni mendžment</w:t>
            </w:r>
          </w:p>
          <w:p w14:paraId="5833F9EA" w14:textId="77777777" w:rsidR="007C5936" w:rsidRPr="009D5DC9" w:rsidRDefault="007C5936" w:rsidP="007C59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rebuchet MS" w:eastAsiaTheme="minorEastAsia" w:hAnsi="Trebuchet MS"/>
              </w:rPr>
            </w:pPr>
            <w:r w:rsidRPr="009D5DC9">
              <w:rPr>
                <w:rFonts w:ascii="Trebuchet MS" w:eastAsiaTheme="minorEastAsia" w:hAnsi="Trebuchet MS"/>
              </w:rPr>
              <w:t>SPSS</w:t>
            </w:r>
          </w:p>
          <w:p w14:paraId="5D077979" w14:textId="77777777" w:rsidR="007C5936" w:rsidRPr="009D5DC9" w:rsidRDefault="007C5936" w:rsidP="007C59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rebuchet MS" w:eastAsiaTheme="minorEastAsia" w:hAnsi="Trebuchet MS"/>
              </w:rPr>
            </w:pPr>
            <w:r w:rsidRPr="009D5DC9">
              <w:rPr>
                <w:rFonts w:ascii="Trebuchet MS" w:eastAsiaTheme="minorEastAsia" w:hAnsi="Trebuchet MS"/>
              </w:rPr>
              <w:t>Digitalni sadržaji i oglašavanje</w:t>
            </w:r>
          </w:p>
          <w:p w14:paraId="02CBED47" w14:textId="77777777" w:rsidR="007C5936" w:rsidRPr="009D5DC9" w:rsidRDefault="007C5936" w:rsidP="007C59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rebuchet MS" w:eastAsiaTheme="minorEastAsia" w:hAnsi="Trebuchet MS"/>
              </w:rPr>
            </w:pPr>
            <w:r w:rsidRPr="009D5DC9">
              <w:rPr>
                <w:rFonts w:ascii="Trebuchet MS" w:eastAsiaTheme="minorEastAsia" w:hAnsi="Trebuchet MS"/>
              </w:rPr>
              <w:t>Digitalno 2D crtanje, 3D modelovanje, 3D štampa i virtuelna realnost u Autocad-u</w:t>
            </w:r>
          </w:p>
          <w:p w14:paraId="6D29A5BF" w14:textId="77777777" w:rsidR="007C5936" w:rsidRPr="007C5936" w:rsidRDefault="007C5936" w:rsidP="007C5936">
            <w:pPr>
              <w:pStyle w:val="ListParagraph"/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32ADABB6" w14:textId="77777777" w:rsidR="008B2B5E" w:rsidRPr="0007354B" w:rsidRDefault="00A532C6" w:rsidP="0007354B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7354B">
              <w:rPr>
                <w:rFonts w:ascii="Trebuchet MS" w:eastAsia="Trebuchet MS" w:hAnsi="Trebuchet MS" w:cs="Trebuchet MS"/>
              </w:rPr>
              <w:t>Broj polaznika programa obrazovanja za sticanje stručnih kvalifikacija,</w:t>
            </w:r>
            <w:r w:rsidR="000C2DB9" w:rsidRPr="0007354B">
              <w:rPr>
                <w:rFonts w:ascii="Trebuchet MS" w:eastAsia="Trebuchet MS" w:hAnsi="Trebuchet MS" w:cs="Trebuchet MS"/>
              </w:rPr>
              <w:t xml:space="preserve"> </w:t>
            </w:r>
            <w:r w:rsidRPr="0007354B">
              <w:rPr>
                <w:rFonts w:ascii="Trebuchet MS" w:eastAsia="Trebuchet MS" w:hAnsi="Trebuchet MS" w:cs="Trebuchet MS"/>
              </w:rPr>
              <w:t>ključnih kompetencija i ključnih vještina</w:t>
            </w:r>
          </w:p>
          <w:p w14:paraId="6DFD425D" w14:textId="77777777" w:rsidR="005150F2" w:rsidRPr="009D5DC9" w:rsidRDefault="005150F2" w:rsidP="005150F2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>Prema podacima iz MEIS-a:</w:t>
            </w:r>
          </w:p>
          <w:p w14:paraId="020C944B" w14:textId="77777777" w:rsidR="00B64B2C" w:rsidRPr="009D5DC9" w:rsidRDefault="005150F2" w:rsidP="005150F2">
            <w:pPr>
              <w:pStyle w:val="ListParagraph"/>
              <w:numPr>
                <w:ilvl w:val="0"/>
                <w:numId w:val="30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>u programe obrazovanja za sticanje stručnih kvalifikacija bilo je uključeno 1</w:t>
            </w:r>
            <w:r w:rsidR="00B10C35" w:rsidRPr="009D5DC9">
              <w:rPr>
                <w:rFonts w:ascii="Trebuchet MS" w:eastAsia="Trebuchet MS" w:hAnsi="Trebuchet MS" w:cs="Trebuchet MS"/>
              </w:rPr>
              <w:t>476</w:t>
            </w:r>
            <w:r w:rsidRPr="009D5DC9">
              <w:rPr>
                <w:rFonts w:ascii="Trebuchet MS" w:eastAsia="Trebuchet MS" w:hAnsi="Trebuchet MS" w:cs="Trebuchet MS"/>
              </w:rPr>
              <w:t xml:space="preserve"> </w:t>
            </w:r>
            <w:r w:rsidR="00B10C35" w:rsidRPr="009D5DC9">
              <w:rPr>
                <w:rFonts w:ascii="Trebuchet MS" w:eastAsia="Trebuchet MS" w:hAnsi="Trebuchet MS" w:cs="Trebuchet MS"/>
              </w:rPr>
              <w:t>polaznika, od čega 764 žene</w:t>
            </w:r>
          </w:p>
          <w:p w14:paraId="6F6E80C6" w14:textId="77777777" w:rsidR="00B64B2C" w:rsidRPr="009D5DC9" w:rsidRDefault="005150F2" w:rsidP="005150F2">
            <w:pPr>
              <w:pStyle w:val="ListParagraph"/>
              <w:numPr>
                <w:ilvl w:val="0"/>
                <w:numId w:val="30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>u programe obrazovanja za sticanje ključnih vještina bilo je uključeno 204 polaznika</w:t>
            </w:r>
            <w:r w:rsidR="00B10C35" w:rsidRPr="009D5DC9">
              <w:rPr>
                <w:rFonts w:ascii="Trebuchet MS" w:eastAsia="Trebuchet MS" w:hAnsi="Trebuchet MS" w:cs="Trebuchet MS"/>
              </w:rPr>
              <w:t>, od čega 22 žene</w:t>
            </w:r>
          </w:p>
          <w:p w14:paraId="371A86D0" w14:textId="3AABE49F" w:rsidR="005150F2" w:rsidRPr="009D5DC9" w:rsidRDefault="005150F2" w:rsidP="005150F2">
            <w:pPr>
              <w:pStyle w:val="ListParagraph"/>
              <w:numPr>
                <w:ilvl w:val="0"/>
                <w:numId w:val="30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 xml:space="preserve">u  programe obrazovanja za sticanje ključnih kompetencija bilo je uključeno </w:t>
            </w:r>
            <w:r w:rsidR="00B10C35" w:rsidRPr="009D5DC9">
              <w:rPr>
                <w:rFonts w:ascii="Trebuchet MS" w:eastAsia="Trebuchet MS" w:hAnsi="Trebuchet MS" w:cs="Trebuchet MS"/>
              </w:rPr>
              <w:t>948</w:t>
            </w:r>
            <w:r w:rsidRPr="009D5DC9">
              <w:rPr>
                <w:rFonts w:ascii="Trebuchet MS" w:eastAsia="Trebuchet MS" w:hAnsi="Trebuchet MS" w:cs="Trebuchet MS"/>
              </w:rPr>
              <w:t xml:space="preserve"> polaznik</w:t>
            </w:r>
            <w:r w:rsidR="00B10C35" w:rsidRPr="009D5DC9">
              <w:rPr>
                <w:rFonts w:ascii="Trebuchet MS" w:eastAsia="Trebuchet MS" w:hAnsi="Trebuchet MS" w:cs="Trebuchet MS"/>
              </w:rPr>
              <w:t>a od čega 626 žena</w:t>
            </w:r>
          </w:p>
          <w:p w14:paraId="36935569" w14:textId="21093099" w:rsidR="005150F2" w:rsidRPr="009D5DC9" w:rsidRDefault="005150F2" w:rsidP="005150F2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>Ukupno: 2</w:t>
            </w:r>
            <w:r w:rsidR="007077D0" w:rsidRPr="009D5DC9">
              <w:rPr>
                <w:rFonts w:ascii="Trebuchet MS" w:eastAsia="Trebuchet MS" w:hAnsi="Trebuchet MS" w:cs="Trebuchet MS"/>
              </w:rPr>
              <w:t>628</w:t>
            </w:r>
            <w:r w:rsidRPr="009D5DC9">
              <w:rPr>
                <w:rFonts w:ascii="Trebuchet MS" w:eastAsia="Trebuchet MS" w:hAnsi="Trebuchet MS" w:cs="Trebuchet MS"/>
              </w:rPr>
              <w:t xml:space="preserve"> polaznika/ce od čega 12</w:t>
            </w:r>
            <w:r w:rsidR="007077D0" w:rsidRPr="009D5DC9">
              <w:rPr>
                <w:rFonts w:ascii="Trebuchet MS" w:eastAsia="Trebuchet MS" w:hAnsi="Trebuchet MS" w:cs="Trebuchet MS"/>
              </w:rPr>
              <w:t>16</w:t>
            </w:r>
            <w:r w:rsidRPr="009D5DC9">
              <w:rPr>
                <w:rFonts w:ascii="Trebuchet MS" w:eastAsia="Trebuchet MS" w:hAnsi="Trebuchet MS" w:cs="Trebuchet MS"/>
              </w:rPr>
              <w:t xml:space="preserve"> muškarca i 14</w:t>
            </w:r>
            <w:r w:rsidR="007077D0" w:rsidRPr="009D5DC9">
              <w:rPr>
                <w:rFonts w:ascii="Trebuchet MS" w:eastAsia="Trebuchet MS" w:hAnsi="Trebuchet MS" w:cs="Trebuchet MS"/>
              </w:rPr>
              <w:t>12</w:t>
            </w:r>
            <w:r w:rsidRPr="009D5DC9">
              <w:rPr>
                <w:rFonts w:ascii="Trebuchet MS" w:eastAsia="Trebuchet MS" w:hAnsi="Trebuchet MS" w:cs="Trebuchet MS"/>
              </w:rPr>
              <w:t xml:space="preserve"> žena </w:t>
            </w:r>
          </w:p>
          <w:p w14:paraId="48C440DA" w14:textId="1C2186FE" w:rsidR="005150F2" w:rsidRPr="000A3EBE" w:rsidRDefault="005150F2" w:rsidP="005150F2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8B2B5E" w14:paraId="6DEF31EA" w14:textId="77777777" w:rsidTr="000A3EBE">
        <w:trPr>
          <w:trHeight w:val="476"/>
          <w:jc w:val="center"/>
        </w:trPr>
        <w:tc>
          <w:tcPr>
            <w:tcW w:w="2561" w:type="dxa"/>
          </w:tcPr>
          <w:p w14:paraId="04749BDF" w14:textId="77777777" w:rsidR="008B2B5E" w:rsidRPr="000A3EB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lastRenderedPageBreak/>
              <w:t>Priprema i realizacija programa obrazovanja za sticanje znanja i vještina za građansku demokratiju, zaštitu životne sredine, održivi razvoj, život u porodici, uspješnu društvenu integraciju, podizanje kvaliteta života, zdravstvenu edukaciju, socijalne vještine, treće životno doba</w:t>
            </w:r>
          </w:p>
        </w:tc>
        <w:tc>
          <w:tcPr>
            <w:tcW w:w="2834" w:type="dxa"/>
          </w:tcPr>
          <w:p w14:paraId="088C7AD4" w14:textId="77777777" w:rsidR="008B2B5E" w:rsidRPr="000A3EB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t>Centar za stručno obrazovanje</w:t>
            </w:r>
          </w:p>
          <w:p w14:paraId="1050CF11" w14:textId="77777777" w:rsidR="008B2B5E" w:rsidRPr="000A3EB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t xml:space="preserve">/ </w:t>
            </w:r>
          </w:p>
          <w:p w14:paraId="07246D8F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Licencirani organizatori obrazovanja odraslih</w:t>
            </w:r>
          </w:p>
          <w:p w14:paraId="1B8BCB23" w14:textId="77777777" w:rsidR="008B2B5E" w:rsidRPr="000A3EBE" w:rsidRDefault="008B2B5E">
            <w:pPr>
              <w:spacing w:before="40" w:after="40" w:line="240" w:lineRule="auto"/>
              <w:ind w:left="374"/>
              <w:jc w:val="both"/>
              <w:rPr>
                <w:rFonts w:ascii="Trebuchet MS" w:eastAsia="Trebuchet MS" w:hAnsi="Trebuchet MS" w:cs="Trebuchet MS"/>
                <w:b/>
              </w:rPr>
            </w:pPr>
          </w:p>
          <w:p w14:paraId="5CFCBC6E" w14:textId="77777777" w:rsidR="008B2B5E" w:rsidRPr="000A3EB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891" w:type="dxa"/>
          </w:tcPr>
          <w:p w14:paraId="66D5A312" w14:textId="637E6A9C" w:rsidR="008B2B5E" w:rsidRPr="000A3EBE" w:rsidRDefault="00200661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Realizovano</w:t>
            </w:r>
          </w:p>
        </w:tc>
        <w:tc>
          <w:tcPr>
            <w:tcW w:w="2814" w:type="dxa"/>
          </w:tcPr>
          <w:p w14:paraId="2CDDE4F3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n/a</w:t>
            </w:r>
          </w:p>
          <w:p w14:paraId="57A4F7F9" w14:textId="77777777" w:rsidR="008B2B5E" w:rsidRPr="000A3EB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  <w:color w:val="000000"/>
              </w:rPr>
            </w:pPr>
          </w:p>
          <w:p w14:paraId="6EC9E00C" w14:textId="77777777" w:rsidR="008B2B5E" w:rsidRPr="000A3EB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740" w:type="dxa"/>
          </w:tcPr>
          <w:p w14:paraId="51A52F55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Broj akreditovanih programa obrazovanja</w:t>
            </w:r>
          </w:p>
          <w:p w14:paraId="4915BD33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Broj polaznika programa obrazovanja</w:t>
            </w:r>
          </w:p>
          <w:p w14:paraId="620827E4" w14:textId="77777777" w:rsidR="008B2B5E" w:rsidRPr="000A3EB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8B2B5E" w14:paraId="085D7FFA" w14:textId="77777777" w:rsidTr="000A3EBE">
        <w:trPr>
          <w:jc w:val="center"/>
        </w:trPr>
        <w:tc>
          <w:tcPr>
            <w:tcW w:w="2561" w:type="dxa"/>
          </w:tcPr>
          <w:p w14:paraId="0C5AC0EB" w14:textId="77777777" w:rsidR="008B2B5E" w:rsidRPr="000A3EB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lastRenderedPageBreak/>
              <w:t>Praćenje i sprovođenje mjera za jačanje digitalnih vještina odraslih</w:t>
            </w:r>
            <w:r w:rsidRPr="000A3EBE">
              <w:rPr>
                <w:rFonts w:ascii="Trebuchet MS" w:eastAsia="Trebuchet MS" w:hAnsi="Trebuchet MS" w:cs="Trebuchet MS"/>
                <w:b/>
                <w:vertAlign w:val="superscript"/>
              </w:rPr>
              <w:footnoteReference w:id="5"/>
            </w:r>
          </w:p>
        </w:tc>
        <w:tc>
          <w:tcPr>
            <w:tcW w:w="2834" w:type="dxa"/>
          </w:tcPr>
          <w:p w14:paraId="10A7A1DC" w14:textId="77777777" w:rsidR="008B2B5E" w:rsidRPr="000A3EB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t>Centar za stručno obrazovanje /</w:t>
            </w:r>
          </w:p>
          <w:p w14:paraId="09F92807" w14:textId="77777777" w:rsidR="008B2B5E" w:rsidRPr="000A3EBE" w:rsidRDefault="0077651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Ministarstvo javne uprave</w:t>
            </w:r>
          </w:p>
          <w:p w14:paraId="36814360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b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Organizacije OSI</w:t>
            </w:r>
          </w:p>
          <w:p w14:paraId="18028182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b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Socijalni partneri</w:t>
            </w:r>
          </w:p>
        </w:tc>
        <w:tc>
          <w:tcPr>
            <w:tcW w:w="1891" w:type="dxa"/>
          </w:tcPr>
          <w:p w14:paraId="332F2494" w14:textId="03CCC07C" w:rsidR="008B2B5E" w:rsidRPr="000A3EBE" w:rsidRDefault="00200661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Realizovano</w:t>
            </w:r>
          </w:p>
        </w:tc>
        <w:tc>
          <w:tcPr>
            <w:tcW w:w="2814" w:type="dxa"/>
          </w:tcPr>
          <w:p w14:paraId="329B1F21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 xml:space="preserve">n/a </w:t>
            </w:r>
          </w:p>
          <w:p w14:paraId="0405F4E8" w14:textId="77777777" w:rsidR="008B2B5E" w:rsidRPr="000A3EB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  <w:color w:val="000000"/>
              </w:rPr>
            </w:pPr>
          </w:p>
        </w:tc>
        <w:tc>
          <w:tcPr>
            <w:tcW w:w="5740" w:type="dxa"/>
          </w:tcPr>
          <w:p w14:paraId="7391196E" w14:textId="586CAE4D" w:rsidR="008B2B5E" w:rsidRPr="0007354B" w:rsidRDefault="00A532C6" w:rsidP="0007354B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b/>
                <w:color w:val="000000"/>
              </w:rPr>
            </w:pPr>
            <w:r w:rsidRPr="0007354B">
              <w:rPr>
                <w:rFonts w:ascii="Trebuchet MS" w:eastAsia="Trebuchet MS" w:hAnsi="Trebuchet MS" w:cs="Trebuchet MS"/>
                <w:color w:val="000000"/>
              </w:rPr>
              <w:t>Broj programa obrazovanja sa sadržajima o digitalnim vještinama</w:t>
            </w:r>
          </w:p>
          <w:p w14:paraId="5C6792C4" w14:textId="791D78AF" w:rsidR="007C5936" w:rsidRPr="009D5DC9" w:rsidRDefault="0007354B" w:rsidP="00073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>Usvojeno</w:t>
            </w:r>
            <w:r w:rsidR="007C5936" w:rsidRPr="009D5DC9">
              <w:rPr>
                <w:rFonts w:ascii="Trebuchet MS" w:eastAsia="Trebuchet MS" w:hAnsi="Trebuchet MS" w:cs="Trebuchet MS"/>
              </w:rPr>
              <w:t>11 programa obrazovanja sa sadržajima o digitalnim vještinama</w:t>
            </w:r>
          </w:p>
          <w:p w14:paraId="581694A6" w14:textId="1E56E9D0" w:rsidR="00AB1FFC" w:rsidRPr="0007354B" w:rsidRDefault="00A532C6" w:rsidP="0007354B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b/>
                <w:color w:val="000000"/>
              </w:rPr>
            </w:pPr>
            <w:r w:rsidRPr="0007354B">
              <w:rPr>
                <w:rFonts w:ascii="Trebuchet MS" w:eastAsia="Trebuchet MS" w:hAnsi="Trebuchet MS" w:cs="Trebuchet MS"/>
                <w:color w:val="000000"/>
              </w:rPr>
              <w:t>Sprovedene aktivnosti organizacije i ostvareno učešće predstavnika delegacije Crne Gore na događajima (konferencijama) na temu digitalnih vještina odraslih</w:t>
            </w:r>
          </w:p>
          <w:p w14:paraId="1DBFD065" w14:textId="77777777" w:rsidR="00B64B2C" w:rsidRDefault="00B64B2C" w:rsidP="00B64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60754514" w14:textId="33A360A8" w:rsidR="008B2B5E" w:rsidRPr="0007354B" w:rsidRDefault="00A532C6" w:rsidP="0007354B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7354B">
              <w:rPr>
                <w:rFonts w:ascii="Trebuchet MS" w:eastAsia="Trebuchet MS" w:hAnsi="Trebuchet MS" w:cs="Trebuchet MS"/>
                <w:color w:val="000000"/>
              </w:rPr>
              <w:t xml:space="preserve">Realizacija obuka za osobe sa invaliditetom za upotrebu opcija e-Pristupačnosti na portalu gov.me </w:t>
            </w:r>
          </w:p>
          <w:p w14:paraId="5978BFA8" w14:textId="48D4796A" w:rsidR="00AD3D0E" w:rsidRPr="0007354B" w:rsidRDefault="00AD3D0E" w:rsidP="0007354B">
            <w:pPr>
              <w:spacing w:after="0"/>
              <w:jc w:val="both"/>
              <w:rPr>
                <w:rFonts w:ascii="Trebuchet MS" w:eastAsia="Trebuchet MS" w:hAnsi="Trebuchet MS" w:cs="Trebuchet MS"/>
                <w:color w:val="FF0000"/>
              </w:rPr>
            </w:pPr>
            <w:r w:rsidRPr="009D5DC9">
              <w:rPr>
                <w:rFonts w:ascii="Trebuchet MS" w:eastAsia="Trebuchet MS" w:hAnsi="Trebuchet MS" w:cs="Trebuchet MS"/>
              </w:rPr>
              <w:t xml:space="preserve">Centar za stručno obrazovanje je krajem 2023. godine proveo istraživanje digitalnih vještina zaposlenih u realnom sektoru u saradnji sa Privrednom komorom Crne Gore i Unijom poslodavaca Crne Gore. </w:t>
            </w:r>
            <w:r w:rsidRPr="009D5DC9">
              <w:rPr>
                <w:rFonts w:ascii="Trebuchet MS" w:eastAsia="Trebuchet MS" w:hAnsi="Trebuchet MS" w:cs="Trebuchet MS"/>
                <w:highlight w:val="white"/>
              </w:rPr>
              <w:t xml:space="preserve">Cilj istraživanja je sticanje uvida u poznavanje digitalnih vještina zaposlenih i kreiranje </w:t>
            </w:r>
            <w:r w:rsidR="00982CB3" w:rsidRPr="009D5DC9">
              <w:rPr>
                <w:rFonts w:ascii="Trebuchet MS" w:eastAsia="Trebuchet MS" w:hAnsi="Trebuchet MS" w:cs="Trebuchet MS"/>
                <w:highlight w:val="white"/>
              </w:rPr>
              <w:t xml:space="preserve">adekvatne </w:t>
            </w:r>
            <w:r w:rsidRPr="009D5DC9">
              <w:rPr>
                <w:rFonts w:ascii="Trebuchet MS" w:eastAsia="Trebuchet MS" w:hAnsi="Trebuchet MS" w:cs="Trebuchet MS"/>
                <w:highlight w:val="white"/>
              </w:rPr>
              <w:t xml:space="preserve"> obrazovne ponude u skladu sa potrebama poslodavaca. </w:t>
            </w:r>
            <w:r w:rsidR="00982CB3" w:rsidRPr="009D5DC9">
              <w:rPr>
                <w:rFonts w:ascii="Trebuchet MS" w:eastAsia="Trebuchet MS" w:hAnsi="Trebuchet MS" w:cs="Trebuchet MS"/>
              </w:rPr>
              <w:t xml:space="preserve">Početikom 2025. godine </w:t>
            </w:r>
            <w:r w:rsidRPr="009D5DC9">
              <w:rPr>
                <w:rFonts w:ascii="Trebuchet MS" w:eastAsia="Trebuchet MS" w:hAnsi="Trebuchet MS" w:cs="Trebuchet MS"/>
              </w:rPr>
              <w:t>urađena je obrada dobijenih podataka.N</w:t>
            </w:r>
            <w:r w:rsidR="00982CB3" w:rsidRPr="009D5DC9">
              <w:rPr>
                <w:rFonts w:ascii="Trebuchet MS" w:eastAsia="Trebuchet MS" w:hAnsi="Trebuchet MS" w:cs="Trebuchet MS"/>
              </w:rPr>
              <w:t>a osnovu</w:t>
            </w:r>
            <w:r w:rsidRPr="009D5DC9">
              <w:rPr>
                <w:rFonts w:ascii="Trebuchet MS" w:eastAsia="Trebuchet MS" w:hAnsi="Trebuchet MS" w:cs="Trebuchet MS"/>
              </w:rPr>
              <w:t xml:space="preserve"> dobijenih i obrađenih podataka prip</w:t>
            </w:r>
            <w:r w:rsidR="00982CB3" w:rsidRPr="009D5DC9">
              <w:rPr>
                <w:rFonts w:ascii="Trebuchet MS" w:eastAsia="Trebuchet MS" w:hAnsi="Trebuchet MS" w:cs="Trebuchet MS"/>
              </w:rPr>
              <w:t>remljena je</w:t>
            </w:r>
            <w:r w:rsidRPr="009D5DC9">
              <w:rPr>
                <w:rFonts w:ascii="Trebuchet MS" w:eastAsia="Trebuchet MS" w:hAnsi="Trebuchet MS" w:cs="Trebuchet MS"/>
              </w:rPr>
              <w:t xml:space="preserve"> </w:t>
            </w:r>
            <w:r w:rsidR="00982CB3" w:rsidRPr="009D5DC9">
              <w:rPr>
                <w:rFonts w:ascii="Trebuchet MS" w:eastAsia="Trebuchet MS" w:hAnsi="Trebuchet MS" w:cs="Trebuchet MS"/>
              </w:rPr>
              <w:t>A</w:t>
            </w:r>
            <w:r w:rsidRPr="009D5DC9">
              <w:rPr>
                <w:rFonts w:ascii="Trebuchet MS" w:eastAsia="Trebuchet MS" w:hAnsi="Trebuchet MS" w:cs="Trebuchet MS"/>
              </w:rPr>
              <w:t>naliza i preporuke za razvoj obrazovne ponude za unapređenje digitalnih vještina zaposlenih u skladu sa potrebama poslodavaca.</w:t>
            </w:r>
          </w:p>
        </w:tc>
      </w:tr>
      <w:tr w:rsidR="008B2B5E" w14:paraId="77E6EED4" w14:textId="77777777" w:rsidTr="000A3EBE">
        <w:trPr>
          <w:jc w:val="center"/>
        </w:trPr>
        <w:tc>
          <w:tcPr>
            <w:tcW w:w="2561" w:type="dxa"/>
          </w:tcPr>
          <w:p w14:paraId="06035B89" w14:textId="77777777" w:rsidR="008B2B5E" w:rsidRPr="000A3EB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t>Praćenje i sprovođenje mjera za jačanje medijske pismenosti</w:t>
            </w:r>
          </w:p>
        </w:tc>
        <w:tc>
          <w:tcPr>
            <w:tcW w:w="2834" w:type="dxa"/>
          </w:tcPr>
          <w:p w14:paraId="49DB55B6" w14:textId="77777777" w:rsidR="008B2B5E" w:rsidRPr="000A3EB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t xml:space="preserve">Centar za stručno obrazovanje/ </w:t>
            </w:r>
          </w:p>
          <w:p w14:paraId="7E73F0C5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Ministarstvo prosvjete</w:t>
            </w:r>
            <w:r w:rsidR="003C6D6F" w:rsidRPr="000A3EBE">
              <w:rPr>
                <w:rFonts w:ascii="Trebuchet MS" w:eastAsia="Trebuchet MS" w:hAnsi="Trebuchet MS" w:cs="Trebuchet MS"/>
                <w:color w:val="000000"/>
              </w:rPr>
              <w:t>, nauke i inovacija</w:t>
            </w:r>
          </w:p>
          <w:p w14:paraId="40E8A49C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lastRenderedPageBreak/>
              <w:t>Predstavnici medija</w:t>
            </w:r>
          </w:p>
          <w:p w14:paraId="37FFD601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b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b/>
                <w:color w:val="000000"/>
              </w:rPr>
              <w:t>Partnerske institucije</w:t>
            </w:r>
          </w:p>
        </w:tc>
        <w:tc>
          <w:tcPr>
            <w:tcW w:w="1891" w:type="dxa"/>
          </w:tcPr>
          <w:p w14:paraId="6CC1BC54" w14:textId="61011868" w:rsidR="008B2B5E" w:rsidRPr="000A3EBE" w:rsidRDefault="00200661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lastRenderedPageBreak/>
              <w:t>Realizovano</w:t>
            </w:r>
          </w:p>
        </w:tc>
        <w:tc>
          <w:tcPr>
            <w:tcW w:w="2814" w:type="dxa"/>
          </w:tcPr>
          <w:p w14:paraId="5F62C5CB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</w:rPr>
              <w:t>Budžet EPALE projekta</w:t>
            </w:r>
          </w:p>
          <w:p w14:paraId="6B4AF082" w14:textId="77777777" w:rsidR="008B2B5E" w:rsidRPr="000A3EB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  <w:color w:val="000000"/>
              </w:rPr>
            </w:pPr>
          </w:p>
        </w:tc>
        <w:tc>
          <w:tcPr>
            <w:tcW w:w="5740" w:type="dxa"/>
          </w:tcPr>
          <w:p w14:paraId="34F99D6B" w14:textId="77777777" w:rsidR="008B2B5E" w:rsidRPr="0007354B" w:rsidRDefault="00A532C6" w:rsidP="0007354B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7354B">
              <w:rPr>
                <w:rFonts w:ascii="Trebuchet MS" w:eastAsia="Trebuchet MS" w:hAnsi="Trebuchet MS" w:cs="Trebuchet MS"/>
                <w:color w:val="000000"/>
              </w:rPr>
              <w:t>Ostvarena regionalna saradnja na planu jačanja medijske pismenosti</w:t>
            </w:r>
          </w:p>
          <w:p w14:paraId="6718E4D1" w14:textId="77777777" w:rsidR="008B2B5E" w:rsidRPr="0007354B" w:rsidRDefault="00A532C6" w:rsidP="0007354B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7354B">
              <w:rPr>
                <w:rFonts w:ascii="Trebuchet MS" w:eastAsia="Trebuchet MS" w:hAnsi="Trebuchet MS" w:cs="Trebuchet MS"/>
                <w:color w:val="000000"/>
              </w:rPr>
              <w:t>Broj i vrsta realizovanih aktivnosti</w:t>
            </w:r>
          </w:p>
          <w:p w14:paraId="6FA99A85" w14:textId="77777777" w:rsidR="008B2B5E" w:rsidRPr="0007354B" w:rsidRDefault="00A532C6" w:rsidP="0007354B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7354B">
              <w:rPr>
                <w:rFonts w:ascii="Trebuchet MS" w:eastAsia="Trebuchet MS" w:hAnsi="Trebuchet MS" w:cs="Trebuchet MS"/>
              </w:rPr>
              <w:lastRenderedPageBreak/>
              <w:t>Organizacija Regionalne konferencije o obrazovanju odraslih na temu: Medijska pismenost</w:t>
            </w:r>
          </w:p>
          <w:p w14:paraId="6CC8DAFE" w14:textId="58343FAC" w:rsidR="00E42ECC" w:rsidRPr="009D5DC9" w:rsidRDefault="00E42ECC" w:rsidP="009D5DC9">
            <w:pPr>
              <w:spacing w:before="40" w:after="40" w:line="240" w:lineRule="auto"/>
              <w:contextualSpacing/>
              <w:jc w:val="both"/>
              <w:rPr>
                <w:rFonts w:ascii="Trebuchet MS" w:hAnsi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>Regoionalnu konferenciju na temu: »</w:t>
            </w:r>
            <w:r w:rsidRPr="009D5DC9">
              <w:rPr>
                <w:rFonts w:ascii="Trebuchet MS" w:hAnsi="Trebuchet MS"/>
              </w:rPr>
              <w:t xml:space="preserve">Medijska pismenost u digitalnom ekosistemu vještačke inteligencije« organizovalo je Ministarstvo prosvjete, nauke i inovacija u okviru Projekta EPALE </w:t>
            </w:r>
          </w:p>
          <w:p w14:paraId="410F02B0" w14:textId="69DC05EC" w:rsidR="00E42ECC" w:rsidRPr="000A3EBE" w:rsidRDefault="00E42ECC" w:rsidP="00E4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</w:tc>
      </w:tr>
      <w:tr w:rsidR="008B2B5E" w14:paraId="2AA5263A" w14:textId="77777777" w:rsidTr="000A3EBE">
        <w:trPr>
          <w:trHeight w:val="275"/>
          <w:jc w:val="center"/>
        </w:trPr>
        <w:tc>
          <w:tcPr>
            <w:tcW w:w="2561" w:type="dxa"/>
          </w:tcPr>
          <w:p w14:paraId="7165337F" w14:textId="77777777" w:rsidR="008B2B5E" w:rsidRPr="000A3EBE" w:rsidRDefault="00A532C6">
            <w:pPr>
              <w:spacing w:before="40" w:after="40" w:line="240" w:lineRule="auto"/>
              <w:ind w:left="57" w:right="57"/>
              <w:rPr>
                <w:rFonts w:ascii="Trebuchet MS" w:eastAsia="Trebuchet MS" w:hAnsi="Trebuchet MS" w:cs="Trebuchet MS"/>
                <w:b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lastRenderedPageBreak/>
              <w:t xml:space="preserve">Planiranje i sprovođenje aktivnosti koje doprinose povećanju nivoa funkcionalne pismenosti građana </w:t>
            </w:r>
          </w:p>
        </w:tc>
        <w:tc>
          <w:tcPr>
            <w:tcW w:w="2834" w:type="dxa"/>
          </w:tcPr>
          <w:p w14:paraId="52759256" w14:textId="77777777" w:rsidR="008B2B5E" w:rsidRPr="000A3EB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t>Ministarstvo prosvjete</w:t>
            </w:r>
            <w:r w:rsidR="002078C0" w:rsidRPr="000A3EBE">
              <w:rPr>
                <w:rFonts w:ascii="Trebuchet MS" w:eastAsia="Trebuchet MS" w:hAnsi="Trebuchet MS" w:cs="Trebuchet MS"/>
                <w:b/>
              </w:rPr>
              <w:t>, nauke i inovacija</w:t>
            </w:r>
            <w:r w:rsidRPr="000A3EBE">
              <w:rPr>
                <w:rFonts w:ascii="Trebuchet MS" w:eastAsia="Trebuchet MS" w:hAnsi="Trebuchet MS" w:cs="Trebuchet MS"/>
                <w:b/>
              </w:rPr>
              <w:t xml:space="preserve">/ </w:t>
            </w:r>
          </w:p>
          <w:p w14:paraId="037BC92F" w14:textId="77777777" w:rsidR="008B2B5E" w:rsidRPr="000A3EBE" w:rsidRDefault="00A532C6">
            <w:pPr>
              <w:numPr>
                <w:ilvl w:val="0"/>
                <w:numId w:val="1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Centar za stručno obrazovanje</w:t>
            </w:r>
          </w:p>
          <w:p w14:paraId="3EE1BEAE" w14:textId="77777777" w:rsidR="008B2B5E" w:rsidRPr="000A3EBE" w:rsidRDefault="00A532C6">
            <w:pPr>
              <w:numPr>
                <w:ilvl w:val="0"/>
                <w:numId w:val="1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Organi državne uprave</w:t>
            </w:r>
          </w:p>
          <w:p w14:paraId="755CF24C" w14:textId="77777777" w:rsidR="008B2B5E" w:rsidRPr="000A3EBE" w:rsidRDefault="00A532C6">
            <w:pPr>
              <w:numPr>
                <w:ilvl w:val="0"/>
                <w:numId w:val="1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NVO sektor</w:t>
            </w:r>
          </w:p>
          <w:p w14:paraId="09C84CB1" w14:textId="77777777" w:rsidR="008B2B5E" w:rsidRPr="000A3EBE" w:rsidRDefault="00A532C6">
            <w:pPr>
              <w:numPr>
                <w:ilvl w:val="0"/>
                <w:numId w:val="1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Organi lokalne samouprave</w:t>
            </w:r>
          </w:p>
          <w:p w14:paraId="6432D82C" w14:textId="77777777" w:rsidR="008B2B5E" w:rsidRPr="000A3EBE" w:rsidRDefault="00A532C6">
            <w:pPr>
              <w:numPr>
                <w:ilvl w:val="0"/>
                <w:numId w:val="1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Licencirani organizatori obrazovanja odraslih</w:t>
            </w:r>
          </w:p>
          <w:p w14:paraId="0D9C00D4" w14:textId="77777777" w:rsidR="008B2B5E" w:rsidRPr="000A3EBE" w:rsidRDefault="00A532C6">
            <w:pPr>
              <w:numPr>
                <w:ilvl w:val="0"/>
                <w:numId w:val="1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Poslodavci</w:t>
            </w:r>
          </w:p>
        </w:tc>
        <w:tc>
          <w:tcPr>
            <w:tcW w:w="1891" w:type="dxa"/>
          </w:tcPr>
          <w:p w14:paraId="34D88D9F" w14:textId="021232F0" w:rsidR="008B2B5E" w:rsidRPr="000A3EBE" w:rsidRDefault="00200661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Realizovano</w:t>
            </w:r>
          </w:p>
        </w:tc>
        <w:tc>
          <w:tcPr>
            <w:tcW w:w="2814" w:type="dxa"/>
          </w:tcPr>
          <w:p w14:paraId="72BDE6F9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n/a</w:t>
            </w:r>
          </w:p>
          <w:p w14:paraId="7A52D2F8" w14:textId="77777777" w:rsidR="008B2B5E" w:rsidRPr="000A3EB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56745F51" w14:textId="77777777" w:rsidR="008B2B5E" w:rsidRPr="000A3EB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49797D91" w14:textId="77777777" w:rsidR="008B2B5E" w:rsidRPr="000A3EB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54D30708" w14:textId="77777777" w:rsidR="008B2B5E" w:rsidRPr="000A3EB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3EC19233" w14:textId="77777777" w:rsidR="008B2B5E" w:rsidRPr="000A3EB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231295A1" w14:textId="77777777" w:rsidR="008B2B5E" w:rsidRPr="000A3EB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1B0318EF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</w:rPr>
              <w:t>Budžet EPALE projekta</w:t>
            </w:r>
          </w:p>
          <w:p w14:paraId="60E03B53" w14:textId="77777777" w:rsidR="008B2B5E" w:rsidRPr="000A3EB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  <w:color w:val="000000"/>
              </w:rPr>
            </w:pPr>
          </w:p>
        </w:tc>
        <w:tc>
          <w:tcPr>
            <w:tcW w:w="5740" w:type="dxa"/>
          </w:tcPr>
          <w:p w14:paraId="1550C954" w14:textId="77777777" w:rsidR="008B2B5E" w:rsidRPr="000A3EB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Broj realizovanih aktivnosti namijenjenih povećanju funkcionalne pismenosti građana</w:t>
            </w:r>
          </w:p>
          <w:p w14:paraId="57485DC0" w14:textId="77777777" w:rsidR="008B2B5E" w:rsidRPr="000A3EB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Broj sklopljenih partnerst</w:t>
            </w:r>
            <w:r w:rsidR="002619E9" w:rsidRPr="000A3EBE">
              <w:rPr>
                <w:rFonts w:ascii="Trebuchet MS" w:eastAsia="Trebuchet MS" w:hAnsi="Trebuchet MS" w:cs="Trebuchet MS"/>
              </w:rPr>
              <w:t>a</w:t>
            </w:r>
            <w:r w:rsidRPr="000A3EBE">
              <w:rPr>
                <w:rFonts w:ascii="Trebuchet MS" w:eastAsia="Trebuchet MS" w:hAnsi="Trebuchet MS" w:cs="Trebuchet MS"/>
              </w:rPr>
              <w:t>va o zajedničkoj akciji u ovoj oblasti</w:t>
            </w:r>
          </w:p>
          <w:p w14:paraId="0E417E79" w14:textId="77777777" w:rsidR="008B2B5E" w:rsidRPr="000A3EB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Broj sprovedenih aktivnosti na planu jačanja digitalne pismenosti (obilježavanje dana sigurnog interneta, obilježavanje Međunarodnog dana djevojčica u ICT</w:t>
            </w:r>
            <w:r w:rsidR="009C0B4D" w:rsidRPr="000A3EBE">
              <w:rPr>
                <w:rFonts w:ascii="Trebuchet MS" w:eastAsia="Trebuchet MS" w:hAnsi="Trebuchet MS" w:cs="Trebuchet MS"/>
              </w:rPr>
              <w:t>-u), transverzalnih kompetencija</w:t>
            </w:r>
            <w:r w:rsidRPr="000A3EBE">
              <w:rPr>
                <w:rFonts w:ascii="Trebuchet MS" w:eastAsia="Trebuchet MS" w:hAnsi="Trebuchet MS" w:cs="Trebuchet MS"/>
              </w:rPr>
              <w:t xml:space="preserve"> i sl.</w:t>
            </w:r>
          </w:p>
          <w:p w14:paraId="7E19CA46" w14:textId="77777777" w:rsidR="00197007" w:rsidRDefault="00A532C6" w:rsidP="00197007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Priprema Vodiča za transverzalne vještine nastavnika</w:t>
            </w:r>
            <w:bookmarkStart w:id="6" w:name="_Toc176957309"/>
          </w:p>
          <w:p w14:paraId="42AAB9C2" w14:textId="62B27D3F" w:rsidR="008B2B5E" w:rsidRPr="000A3EBE" w:rsidRDefault="00197007" w:rsidP="0007354B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proofErr w:type="spellStart"/>
            <w:r w:rsidRPr="009D5DC9">
              <w:rPr>
                <w:rFonts w:ascii="Trebuchet MS" w:eastAsiaTheme="minorEastAsia" w:hAnsi="Trebuchet MS" w:cstheme="minorHAnsi"/>
                <w:lang w:val="en-US"/>
              </w:rPr>
              <w:t>Ministarstvo</w:t>
            </w:r>
            <w:proofErr w:type="spellEnd"/>
            <w:r w:rsidRPr="009D5DC9">
              <w:rPr>
                <w:rFonts w:ascii="Trebuchet MS" w:eastAsiaTheme="minorEastAsia" w:hAnsi="Trebuchet MS" w:cstheme="minorHAnsi"/>
                <w:lang w:val="en-US"/>
              </w:rPr>
              <w:t xml:space="preserve"> </w:t>
            </w:r>
            <w:proofErr w:type="spellStart"/>
            <w:r w:rsidRPr="009D5DC9">
              <w:rPr>
                <w:rFonts w:ascii="Trebuchet MS" w:eastAsiaTheme="minorEastAsia" w:hAnsi="Trebuchet MS" w:cstheme="minorHAnsi"/>
                <w:lang w:val="en-US"/>
              </w:rPr>
              <w:t>prosvjete</w:t>
            </w:r>
            <w:proofErr w:type="spellEnd"/>
            <w:r w:rsidRPr="009D5DC9">
              <w:rPr>
                <w:rFonts w:ascii="Trebuchet MS" w:eastAsiaTheme="minorEastAsia" w:hAnsi="Trebuchet MS" w:cstheme="minorHAnsi"/>
                <w:lang w:val="en-US"/>
              </w:rPr>
              <w:t xml:space="preserve">, </w:t>
            </w:r>
            <w:proofErr w:type="spellStart"/>
            <w:r w:rsidRPr="009D5DC9">
              <w:rPr>
                <w:rFonts w:ascii="Trebuchet MS" w:eastAsiaTheme="minorEastAsia" w:hAnsi="Trebuchet MS" w:cstheme="minorHAnsi"/>
                <w:lang w:val="en-US"/>
              </w:rPr>
              <w:t>nauke</w:t>
            </w:r>
            <w:proofErr w:type="spellEnd"/>
            <w:r w:rsidRPr="009D5DC9">
              <w:rPr>
                <w:rFonts w:ascii="Trebuchet MS" w:eastAsiaTheme="minorEastAsia" w:hAnsi="Trebuchet MS" w:cstheme="minorHAnsi"/>
                <w:lang w:val="en-US"/>
              </w:rPr>
              <w:t xml:space="preserve"> </w:t>
            </w:r>
            <w:proofErr w:type="spellStart"/>
            <w:r w:rsidRPr="009D5DC9">
              <w:rPr>
                <w:rFonts w:ascii="Trebuchet MS" w:eastAsiaTheme="minorEastAsia" w:hAnsi="Trebuchet MS" w:cstheme="minorHAnsi"/>
                <w:lang w:val="en-US"/>
              </w:rPr>
              <w:t>i</w:t>
            </w:r>
            <w:proofErr w:type="spellEnd"/>
            <w:r w:rsidRPr="009D5DC9">
              <w:rPr>
                <w:rFonts w:ascii="Trebuchet MS" w:eastAsiaTheme="minorEastAsia" w:hAnsi="Trebuchet MS" w:cstheme="minorHAnsi"/>
                <w:lang w:val="en-US"/>
              </w:rPr>
              <w:t xml:space="preserve"> </w:t>
            </w:r>
            <w:proofErr w:type="spellStart"/>
            <w:r w:rsidRPr="009D5DC9">
              <w:rPr>
                <w:rFonts w:ascii="Trebuchet MS" w:eastAsiaTheme="minorEastAsia" w:hAnsi="Trebuchet MS" w:cstheme="minorHAnsi"/>
                <w:lang w:val="en-US"/>
              </w:rPr>
              <w:t>inovacija</w:t>
            </w:r>
            <w:proofErr w:type="spellEnd"/>
            <w:r w:rsidRPr="009D5DC9">
              <w:rPr>
                <w:rFonts w:ascii="Trebuchet MS" w:eastAsiaTheme="minorEastAsia" w:hAnsi="Trebuchet MS" w:cstheme="minorHAnsi"/>
                <w:lang w:val="en-US"/>
              </w:rPr>
              <w:t xml:space="preserve"> je u </w:t>
            </w:r>
            <w:proofErr w:type="spellStart"/>
            <w:r w:rsidRPr="009D5DC9">
              <w:rPr>
                <w:rFonts w:ascii="Trebuchet MS" w:eastAsiaTheme="minorEastAsia" w:hAnsi="Trebuchet MS" w:cstheme="minorHAnsi"/>
                <w:lang w:val="en-US"/>
              </w:rPr>
              <w:t>saradnj</w:t>
            </w:r>
            <w:r w:rsidR="00933FB5">
              <w:rPr>
                <w:rFonts w:ascii="Trebuchet MS" w:eastAsiaTheme="minorEastAsia" w:hAnsi="Trebuchet MS" w:cstheme="minorHAnsi"/>
                <w:lang w:val="en-US"/>
              </w:rPr>
              <w:t>i</w:t>
            </w:r>
            <w:proofErr w:type="spellEnd"/>
            <w:r w:rsidRPr="009D5DC9">
              <w:rPr>
                <w:rFonts w:ascii="Trebuchet MS" w:eastAsiaTheme="minorEastAsia" w:hAnsi="Trebuchet MS" w:cstheme="minorHAnsi"/>
                <w:lang w:val="en-US"/>
              </w:rPr>
              <w:t xml:space="preserve"> </w:t>
            </w:r>
            <w:proofErr w:type="spellStart"/>
            <w:r w:rsidRPr="009D5DC9">
              <w:rPr>
                <w:rFonts w:ascii="Trebuchet MS" w:eastAsiaTheme="minorEastAsia" w:hAnsi="Trebuchet MS" w:cstheme="minorHAnsi"/>
                <w:lang w:val="en-US"/>
              </w:rPr>
              <w:t>sa</w:t>
            </w:r>
            <w:proofErr w:type="spellEnd"/>
            <w:r w:rsidRPr="009D5DC9">
              <w:rPr>
                <w:rFonts w:ascii="Trebuchet MS" w:eastAsiaTheme="minorEastAsia" w:hAnsi="Trebuchet MS" w:cstheme="minorHAnsi"/>
                <w:lang w:val="en-US"/>
              </w:rPr>
              <w:t xml:space="preserve"> JU </w:t>
            </w:r>
            <w:proofErr w:type="spellStart"/>
            <w:r w:rsidRPr="009D5DC9">
              <w:rPr>
                <w:rFonts w:ascii="Trebuchet MS" w:eastAsiaTheme="minorEastAsia" w:hAnsi="Trebuchet MS" w:cstheme="minorHAnsi"/>
                <w:lang w:val="en-US"/>
              </w:rPr>
              <w:t>Centar</w:t>
            </w:r>
            <w:proofErr w:type="spellEnd"/>
            <w:r w:rsidRPr="009D5DC9">
              <w:rPr>
                <w:rFonts w:ascii="Trebuchet MS" w:eastAsiaTheme="minorEastAsia" w:hAnsi="Trebuchet MS" w:cstheme="minorHAnsi"/>
                <w:lang w:val="en-US"/>
              </w:rPr>
              <w:t xml:space="preserve"> za </w:t>
            </w:r>
            <w:proofErr w:type="spellStart"/>
            <w:r w:rsidRPr="009D5DC9">
              <w:rPr>
                <w:rFonts w:ascii="Trebuchet MS" w:eastAsiaTheme="minorEastAsia" w:hAnsi="Trebuchet MS" w:cstheme="minorHAnsi"/>
                <w:lang w:val="en-US"/>
              </w:rPr>
              <w:t>stručno</w:t>
            </w:r>
            <w:proofErr w:type="spellEnd"/>
            <w:r w:rsidRPr="009D5DC9">
              <w:rPr>
                <w:rFonts w:ascii="Trebuchet MS" w:eastAsiaTheme="minorEastAsia" w:hAnsi="Trebuchet MS" w:cstheme="minorHAnsi"/>
                <w:lang w:val="en-US"/>
              </w:rPr>
              <w:t xml:space="preserve"> </w:t>
            </w:r>
            <w:proofErr w:type="spellStart"/>
            <w:r w:rsidRPr="009D5DC9">
              <w:rPr>
                <w:rFonts w:ascii="Trebuchet MS" w:eastAsiaTheme="minorEastAsia" w:hAnsi="Trebuchet MS" w:cstheme="minorHAnsi"/>
                <w:lang w:val="en-US"/>
              </w:rPr>
              <w:t>obrazovanje</w:t>
            </w:r>
            <w:proofErr w:type="spellEnd"/>
            <w:r w:rsidRPr="009D5DC9">
              <w:rPr>
                <w:rFonts w:ascii="Trebuchet MS" w:eastAsiaTheme="minorEastAsia" w:hAnsi="Trebuchet MS" w:cstheme="minorHAnsi"/>
                <w:lang w:val="en-US"/>
              </w:rPr>
              <w:t xml:space="preserve">, a </w:t>
            </w:r>
            <w:proofErr w:type="spellStart"/>
            <w:r w:rsidRPr="009D5DC9">
              <w:rPr>
                <w:rFonts w:ascii="Trebuchet MS" w:eastAsiaTheme="minorEastAsia" w:hAnsi="Trebuchet MS" w:cstheme="minorHAnsi"/>
                <w:lang w:val="en-US"/>
              </w:rPr>
              <w:t>kroz</w:t>
            </w:r>
            <w:proofErr w:type="spellEnd"/>
            <w:r w:rsidRPr="009D5DC9">
              <w:rPr>
                <w:rFonts w:ascii="Trebuchet MS" w:eastAsiaTheme="minorEastAsia" w:hAnsi="Trebuchet MS" w:cstheme="minorHAnsi"/>
                <w:lang w:val="en-US"/>
              </w:rPr>
              <w:t xml:space="preserve"> </w:t>
            </w:r>
            <w:proofErr w:type="spellStart"/>
            <w:r w:rsidRPr="009D5DC9">
              <w:rPr>
                <w:rFonts w:ascii="Trebuchet MS" w:eastAsiaTheme="minorEastAsia" w:hAnsi="Trebuchet MS" w:cstheme="minorHAnsi"/>
                <w:lang w:val="en-US"/>
              </w:rPr>
              <w:t>projekat</w:t>
            </w:r>
            <w:proofErr w:type="spellEnd"/>
            <w:r w:rsidRPr="009D5DC9">
              <w:rPr>
                <w:rFonts w:ascii="Trebuchet MS" w:eastAsiaTheme="minorEastAsia" w:hAnsi="Trebuchet MS" w:cstheme="minorHAnsi"/>
                <w:lang w:val="en-US"/>
              </w:rPr>
              <w:t xml:space="preserve"> EPALE </w:t>
            </w:r>
            <w:proofErr w:type="spellStart"/>
            <w:r w:rsidRPr="009D5DC9">
              <w:rPr>
                <w:rFonts w:ascii="Trebuchet MS" w:eastAsiaTheme="minorEastAsia" w:hAnsi="Trebuchet MS" w:cstheme="minorHAnsi"/>
                <w:lang w:val="en-US"/>
              </w:rPr>
              <w:t>Nacionalna</w:t>
            </w:r>
            <w:proofErr w:type="spellEnd"/>
            <w:r w:rsidRPr="009D5DC9">
              <w:rPr>
                <w:rFonts w:ascii="Trebuchet MS" w:eastAsiaTheme="minorEastAsia" w:hAnsi="Trebuchet MS" w:cstheme="minorHAnsi"/>
                <w:lang w:val="en-US"/>
              </w:rPr>
              <w:t xml:space="preserve"> </w:t>
            </w:r>
            <w:proofErr w:type="spellStart"/>
            <w:r w:rsidRPr="009D5DC9">
              <w:rPr>
                <w:rFonts w:ascii="Trebuchet MS" w:eastAsiaTheme="minorEastAsia" w:hAnsi="Trebuchet MS" w:cstheme="minorHAnsi"/>
                <w:lang w:val="en-US"/>
              </w:rPr>
              <w:t>služba</w:t>
            </w:r>
            <w:proofErr w:type="spellEnd"/>
            <w:r w:rsidRPr="009D5DC9">
              <w:rPr>
                <w:rFonts w:ascii="Trebuchet MS" w:eastAsiaTheme="minorEastAsia" w:hAnsi="Trebuchet MS" w:cstheme="minorHAnsi"/>
                <w:lang w:val="en-US"/>
              </w:rPr>
              <w:t xml:space="preserve"> </w:t>
            </w:r>
            <w:proofErr w:type="spellStart"/>
            <w:r w:rsidRPr="009D5DC9">
              <w:rPr>
                <w:rFonts w:ascii="Trebuchet MS" w:eastAsiaTheme="minorEastAsia" w:hAnsi="Trebuchet MS" w:cstheme="minorHAnsi"/>
                <w:lang w:val="en-US"/>
              </w:rPr>
              <w:t>podrške</w:t>
            </w:r>
            <w:proofErr w:type="spellEnd"/>
            <w:r w:rsidRPr="009D5DC9">
              <w:rPr>
                <w:rFonts w:ascii="Trebuchet MS" w:eastAsiaTheme="minorEastAsia" w:hAnsi="Trebuchet MS" w:cstheme="minorHAnsi"/>
                <w:lang w:val="en-US"/>
              </w:rPr>
              <w:t xml:space="preserve"> za </w:t>
            </w:r>
            <w:proofErr w:type="spellStart"/>
            <w:r w:rsidRPr="009D5DC9">
              <w:rPr>
                <w:rFonts w:ascii="Trebuchet MS" w:eastAsiaTheme="minorEastAsia" w:hAnsi="Trebuchet MS" w:cstheme="minorHAnsi"/>
                <w:lang w:val="en-US"/>
              </w:rPr>
              <w:t>Crnu</w:t>
            </w:r>
            <w:proofErr w:type="spellEnd"/>
            <w:r w:rsidRPr="009D5DC9">
              <w:rPr>
                <w:rFonts w:ascii="Trebuchet MS" w:eastAsiaTheme="minorEastAsia" w:hAnsi="Trebuchet MS" w:cstheme="minorHAnsi"/>
                <w:lang w:val="en-US"/>
              </w:rPr>
              <w:t xml:space="preserve"> </w:t>
            </w:r>
            <w:proofErr w:type="spellStart"/>
            <w:r w:rsidRPr="009D5DC9">
              <w:rPr>
                <w:rFonts w:ascii="Trebuchet MS" w:eastAsiaTheme="minorEastAsia" w:hAnsi="Trebuchet MS" w:cstheme="minorHAnsi"/>
                <w:lang w:val="en-US"/>
              </w:rPr>
              <w:t>Goru</w:t>
            </w:r>
            <w:proofErr w:type="spellEnd"/>
            <w:r w:rsidRPr="009D5DC9">
              <w:rPr>
                <w:rFonts w:ascii="Trebuchet MS" w:eastAsiaTheme="minorEastAsia" w:hAnsi="Trebuchet MS" w:cstheme="minorHAnsi"/>
                <w:lang w:val="en-US"/>
              </w:rPr>
              <w:t xml:space="preserve"> </w:t>
            </w:r>
            <w:proofErr w:type="spellStart"/>
            <w:r w:rsidRPr="009D5DC9">
              <w:rPr>
                <w:rFonts w:ascii="Trebuchet MS" w:eastAsiaTheme="minorEastAsia" w:hAnsi="Trebuchet MS" w:cstheme="minorHAnsi"/>
                <w:lang w:val="en-US"/>
              </w:rPr>
              <w:t>sufinasiran</w:t>
            </w:r>
            <w:proofErr w:type="spellEnd"/>
            <w:r w:rsidRPr="009D5DC9">
              <w:rPr>
                <w:rFonts w:ascii="Trebuchet MS" w:eastAsiaTheme="minorEastAsia" w:hAnsi="Trebuchet MS" w:cstheme="minorHAnsi"/>
                <w:lang w:val="en-US"/>
              </w:rPr>
              <w:t xml:space="preserve"> </w:t>
            </w:r>
            <w:proofErr w:type="spellStart"/>
            <w:r w:rsidRPr="009D5DC9">
              <w:rPr>
                <w:rFonts w:ascii="Trebuchet MS" w:eastAsiaTheme="minorEastAsia" w:hAnsi="Trebuchet MS" w:cstheme="minorHAnsi"/>
                <w:lang w:val="en-US"/>
              </w:rPr>
              <w:t>iz</w:t>
            </w:r>
            <w:proofErr w:type="spellEnd"/>
            <w:r w:rsidRPr="009D5DC9">
              <w:rPr>
                <w:rFonts w:ascii="Trebuchet MS" w:eastAsiaTheme="minorEastAsia" w:hAnsi="Trebuchet MS" w:cstheme="minorHAnsi"/>
                <w:lang w:val="en-US"/>
              </w:rPr>
              <w:t xml:space="preserve"> ERASMUS+ </w:t>
            </w:r>
            <w:proofErr w:type="spellStart"/>
            <w:r w:rsidRPr="009D5DC9">
              <w:rPr>
                <w:rFonts w:ascii="Trebuchet MS" w:eastAsiaTheme="minorEastAsia" w:hAnsi="Trebuchet MS" w:cstheme="minorHAnsi"/>
                <w:lang w:val="en-US"/>
              </w:rPr>
              <w:t>programa</w:t>
            </w:r>
            <w:proofErr w:type="spellEnd"/>
            <w:r w:rsidRPr="009D5DC9">
              <w:rPr>
                <w:rFonts w:ascii="Trebuchet MS" w:eastAsiaTheme="minorEastAsia" w:hAnsi="Trebuchet MS" w:cstheme="minorHAnsi"/>
                <w:lang w:val="en-US"/>
              </w:rPr>
              <w:t xml:space="preserve"> u </w:t>
            </w:r>
            <w:proofErr w:type="spellStart"/>
            <w:r w:rsidRPr="009D5DC9">
              <w:rPr>
                <w:rFonts w:ascii="Trebuchet MS" w:eastAsiaTheme="minorEastAsia" w:hAnsi="Trebuchet MS" w:cstheme="minorHAnsi"/>
                <w:lang w:val="en-US"/>
              </w:rPr>
              <w:t>okviru</w:t>
            </w:r>
            <w:proofErr w:type="spellEnd"/>
            <w:r w:rsidRPr="009D5DC9">
              <w:rPr>
                <w:rFonts w:ascii="Trebuchet MS" w:eastAsiaTheme="minorEastAsia" w:hAnsi="Trebuchet MS" w:cstheme="minorHAnsi"/>
                <w:lang w:val="en-US"/>
              </w:rPr>
              <w:t xml:space="preserve"> EU Fonda </w:t>
            </w:r>
            <w:proofErr w:type="spellStart"/>
            <w:r w:rsidRPr="009D5DC9">
              <w:rPr>
                <w:rFonts w:ascii="Trebuchet MS" w:eastAsiaTheme="minorEastAsia" w:hAnsi="Trebuchet MS" w:cstheme="minorHAnsi"/>
                <w:lang w:val="en-US"/>
              </w:rPr>
              <w:t>kreiralo</w:t>
            </w:r>
            <w:proofErr w:type="spellEnd"/>
            <w:r w:rsidRPr="009D5DC9">
              <w:rPr>
                <w:rFonts w:ascii="Trebuchet MS" w:eastAsiaTheme="minorEastAsia" w:hAnsi="Trebuchet MS" w:cstheme="minorHAnsi"/>
                <w:lang w:val="en-US"/>
              </w:rPr>
              <w:t xml:space="preserve"> </w:t>
            </w:r>
            <w:proofErr w:type="spellStart"/>
            <w:r w:rsidRPr="009D5DC9">
              <w:rPr>
                <w:rFonts w:ascii="Trebuchet MS" w:eastAsiaTheme="minorEastAsia" w:hAnsi="Trebuchet MS" w:cstheme="minorHAnsi"/>
                <w:lang w:val="en-US"/>
              </w:rPr>
              <w:t>Vodič</w:t>
            </w:r>
            <w:proofErr w:type="spellEnd"/>
            <w:r w:rsidRPr="009D5DC9">
              <w:rPr>
                <w:rFonts w:ascii="Trebuchet MS" w:eastAsiaTheme="minorEastAsia" w:hAnsi="Trebuchet MS" w:cstheme="minorHAnsi"/>
                <w:lang w:val="en-US"/>
              </w:rPr>
              <w:t xml:space="preserve"> </w:t>
            </w:r>
            <w:proofErr w:type="spellStart"/>
            <w:r w:rsidRPr="009D5DC9">
              <w:rPr>
                <w:rFonts w:ascii="Trebuchet MS" w:eastAsiaTheme="minorEastAsia" w:hAnsi="Trebuchet MS" w:cstheme="minorHAnsi"/>
                <w:lang w:val="en-US"/>
              </w:rPr>
              <w:t>kroz</w:t>
            </w:r>
            <w:proofErr w:type="spellEnd"/>
            <w:r w:rsidRPr="009D5DC9">
              <w:rPr>
                <w:rFonts w:ascii="Trebuchet MS" w:eastAsiaTheme="minorEastAsia" w:hAnsi="Trebuchet MS" w:cstheme="minorHAnsi"/>
                <w:lang w:val="en-US"/>
              </w:rPr>
              <w:t xml:space="preserve"> </w:t>
            </w:r>
            <w:proofErr w:type="spellStart"/>
            <w:r w:rsidRPr="009D5DC9">
              <w:rPr>
                <w:rFonts w:ascii="Trebuchet MS" w:eastAsiaTheme="minorEastAsia" w:hAnsi="Trebuchet MS" w:cstheme="minorHAnsi"/>
                <w:lang w:val="en-US"/>
              </w:rPr>
              <w:t>transverzalne</w:t>
            </w:r>
            <w:proofErr w:type="spellEnd"/>
            <w:r w:rsidRPr="009D5DC9">
              <w:rPr>
                <w:rFonts w:ascii="Trebuchet MS" w:eastAsiaTheme="minorEastAsia" w:hAnsi="Trebuchet MS" w:cstheme="minorHAnsi"/>
                <w:lang w:val="en-US"/>
              </w:rPr>
              <w:t xml:space="preserve"> </w:t>
            </w:r>
            <w:proofErr w:type="spellStart"/>
            <w:r w:rsidRPr="009D5DC9">
              <w:rPr>
                <w:rFonts w:ascii="Trebuchet MS" w:eastAsiaTheme="minorEastAsia" w:hAnsi="Trebuchet MS" w:cstheme="minorHAnsi"/>
                <w:lang w:val="en-US"/>
              </w:rPr>
              <w:t>kompetencije</w:t>
            </w:r>
            <w:proofErr w:type="spellEnd"/>
            <w:r w:rsidRPr="009D5DC9">
              <w:rPr>
                <w:rFonts w:ascii="Trebuchet MS" w:eastAsiaTheme="minorEastAsia" w:hAnsi="Trebuchet MS" w:cstheme="minorHAnsi"/>
                <w:lang w:val="en-US"/>
              </w:rPr>
              <w:t xml:space="preserve"> u </w:t>
            </w:r>
            <w:proofErr w:type="spellStart"/>
            <w:r w:rsidRPr="009D5DC9">
              <w:rPr>
                <w:rFonts w:ascii="Trebuchet MS" w:eastAsiaTheme="minorEastAsia" w:hAnsi="Trebuchet MS" w:cstheme="minorHAnsi"/>
                <w:lang w:val="en-US"/>
              </w:rPr>
              <w:t>obrazovanju</w:t>
            </w:r>
            <w:proofErr w:type="spellEnd"/>
            <w:r w:rsidRPr="009D5DC9">
              <w:rPr>
                <w:rFonts w:ascii="Trebuchet MS" w:eastAsiaTheme="minorEastAsia" w:hAnsi="Trebuchet MS" w:cstheme="minorHAnsi"/>
                <w:lang w:val="en-US"/>
              </w:rPr>
              <w:t xml:space="preserve"> </w:t>
            </w:r>
            <w:proofErr w:type="spellStart"/>
            <w:r w:rsidRPr="009D5DC9">
              <w:rPr>
                <w:rFonts w:ascii="Trebuchet MS" w:eastAsiaTheme="minorEastAsia" w:hAnsi="Trebuchet MS" w:cstheme="minorHAnsi"/>
                <w:lang w:val="en-US"/>
              </w:rPr>
              <w:t>odraslih</w:t>
            </w:r>
            <w:proofErr w:type="spellEnd"/>
            <w:r w:rsidRPr="009D5DC9">
              <w:rPr>
                <w:rFonts w:ascii="Trebuchet MS" w:eastAsiaTheme="minorEastAsia" w:hAnsi="Trebuchet MS" w:cstheme="minorHAnsi"/>
                <w:lang w:val="en-US"/>
              </w:rPr>
              <w:t>.</w:t>
            </w:r>
            <w:bookmarkEnd w:id="6"/>
          </w:p>
        </w:tc>
      </w:tr>
      <w:tr w:rsidR="008B2B5E" w14:paraId="32459299" w14:textId="77777777" w:rsidTr="000A3EBE">
        <w:trPr>
          <w:trHeight w:val="275"/>
          <w:jc w:val="center"/>
        </w:trPr>
        <w:tc>
          <w:tcPr>
            <w:tcW w:w="2561" w:type="dxa"/>
          </w:tcPr>
          <w:p w14:paraId="1CB839AB" w14:textId="77777777" w:rsidR="008B2B5E" w:rsidRPr="000A3EBE" w:rsidRDefault="00A532C6">
            <w:pPr>
              <w:spacing w:before="40" w:after="40" w:line="240" w:lineRule="auto"/>
              <w:ind w:left="57" w:right="57"/>
              <w:rPr>
                <w:rFonts w:ascii="Trebuchet MS" w:eastAsia="Trebuchet MS" w:hAnsi="Trebuchet MS" w:cs="Trebuchet MS"/>
                <w:b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t xml:space="preserve">Uspostavljanje razvijenog sistema obrazovanja starijih lica u cilju podsticanja aktivnog, samostalnog i zdravog starenja, koristeći njihovo znanje, iskustvo, društveni i kulturni </w:t>
            </w:r>
            <w:r w:rsidRPr="000A3EBE">
              <w:rPr>
                <w:rFonts w:ascii="Trebuchet MS" w:eastAsia="Trebuchet MS" w:hAnsi="Trebuchet MS" w:cs="Trebuchet MS"/>
                <w:b/>
              </w:rPr>
              <w:lastRenderedPageBreak/>
              <w:t>kapital za dobrobit društva u cjelini</w:t>
            </w:r>
            <w:r w:rsidRPr="000A3EBE">
              <w:rPr>
                <w:rFonts w:ascii="Trebuchet MS" w:eastAsia="Trebuchet MS" w:hAnsi="Trebuchet MS" w:cs="Trebuchet MS"/>
                <w:vertAlign w:val="superscript"/>
              </w:rPr>
              <w:footnoteReference w:id="6"/>
            </w:r>
          </w:p>
        </w:tc>
        <w:tc>
          <w:tcPr>
            <w:tcW w:w="2834" w:type="dxa"/>
          </w:tcPr>
          <w:p w14:paraId="62890A3E" w14:textId="77777777" w:rsidR="008B2B5E" w:rsidRPr="000A3EB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lastRenderedPageBreak/>
              <w:t>Ministarstvo prosvjete</w:t>
            </w:r>
            <w:r w:rsidR="000E10FF" w:rsidRPr="000A3EBE">
              <w:rPr>
                <w:rFonts w:ascii="Trebuchet MS" w:eastAsia="Trebuchet MS" w:hAnsi="Trebuchet MS" w:cs="Trebuchet MS"/>
                <w:b/>
              </w:rPr>
              <w:t>, nauke i inovacija</w:t>
            </w:r>
            <w:r w:rsidRPr="000A3EBE">
              <w:rPr>
                <w:rFonts w:ascii="Trebuchet MS" w:eastAsia="Trebuchet MS" w:hAnsi="Trebuchet MS" w:cs="Trebuchet MS"/>
                <w:b/>
              </w:rPr>
              <w:t>/</w:t>
            </w:r>
          </w:p>
          <w:p w14:paraId="3E5AE469" w14:textId="77777777" w:rsidR="008B2B5E" w:rsidRPr="000A3EBE" w:rsidRDefault="00A532C6">
            <w:pPr>
              <w:numPr>
                <w:ilvl w:val="0"/>
                <w:numId w:val="1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Centar za stručno obrazovanje</w:t>
            </w:r>
          </w:p>
          <w:p w14:paraId="3FF95B99" w14:textId="77777777" w:rsidR="008B2B5E" w:rsidRPr="000A3EBE" w:rsidRDefault="00A532C6">
            <w:pPr>
              <w:numPr>
                <w:ilvl w:val="0"/>
                <w:numId w:val="1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Ustanove za smještaj starijih lica</w:t>
            </w:r>
          </w:p>
          <w:p w14:paraId="5C3BD30C" w14:textId="77777777" w:rsidR="008B2B5E" w:rsidRPr="000A3EBE" w:rsidRDefault="00A532C6">
            <w:pPr>
              <w:numPr>
                <w:ilvl w:val="0"/>
                <w:numId w:val="1"/>
              </w:num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0A3EBE">
              <w:rPr>
                <w:rFonts w:ascii="Trebuchet MS" w:eastAsia="Trebuchet MS" w:hAnsi="Trebuchet MS" w:cs="Trebuchet MS"/>
              </w:rPr>
              <w:t>Partnerske institucije</w:t>
            </w:r>
          </w:p>
        </w:tc>
        <w:tc>
          <w:tcPr>
            <w:tcW w:w="1891" w:type="dxa"/>
          </w:tcPr>
          <w:p w14:paraId="7E1C64B9" w14:textId="0F38DCE9" w:rsidR="008B2B5E" w:rsidRPr="000A3EBE" w:rsidRDefault="00200661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Realizovano</w:t>
            </w:r>
          </w:p>
        </w:tc>
        <w:tc>
          <w:tcPr>
            <w:tcW w:w="2814" w:type="dxa"/>
          </w:tcPr>
          <w:p w14:paraId="22510698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n/a</w:t>
            </w:r>
          </w:p>
          <w:p w14:paraId="1976B296" w14:textId="77777777" w:rsidR="008B2B5E" w:rsidRPr="000A3EB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740" w:type="dxa"/>
          </w:tcPr>
          <w:p w14:paraId="79ADF543" w14:textId="77777777" w:rsidR="008B2B5E" w:rsidRPr="000A3EB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Inicirane mjere za osiguranje obrazovanja starijih lica</w:t>
            </w:r>
          </w:p>
          <w:p w14:paraId="21A70434" w14:textId="013CD25B" w:rsidR="008B2B5E" w:rsidRPr="000A3EB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Broj starijih lica koja su učestvovala u obrazovnim</w:t>
            </w:r>
            <w:r w:rsidR="00791AAC">
              <w:rPr>
                <w:rFonts w:ascii="Trebuchet MS" w:eastAsia="Trebuchet MS" w:hAnsi="Trebuchet MS" w:cs="Trebuchet MS"/>
              </w:rPr>
              <w:t xml:space="preserve"> </w:t>
            </w:r>
            <w:r w:rsidRPr="000A3EBE">
              <w:rPr>
                <w:rFonts w:ascii="Trebuchet MS" w:eastAsia="Trebuchet MS" w:hAnsi="Trebuchet MS" w:cs="Trebuchet MS"/>
              </w:rPr>
              <w:t>ktivnostima namijenjenim ovoj populaciji</w:t>
            </w:r>
          </w:p>
          <w:p w14:paraId="221843D0" w14:textId="77777777"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Broj starijih lica koja su učestvovala u Danu za stare i Danu digitalne pismenosti</w:t>
            </w:r>
          </w:p>
          <w:p w14:paraId="27FD9A3D" w14:textId="77777777" w:rsidR="006E0706" w:rsidRPr="009D5DC9" w:rsidRDefault="006E0706" w:rsidP="0007354B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>15 starijih lica je bilo na radionici koju je Centar za stručno obrazovanje organizovao u Nikšiću za Međunarodni dan starojih osoba</w:t>
            </w:r>
          </w:p>
          <w:p w14:paraId="1F58F1EB" w14:textId="4183234C" w:rsidR="006E0706" w:rsidRPr="000A3EBE" w:rsidRDefault="006E0706" w:rsidP="0007354B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lastRenderedPageBreak/>
              <w:t>Centar za stručno obrazovanje je pripremio Preporuke za prilagođavanje i realizaciju dva programa obrazovanja za sticanje stručnih kvalifikacija</w:t>
            </w:r>
            <w:r w:rsidR="009B6CD0" w:rsidRPr="009D5DC9">
              <w:rPr>
                <w:rFonts w:ascii="Trebuchet MS" w:eastAsia="Trebuchet MS" w:hAnsi="Trebuchet MS" w:cs="Trebuchet MS"/>
              </w:rPr>
              <w:t xml:space="preserve"> starijim osobama</w:t>
            </w:r>
            <w:r w:rsidRPr="009D5DC9">
              <w:rPr>
                <w:rFonts w:ascii="Trebuchet MS" w:eastAsia="Trebuchet MS" w:hAnsi="Trebuchet MS" w:cs="Trebuchet MS"/>
              </w:rPr>
              <w:t>: Izrađivač jednostavnih ukrasnih predmeta i nakita</w:t>
            </w:r>
            <w:r w:rsidR="009B6CD0" w:rsidRPr="009D5DC9">
              <w:rPr>
                <w:rFonts w:ascii="Trebuchet MS" w:eastAsia="Trebuchet MS" w:hAnsi="Trebuchet MS" w:cs="Trebuchet MS"/>
              </w:rPr>
              <w:t xml:space="preserve"> i Izrađivač pleetenih predmeta od pruća</w:t>
            </w:r>
          </w:p>
        </w:tc>
      </w:tr>
      <w:tr w:rsidR="008B2B5E" w14:paraId="13DD7177" w14:textId="77777777" w:rsidTr="000A3EBE">
        <w:trPr>
          <w:jc w:val="center"/>
        </w:trPr>
        <w:tc>
          <w:tcPr>
            <w:tcW w:w="2561" w:type="dxa"/>
          </w:tcPr>
          <w:p w14:paraId="3215C356" w14:textId="77777777" w:rsidR="008B2B5E" w:rsidRPr="000A3EBE" w:rsidRDefault="00A532C6">
            <w:pPr>
              <w:spacing w:before="40" w:after="40" w:line="240" w:lineRule="auto"/>
              <w:ind w:left="57" w:right="57"/>
              <w:rPr>
                <w:rFonts w:ascii="Trebuchet MS" w:eastAsia="Trebuchet MS" w:hAnsi="Trebuchet MS" w:cs="Trebuchet MS"/>
                <w:b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lastRenderedPageBreak/>
              <w:t>Stvaranje uslova za obrazovanje odraslih u zatvorima</w:t>
            </w:r>
            <w:r w:rsidRPr="000A3EBE">
              <w:rPr>
                <w:rFonts w:ascii="Trebuchet MS" w:eastAsia="Trebuchet MS" w:hAnsi="Trebuchet MS" w:cs="Trebuchet MS"/>
                <w:b/>
                <w:vertAlign w:val="superscript"/>
              </w:rPr>
              <w:footnoteReference w:id="7"/>
            </w:r>
          </w:p>
        </w:tc>
        <w:tc>
          <w:tcPr>
            <w:tcW w:w="2834" w:type="dxa"/>
          </w:tcPr>
          <w:p w14:paraId="07F38639" w14:textId="77777777" w:rsidR="008B2B5E" w:rsidRPr="000A3EB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t xml:space="preserve">Zavod za izvršenje krivičnih sankcija / </w:t>
            </w:r>
          </w:p>
          <w:p w14:paraId="2470F33A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Licencirani organizatori obrazovanja</w:t>
            </w:r>
            <w:r w:rsidRPr="000A3EBE">
              <w:rPr>
                <w:rFonts w:ascii="Trebuchet MS" w:eastAsia="Trebuchet MS" w:hAnsi="Trebuchet MS" w:cs="Trebuchet MS"/>
                <w:b/>
                <w:color w:val="000000"/>
              </w:rPr>
              <w:t xml:space="preserve"> </w:t>
            </w:r>
            <w:r w:rsidRPr="000A3EBE">
              <w:rPr>
                <w:rFonts w:ascii="Trebuchet MS" w:eastAsia="Trebuchet MS" w:hAnsi="Trebuchet MS" w:cs="Trebuchet MS"/>
                <w:color w:val="000000"/>
              </w:rPr>
              <w:t>odraslih</w:t>
            </w:r>
          </w:p>
        </w:tc>
        <w:tc>
          <w:tcPr>
            <w:tcW w:w="1891" w:type="dxa"/>
          </w:tcPr>
          <w:p w14:paraId="1C2FCC98" w14:textId="70C8BCF2" w:rsidR="008B2B5E" w:rsidRPr="009D5DC9" w:rsidRDefault="00ED6944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9D5DC9">
              <w:rPr>
                <w:rFonts w:ascii="Trebuchet MS" w:eastAsia="Trebuchet MS" w:hAnsi="Trebuchet MS" w:cs="Trebuchet MS"/>
                <w:b/>
              </w:rPr>
              <w:t>Realizovano</w:t>
            </w:r>
          </w:p>
        </w:tc>
        <w:tc>
          <w:tcPr>
            <w:tcW w:w="2814" w:type="dxa"/>
          </w:tcPr>
          <w:p w14:paraId="70C8927F" w14:textId="29CE1A99" w:rsidR="008B2B5E" w:rsidRPr="000A3EBE" w:rsidRDefault="00ED694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Donatorska sredstva </w:t>
            </w:r>
          </w:p>
        </w:tc>
        <w:tc>
          <w:tcPr>
            <w:tcW w:w="5740" w:type="dxa"/>
            <w:shd w:val="clear" w:color="auto" w:fill="FFFFFF"/>
          </w:tcPr>
          <w:p w14:paraId="08CD610D" w14:textId="77777777" w:rsidR="0007354B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Broj realizovanih obuka</w:t>
            </w:r>
            <w:r w:rsidR="0007354B" w:rsidRPr="000A3EBE">
              <w:rPr>
                <w:rFonts w:ascii="Trebuchet MS" w:eastAsia="Trebuchet MS" w:hAnsi="Trebuchet MS" w:cs="Trebuchet MS"/>
                <w:color w:val="000000"/>
              </w:rPr>
              <w:t xml:space="preserve"> </w:t>
            </w:r>
          </w:p>
          <w:p w14:paraId="59A90394" w14:textId="3B821787" w:rsidR="008B2B5E" w:rsidRDefault="0007354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Broj lica koja su učestvovala u obukama</w:t>
            </w:r>
          </w:p>
          <w:p w14:paraId="6C84F69F" w14:textId="77777777" w:rsidR="00ED6944" w:rsidRPr="009D5DC9" w:rsidRDefault="00ED6944" w:rsidP="00ED6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 xml:space="preserve">U toku 2024. godine u okviru projekata koje su sprovodile nevladine organizacije HELP i Juventas, u Upravi za izvršenje krivičnih sankcija su realizovane obuke za sledeće programe: </w:t>
            </w:r>
          </w:p>
          <w:p w14:paraId="43F61A96" w14:textId="77777777" w:rsidR="00ED6944" w:rsidRPr="009D5DC9" w:rsidRDefault="00ED6944" w:rsidP="00ED6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>1.Stolar-8 zatvorenika</w:t>
            </w:r>
          </w:p>
          <w:p w14:paraId="5366CAD3" w14:textId="77777777" w:rsidR="00ED6944" w:rsidRPr="009D5DC9" w:rsidRDefault="00ED6944" w:rsidP="00ED6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>2.Zavarivač -4 zatvorenika</w:t>
            </w:r>
          </w:p>
          <w:p w14:paraId="297FF4CB" w14:textId="77777777" w:rsidR="00ED6944" w:rsidRPr="009D5DC9" w:rsidRDefault="00ED6944" w:rsidP="00ED6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>3.Pomoćnik u kuhinji-12 zatvorenika</w:t>
            </w:r>
          </w:p>
          <w:p w14:paraId="77E021FE" w14:textId="2CDED80E" w:rsidR="00ED6944" w:rsidRPr="009D5DC9" w:rsidRDefault="00ED6944" w:rsidP="00073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>4.Pomoćni moler-3 zatvorenika</w:t>
            </w:r>
          </w:p>
          <w:p w14:paraId="43FB1EE8" w14:textId="353547F1" w:rsidR="008B2B5E" w:rsidRPr="000A3EBE" w:rsidRDefault="008B2B5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</w:tc>
      </w:tr>
      <w:tr w:rsidR="008B2B5E" w14:paraId="5F00FA53" w14:textId="77777777" w:rsidTr="000A3EBE">
        <w:trPr>
          <w:jc w:val="center"/>
        </w:trPr>
        <w:tc>
          <w:tcPr>
            <w:tcW w:w="2561" w:type="dxa"/>
          </w:tcPr>
          <w:p w14:paraId="3156AB23" w14:textId="77777777" w:rsidR="008B2B5E" w:rsidRPr="000A3EBE" w:rsidRDefault="00A532C6">
            <w:pPr>
              <w:spacing w:before="40" w:after="40" w:line="240" w:lineRule="auto"/>
              <w:ind w:left="57" w:right="57"/>
              <w:rPr>
                <w:rFonts w:ascii="Trebuchet MS" w:eastAsia="Trebuchet MS" w:hAnsi="Trebuchet MS" w:cs="Trebuchet MS"/>
                <w:b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t>Promovisanje u stručnoj javnosti značaja učešća zemlje u PIAAC</w:t>
            </w:r>
          </w:p>
        </w:tc>
        <w:tc>
          <w:tcPr>
            <w:tcW w:w="2834" w:type="dxa"/>
          </w:tcPr>
          <w:p w14:paraId="64F02D70" w14:textId="77777777" w:rsidR="008B2B5E" w:rsidRPr="000A3EB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t>Ministarstvo prosvjete</w:t>
            </w:r>
            <w:r w:rsidR="00091625" w:rsidRPr="000A3EBE">
              <w:rPr>
                <w:rFonts w:ascii="Trebuchet MS" w:eastAsia="Trebuchet MS" w:hAnsi="Trebuchet MS" w:cs="Trebuchet MS"/>
                <w:b/>
              </w:rPr>
              <w:t>, nauke i inovacija</w:t>
            </w:r>
            <w:r w:rsidRPr="000A3EBE">
              <w:rPr>
                <w:rFonts w:ascii="Trebuchet MS" w:eastAsia="Trebuchet MS" w:hAnsi="Trebuchet MS" w:cs="Trebuchet MS"/>
                <w:b/>
              </w:rPr>
              <w:t>/</w:t>
            </w:r>
          </w:p>
          <w:p w14:paraId="6D0C05B7" w14:textId="77777777" w:rsidR="008B2B5E" w:rsidRPr="000A3EB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Centar za stručno obrazovanje</w:t>
            </w:r>
          </w:p>
          <w:p w14:paraId="01442A21" w14:textId="77777777" w:rsidR="008B2B5E" w:rsidRPr="000A3EB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Ispitni centar</w:t>
            </w:r>
          </w:p>
          <w:p w14:paraId="2F10F627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b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Monstat</w:t>
            </w:r>
          </w:p>
        </w:tc>
        <w:tc>
          <w:tcPr>
            <w:tcW w:w="1891" w:type="dxa"/>
          </w:tcPr>
          <w:p w14:paraId="38BFF88E" w14:textId="137F8136" w:rsidR="008B2B5E" w:rsidRPr="000A3EBE" w:rsidRDefault="00200661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Realizovano</w:t>
            </w:r>
          </w:p>
        </w:tc>
        <w:tc>
          <w:tcPr>
            <w:tcW w:w="2814" w:type="dxa"/>
          </w:tcPr>
          <w:p w14:paraId="37AF4261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n/a</w:t>
            </w:r>
          </w:p>
        </w:tc>
        <w:tc>
          <w:tcPr>
            <w:tcW w:w="5740" w:type="dxa"/>
          </w:tcPr>
          <w:p w14:paraId="52CDE96F" w14:textId="77777777"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Broj realizovanih promotivnih aktivnosti</w:t>
            </w:r>
          </w:p>
          <w:p w14:paraId="59925CDA" w14:textId="3FD8B061" w:rsidR="00354729" w:rsidRPr="009D5DC9" w:rsidRDefault="00354729" w:rsidP="00073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9D5DC9">
              <w:rPr>
                <w:rFonts w:ascii="Trebuchet MS" w:eastAsia="Trebuchet MS" w:hAnsi="Trebuchet MS" w:cs="Trebuchet MS"/>
              </w:rPr>
              <w:t>U okviru promotivnih aktivnosti Centra za stručno obrazovanje u okviru prezentacija zastupljena je tema o PIAAC-u</w:t>
            </w:r>
          </w:p>
        </w:tc>
      </w:tr>
    </w:tbl>
    <w:p w14:paraId="439027E8" w14:textId="77777777" w:rsidR="008B2B5E" w:rsidRDefault="008B2B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0000"/>
        </w:rPr>
      </w:pPr>
    </w:p>
    <w:p w14:paraId="3A7BF547" w14:textId="77777777" w:rsidR="008B2B5E" w:rsidRDefault="00A532C6">
      <w:pPr>
        <w:pStyle w:val="Heading2"/>
        <w:numPr>
          <w:ilvl w:val="0"/>
          <w:numId w:val="7"/>
        </w:numPr>
        <w:spacing w:before="0" w:after="120" w:line="240" w:lineRule="auto"/>
        <w:ind w:left="274" w:hanging="274"/>
        <w:rPr>
          <w:rFonts w:ascii="Trebuchet MS" w:eastAsia="Trebuchet MS" w:hAnsi="Trebuchet MS" w:cs="Trebuchet MS"/>
          <w:b/>
          <w:color w:val="000000"/>
          <w:sz w:val="24"/>
          <w:szCs w:val="24"/>
          <w:u w:val="single"/>
        </w:rPr>
      </w:pPr>
      <w:bookmarkStart w:id="7" w:name="_heading=h.30j0zll" w:colFirst="0" w:colLast="0"/>
      <w:bookmarkEnd w:id="7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lastRenderedPageBreak/>
        <w:t xml:space="preserve">PRIORITETNA OBLAST: </w:t>
      </w:r>
      <w:r>
        <w:rPr>
          <w:rFonts w:ascii="Trebuchet MS" w:eastAsia="Trebuchet MS" w:hAnsi="Trebuchet MS" w:cs="Trebuchet MS"/>
          <w:b/>
          <w:color w:val="000000"/>
          <w:sz w:val="24"/>
          <w:szCs w:val="24"/>
          <w:u w:val="single"/>
        </w:rPr>
        <w:t>UNAPREĐENJE ZNANJA, VJEŠTINA I KOMPETENCIJA NEZAPOSLENIH LICA</w:t>
      </w:r>
    </w:p>
    <w:tbl>
      <w:tblPr>
        <w:tblStyle w:val="a1"/>
        <w:tblW w:w="15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1"/>
        <w:gridCol w:w="2824"/>
        <w:gridCol w:w="1908"/>
        <w:gridCol w:w="2637"/>
        <w:gridCol w:w="5900"/>
      </w:tblGrid>
      <w:tr w:rsidR="008B2B5E" w:rsidRPr="00214BC8" w14:paraId="4BDC1A82" w14:textId="77777777" w:rsidTr="00214BC8">
        <w:trPr>
          <w:tblHeader/>
          <w:jc w:val="center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07D7C9C" w14:textId="77777777" w:rsidR="008B2B5E" w:rsidRPr="00214BC8" w:rsidRDefault="00A532C6" w:rsidP="00214BC8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Aktivnosti kojima se neposredno ostvaruju operativni ciljevi</w:t>
            </w:r>
            <w:r w:rsidR="002A614F" w:rsidRPr="00214BC8">
              <w:rPr>
                <w:rFonts w:ascii="Trebuchet MS" w:eastAsia="Trebuchet MS" w:hAnsi="Trebuchet MS" w:cs="Trebuchet MS"/>
                <w:b/>
              </w:rPr>
              <w:t>,</w:t>
            </w:r>
            <w:r w:rsidRPr="00214BC8">
              <w:rPr>
                <w:rFonts w:ascii="Trebuchet MS" w:eastAsia="Trebuchet MS" w:hAnsi="Trebuchet MS" w:cs="Trebuchet MS"/>
                <w:b/>
              </w:rPr>
              <w:t xml:space="preserve"> a posredno strateški ciljevi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9224204" w14:textId="77777777" w:rsidR="008B2B5E" w:rsidRPr="00214BC8" w:rsidRDefault="00A532C6" w:rsidP="00214BC8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Partnerske institucije odgovorne za sprovođenje aktivnosti i institucija nadležna za praćenje sprovođenja i izvještavanja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24B6906" w14:textId="37D5CE3B" w:rsidR="008B2B5E" w:rsidRPr="00214BC8" w:rsidRDefault="00DC418C" w:rsidP="00214BC8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Ocjena realizacije aktivnosti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208CF4A" w14:textId="77777777" w:rsidR="008B2B5E" w:rsidRPr="00214BC8" w:rsidRDefault="00A532C6" w:rsidP="00214BC8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Planirana i utrošena finansijska sredstva i fondovi za sprovođenje aktivnosti (informacije o izvorima finansiranja)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70527FE" w14:textId="77777777" w:rsidR="008B2B5E" w:rsidRPr="00214BC8" w:rsidRDefault="00A532C6" w:rsidP="00214BC8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Indikatori rezultata</w:t>
            </w:r>
          </w:p>
        </w:tc>
      </w:tr>
      <w:tr w:rsidR="00791AAC" w:rsidRPr="00214BC8" w14:paraId="6018D68A" w14:textId="77777777" w:rsidTr="00214BC8">
        <w:trPr>
          <w:jc w:val="center"/>
        </w:trPr>
        <w:tc>
          <w:tcPr>
            <w:tcW w:w="2571" w:type="dxa"/>
            <w:shd w:val="clear" w:color="auto" w:fill="FFFFFF"/>
          </w:tcPr>
          <w:p w14:paraId="55F1C1E5" w14:textId="77777777" w:rsidR="00791AAC" w:rsidRPr="00214BC8" w:rsidRDefault="00791AA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Realizacija programa obrazovanja i osposobljavanja nezaposlenih lica za poznatog poslodavca i za tržište rada</w:t>
            </w:r>
          </w:p>
        </w:tc>
        <w:tc>
          <w:tcPr>
            <w:tcW w:w="2824" w:type="dxa"/>
            <w:shd w:val="clear" w:color="auto" w:fill="FFFFFF"/>
          </w:tcPr>
          <w:p w14:paraId="36A851C6" w14:textId="77777777" w:rsidR="00791AAC" w:rsidRPr="00214BC8" w:rsidRDefault="00791AA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Zavod za zapošljavanje</w:t>
            </w:r>
          </w:p>
          <w:p w14:paraId="7255DBC3" w14:textId="77777777" w:rsidR="00791AAC" w:rsidRPr="00214BC8" w:rsidRDefault="00791AAC" w:rsidP="00791AA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 xml:space="preserve">Licencirani organizatori obrazovanja </w:t>
            </w:r>
          </w:p>
          <w:p w14:paraId="62DCC8F1" w14:textId="77777777" w:rsidR="00791AAC" w:rsidRPr="00214BC8" w:rsidRDefault="00791AAC" w:rsidP="00791AA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Poslodavci</w:t>
            </w:r>
          </w:p>
        </w:tc>
        <w:tc>
          <w:tcPr>
            <w:tcW w:w="1908" w:type="dxa"/>
            <w:shd w:val="clear" w:color="auto" w:fill="FFFFFF"/>
          </w:tcPr>
          <w:p w14:paraId="4B159E31" w14:textId="5B27E8A1" w:rsidR="00791AAC" w:rsidRPr="00214BC8" w:rsidRDefault="004D650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Realizovano</w:t>
            </w:r>
          </w:p>
        </w:tc>
        <w:tc>
          <w:tcPr>
            <w:tcW w:w="2637" w:type="dxa"/>
            <w:shd w:val="clear" w:color="auto" w:fill="FFFFFF"/>
          </w:tcPr>
          <w:p w14:paraId="17629312" w14:textId="77777777" w:rsidR="00791AAC" w:rsidRPr="00214BC8" w:rsidRDefault="00791AAC" w:rsidP="00791A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1.900.000,00€</w:t>
            </w:r>
          </w:p>
          <w:p w14:paraId="3A5BC9F1" w14:textId="77777777" w:rsidR="00791AAC" w:rsidRDefault="00791AAC" w:rsidP="0079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Budžet Zavoda</w:t>
            </w:r>
          </w:p>
          <w:p w14:paraId="4964E3C6" w14:textId="77777777" w:rsidR="00791AAC" w:rsidRDefault="00791AAC" w:rsidP="0079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3E82F0C8" w14:textId="77777777" w:rsidR="00791AAC" w:rsidRPr="00314891" w:rsidRDefault="00791AAC" w:rsidP="00791AAC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314891">
              <w:rPr>
                <w:rFonts w:ascii="Trebuchet MS" w:eastAsia="Trebuchet MS" w:hAnsi="Trebuchet MS" w:cs="Trebuchet MS"/>
              </w:rPr>
              <w:t>1.238.782,97 € - Budžet Zavoda</w:t>
            </w:r>
          </w:p>
          <w:p w14:paraId="405BF7EE" w14:textId="77777777" w:rsidR="00791AAC" w:rsidRPr="00314891" w:rsidRDefault="00791AAC" w:rsidP="00791AA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</w:rPr>
              <w:t>(</w:t>
            </w:r>
            <w:r w:rsidRPr="00314891">
              <w:rPr>
                <w:rFonts w:ascii="Trebuchet MS" w:eastAsia="Trebuchet MS" w:hAnsi="Trebuchet MS" w:cs="Trebuchet MS"/>
              </w:rPr>
              <w:t>utrošen</w:t>
            </w:r>
            <w:r>
              <w:rPr>
                <w:rFonts w:ascii="Trebuchet MS" w:eastAsia="Trebuchet MS" w:hAnsi="Trebuchet MS" w:cs="Trebuchet MS"/>
              </w:rPr>
              <w:t>a sredstva)</w:t>
            </w:r>
          </w:p>
          <w:p w14:paraId="3BB0E824" w14:textId="6E5EE42F" w:rsidR="00791AAC" w:rsidRPr="00214BC8" w:rsidRDefault="00791AAC" w:rsidP="0079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900" w:type="dxa"/>
            <w:shd w:val="clear" w:color="auto" w:fill="FFFFFF"/>
          </w:tcPr>
          <w:p w14:paraId="0FA4BF37" w14:textId="77777777" w:rsidR="00791AAC" w:rsidRPr="00B64B2C" w:rsidRDefault="00791AAC" w:rsidP="0007354B">
            <w:pPr>
              <w:pStyle w:val="ListParagraph"/>
              <w:numPr>
                <w:ilvl w:val="0"/>
                <w:numId w:val="38"/>
              </w:numPr>
              <w:spacing w:before="40" w:after="40" w:line="240" w:lineRule="auto"/>
              <w:jc w:val="both"/>
              <w:rPr>
                <w:rFonts w:ascii="Trebuchet MS" w:hAnsi="Trebuchet MS"/>
              </w:rPr>
            </w:pPr>
            <w:r w:rsidRPr="00B64B2C">
              <w:rPr>
                <w:rFonts w:ascii="Trebuchet MS" w:hAnsi="Trebuchet MS"/>
                <w:b/>
                <w:bCs/>
              </w:rPr>
              <w:t xml:space="preserve">Broj lica uključenih u programe sticanja stručnih kvalifikacija i ključnih vještina </w:t>
            </w:r>
          </w:p>
          <w:p w14:paraId="3E485176" w14:textId="77777777" w:rsidR="00791AAC" w:rsidRPr="00B64B2C" w:rsidRDefault="00791AAC" w:rsidP="00791AAC">
            <w:pPr>
              <w:pStyle w:val="ListParagraph"/>
              <w:spacing w:before="40" w:after="40" w:line="240" w:lineRule="auto"/>
              <w:ind w:left="173"/>
              <w:jc w:val="both"/>
              <w:rPr>
                <w:rFonts w:ascii="Trebuchet MS" w:hAnsi="Trebuchet MS"/>
              </w:rPr>
            </w:pPr>
          </w:p>
          <w:p w14:paraId="7769E359" w14:textId="77777777" w:rsidR="00791AAC" w:rsidRPr="009D5DC9" w:rsidRDefault="00791AAC" w:rsidP="0007354B">
            <w:pPr>
              <w:spacing w:before="40" w:after="40" w:line="240" w:lineRule="auto"/>
              <w:jc w:val="both"/>
              <w:rPr>
                <w:rFonts w:ascii="Trebuchet MS" w:hAnsi="Trebuchet MS"/>
              </w:rPr>
            </w:pPr>
            <w:r w:rsidRPr="009D5DC9">
              <w:rPr>
                <w:rFonts w:ascii="Trebuchet MS" w:hAnsi="Trebuchet MS"/>
              </w:rPr>
              <w:t xml:space="preserve">U </w:t>
            </w:r>
            <w:r w:rsidRPr="009D5DC9">
              <w:rPr>
                <w:rFonts w:ascii="Trebuchet MS" w:hAnsi="Trebuchet MS"/>
                <w:iCs/>
              </w:rPr>
              <w:t>programima sticanja stručnih kvalifikacija i ključnih vještina</w:t>
            </w:r>
            <w:r w:rsidRPr="009D5DC9">
              <w:rPr>
                <w:rFonts w:ascii="Trebuchet MS" w:hAnsi="Trebuchet MS"/>
              </w:rPr>
              <w:t xml:space="preserve"> uključeno je 213 nezaposlenih lica, od kojih:</w:t>
            </w:r>
          </w:p>
          <w:p w14:paraId="3443B21D" w14:textId="77777777" w:rsidR="00791AAC" w:rsidRPr="009D5DC9" w:rsidRDefault="00791AAC" w:rsidP="00791AAC">
            <w:pPr>
              <w:pStyle w:val="ListParagraph"/>
              <w:numPr>
                <w:ilvl w:val="0"/>
                <w:numId w:val="9"/>
              </w:numPr>
              <w:spacing w:before="40" w:after="40" w:line="240" w:lineRule="auto"/>
              <w:jc w:val="both"/>
              <w:rPr>
                <w:rFonts w:ascii="Trebuchet MS" w:hAnsi="Trebuchet MS"/>
              </w:rPr>
            </w:pPr>
            <w:r w:rsidRPr="009D5DC9">
              <w:rPr>
                <w:rFonts w:ascii="Trebuchet MS" w:hAnsi="Trebuchet MS"/>
              </w:rPr>
              <w:t xml:space="preserve">97 učesnika programa sticanja stručnih kvalifikacija (17 računovodstvena tehničara, 30 zaštitara imovine i lica, 27 rukovalaca građevinskim mašnama – bager i utovarivač, 11 kozmetičara-manikir/pedikir, 5 pomoćnih frizera za žene i 7 frizera za žene) i </w:t>
            </w:r>
          </w:p>
          <w:p w14:paraId="2414C1DA" w14:textId="77777777" w:rsidR="00791AAC" w:rsidRPr="009D5DC9" w:rsidRDefault="00791AAC" w:rsidP="00791AAC">
            <w:pPr>
              <w:pStyle w:val="ListParagraph"/>
              <w:numPr>
                <w:ilvl w:val="0"/>
                <w:numId w:val="9"/>
              </w:numPr>
              <w:spacing w:before="40" w:after="40" w:line="240" w:lineRule="auto"/>
              <w:jc w:val="both"/>
              <w:rPr>
                <w:rFonts w:ascii="Trebuchet MS" w:hAnsi="Trebuchet MS"/>
              </w:rPr>
            </w:pPr>
            <w:r w:rsidRPr="009D5DC9">
              <w:rPr>
                <w:rFonts w:ascii="Trebuchet MS" w:hAnsi="Trebuchet MS"/>
              </w:rPr>
              <w:t xml:space="preserve">116 učesnika programa ključnih vještina (76 polaznika programa sticanja znanja stranih jezika, od kojih 59 engleskog i 17 njemačkog jezika i 40 polaznika programa za obuku vozača motornih vozila, od kojih 26 polaznika za sticanje C kategorije, 10 polaznika za sticanje D kategorije  i 4 polaznika za sticanje E kategorije). </w:t>
            </w:r>
          </w:p>
          <w:p w14:paraId="4B5D8E54" w14:textId="77777777" w:rsidR="00791AAC" w:rsidRPr="0007354B" w:rsidRDefault="00791AAC" w:rsidP="0007354B">
            <w:pPr>
              <w:spacing w:before="40" w:after="40" w:line="240" w:lineRule="auto"/>
              <w:jc w:val="both"/>
              <w:rPr>
                <w:rFonts w:ascii="Trebuchet MS" w:hAnsi="Trebuchet MS"/>
                <w:color w:val="FF0000"/>
              </w:rPr>
            </w:pPr>
            <w:r w:rsidRPr="009D5DC9">
              <w:rPr>
                <w:rFonts w:ascii="Trebuchet MS" w:hAnsi="Trebuchet MS"/>
              </w:rPr>
              <w:t>U navedenim programima žene su učestvovale sa 44,13%.</w:t>
            </w:r>
          </w:p>
          <w:p w14:paraId="5F2A06F4" w14:textId="77777777" w:rsidR="00791AAC" w:rsidRPr="00B64B2C" w:rsidRDefault="00791AAC" w:rsidP="00791AAC">
            <w:pPr>
              <w:pStyle w:val="ListParagraph"/>
              <w:spacing w:before="40" w:after="40" w:line="240" w:lineRule="auto"/>
              <w:ind w:left="173"/>
              <w:jc w:val="both"/>
              <w:rPr>
                <w:rFonts w:ascii="Trebuchet MS" w:hAnsi="Trebuchet MS"/>
                <w:b/>
                <w:bCs/>
              </w:rPr>
            </w:pPr>
          </w:p>
          <w:p w14:paraId="6A59A1B2" w14:textId="77777777" w:rsidR="00791AAC" w:rsidRPr="00B64B2C" w:rsidRDefault="00791AAC" w:rsidP="0007354B">
            <w:pPr>
              <w:pStyle w:val="ListParagraph"/>
              <w:numPr>
                <w:ilvl w:val="0"/>
                <w:numId w:val="38"/>
              </w:numPr>
              <w:spacing w:before="40" w:after="40" w:line="240" w:lineRule="auto"/>
              <w:jc w:val="both"/>
              <w:rPr>
                <w:rFonts w:ascii="Trebuchet MS" w:hAnsi="Trebuchet MS"/>
                <w:b/>
                <w:bCs/>
              </w:rPr>
            </w:pPr>
            <w:r w:rsidRPr="00B64B2C">
              <w:rPr>
                <w:rFonts w:ascii="Trebuchet MS" w:hAnsi="Trebuchet MS"/>
                <w:b/>
                <w:bCs/>
              </w:rPr>
              <w:t>Broj lica uključenih u programe osposobljavanja za samostalno obavljanje poslova i za rad kod poslodavca</w:t>
            </w:r>
          </w:p>
          <w:p w14:paraId="0B9D0874" w14:textId="77777777" w:rsidR="00791AAC" w:rsidRPr="00B64B2C" w:rsidRDefault="00791AAC" w:rsidP="00791AAC">
            <w:pPr>
              <w:pStyle w:val="ListParagraph"/>
              <w:spacing w:before="40" w:after="40" w:line="240" w:lineRule="auto"/>
              <w:ind w:left="173"/>
              <w:jc w:val="both"/>
              <w:rPr>
                <w:rFonts w:ascii="Trebuchet MS" w:hAnsi="Trebuchet MS"/>
              </w:rPr>
            </w:pPr>
          </w:p>
          <w:p w14:paraId="2259F500" w14:textId="77777777" w:rsidR="00791AAC" w:rsidRPr="009D5DC9" w:rsidRDefault="00791AAC" w:rsidP="0007354B">
            <w:pPr>
              <w:spacing w:before="40" w:after="40" w:line="240" w:lineRule="auto"/>
              <w:jc w:val="both"/>
              <w:rPr>
                <w:rFonts w:ascii="Trebuchet MS" w:hAnsi="Trebuchet MS"/>
              </w:rPr>
            </w:pPr>
            <w:r w:rsidRPr="009D5DC9">
              <w:rPr>
                <w:rFonts w:ascii="Trebuchet MS" w:hAnsi="Trebuchet MS"/>
              </w:rPr>
              <w:t xml:space="preserve">Ukupan broj učesnika </w:t>
            </w:r>
            <w:r w:rsidRPr="009D5DC9">
              <w:rPr>
                <w:rFonts w:ascii="Trebuchet MS" w:hAnsi="Trebuchet MS"/>
                <w:iCs/>
              </w:rPr>
              <w:t>programa osposobljavanja za samostalno obavljanje poslova i za rad kod poslodavca</w:t>
            </w:r>
            <w:r w:rsidRPr="009D5DC9">
              <w:rPr>
                <w:rFonts w:ascii="Trebuchet MS" w:hAnsi="Trebuchet MS"/>
              </w:rPr>
              <w:t xml:space="preserve"> je  413. U programe osposobljavanja za samostalno obavljanje poslova uključeno je 165 lica (žene učestvuju sa 49,09%), dok je u programe za rad kod poslodavca uključeno 248 lica (žene učestvuju sa 56,45%).</w:t>
            </w:r>
          </w:p>
          <w:p w14:paraId="7018D6F1" w14:textId="77777777" w:rsidR="00791AAC" w:rsidRPr="009D5DC9" w:rsidRDefault="00791AAC" w:rsidP="00791AAC">
            <w:pPr>
              <w:pStyle w:val="ListParagraph"/>
              <w:spacing w:before="40" w:after="40" w:line="240" w:lineRule="auto"/>
              <w:ind w:left="173"/>
              <w:jc w:val="both"/>
              <w:rPr>
                <w:rFonts w:ascii="Trebuchet MS" w:hAnsi="Trebuchet MS"/>
                <w:b/>
                <w:bCs/>
                <w:highlight w:val="yellow"/>
              </w:rPr>
            </w:pPr>
          </w:p>
          <w:p w14:paraId="03FAC282" w14:textId="77777777" w:rsidR="00791AAC" w:rsidRPr="00B64B2C" w:rsidRDefault="00791AAC" w:rsidP="0007354B">
            <w:pPr>
              <w:pStyle w:val="ListParagraph"/>
              <w:numPr>
                <w:ilvl w:val="0"/>
                <w:numId w:val="38"/>
              </w:numPr>
              <w:spacing w:before="40" w:after="40" w:line="240" w:lineRule="auto"/>
              <w:jc w:val="both"/>
              <w:rPr>
                <w:rFonts w:ascii="Trebuchet MS" w:hAnsi="Trebuchet MS"/>
                <w:b/>
                <w:bCs/>
              </w:rPr>
            </w:pPr>
            <w:r w:rsidRPr="00B64B2C">
              <w:rPr>
                <w:rFonts w:ascii="Trebuchet MS" w:hAnsi="Trebuchet MS"/>
                <w:b/>
                <w:bCs/>
              </w:rPr>
              <w:lastRenderedPageBreak/>
              <w:t>Broj uspješnih učesnika programa, kao % broja uključenih lica</w:t>
            </w:r>
          </w:p>
          <w:p w14:paraId="46049885" w14:textId="77777777" w:rsidR="00791AAC" w:rsidRPr="00791AAC" w:rsidRDefault="00791AAC" w:rsidP="00791AAC">
            <w:pPr>
              <w:pStyle w:val="ListParagraph"/>
              <w:spacing w:before="40" w:after="40" w:line="240" w:lineRule="auto"/>
              <w:ind w:left="173"/>
              <w:jc w:val="both"/>
              <w:rPr>
                <w:rFonts w:ascii="Trebuchet MS" w:hAnsi="Trebuchet MS"/>
                <w:highlight w:val="yellow"/>
              </w:rPr>
            </w:pPr>
          </w:p>
          <w:p w14:paraId="395BEEFF" w14:textId="77777777" w:rsidR="00791AAC" w:rsidRPr="009D5DC9" w:rsidRDefault="00791AAC" w:rsidP="0007354B">
            <w:pPr>
              <w:spacing w:before="40" w:after="40" w:line="240" w:lineRule="auto"/>
              <w:jc w:val="both"/>
              <w:rPr>
                <w:rFonts w:ascii="Trebuchet MS" w:hAnsi="Trebuchet MS"/>
              </w:rPr>
            </w:pPr>
            <w:r w:rsidRPr="009D5DC9">
              <w:rPr>
                <w:rFonts w:ascii="Trebuchet MS" w:hAnsi="Trebuchet MS"/>
              </w:rPr>
              <w:t xml:space="preserve">Učešće uspješnih u ukupnom broju učesnika programa sticanja stručnih kvalifikacija i ključnih vještina je 97.18%. </w:t>
            </w:r>
          </w:p>
          <w:p w14:paraId="16EC8DD2" w14:textId="77777777" w:rsidR="00791AAC" w:rsidRPr="00791AAC" w:rsidRDefault="00791AAC" w:rsidP="00791AAC">
            <w:pPr>
              <w:pStyle w:val="ListParagraph"/>
              <w:spacing w:before="40" w:after="40" w:line="240" w:lineRule="auto"/>
              <w:ind w:left="173"/>
              <w:jc w:val="both"/>
              <w:rPr>
                <w:rFonts w:ascii="Trebuchet MS" w:eastAsia="TimesNewRomanPSMT" w:hAnsi="Trebuchet MS"/>
                <w:highlight w:val="yellow"/>
              </w:rPr>
            </w:pPr>
          </w:p>
          <w:p w14:paraId="7501C614" w14:textId="0C097B52" w:rsidR="00791AAC" w:rsidRPr="009D5DC9" w:rsidRDefault="00791AAC" w:rsidP="004D650C">
            <w:pPr>
              <w:pStyle w:val="ListParagraph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highlight w:val="yellow"/>
              </w:rPr>
            </w:pPr>
            <w:r w:rsidRPr="009D5DC9">
              <w:rPr>
                <w:rFonts w:ascii="Trebuchet MS" w:eastAsia="TimesNewRomanPSMT" w:hAnsi="Trebuchet MS"/>
              </w:rPr>
              <w:t xml:space="preserve">Realizacija </w:t>
            </w:r>
            <w:r w:rsidRPr="009D5DC9">
              <w:rPr>
                <w:rFonts w:ascii="Trebuchet MS" w:eastAsia="TimesNewRomanPSMT" w:hAnsi="Trebuchet MS"/>
                <w:iCs/>
              </w:rPr>
              <w:t xml:space="preserve">programa </w:t>
            </w:r>
            <w:r w:rsidRPr="009D5DC9">
              <w:rPr>
                <w:rFonts w:ascii="Trebuchet MS" w:hAnsi="Trebuchet MS"/>
                <w:iCs/>
              </w:rPr>
              <w:t xml:space="preserve">osposobljavanja za samostalno obavljanje poslova i programa za rad kod poslodavca </w:t>
            </w:r>
            <w:r w:rsidRPr="009D5DC9">
              <w:rPr>
                <w:rFonts w:ascii="Trebuchet MS" w:hAnsi="Trebuchet MS"/>
              </w:rPr>
              <w:t>završava se u Q1 2025. godine kada će se sumirati rezultati programa u cjelosti</w:t>
            </w:r>
            <w:r w:rsidRPr="009D5DC9">
              <w:rPr>
                <w:rFonts w:eastAsia="TimesNewRomanPSMT"/>
                <w:sz w:val="28"/>
                <w:szCs w:val="28"/>
              </w:rPr>
              <w:t xml:space="preserve">. </w:t>
            </w:r>
          </w:p>
        </w:tc>
      </w:tr>
      <w:tr w:rsidR="00791AAC" w:rsidRPr="00214BC8" w14:paraId="44F583D2" w14:textId="77777777" w:rsidTr="00DC418C">
        <w:trPr>
          <w:trHeight w:val="2258"/>
          <w:jc w:val="center"/>
        </w:trPr>
        <w:tc>
          <w:tcPr>
            <w:tcW w:w="2571" w:type="dxa"/>
            <w:tcBorders>
              <w:bottom w:val="single" w:sz="4" w:space="0" w:color="000000"/>
            </w:tcBorders>
            <w:shd w:val="clear" w:color="auto" w:fill="FFFFFF"/>
          </w:tcPr>
          <w:p w14:paraId="33EB4DEA" w14:textId="77777777" w:rsidR="00791AAC" w:rsidRPr="009B6CD0" w:rsidRDefault="00791AA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B6CD0">
              <w:rPr>
                <w:rFonts w:ascii="Trebuchet MS" w:eastAsia="Trebuchet MS" w:hAnsi="Trebuchet MS" w:cs="Trebuchet MS"/>
                <w:b/>
              </w:rPr>
              <w:lastRenderedPageBreak/>
              <w:t>Razvijanje stručnih kvalifikacija potrebnih tržištu rada</w:t>
            </w:r>
          </w:p>
        </w:tc>
        <w:tc>
          <w:tcPr>
            <w:tcW w:w="2824" w:type="dxa"/>
            <w:tcBorders>
              <w:bottom w:val="single" w:sz="4" w:space="0" w:color="000000"/>
            </w:tcBorders>
            <w:shd w:val="clear" w:color="auto" w:fill="FFFFFF"/>
          </w:tcPr>
          <w:p w14:paraId="6518E56B" w14:textId="77777777" w:rsidR="00791AAC" w:rsidRPr="009B6CD0" w:rsidRDefault="00791AA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9B6CD0">
              <w:rPr>
                <w:rFonts w:ascii="Trebuchet MS" w:eastAsia="Trebuchet MS" w:hAnsi="Trebuchet MS" w:cs="Trebuchet MS"/>
                <w:b/>
              </w:rPr>
              <w:t>Centar za stručno obrazovanje</w:t>
            </w:r>
          </w:p>
          <w:p w14:paraId="07262ACB" w14:textId="77777777" w:rsidR="00791AAC" w:rsidRPr="009B6CD0" w:rsidRDefault="00791AAC" w:rsidP="00791AA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B6CD0">
              <w:rPr>
                <w:rFonts w:ascii="Trebuchet MS" w:eastAsia="Trebuchet MS" w:hAnsi="Trebuchet MS" w:cs="Trebuchet MS"/>
              </w:rPr>
              <w:t>Socijalni partneri</w:t>
            </w:r>
          </w:p>
          <w:p w14:paraId="5E4456F5" w14:textId="77777777" w:rsidR="00791AAC" w:rsidRPr="009B6CD0" w:rsidRDefault="00791AA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908" w:type="dxa"/>
            <w:tcBorders>
              <w:bottom w:val="single" w:sz="4" w:space="0" w:color="000000"/>
            </w:tcBorders>
            <w:shd w:val="clear" w:color="auto" w:fill="FFFFFF"/>
          </w:tcPr>
          <w:p w14:paraId="7EC8CB18" w14:textId="63BB47E1" w:rsidR="00791AAC" w:rsidRPr="009B6CD0" w:rsidRDefault="004D650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Realizovano</w:t>
            </w:r>
          </w:p>
        </w:tc>
        <w:tc>
          <w:tcPr>
            <w:tcW w:w="2637" w:type="dxa"/>
            <w:tcBorders>
              <w:bottom w:val="single" w:sz="4" w:space="0" w:color="000000"/>
            </w:tcBorders>
            <w:shd w:val="clear" w:color="auto" w:fill="FFFFFF"/>
          </w:tcPr>
          <w:p w14:paraId="78244C9B" w14:textId="77777777" w:rsidR="00791AAC" w:rsidRPr="009B6CD0" w:rsidRDefault="00791AAC" w:rsidP="00791A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B6CD0">
              <w:rPr>
                <w:rFonts w:ascii="Trebuchet MS" w:eastAsia="Trebuchet MS" w:hAnsi="Trebuchet MS" w:cs="Trebuchet MS"/>
              </w:rPr>
              <w:t>6.000,00€ Budžet</w:t>
            </w:r>
          </w:p>
        </w:tc>
        <w:tc>
          <w:tcPr>
            <w:tcW w:w="5900" w:type="dxa"/>
            <w:tcBorders>
              <w:bottom w:val="single" w:sz="4" w:space="0" w:color="000000"/>
            </w:tcBorders>
            <w:shd w:val="clear" w:color="auto" w:fill="FFFFFF"/>
          </w:tcPr>
          <w:p w14:paraId="239BBDF0" w14:textId="5806BD75" w:rsidR="00791AAC" w:rsidRDefault="00791AAC" w:rsidP="00791AA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B6CD0">
              <w:rPr>
                <w:rFonts w:ascii="Trebuchet MS" w:eastAsia="Trebuchet MS" w:hAnsi="Trebuchet MS" w:cs="Trebuchet MS"/>
              </w:rPr>
              <w:t>Broj usvojenih standarda zanimanja</w:t>
            </w:r>
          </w:p>
          <w:p w14:paraId="159F0FB1" w14:textId="30B76B3E" w:rsidR="00791AAC" w:rsidRPr="009D5DC9" w:rsidRDefault="00791AAC" w:rsidP="0007354B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>20 standarda zanimanja</w:t>
            </w:r>
          </w:p>
          <w:p w14:paraId="28D25BC2" w14:textId="4B4FD7D0" w:rsidR="00791AAC" w:rsidRDefault="00791AAC" w:rsidP="00791AA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B6CD0">
              <w:rPr>
                <w:rFonts w:ascii="Trebuchet MS" w:eastAsia="Trebuchet MS" w:hAnsi="Trebuchet MS" w:cs="Trebuchet MS"/>
              </w:rPr>
              <w:t>Broj usvojenih standarda stručnih kvalifikacija na kojima se baziraju programi obrazovanja za sticanje stručnih kvalifikacija</w:t>
            </w:r>
          </w:p>
          <w:p w14:paraId="511732AF" w14:textId="44D821D0" w:rsidR="00791AAC" w:rsidRPr="009D5DC9" w:rsidRDefault="00791AAC" w:rsidP="0007354B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>11 standarda stručnih kvalifikacija</w:t>
            </w:r>
          </w:p>
          <w:p w14:paraId="2916E477" w14:textId="3295F417" w:rsidR="00791AAC" w:rsidRDefault="00791AAC" w:rsidP="00791AA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B6CD0">
              <w:rPr>
                <w:rFonts w:ascii="Trebuchet MS" w:eastAsia="Trebuchet MS" w:hAnsi="Trebuchet MS" w:cs="Trebuchet MS"/>
              </w:rPr>
              <w:t>Broj usvojenih ispitnih kataloga za sticanje stručnih kvalifikacija</w:t>
            </w:r>
          </w:p>
          <w:p w14:paraId="3DC1F3CB" w14:textId="740D3316" w:rsidR="00791AAC" w:rsidRPr="009D5DC9" w:rsidRDefault="00791AAC" w:rsidP="0007354B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>8 ispitnih kataloga za sticanje stručne kvalifikacije</w:t>
            </w:r>
          </w:p>
          <w:p w14:paraId="6B73FE2D" w14:textId="77777777" w:rsidR="00791AAC" w:rsidRPr="009B6CD0" w:rsidRDefault="00791AAC" w:rsidP="00791AA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B6CD0">
              <w:rPr>
                <w:rFonts w:ascii="Trebuchet MS" w:eastAsia="Trebuchet MS" w:hAnsi="Trebuchet MS" w:cs="Trebuchet MS"/>
              </w:rPr>
              <w:t>Broj usvojenih programa obrazovanja za sticanje stručnih kvalifikacija</w:t>
            </w:r>
          </w:p>
          <w:p w14:paraId="6E476B8A" w14:textId="79D0399B" w:rsidR="00791AAC" w:rsidRPr="00252973" w:rsidRDefault="00791AAC" w:rsidP="0007354B">
            <w:pPr>
              <w:spacing w:before="40" w:after="40" w:line="240" w:lineRule="auto"/>
              <w:rPr>
                <w:rFonts w:ascii="Trebuchet MS" w:eastAsia="Trebuchet MS" w:hAnsi="Trebuchet MS" w:cs="Trebuchet MS"/>
                <w:color w:val="FF0000"/>
                <w:highlight w:val="yellow"/>
              </w:rPr>
            </w:pPr>
            <w:r w:rsidRPr="009D5DC9">
              <w:rPr>
                <w:rFonts w:ascii="Trebuchet MS" w:eastAsia="Trebuchet MS" w:hAnsi="Trebuchet MS" w:cs="Trebuchet MS"/>
              </w:rPr>
              <w:t>10 programa za sticanje stručnih kvalifikacija</w:t>
            </w:r>
          </w:p>
        </w:tc>
      </w:tr>
      <w:tr w:rsidR="00791AAC" w:rsidRPr="00214BC8" w14:paraId="7CEB8639" w14:textId="77777777" w:rsidTr="00214BC8">
        <w:trPr>
          <w:jc w:val="center"/>
        </w:trPr>
        <w:tc>
          <w:tcPr>
            <w:tcW w:w="2571" w:type="dxa"/>
            <w:tcBorders>
              <w:top w:val="single" w:sz="4" w:space="0" w:color="000000"/>
            </w:tcBorders>
            <w:shd w:val="clear" w:color="auto" w:fill="FFFFFF"/>
          </w:tcPr>
          <w:p w14:paraId="19CEDE57" w14:textId="77777777" w:rsidR="00791AAC" w:rsidRPr="00214BC8" w:rsidRDefault="00791AA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Pružanje usluga profesionalne orijentacije</w:t>
            </w:r>
          </w:p>
        </w:tc>
        <w:tc>
          <w:tcPr>
            <w:tcW w:w="2824" w:type="dxa"/>
            <w:tcBorders>
              <w:top w:val="single" w:sz="4" w:space="0" w:color="000000"/>
            </w:tcBorders>
            <w:shd w:val="clear" w:color="auto" w:fill="FFFFFF"/>
          </w:tcPr>
          <w:p w14:paraId="30347B49" w14:textId="77777777" w:rsidR="00791AAC" w:rsidRPr="00214BC8" w:rsidRDefault="00791AA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Zavod za zapošljavanje/</w:t>
            </w:r>
          </w:p>
          <w:p w14:paraId="686A6487" w14:textId="77777777" w:rsidR="00791AAC" w:rsidRPr="00214BC8" w:rsidRDefault="00791AAC" w:rsidP="00791A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Socijalni partneri</w:t>
            </w:r>
          </w:p>
        </w:tc>
        <w:tc>
          <w:tcPr>
            <w:tcW w:w="1908" w:type="dxa"/>
            <w:tcBorders>
              <w:top w:val="single" w:sz="4" w:space="0" w:color="000000"/>
            </w:tcBorders>
            <w:shd w:val="clear" w:color="auto" w:fill="FFFFFF"/>
          </w:tcPr>
          <w:p w14:paraId="549F740C" w14:textId="3E4E90B0" w:rsidR="00791AAC" w:rsidRPr="00214BC8" w:rsidRDefault="004D650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Realizovano</w:t>
            </w:r>
          </w:p>
        </w:tc>
        <w:tc>
          <w:tcPr>
            <w:tcW w:w="2637" w:type="dxa"/>
            <w:tcBorders>
              <w:top w:val="single" w:sz="4" w:space="0" w:color="000000"/>
            </w:tcBorders>
            <w:shd w:val="clear" w:color="auto" w:fill="FFFFFF"/>
          </w:tcPr>
          <w:p w14:paraId="0433C482" w14:textId="77777777" w:rsidR="00791AAC" w:rsidRPr="00214BC8" w:rsidRDefault="00791AAC" w:rsidP="00791A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n/a</w:t>
            </w:r>
          </w:p>
        </w:tc>
        <w:tc>
          <w:tcPr>
            <w:tcW w:w="5900" w:type="dxa"/>
            <w:tcBorders>
              <w:top w:val="single" w:sz="4" w:space="0" w:color="000000"/>
            </w:tcBorders>
            <w:shd w:val="clear" w:color="auto" w:fill="FFFFFF"/>
          </w:tcPr>
          <w:p w14:paraId="51066207" w14:textId="32DB4F06" w:rsidR="00791AAC" w:rsidRPr="009D5DC9" w:rsidRDefault="00791AAC" w:rsidP="00073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highlight w:val="yellow"/>
              </w:rPr>
            </w:pPr>
            <w:r w:rsidRPr="009D5DC9">
              <w:rPr>
                <w:rFonts w:ascii="Trebuchet MS" w:eastAsia="Trebuchet MS" w:hAnsi="Trebuchet MS" w:cs="Trebuchet MS"/>
              </w:rPr>
              <w:t>Broj lica obuhvaćenih uslugama profesionalne orijentacij</w:t>
            </w:r>
            <w:r w:rsidR="00B64B2C" w:rsidRPr="009D5DC9">
              <w:rPr>
                <w:rFonts w:ascii="Trebuchet MS" w:eastAsia="Trebuchet MS" w:hAnsi="Trebuchet MS" w:cs="Trebuchet MS"/>
              </w:rPr>
              <w:t xml:space="preserve">e iznosio je </w:t>
            </w:r>
            <w:r w:rsidRPr="009D5DC9">
              <w:rPr>
                <w:rFonts w:ascii="Trebuchet MS" w:eastAsia="Trebuchet MS" w:hAnsi="Trebuchet MS" w:cs="Trebuchet MS"/>
              </w:rPr>
              <w:t>13.333</w:t>
            </w:r>
          </w:p>
        </w:tc>
      </w:tr>
      <w:tr w:rsidR="00791AAC" w:rsidRPr="00214BC8" w14:paraId="05AB0E12" w14:textId="77777777" w:rsidTr="00791AAC">
        <w:trPr>
          <w:trHeight w:val="2258"/>
          <w:jc w:val="center"/>
        </w:trPr>
        <w:tc>
          <w:tcPr>
            <w:tcW w:w="2571" w:type="dxa"/>
            <w:shd w:val="clear" w:color="auto" w:fill="FFFFFF"/>
          </w:tcPr>
          <w:p w14:paraId="7289372F" w14:textId="77777777" w:rsidR="00791AAC" w:rsidRPr="00214BC8" w:rsidRDefault="00791AA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lastRenderedPageBreak/>
              <w:t>Profesionalno informisanje i savjetovanje lica sa invaliditetom pri izboru ili promjeni zanimanja, obrazovanja i drugih odluka u vezi sa obrazovanjem i zapošljavanjem</w:t>
            </w:r>
          </w:p>
        </w:tc>
        <w:tc>
          <w:tcPr>
            <w:tcW w:w="2824" w:type="dxa"/>
            <w:shd w:val="clear" w:color="auto" w:fill="FFFFFF"/>
          </w:tcPr>
          <w:p w14:paraId="1516F74B" w14:textId="77777777" w:rsidR="00791AAC" w:rsidRPr="00214BC8" w:rsidRDefault="00791AA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Zavod za zapošljavanje</w:t>
            </w:r>
          </w:p>
        </w:tc>
        <w:tc>
          <w:tcPr>
            <w:tcW w:w="1908" w:type="dxa"/>
            <w:shd w:val="clear" w:color="auto" w:fill="FFFFFF"/>
          </w:tcPr>
          <w:p w14:paraId="2D19BD68" w14:textId="671178C4" w:rsidR="00791AAC" w:rsidRPr="00214BC8" w:rsidRDefault="004D650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Realizovano</w:t>
            </w:r>
          </w:p>
        </w:tc>
        <w:tc>
          <w:tcPr>
            <w:tcW w:w="2637" w:type="dxa"/>
            <w:shd w:val="clear" w:color="auto" w:fill="FFFFFF"/>
          </w:tcPr>
          <w:p w14:paraId="4F840B5B" w14:textId="77777777" w:rsidR="00791AAC" w:rsidRPr="00214BC8" w:rsidRDefault="00791AAC" w:rsidP="00791AA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hAnsi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n/a</w:t>
            </w:r>
          </w:p>
        </w:tc>
        <w:tc>
          <w:tcPr>
            <w:tcW w:w="5900" w:type="dxa"/>
            <w:shd w:val="clear" w:color="auto" w:fill="FFFFFF"/>
          </w:tcPr>
          <w:p w14:paraId="3F1E45A0" w14:textId="2684399D" w:rsidR="00791AAC" w:rsidRPr="009D5DC9" w:rsidRDefault="00791AAC" w:rsidP="00073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>Broj lica sa invaliditetom kojima je pružena usluga profesionalnog informisanja i savjetovanja</w:t>
            </w:r>
            <w:r w:rsidR="00B64B2C" w:rsidRPr="009D5DC9">
              <w:rPr>
                <w:rFonts w:ascii="Trebuchet MS" w:eastAsia="Trebuchet MS" w:hAnsi="Trebuchet MS" w:cs="Trebuchet MS"/>
              </w:rPr>
              <w:t xml:space="preserve"> iznosio je 332</w:t>
            </w:r>
          </w:p>
          <w:p w14:paraId="0761D36F" w14:textId="0064DF71" w:rsidR="00791AAC" w:rsidRPr="009D5DC9" w:rsidRDefault="00791AAC" w:rsidP="00B64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443"/>
              <w:rPr>
                <w:rFonts w:ascii="Trebuchet MS" w:eastAsia="Trebuchet MS" w:hAnsi="Trebuchet MS" w:cs="Trebuchet MS"/>
                <w:highlight w:val="yellow"/>
              </w:rPr>
            </w:pPr>
          </w:p>
          <w:p w14:paraId="17B49454" w14:textId="639FDFDA" w:rsidR="00791AAC" w:rsidRPr="009D5DC9" w:rsidRDefault="00791AAC" w:rsidP="0079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  <w:highlight w:val="yellow"/>
              </w:rPr>
            </w:pPr>
          </w:p>
        </w:tc>
      </w:tr>
      <w:tr w:rsidR="00791AAC" w:rsidRPr="00214BC8" w14:paraId="16177B06" w14:textId="77777777" w:rsidTr="00214BC8">
        <w:trPr>
          <w:jc w:val="center"/>
        </w:trPr>
        <w:tc>
          <w:tcPr>
            <w:tcW w:w="2571" w:type="dxa"/>
            <w:shd w:val="clear" w:color="auto" w:fill="FFFFFF"/>
          </w:tcPr>
          <w:p w14:paraId="0E477AD2" w14:textId="77777777" w:rsidR="00791AAC" w:rsidRPr="00214BC8" w:rsidRDefault="00791AA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Realizovanje programa i projekata profesionalne rehabilitacije i aktivne politike zapošljavanja za nezaposlena lica sa invaliditetom</w:t>
            </w:r>
          </w:p>
        </w:tc>
        <w:tc>
          <w:tcPr>
            <w:tcW w:w="2824" w:type="dxa"/>
            <w:shd w:val="clear" w:color="auto" w:fill="FFFFFF"/>
          </w:tcPr>
          <w:p w14:paraId="673F7931" w14:textId="77777777" w:rsidR="00791AAC" w:rsidRPr="00214BC8" w:rsidRDefault="00791AA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Zavod za zapošljavanje/</w:t>
            </w:r>
          </w:p>
          <w:p w14:paraId="091941C4" w14:textId="77777777" w:rsidR="00791AAC" w:rsidRPr="00214BC8" w:rsidRDefault="00791AAC" w:rsidP="00791A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Poslodavci</w:t>
            </w:r>
          </w:p>
          <w:p w14:paraId="28FCC470" w14:textId="77777777" w:rsidR="00791AAC" w:rsidRPr="00214BC8" w:rsidRDefault="00791AAC" w:rsidP="00791A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</w:rPr>
              <w:t>Organizatori profesionalne rehabilitacije</w:t>
            </w:r>
          </w:p>
        </w:tc>
        <w:tc>
          <w:tcPr>
            <w:tcW w:w="1908" w:type="dxa"/>
            <w:shd w:val="clear" w:color="auto" w:fill="FFFFFF"/>
          </w:tcPr>
          <w:p w14:paraId="0408B410" w14:textId="2452E653" w:rsidR="00791AAC" w:rsidRPr="00214BC8" w:rsidRDefault="004D650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Realizovano</w:t>
            </w:r>
          </w:p>
        </w:tc>
        <w:tc>
          <w:tcPr>
            <w:tcW w:w="2637" w:type="dxa"/>
            <w:shd w:val="clear" w:color="auto" w:fill="FFFFFF"/>
          </w:tcPr>
          <w:p w14:paraId="1872EA32" w14:textId="0DF32F1A" w:rsidR="00791AAC" w:rsidRPr="00E7694F" w:rsidRDefault="00791AAC" w:rsidP="00791AAC">
            <w:pPr>
              <w:numPr>
                <w:ilvl w:val="0"/>
                <w:numId w:val="9"/>
              </w:numPr>
              <w:spacing w:before="40" w:after="40" w:line="240" w:lineRule="auto"/>
              <w:rPr>
                <w:sz w:val="22"/>
                <w:szCs w:val="22"/>
              </w:rPr>
            </w:pPr>
            <w:r w:rsidRPr="00E7694F">
              <w:rPr>
                <w:rFonts w:ascii="Trebuchet MS" w:eastAsia="Trebuchet MS" w:hAnsi="Trebuchet MS" w:cs="Trebuchet MS"/>
                <w:sz w:val="22"/>
                <w:szCs w:val="22"/>
              </w:rPr>
              <w:t>1.166.162,56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>€</w:t>
            </w:r>
          </w:p>
          <w:p w14:paraId="5CF08634" w14:textId="041E4613" w:rsidR="00791AAC" w:rsidRPr="00214BC8" w:rsidRDefault="00791AAC" w:rsidP="00791AAC">
            <w:pPr>
              <w:spacing w:before="40" w:after="40" w:line="240" w:lineRule="auto"/>
              <w:rPr>
                <w:rFonts w:ascii="Trebuchet MS" w:hAnsi="Trebuchet MS"/>
              </w:rPr>
            </w:pPr>
          </w:p>
        </w:tc>
        <w:tc>
          <w:tcPr>
            <w:tcW w:w="5900" w:type="dxa"/>
            <w:shd w:val="clear" w:color="auto" w:fill="FFFFFF"/>
          </w:tcPr>
          <w:p w14:paraId="4EF907AA" w14:textId="77777777" w:rsidR="00791AAC" w:rsidRPr="009D5DC9" w:rsidRDefault="00791AAC" w:rsidP="0007354B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>Grant šema-za finansiranje projekata za zapošljavanje lica sa invaliditetom.</w:t>
            </w:r>
          </w:p>
          <w:p w14:paraId="42A7E364" w14:textId="77777777" w:rsidR="00791AAC" w:rsidRPr="009D5DC9" w:rsidRDefault="00791AAC" w:rsidP="0007354B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 xml:space="preserve">Projektne aktivnosti finansiranih projekata kroz dva Javna poziva realizovale su se tokom 2024.godine, vrijeme trajanja projekata je od 8 do 12 mjeseci. Shodno tome, realizacija određenih projekata započela je u četvrtom kvartalu 2023.godine, sprovođenje aktivnosti realizacije i završetak realizacije projekata je četvrti kvartal 2024.godine.  </w:t>
            </w:r>
          </w:p>
          <w:p w14:paraId="3DCB5CFA" w14:textId="77777777" w:rsidR="00791AAC" w:rsidRPr="009D5DC9" w:rsidRDefault="00791AAC" w:rsidP="0007354B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 xml:space="preserve">U okviru dva Javna poziva finansiran je 41 projekat,  kroz realizaciju projektnih aktivnosti uključeno je 341 LSI, od toga: </w:t>
            </w:r>
          </w:p>
          <w:p w14:paraId="3DBAC101" w14:textId="77777777" w:rsidR="00791AAC" w:rsidRPr="009D5DC9" w:rsidRDefault="00791AAC" w:rsidP="00791AAC">
            <w:pP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 xml:space="preserve">-20 projekata, započeta realizacija u Q4 2023, završeno Q4 2024)-uključeno 167 LSI; </w:t>
            </w:r>
          </w:p>
          <w:p w14:paraId="408B2991" w14:textId="77777777" w:rsidR="00791AAC" w:rsidRPr="009D5DC9" w:rsidRDefault="00791AAC" w:rsidP="00791AAC">
            <w:pP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  <w:r w:rsidRPr="009D5DC9">
              <w:rPr>
                <w:rFonts w:ascii="Trebuchet MS" w:eastAsia="Trebuchet MS" w:hAnsi="Trebuchet MS" w:cs="Trebuchet MS"/>
              </w:rPr>
              <w:t>-21 projekat, započeta realizacija u Q2 2024-planirani završetak Q2-2025-uključeno 174 LSI.</w:t>
            </w:r>
          </w:p>
          <w:p w14:paraId="4D38C62D" w14:textId="77777777" w:rsidR="00791AAC" w:rsidRPr="00C94D83" w:rsidRDefault="00791AA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  <w:highlight w:val="yellow"/>
              </w:rPr>
            </w:pPr>
          </w:p>
        </w:tc>
      </w:tr>
      <w:tr w:rsidR="00791AAC" w:rsidRPr="00214BC8" w14:paraId="7B4DC01A" w14:textId="77777777" w:rsidTr="00214BC8">
        <w:trPr>
          <w:jc w:val="center"/>
        </w:trPr>
        <w:tc>
          <w:tcPr>
            <w:tcW w:w="2571" w:type="dxa"/>
            <w:shd w:val="clear" w:color="auto" w:fill="FFFFFF"/>
          </w:tcPr>
          <w:p w14:paraId="1DD76462" w14:textId="77777777" w:rsidR="00791AAC" w:rsidRPr="00214BC8" w:rsidRDefault="00791AA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Sprovođenje mjera i aktivnosti profesionalne rehabilitacije i zapošljavanja lica sa invaliditetom</w:t>
            </w:r>
          </w:p>
        </w:tc>
        <w:tc>
          <w:tcPr>
            <w:tcW w:w="2824" w:type="dxa"/>
            <w:shd w:val="clear" w:color="auto" w:fill="FFFFFF"/>
          </w:tcPr>
          <w:p w14:paraId="6B32B6DA" w14:textId="77777777" w:rsidR="00791AAC" w:rsidRPr="00214BC8" w:rsidRDefault="00791AA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Zavod za zapošljavanje/</w:t>
            </w:r>
          </w:p>
          <w:p w14:paraId="139DAC54" w14:textId="77777777" w:rsidR="00791AAC" w:rsidRPr="00214BC8" w:rsidRDefault="00791AAC" w:rsidP="00791A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Organizatori profesionalne rehabilitacije</w:t>
            </w:r>
          </w:p>
        </w:tc>
        <w:tc>
          <w:tcPr>
            <w:tcW w:w="1908" w:type="dxa"/>
            <w:shd w:val="clear" w:color="auto" w:fill="FFFFFF"/>
          </w:tcPr>
          <w:p w14:paraId="22E8D1FB" w14:textId="1B5ABFF1" w:rsidR="00791AAC" w:rsidRPr="00214BC8" w:rsidRDefault="004D650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Realizovano</w:t>
            </w:r>
          </w:p>
        </w:tc>
        <w:tc>
          <w:tcPr>
            <w:tcW w:w="2637" w:type="dxa"/>
            <w:shd w:val="clear" w:color="auto" w:fill="auto"/>
          </w:tcPr>
          <w:p w14:paraId="58CC5E40" w14:textId="77777777" w:rsidR="00791AAC" w:rsidRPr="00214BC8" w:rsidRDefault="00791AAC" w:rsidP="00791AA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hAnsi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n/a</w:t>
            </w:r>
          </w:p>
        </w:tc>
        <w:tc>
          <w:tcPr>
            <w:tcW w:w="5900" w:type="dxa"/>
            <w:shd w:val="clear" w:color="auto" w:fill="FFFFFF"/>
          </w:tcPr>
          <w:p w14:paraId="35C6703A" w14:textId="77777777" w:rsidR="00791AAC" w:rsidRPr="000732A4" w:rsidRDefault="00791AAC" w:rsidP="00791AA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732A4">
              <w:rPr>
                <w:rFonts w:ascii="Trebuchet MS" w:eastAsia="Trebuchet MS" w:hAnsi="Trebuchet MS" w:cs="Trebuchet MS"/>
              </w:rPr>
              <w:t xml:space="preserve">Broj lica sa invaliditetom uključenih u pojedine mjere i aktivnosti </w:t>
            </w:r>
          </w:p>
          <w:p w14:paraId="69C11F12" w14:textId="77777777" w:rsidR="00791AAC" w:rsidRPr="000732A4" w:rsidRDefault="00791AAC" w:rsidP="00791AAC">
            <w:pPr>
              <w:spacing w:after="0" w:line="240" w:lineRule="auto"/>
              <w:jc w:val="both"/>
              <w:rPr>
                <w:rFonts w:ascii="Trebuchet MS" w:eastAsiaTheme="minorHAnsi" w:hAnsi="Trebuchet MS" w:cstheme="minorHAnsi"/>
                <w:color w:val="FF0000"/>
                <w:lang w:val="it-IT" w:eastAsia="en-US"/>
              </w:rPr>
            </w:pPr>
          </w:p>
          <w:p w14:paraId="30D1E209" w14:textId="77777777" w:rsidR="00791AAC" w:rsidRPr="009D5DC9" w:rsidRDefault="00791AAC" w:rsidP="00791AAC">
            <w:pPr>
              <w:spacing w:after="0" w:line="240" w:lineRule="auto"/>
              <w:rPr>
                <w:rFonts w:ascii="Trebuchet MS" w:hAnsi="Trebuchet MS" w:cstheme="minorHAnsi"/>
                <w:lang w:val="sr-Latn-ME"/>
              </w:rPr>
            </w:pPr>
            <w:r w:rsidRPr="009D5DC9">
              <w:rPr>
                <w:rFonts w:ascii="Trebuchet MS" w:hAnsi="Trebuchet MS" w:cstheme="minorHAnsi"/>
              </w:rPr>
              <w:t>Za realizaciju programa profesionalne rehabilitacije u periodu od 01.01.2024. godine do 31.12.2024. godine, utrošeno je  432.463,05 Eura.</w:t>
            </w:r>
          </w:p>
          <w:p w14:paraId="0773AA02" w14:textId="7ED94DB4" w:rsidR="00791AAC" w:rsidRPr="00C94D83" w:rsidRDefault="00791AA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  <w:highlight w:val="yellow"/>
              </w:rPr>
            </w:pPr>
            <w:r w:rsidRPr="009D5DC9">
              <w:rPr>
                <w:rFonts w:ascii="Trebuchet MS" w:hAnsi="Trebuchet MS" w:cstheme="minorHAnsi"/>
                <w:lang w:val="it-IT"/>
              </w:rPr>
              <w:lastRenderedPageBreak/>
              <w:t>U periodu od 01.01.2024. godine do 31.12.2024. godine u mjere i aktivnosti profesionalne</w:t>
            </w:r>
            <w:r w:rsidRPr="009D5DC9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</w:t>
            </w:r>
            <w:r w:rsidRPr="009D5DC9">
              <w:rPr>
                <w:rFonts w:ascii="Trebuchet MS" w:hAnsi="Trebuchet MS" w:cstheme="minorHAnsi"/>
                <w:lang w:val="it-IT"/>
              </w:rPr>
              <w:t>rehabilitacije uključeno je 328 lica sa invaliditetom, kod tri izvođača: ZOPT – 145 lica,</w:t>
            </w:r>
            <w:r w:rsidRPr="009D5DC9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</w:t>
            </w:r>
            <w:r w:rsidRPr="009D5DC9">
              <w:rPr>
                <w:rFonts w:ascii="Trebuchet MS" w:hAnsi="Trebuchet MS" w:cstheme="minorHAnsi"/>
                <w:lang w:val="it-IT"/>
              </w:rPr>
              <w:t>Pamark – 136 lice, i Centar za profesionalnu rehabilitaciju – 47 lica. Od ukupnog broja uključenih 192 su lica ženskog pola.</w:t>
            </w:r>
          </w:p>
        </w:tc>
      </w:tr>
      <w:tr w:rsidR="00791AAC" w:rsidRPr="00214BC8" w14:paraId="728BE1E1" w14:textId="77777777" w:rsidTr="00214BC8">
        <w:trPr>
          <w:jc w:val="center"/>
        </w:trPr>
        <w:tc>
          <w:tcPr>
            <w:tcW w:w="2571" w:type="dxa"/>
            <w:shd w:val="clear" w:color="auto" w:fill="FFFFFF"/>
          </w:tcPr>
          <w:p w14:paraId="70CF9A2E" w14:textId="77777777" w:rsidR="00791AAC" w:rsidRPr="00214BC8" w:rsidRDefault="00791AA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lastRenderedPageBreak/>
              <w:t>Implementacija programa usmjerenih na povećanje zapošljivosti i zaposlenosti posebno osjetljivih grupa nezaposlenih lica</w:t>
            </w:r>
          </w:p>
          <w:p w14:paraId="675AD6E9" w14:textId="77777777" w:rsidR="00791AAC" w:rsidRPr="00214BC8" w:rsidRDefault="00791AA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kroz druge programe i projekte</w:t>
            </w:r>
          </w:p>
        </w:tc>
        <w:tc>
          <w:tcPr>
            <w:tcW w:w="2824" w:type="dxa"/>
            <w:shd w:val="clear" w:color="auto" w:fill="auto"/>
          </w:tcPr>
          <w:p w14:paraId="22F3A0C2" w14:textId="77777777" w:rsidR="00791AAC" w:rsidRPr="00214BC8" w:rsidRDefault="00791AA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Unija poslodavaca Crne Gore</w:t>
            </w:r>
          </w:p>
          <w:p w14:paraId="776AEC78" w14:textId="77777777" w:rsidR="00791AAC" w:rsidRPr="00214BC8" w:rsidRDefault="00791AA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5BFEA80F" w14:textId="77777777" w:rsidR="00791AAC" w:rsidRPr="00214BC8" w:rsidRDefault="00791AA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 xml:space="preserve">Zavod za zapošljavanje Crne Gore </w:t>
            </w:r>
          </w:p>
          <w:p w14:paraId="53823A04" w14:textId="77777777" w:rsidR="00791AAC" w:rsidRPr="00214BC8" w:rsidRDefault="00791AA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908" w:type="dxa"/>
            <w:shd w:val="clear" w:color="auto" w:fill="auto"/>
          </w:tcPr>
          <w:p w14:paraId="45F87AE1" w14:textId="74FAAD3E" w:rsidR="00791AAC" w:rsidRPr="004D650C" w:rsidRDefault="004D650C" w:rsidP="004D650C">
            <w:pPr>
              <w:pStyle w:val="ListParagraph"/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n/a</w:t>
            </w:r>
          </w:p>
        </w:tc>
        <w:tc>
          <w:tcPr>
            <w:tcW w:w="2637" w:type="dxa"/>
            <w:shd w:val="clear" w:color="auto" w:fill="auto"/>
          </w:tcPr>
          <w:p w14:paraId="688ED1E4" w14:textId="77777777" w:rsidR="00791AAC" w:rsidRPr="00214BC8" w:rsidRDefault="00791AAC" w:rsidP="00791AA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hAnsi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Sopstvena sredstva ili dobijena kroz projekat AKTIVIRAJ SE - ZAPOSLI SE koji sufinansira Međunarodna organizacija rada (ILO)</w:t>
            </w:r>
          </w:p>
        </w:tc>
        <w:tc>
          <w:tcPr>
            <w:tcW w:w="5900" w:type="dxa"/>
            <w:shd w:val="clear" w:color="auto" w:fill="auto"/>
          </w:tcPr>
          <w:p w14:paraId="4A1714F5" w14:textId="7186FBCE" w:rsidR="00791AAC" w:rsidRPr="00C94D83" w:rsidRDefault="00791AA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  <w:highlight w:val="yellow"/>
              </w:rPr>
            </w:pPr>
            <w:r w:rsidRPr="000732A4">
              <w:rPr>
                <w:rFonts w:ascii="Trebuchet MS" w:eastAsia="Trebuchet MS" w:hAnsi="Trebuchet MS" w:cs="Trebuchet MS"/>
              </w:rPr>
              <w:t xml:space="preserve">- Broj lica, uključujući privrednike, ali i nezaposlena lica, koja će uzeti učešće u navedenim programima </w:t>
            </w:r>
          </w:p>
        </w:tc>
      </w:tr>
      <w:tr w:rsidR="00791AAC" w:rsidRPr="00214BC8" w14:paraId="0F4784EE" w14:textId="77777777" w:rsidTr="00214BC8">
        <w:trPr>
          <w:jc w:val="center"/>
        </w:trPr>
        <w:tc>
          <w:tcPr>
            <w:tcW w:w="2571" w:type="dxa"/>
            <w:shd w:val="clear" w:color="auto" w:fill="FFFFFF"/>
          </w:tcPr>
          <w:p w14:paraId="7B655DA2" w14:textId="77777777" w:rsidR="00791AAC" w:rsidRPr="00214BC8" w:rsidRDefault="00791AA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Sprovođenje obuka za lica koja započinju biznis</w:t>
            </w:r>
          </w:p>
          <w:p w14:paraId="7AC61B71" w14:textId="77777777" w:rsidR="00791AAC" w:rsidRPr="00214BC8" w:rsidRDefault="00791AA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824" w:type="dxa"/>
            <w:shd w:val="clear" w:color="auto" w:fill="FFFFFF"/>
          </w:tcPr>
          <w:p w14:paraId="1D17A72D" w14:textId="77777777" w:rsidR="00791AAC" w:rsidRPr="00214BC8" w:rsidRDefault="00791AA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Zavod za zapošljavanje/</w:t>
            </w:r>
          </w:p>
          <w:p w14:paraId="2F753D32" w14:textId="77777777" w:rsidR="00791AAC" w:rsidRPr="00214BC8" w:rsidRDefault="00791AA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</w:p>
          <w:p w14:paraId="3FB96475" w14:textId="77777777" w:rsidR="00791AAC" w:rsidRPr="00214BC8" w:rsidRDefault="00791AA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Unija poslodavaca</w:t>
            </w:r>
          </w:p>
          <w:p w14:paraId="464FA64F" w14:textId="77777777" w:rsidR="00791AAC" w:rsidRPr="00214BC8" w:rsidRDefault="00791AA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908" w:type="dxa"/>
            <w:shd w:val="clear" w:color="auto" w:fill="FFFFFF"/>
          </w:tcPr>
          <w:p w14:paraId="78ABFB50" w14:textId="3A1C19DA" w:rsidR="00791AAC" w:rsidRPr="00214BC8" w:rsidRDefault="00791AAC" w:rsidP="00791AAC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 xml:space="preserve"> </w:t>
            </w:r>
          </w:p>
          <w:p w14:paraId="78D52B5D" w14:textId="4FD5285F" w:rsidR="00791AAC" w:rsidRPr="00214BC8" w:rsidRDefault="004D650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Realizovano</w:t>
            </w:r>
          </w:p>
          <w:p w14:paraId="24ED8001" w14:textId="77777777" w:rsidR="00791AAC" w:rsidRPr="00214BC8" w:rsidRDefault="00791AA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46546B86" w14:textId="77777777" w:rsidR="00791AAC" w:rsidRPr="00214BC8" w:rsidRDefault="00791AA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2FADC042" w14:textId="77777777" w:rsidR="00791AAC" w:rsidRPr="00214BC8" w:rsidRDefault="00791AA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637" w:type="dxa"/>
            <w:shd w:val="clear" w:color="auto" w:fill="FFFFFF"/>
          </w:tcPr>
          <w:p w14:paraId="37B56FE1" w14:textId="45509F15" w:rsidR="00791AAC" w:rsidRDefault="00791AAC" w:rsidP="00791AA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Za finansiranje specijalizovanih radionica oprijediliće se sredstva u iznosu do 2.000,00€</w:t>
            </w:r>
          </w:p>
          <w:p w14:paraId="6507A9C7" w14:textId="77777777" w:rsidR="00791AAC" w:rsidRDefault="00791AAC" w:rsidP="00791AAC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314891">
              <w:rPr>
                <w:rFonts w:ascii="Trebuchet MS" w:eastAsia="Trebuchet MS" w:hAnsi="Trebuchet MS" w:cs="Trebuchet MS"/>
              </w:rPr>
              <w:t>2.8</w:t>
            </w:r>
            <w:r>
              <w:rPr>
                <w:rFonts w:ascii="Trebuchet MS" w:eastAsia="Trebuchet MS" w:hAnsi="Trebuchet MS" w:cs="Trebuchet MS"/>
              </w:rPr>
              <w:t>50</w:t>
            </w:r>
            <w:r w:rsidRPr="00314891">
              <w:rPr>
                <w:rFonts w:ascii="Trebuchet MS" w:eastAsia="Trebuchet MS" w:hAnsi="Trebuchet MS" w:cs="Trebuchet MS"/>
              </w:rPr>
              <w:t>,</w:t>
            </w:r>
            <w:r>
              <w:rPr>
                <w:rFonts w:ascii="Trebuchet MS" w:eastAsia="Trebuchet MS" w:hAnsi="Trebuchet MS" w:cs="Trebuchet MS"/>
              </w:rPr>
              <w:t>00</w:t>
            </w:r>
            <w:r w:rsidRPr="00314891">
              <w:rPr>
                <w:rFonts w:ascii="Trebuchet MS" w:eastAsia="Trebuchet MS" w:hAnsi="Trebuchet MS" w:cs="Trebuchet MS"/>
              </w:rPr>
              <w:t xml:space="preserve"> € - </w:t>
            </w:r>
          </w:p>
          <w:p w14:paraId="72092429" w14:textId="77777777" w:rsidR="00791AAC" w:rsidRPr="00314891" w:rsidRDefault="00791AAC" w:rsidP="00791AA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  <w:r w:rsidRPr="00314891">
              <w:rPr>
                <w:rFonts w:ascii="Trebuchet MS" w:eastAsia="Trebuchet MS" w:hAnsi="Trebuchet MS" w:cs="Trebuchet MS"/>
              </w:rPr>
              <w:t>Budžet Zavoda</w:t>
            </w:r>
          </w:p>
          <w:p w14:paraId="63BD362C" w14:textId="77777777" w:rsidR="00791AAC" w:rsidRPr="00314891" w:rsidRDefault="00791AAC" w:rsidP="00791AA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</w:rPr>
              <w:t>(</w:t>
            </w:r>
            <w:r w:rsidRPr="00314891">
              <w:rPr>
                <w:rFonts w:ascii="Trebuchet MS" w:eastAsia="Trebuchet MS" w:hAnsi="Trebuchet MS" w:cs="Trebuchet MS"/>
              </w:rPr>
              <w:t>utrošen</w:t>
            </w:r>
            <w:r>
              <w:rPr>
                <w:rFonts w:ascii="Trebuchet MS" w:eastAsia="Trebuchet MS" w:hAnsi="Trebuchet MS" w:cs="Trebuchet MS"/>
              </w:rPr>
              <w:t>a sredstva)</w:t>
            </w:r>
          </w:p>
          <w:p w14:paraId="40F3D38D" w14:textId="77777777" w:rsidR="00791AAC" w:rsidRPr="00214BC8" w:rsidRDefault="00791AAC" w:rsidP="00791AA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4691E4A7" w14:textId="77777777" w:rsidR="00791AAC" w:rsidRPr="00214BC8" w:rsidRDefault="00791AAC" w:rsidP="00791AA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Budžet Zavoda</w:t>
            </w:r>
          </w:p>
          <w:p w14:paraId="1C6C3F27" w14:textId="77777777" w:rsidR="00791AAC" w:rsidRDefault="00791AAC" w:rsidP="00791AA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Sopstvena sredstva UPCG i sredstva iz projekta</w:t>
            </w:r>
          </w:p>
          <w:p w14:paraId="48CDEDC0" w14:textId="77777777" w:rsidR="00B43048" w:rsidRDefault="00B43048" w:rsidP="00B43048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2AC3B332" w14:textId="77777777" w:rsidR="00B43048" w:rsidRPr="00B43048" w:rsidRDefault="00B43048" w:rsidP="00B43048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</w:p>
          <w:p w14:paraId="65FDB34E" w14:textId="6933B700" w:rsidR="00B43048" w:rsidRPr="00214BC8" w:rsidRDefault="00B43048" w:rsidP="00B43048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900" w:type="dxa"/>
            <w:shd w:val="clear" w:color="auto" w:fill="FFFFFF"/>
          </w:tcPr>
          <w:p w14:paraId="0AE2A2B2" w14:textId="62771322" w:rsidR="00791AAC" w:rsidRPr="000732A4" w:rsidRDefault="00791AAC" w:rsidP="00791A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732A4">
              <w:rPr>
                <w:rFonts w:ascii="Trebuchet MS" w:eastAsia="Trebuchet MS" w:hAnsi="Trebuchet MS" w:cs="Trebuchet MS"/>
              </w:rPr>
              <w:t>Broj obučenih lica koja započinju biznis</w:t>
            </w:r>
          </w:p>
          <w:p w14:paraId="66725028" w14:textId="483191C0" w:rsidR="00791AAC" w:rsidRPr="00D44B25" w:rsidRDefault="00791AAC" w:rsidP="00073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U organizaciji Zavoda za zapošljavanje Crne Gore obučeno 85 lica, od kojih je 76 lica započelo sopstveni biznis, tj. osnovalo jedan od oblika obavljanja privredne djelatnosti u kojem se samozaposlilo.</w:t>
            </w:r>
          </w:p>
          <w:p w14:paraId="4A79F4C5" w14:textId="77777777" w:rsidR="00791AAC" w:rsidRPr="00D44B25" w:rsidRDefault="00791AAC" w:rsidP="00791AAC">
            <w:pPr>
              <w:spacing w:before="40" w:after="40" w:line="240" w:lineRule="auto"/>
              <w:rPr>
                <w:rFonts w:ascii="Trebuchet MS" w:eastAsia="Trebuchet MS" w:hAnsi="Trebuchet MS" w:cs="Trebuchet MS"/>
                <w:highlight w:val="yellow"/>
              </w:rPr>
            </w:pPr>
          </w:p>
          <w:p w14:paraId="3931283F" w14:textId="7404C9AE" w:rsidR="00791AAC" w:rsidRPr="00D44B25" w:rsidRDefault="00791AAC" w:rsidP="000732A4">
            <w:pPr>
              <w:spacing w:before="40" w:after="40" w:line="240" w:lineRule="auto"/>
              <w:jc w:val="both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polaznika 20, od čega 15 žena.</w:t>
            </w:r>
          </w:p>
          <w:p w14:paraId="52C22E56" w14:textId="77777777" w:rsidR="00D44B25" w:rsidRDefault="00791AAC" w:rsidP="000732A4">
            <w:pPr>
              <w:spacing w:before="40" w:after="40" w:line="240" w:lineRule="auto"/>
              <w:jc w:val="both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Obuke su sprovodene tokom decembra. </w:t>
            </w:r>
          </w:p>
          <w:p w14:paraId="2DE1BAE6" w14:textId="6C4D5ACF" w:rsidR="00791AAC" w:rsidRPr="00D44B25" w:rsidRDefault="00D44B25" w:rsidP="000732A4">
            <w:pPr>
              <w:spacing w:before="40" w:after="40" w:line="240" w:lineRule="auto"/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Obuke se realiyuju u okviru projekta</w:t>
            </w:r>
            <w:r w:rsidRPr="00D44B25">
              <w:rPr>
                <w:rFonts w:ascii="Trebuchet MS" w:eastAsia="Trebuchet MS" w:hAnsi="Trebuchet MS" w:cstheme="minorHAnsi"/>
              </w:rPr>
              <w:t>„</w:t>
            </w:r>
            <w:r>
              <w:rPr>
                <w:rFonts w:ascii="Trebuchet MS" w:eastAsia="Trebuchet MS" w:hAnsi="Trebuchet MS" w:cs="Trebuchet MS"/>
              </w:rPr>
              <w:t xml:space="preserve">Mreža za razvoj socijalnog preduzetništva« CFCU/MNE/266, koji je dio Poziva za dodjelu bespovratnih sredstava-grant šeme </w:t>
            </w:r>
            <w:r w:rsidRPr="00D44B25">
              <w:rPr>
                <w:rFonts w:ascii="Trebuchet MS" w:eastAsia="Trebuchet MS" w:hAnsi="Trebuchet MS" w:cstheme="minorHAnsi"/>
              </w:rPr>
              <w:t>„</w:t>
            </w:r>
            <w:r>
              <w:rPr>
                <w:rFonts w:ascii="Trebuchet MS" w:eastAsia="Trebuchet MS" w:hAnsi="Trebuchet MS" w:cstheme="minorHAnsi"/>
              </w:rPr>
              <w:t>Podrška zapošljavanju, socijalnoj inkluziji i socijalnom preduzetništvu</w:t>
            </w:r>
            <w:r w:rsidRPr="00D44B25">
              <w:rPr>
                <w:rFonts w:ascii="Trebuchet MS" w:eastAsia="Trebuchet MS" w:hAnsi="Trebuchet MS" w:cstheme="minorHAnsi"/>
              </w:rPr>
              <w:t>“</w:t>
            </w:r>
            <w:r>
              <w:rPr>
                <w:rFonts w:ascii="Trebuchet MS" w:eastAsia="Trebuchet MS" w:hAnsi="Trebuchet MS" w:cstheme="minorHAnsi"/>
              </w:rPr>
              <w:t xml:space="preserve"> finan</w:t>
            </w:r>
            <w:r w:rsidR="00933FB5">
              <w:rPr>
                <w:rFonts w:ascii="Trebuchet MS" w:eastAsia="Trebuchet MS" w:hAnsi="Trebuchet MS" w:cstheme="minorHAnsi"/>
              </w:rPr>
              <w:t>siranog od strane Evropske unije i Vlade Crne Gore, u saradnji sa Ministarstvom socijalnog staranja, brige o porodici i demografije i Ministarstva finansija CFCU.</w:t>
            </w:r>
          </w:p>
          <w:p w14:paraId="33884EE5" w14:textId="77777777" w:rsidR="00791AAC" w:rsidRPr="00C94D83" w:rsidRDefault="00791AAC" w:rsidP="00933FB5">
            <w:pPr>
              <w:spacing w:before="40" w:after="40" w:line="240" w:lineRule="auto"/>
              <w:jc w:val="both"/>
              <w:rPr>
                <w:rFonts w:ascii="Trebuchet MS" w:eastAsia="Trebuchet MS" w:hAnsi="Trebuchet MS" w:cs="Trebuchet MS"/>
                <w:highlight w:val="yellow"/>
              </w:rPr>
            </w:pPr>
          </w:p>
        </w:tc>
      </w:tr>
    </w:tbl>
    <w:p w14:paraId="45C35ADA" w14:textId="77777777" w:rsidR="008B2B5E" w:rsidRDefault="008B2B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FF0000"/>
        </w:rPr>
      </w:pPr>
    </w:p>
    <w:p w14:paraId="68E90831" w14:textId="3A640780" w:rsidR="00214BC8" w:rsidRDefault="00214BC8">
      <w:pPr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  <w:bookmarkStart w:id="8" w:name="_heading=h.1fob9te" w:colFirst="0" w:colLast="0"/>
      <w:bookmarkEnd w:id="8"/>
    </w:p>
    <w:p w14:paraId="4EEC33A4" w14:textId="77777777" w:rsidR="008B2B5E" w:rsidRDefault="00A532C6">
      <w:pPr>
        <w:pStyle w:val="Heading2"/>
        <w:numPr>
          <w:ilvl w:val="0"/>
          <w:numId w:val="7"/>
        </w:numPr>
        <w:spacing w:before="0" w:after="120" w:line="240" w:lineRule="auto"/>
        <w:ind w:left="274" w:hanging="274"/>
        <w:rPr>
          <w:rFonts w:ascii="Trebuchet MS" w:eastAsia="Trebuchet MS" w:hAnsi="Trebuchet MS" w:cs="Trebuchet MS"/>
          <w:b/>
          <w:color w:val="000000"/>
          <w:sz w:val="24"/>
          <w:szCs w:val="24"/>
          <w:u w:val="single"/>
        </w:rPr>
      </w:pPr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PRIORITETNA OBLAST: </w:t>
      </w:r>
      <w:r>
        <w:rPr>
          <w:rFonts w:ascii="Trebuchet MS" w:eastAsia="Trebuchet MS" w:hAnsi="Trebuchet MS" w:cs="Trebuchet MS"/>
          <w:b/>
          <w:color w:val="000000"/>
          <w:sz w:val="24"/>
          <w:szCs w:val="24"/>
          <w:u w:val="single"/>
        </w:rPr>
        <w:t>UNAPREĐENJE KOMPETENCIJA ZAPOSLENIH</w:t>
      </w:r>
    </w:p>
    <w:tbl>
      <w:tblPr>
        <w:tblStyle w:val="a3"/>
        <w:tblW w:w="15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3"/>
        <w:gridCol w:w="2935"/>
        <w:gridCol w:w="2530"/>
        <w:gridCol w:w="3412"/>
        <w:gridCol w:w="3570"/>
      </w:tblGrid>
      <w:tr w:rsidR="008B2B5E" w:rsidRPr="00214BC8" w14:paraId="7B51A8E5" w14:textId="77777777" w:rsidTr="00145122">
        <w:trPr>
          <w:tblHeader/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85ED5F" w14:textId="77777777" w:rsidR="008B2B5E" w:rsidRPr="00214BC8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Aktivnosti kojima se neposred</w:t>
            </w:r>
            <w:r w:rsidR="009C73D9" w:rsidRPr="00214BC8">
              <w:rPr>
                <w:rFonts w:ascii="Trebuchet MS" w:eastAsia="Trebuchet MS" w:hAnsi="Trebuchet MS" w:cs="Trebuchet MS"/>
                <w:b/>
              </w:rPr>
              <w:t xml:space="preserve">no ostvaruju operativni ciljevi, </w:t>
            </w:r>
            <w:r w:rsidRPr="00214BC8">
              <w:rPr>
                <w:rFonts w:ascii="Trebuchet MS" w:eastAsia="Trebuchet MS" w:hAnsi="Trebuchet MS" w:cs="Trebuchet MS"/>
                <w:b/>
              </w:rPr>
              <w:t>a posredno strateški ciljevi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F04AB3" w14:textId="77777777" w:rsidR="008B2B5E" w:rsidRPr="00214BC8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Partnerske institucije odgovorne za sprovođenje aktivnosti i institucija nadležna za praćenje sprovođenja i izvještavanja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6E922A" w14:textId="439D68A3" w:rsidR="008B2B5E" w:rsidRPr="00214BC8" w:rsidRDefault="00DC418C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Ocjena realizacije aktivnosti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EA26B4" w14:textId="77777777" w:rsidR="008B2B5E" w:rsidRPr="00214BC8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Planirana i utrošena finansijska sredstva i fondovi za sprovođenje aktivnosti (informacije o izvorima finansiranja)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DBB23E" w14:textId="77777777" w:rsidR="008B2B5E" w:rsidRPr="00214BC8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Indikatori rezultata</w:t>
            </w:r>
          </w:p>
        </w:tc>
      </w:tr>
      <w:tr w:rsidR="009A3A57" w:rsidRPr="00D44B25" w14:paraId="441C8BF6" w14:textId="77777777" w:rsidTr="00145122">
        <w:trPr>
          <w:jc w:val="center"/>
        </w:trPr>
        <w:tc>
          <w:tcPr>
            <w:tcW w:w="3393" w:type="dxa"/>
          </w:tcPr>
          <w:p w14:paraId="06C95820" w14:textId="77777777" w:rsidR="009A3A57" w:rsidRPr="00D44B25" w:rsidRDefault="009A3A57" w:rsidP="009A3A57">
            <w:pP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 xml:space="preserve">Unapređenje ključnih kompetencija zaposlenih u državnim organima, organima državne uprave i lokalne samouprave: </w:t>
            </w:r>
          </w:p>
          <w:p w14:paraId="75466BB5" w14:textId="77777777" w:rsidR="009A3A57" w:rsidRPr="00D44B25" w:rsidRDefault="009A3A57" w:rsidP="009A3A57">
            <w:pP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</w:p>
          <w:p w14:paraId="299F05C7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Opšti program stručnog osposobljavanja i usavršavanja državnih službenika i namještenika;</w:t>
            </w:r>
          </w:p>
          <w:p w14:paraId="54AD630E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 w:right="57"/>
              <w:rPr>
                <w:rFonts w:ascii="Trebuchet MS" w:eastAsia="Trebuchet MS" w:hAnsi="Trebuchet MS" w:cs="Trebuchet MS"/>
                <w:b/>
              </w:rPr>
            </w:pPr>
          </w:p>
          <w:p w14:paraId="1ABE0008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Opšti program stručnog osposobljavanja i usavršavanja lokalnih službenika i namještenika;</w:t>
            </w:r>
          </w:p>
          <w:p w14:paraId="0613F49F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b/>
              </w:rPr>
            </w:pPr>
          </w:p>
          <w:p w14:paraId="469C36B4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Kursevi računara;</w:t>
            </w:r>
          </w:p>
          <w:p w14:paraId="71EB610B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b/>
              </w:rPr>
            </w:pPr>
          </w:p>
          <w:p w14:paraId="6DF6D20A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 xml:space="preserve">Program obuke za rukovodioce; </w:t>
            </w:r>
          </w:p>
          <w:p w14:paraId="30E4AAF7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</w:p>
          <w:p w14:paraId="4F7F9DC5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Program obuke za novozaposlene;</w:t>
            </w:r>
          </w:p>
          <w:p w14:paraId="6DD478D0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b/>
              </w:rPr>
            </w:pPr>
          </w:p>
          <w:p w14:paraId="0B2BB322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Program obrazovanja za andragoško osposobljavanje (TOT);</w:t>
            </w:r>
          </w:p>
          <w:p w14:paraId="2683E4AA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b/>
              </w:rPr>
            </w:pPr>
          </w:p>
          <w:p w14:paraId="2CE801E9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Program obuke u oblasti analize efekata (RIA);</w:t>
            </w:r>
          </w:p>
          <w:p w14:paraId="5B9E0B4E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 w:right="57"/>
              <w:rPr>
                <w:rFonts w:ascii="Trebuchet MS" w:eastAsia="Trebuchet MS" w:hAnsi="Trebuchet MS" w:cs="Trebuchet MS"/>
                <w:b/>
              </w:rPr>
            </w:pPr>
          </w:p>
          <w:p w14:paraId="592489FF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Program obuke za računovođe u javnom sektoru;</w:t>
            </w:r>
          </w:p>
          <w:p w14:paraId="69CEF398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b/>
              </w:rPr>
            </w:pPr>
          </w:p>
          <w:p w14:paraId="43640701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Program obuke za unutrašnjeg revizora u javnom sektoru CG;</w:t>
            </w:r>
          </w:p>
          <w:p w14:paraId="6F6D83B5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b/>
              </w:rPr>
            </w:pPr>
          </w:p>
          <w:p w14:paraId="5762A87E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Program profesionalnog usavršavanja unutrašnjih revizora u javnom sektoru;</w:t>
            </w:r>
          </w:p>
          <w:p w14:paraId="7EE6DFC8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b/>
              </w:rPr>
            </w:pPr>
          </w:p>
          <w:p w14:paraId="7A23FF14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Specifični program obuke za sticanje i unapređivanje znanja, vještina i sposobnosti iz oblasti upravljanja i unutrašnjih kontrola u javnom sektoru;</w:t>
            </w:r>
          </w:p>
          <w:p w14:paraId="51FD932F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</w:p>
          <w:p w14:paraId="080441BA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Specifični program obuke u oblasti upravljanja IPA sredstvima;</w:t>
            </w:r>
          </w:p>
          <w:p w14:paraId="265A3345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Specifični program obuke za unapređivanje znanja i vještina iz oblasti inspekcijskog i komunalnog nadzora na lokalnom nivou;</w:t>
            </w:r>
          </w:p>
          <w:p w14:paraId="6D6DA878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b/>
              </w:rPr>
            </w:pPr>
          </w:p>
          <w:p w14:paraId="22E4EB99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Specifični program obuke za sudsku i tužilačku administraciju;</w:t>
            </w:r>
          </w:p>
          <w:p w14:paraId="432F048E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b/>
              </w:rPr>
            </w:pPr>
          </w:p>
          <w:p w14:paraId="7DCE895C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Program obrazovanja za sticanje ključnih vještina za upravljanje ljudskim resursima;</w:t>
            </w:r>
          </w:p>
          <w:p w14:paraId="77787D17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b/>
              </w:rPr>
            </w:pPr>
          </w:p>
          <w:p w14:paraId="6463C022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Program obrazovanja za stručno usavršavanje državnih službenica i službenika za strateško planiranje;</w:t>
            </w:r>
          </w:p>
          <w:p w14:paraId="61CEBE07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b/>
              </w:rPr>
            </w:pPr>
          </w:p>
          <w:p w14:paraId="535CFF0A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 xml:space="preserve">Program obrazovanja za sticanje ključnih vještina za </w:t>
            </w:r>
            <w:r w:rsidRPr="00D44B25">
              <w:rPr>
                <w:rFonts w:ascii="Trebuchet MS" w:eastAsia="Trebuchet MS" w:hAnsi="Trebuchet MS" w:cs="Trebuchet MS"/>
                <w:b/>
              </w:rPr>
              <w:lastRenderedPageBreak/>
              <w:t>komunikacije sa javnostima u javnom sektoru;</w:t>
            </w:r>
          </w:p>
          <w:p w14:paraId="31B0FD13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b/>
              </w:rPr>
            </w:pPr>
          </w:p>
          <w:p w14:paraId="6DE97E97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Program obrazovanja za sticanje ključnih vještina za obavljanje poslova menadžera integriteta;</w:t>
            </w:r>
          </w:p>
          <w:p w14:paraId="31AA6C01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 xml:space="preserve">Obuke realizovane po zahtjevu, zaključku Vlade ili Strateškom dokumentu (Akcionom planu). </w:t>
            </w:r>
          </w:p>
        </w:tc>
        <w:tc>
          <w:tcPr>
            <w:tcW w:w="2935" w:type="dxa"/>
          </w:tcPr>
          <w:p w14:paraId="71FE33A8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lastRenderedPageBreak/>
              <w:t>Uprava za ljudske resurse</w:t>
            </w:r>
          </w:p>
        </w:tc>
        <w:tc>
          <w:tcPr>
            <w:tcW w:w="2530" w:type="dxa"/>
          </w:tcPr>
          <w:p w14:paraId="4010B74E" w14:textId="3F7AA04D" w:rsidR="009A3A57" w:rsidRPr="00D44B25" w:rsidRDefault="004D650C" w:rsidP="009A3A57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Realizovano</w:t>
            </w:r>
          </w:p>
        </w:tc>
        <w:tc>
          <w:tcPr>
            <w:tcW w:w="3412" w:type="dxa"/>
          </w:tcPr>
          <w:p w14:paraId="3204B602" w14:textId="77777777" w:rsidR="009A3A57" w:rsidRPr="00D44B25" w:rsidRDefault="009A3A57" w:rsidP="009A3A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Za navedene aktivnosti Budžetom je ukupno predviđeno 300.000€</w:t>
            </w:r>
          </w:p>
          <w:p w14:paraId="6AACF6B8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79968739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72F004B4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54065D8D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0FD2F12E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4FAAC6FE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64ACB7EF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4CFA7A1A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4F936B92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44095FB4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19B9E2F8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7305093D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77567AB4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782C7CD3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4C70B1FF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599267B4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26B779C5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60C23C35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2D590531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7AF8F18E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324089EE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7C582C39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334F1DB8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4B5703EA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37D44AC9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1D076858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26B5FBBE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1C12B50D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03054E10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298E759C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6E1AF98A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1649D8BD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3E412004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40623D5D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0373A63A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0DFB2EFA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2D66E203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20D78B2B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6D3DACA0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1268F02B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45F4F34E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2ACBAAA8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67C5F645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1237C462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3ADE242E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71DFA69E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48D35A20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6A94B6FB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400DB7BF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120B08A1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37393B9C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77922D36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6FBD2262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49FF2A7B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697FBFC2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5B26EB84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71664CFE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50B98143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6D6A9005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79E716D8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6EF9CA32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3D82737B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0102DF0C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5F8B704C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11FA0864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40DF03CE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48B750DF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79AA02FD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144192B3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171AFA37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24E97287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3EEAC071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583E4353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756355F9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5CF85593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685EAE1A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1B4795AC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1E595567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562FA4A7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4CC09853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12FA98AB" w14:textId="77777777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5C550E2A" w14:textId="487C7224" w:rsidR="00B43048" w:rsidRPr="00D44B25" w:rsidRDefault="00B43048" w:rsidP="00B43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D487C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  <w:lang w:val="sr-Latn-ME"/>
              </w:rPr>
            </w:pPr>
            <w:r w:rsidRPr="00D44B25">
              <w:rPr>
                <w:rFonts w:ascii="Trebuchet MS" w:eastAsia="Trebuchet MS" w:hAnsi="Trebuchet MS" w:cs="Trebuchet MS"/>
              </w:rPr>
              <w:lastRenderedPageBreak/>
              <w:t xml:space="preserve">Za 2024. godinu, ukupno je planirano 480 obuka za 6.285 polaznika, od </w:t>
            </w:r>
            <w:r w:rsidRPr="00D44B25">
              <w:rPr>
                <w:rFonts w:ascii="Trebuchet MS" w:eastAsia="Trebuchet MS" w:hAnsi="Trebuchet MS" w:cs="Trebuchet MS"/>
                <w:lang w:val="sr-Latn-ME"/>
              </w:rPr>
              <w:t xml:space="preserve">čega je realizovano 406 obuka za ukupno 3.741 polaznika. </w:t>
            </w:r>
          </w:p>
          <w:p w14:paraId="3B6C0EB5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  <w:p w14:paraId="3B7CFB83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44C9AE8D" w14:textId="77777777" w:rsidR="009A3A57" w:rsidRPr="00D44B25" w:rsidRDefault="009A3A57" w:rsidP="009A3A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70 obuka, 1.377 polaznika;</w:t>
            </w:r>
          </w:p>
          <w:p w14:paraId="083A2886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3A31533A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1152BAE7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2DD8F9CC" w14:textId="77777777" w:rsidR="009A3A57" w:rsidRPr="00D44B25" w:rsidRDefault="009A3A57" w:rsidP="009A3A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32 obuke, 687 polaznika;</w:t>
            </w:r>
          </w:p>
          <w:p w14:paraId="77F3E4B1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6299557B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2F714134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26DF227D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593ACA88" w14:textId="77777777" w:rsidR="009A3A57" w:rsidRPr="00D44B25" w:rsidRDefault="009A3A57" w:rsidP="009A3A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Nisu realizovani;</w:t>
            </w:r>
          </w:p>
          <w:p w14:paraId="3F78BB4B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15B5F7B4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00EC6480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07D82725" w14:textId="77777777" w:rsidR="009A3A57" w:rsidRPr="00D44B25" w:rsidRDefault="009A3A57" w:rsidP="009A3A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Nisu realizovani;</w:t>
            </w:r>
          </w:p>
          <w:p w14:paraId="0A62631A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7B80A54F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1152CD7D" w14:textId="77777777" w:rsidR="009A3A57" w:rsidRPr="00D44B25" w:rsidRDefault="009A3A57" w:rsidP="009A3A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3 ciklusa (35 obuka), 73 polaznika;</w:t>
            </w:r>
          </w:p>
          <w:p w14:paraId="30A1E0FE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  <w:p w14:paraId="4D414D09" w14:textId="77777777" w:rsidR="009A3A57" w:rsidRPr="00D44B25" w:rsidRDefault="009A3A57" w:rsidP="009A3A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2 ciklusa (12 obuka), 27 polaznika;</w:t>
            </w:r>
          </w:p>
          <w:p w14:paraId="5D352729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5B2C4861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  <w:p w14:paraId="4CE18E13" w14:textId="77777777" w:rsidR="009A3A57" w:rsidRPr="00D44B25" w:rsidRDefault="009A3A57" w:rsidP="009A3A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7 ciklusa (21 obuke), 62 polaznika;</w:t>
            </w:r>
          </w:p>
          <w:p w14:paraId="04144AC5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19850F35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20A51B1B" w14:textId="77777777" w:rsidR="009A3A57" w:rsidRPr="00D44B25" w:rsidRDefault="009A3A57" w:rsidP="009A3A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2 ciklusa (36 dana obuke), 65 polaznika; </w:t>
            </w:r>
          </w:p>
          <w:p w14:paraId="790D8CC8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17DEDAC8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  <w:p w14:paraId="5B7BE387" w14:textId="77777777" w:rsidR="009A3A57" w:rsidRPr="00D44B25" w:rsidRDefault="009A3A57" w:rsidP="009A3A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1 ciklus (61 obuka), 25 polaznika;</w:t>
            </w:r>
          </w:p>
          <w:p w14:paraId="3AD486B6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0640D7B3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009FB0DE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0950E907" w14:textId="77777777" w:rsidR="009A3A57" w:rsidRPr="00D44B25" w:rsidRDefault="009A3A57" w:rsidP="009A3A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24 obuka, 364 polaznika; </w:t>
            </w:r>
          </w:p>
          <w:p w14:paraId="000863C0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5CE77030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35C7C2CF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4B895524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6E942D07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45905569" w14:textId="77777777" w:rsidR="009A3A57" w:rsidRPr="00D44B25" w:rsidRDefault="009A3A57" w:rsidP="009A3A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15 obuka, 259 polaznika;</w:t>
            </w:r>
          </w:p>
          <w:p w14:paraId="4D297E53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4BE0268B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71338E04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  <w:p w14:paraId="61DC2264" w14:textId="77777777" w:rsidR="009A3A57" w:rsidRPr="00D44B25" w:rsidRDefault="009A3A57" w:rsidP="009A3A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15 obuka, 309 polaznika; </w:t>
            </w:r>
          </w:p>
          <w:p w14:paraId="552048BE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529388E0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00F6C9C7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16A786F3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33F0DFD6" w14:textId="77777777" w:rsidR="009A3A57" w:rsidRPr="00D44B25" w:rsidRDefault="009A3A57" w:rsidP="009A3A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2 obuke, 40 polaznika; </w:t>
            </w:r>
          </w:p>
          <w:p w14:paraId="3AC7E5A1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21C11B42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083F72F8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052A4C38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42BAB5B1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0FD92DBB" w14:textId="77777777" w:rsidR="009A3A57" w:rsidRPr="00D44B25" w:rsidRDefault="009A3A57" w:rsidP="009A3A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Nije realizovan; </w:t>
            </w:r>
          </w:p>
          <w:p w14:paraId="19BC1E07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60D8A3C5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720FA35E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5CFB2F14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2B49FBB1" w14:textId="77777777" w:rsidR="009A3A57" w:rsidRPr="00D44B25" w:rsidRDefault="009A3A57" w:rsidP="009A3A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Nije realizovan;</w:t>
            </w:r>
          </w:p>
          <w:p w14:paraId="50497E94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2E89E655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7B561A4D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313BEA7E" w14:textId="77777777" w:rsidR="009A3A57" w:rsidRPr="00D44B25" w:rsidRDefault="009A3A57" w:rsidP="009A3A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1 ciklus 7 obuka (12 dana), 26 polaznika;</w:t>
            </w:r>
          </w:p>
          <w:p w14:paraId="629FBA9D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24C706E2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025FCA85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2FE90F8F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1B06A01E" w14:textId="77777777" w:rsidR="009A3A57" w:rsidRPr="00D44B25" w:rsidRDefault="009A3A57" w:rsidP="009A3A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Nije realizovan;</w:t>
            </w:r>
          </w:p>
          <w:p w14:paraId="68396E18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7E418EB1" w14:textId="769B5648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404A07AF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340C25CC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5112C293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57BF5579" w14:textId="77777777" w:rsidR="009A3A57" w:rsidRPr="00D44B25" w:rsidRDefault="009A3A57" w:rsidP="009A3A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1 ciklus (12 obuka), 21 polaznika; </w:t>
            </w:r>
          </w:p>
          <w:p w14:paraId="623ED527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1F841CFA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19A2F6E8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  <w:p w14:paraId="1BE6D59C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019D8569" w14:textId="77777777" w:rsidR="009A3A57" w:rsidRPr="00D44B25" w:rsidRDefault="009A3A57" w:rsidP="009A3A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37 obuka, 341 polaznika.</w:t>
            </w:r>
          </w:p>
          <w:p w14:paraId="2AFCECFE" w14:textId="77777777" w:rsidR="009A3A57" w:rsidRPr="00D44B25" w:rsidRDefault="009A3A57" w:rsidP="00073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</w:tc>
      </w:tr>
      <w:tr w:rsidR="009A3A57" w:rsidRPr="00D44B25" w14:paraId="7CA76D38" w14:textId="77777777" w:rsidTr="00145122">
        <w:trPr>
          <w:jc w:val="center"/>
        </w:trPr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324558" w14:textId="77777777" w:rsidR="009A3A57" w:rsidRPr="00D44B25" w:rsidRDefault="009A3A57" w:rsidP="009A3A57">
            <w:pPr>
              <w:spacing w:before="40" w:after="40"/>
              <w:ind w:right="6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lastRenderedPageBreak/>
              <w:t>Jačanje digitalnih vještina kroz programe/obuke Digitalne akademije</w:t>
            </w:r>
          </w:p>
        </w:tc>
        <w:tc>
          <w:tcPr>
            <w:tcW w:w="2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19B06CE" w14:textId="77777777" w:rsidR="009A3A57" w:rsidRPr="00D44B25" w:rsidRDefault="009A3A57" w:rsidP="009A3A57">
            <w:pPr>
              <w:spacing w:after="160" w:line="256" w:lineRule="auto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Ministarstvo javne uprave</w:t>
            </w:r>
          </w:p>
          <w:p w14:paraId="5360CB66" w14:textId="77777777" w:rsidR="009A3A57" w:rsidRPr="00D44B25" w:rsidRDefault="009A3A57" w:rsidP="009A3A57">
            <w:pPr>
              <w:spacing w:before="40" w:after="4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2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367FB98" w14:textId="6CEDA0DD" w:rsidR="009A3A57" w:rsidRPr="00D44B25" w:rsidRDefault="009A3A57" w:rsidP="009A3A57">
            <w:pPr>
              <w:spacing w:after="160" w:line="256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Realizovano</w:t>
            </w:r>
          </w:p>
        </w:tc>
        <w:tc>
          <w:tcPr>
            <w:tcW w:w="3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2BD382" w14:textId="77777777" w:rsidR="009A3A57" w:rsidRPr="00D44B25" w:rsidRDefault="009A3A57" w:rsidP="009A3A57">
            <w:pPr>
              <w:spacing w:before="40" w:after="40"/>
              <w:ind w:left="180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- n/p </w:t>
            </w:r>
          </w:p>
        </w:tc>
        <w:tc>
          <w:tcPr>
            <w:tcW w:w="3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ED9A02" w14:textId="77777777" w:rsidR="009A3A57" w:rsidRPr="00D44B25" w:rsidRDefault="009A3A57" w:rsidP="009A3A57">
            <w:pPr>
              <w:spacing w:after="160" w:line="256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U toku 2024. godine, putem Digitalne akademije, uspješno su realizovane dvije edukacije i to: »ChatGPT - primjene, izazovi i etička pitanja« i »Budućnost digitalizacije: primjena vještačke inteligencije i mašinskog učenja«</w:t>
            </w:r>
          </w:p>
          <w:p w14:paraId="513A2574" w14:textId="77777777" w:rsidR="009A3A57" w:rsidRPr="00D44B25" w:rsidRDefault="009A3A57" w:rsidP="009A3A57">
            <w:pPr>
              <w:spacing w:after="160" w:line="256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203 učesnika pohađalo edukativne treninge organizovane putem Digitalne akademije    </w:t>
            </w:r>
          </w:p>
          <w:p w14:paraId="26AE02A0" w14:textId="1B93DF09" w:rsidR="009A3A57" w:rsidRPr="00D44B25" w:rsidRDefault="009A3A57" w:rsidP="009A3A57">
            <w:pP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  <w:highlight w:val="yellow"/>
              </w:rPr>
            </w:pPr>
          </w:p>
        </w:tc>
      </w:tr>
      <w:tr w:rsidR="009A3A57" w:rsidRPr="00D44B25" w14:paraId="1D3B394A" w14:textId="77777777" w:rsidTr="00145122">
        <w:trPr>
          <w:jc w:val="center"/>
        </w:trPr>
        <w:tc>
          <w:tcPr>
            <w:tcW w:w="3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E15E6EB" w14:textId="77777777" w:rsidR="009A3A57" w:rsidRPr="00D44B25" w:rsidRDefault="009A3A57" w:rsidP="009A3A57">
            <w:pPr>
              <w:spacing w:before="40" w:after="40"/>
              <w:ind w:right="6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Unapređenje vještina iz oblasti sajber bezbjednosti za učenike srednjih škola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9489CA9" w14:textId="77777777" w:rsidR="009A3A57" w:rsidRPr="00D44B25" w:rsidRDefault="009A3A57" w:rsidP="009A3A57">
            <w:pPr>
              <w:spacing w:after="160" w:line="256" w:lineRule="auto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Ministarstvo javne uprave</w:t>
            </w:r>
          </w:p>
          <w:p w14:paraId="21AEF0B0" w14:textId="77777777" w:rsidR="009A3A57" w:rsidRPr="00D44B25" w:rsidRDefault="009A3A57" w:rsidP="009A3A57">
            <w:pPr>
              <w:spacing w:before="40" w:after="4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545BFD" w14:textId="109AA413" w:rsidR="009A3A57" w:rsidRPr="00D44B25" w:rsidRDefault="009A3A57" w:rsidP="009A3A57">
            <w:pPr>
              <w:spacing w:after="160" w:line="256" w:lineRule="auto"/>
              <w:rPr>
                <w:rFonts w:ascii="Trebuchet MS" w:eastAsia="Trebuchet MS" w:hAnsi="Trebuchet MS" w:cs="Trebuchet MS"/>
              </w:rPr>
            </w:pPr>
          </w:p>
          <w:p w14:paraId="01A05B8C" w14:textId="77777777" w:rsidR="009A3A57" w:rsidRPr="00D44B25" w:rsidRDefault="009A3A57" w:rsidP="009A3A57">
            <w:pPr>
              <w:spacing w:before="40" w:after="40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 Realizovano</w:t>
            </w:r>
          </w:p>
          <w:p w14:paraId="03D90E16" w14:textId="77777777" w:rsidR="009A3A57" w:rsidRPr="00D44B25" w:rsidRDefault="009A3A57" w:rsidP="009A3A57">
            <w:pPr>
              <w:spacing w:before="40" w:after="40"/>
              <w:rPr>
                <w:rFonts w:ascii="Trebuchet MS" w:eastAsia="Trebuchet MS" w:hAnsi="Trebuchet MS" w:cs="Trebuchet MS"/>
              </w:rPr>
            </w:pPr>
          </w:p>
          <w:p w14:paraId="7259E0C2" w14:textId="709CBFF1" w:rsidR="009A3A57" w:rsidRPr="00D44B25" w:rsidRDefault="009A3A57" w:rsidP="009A3A57">
            <w:pPr>
              <w:spacing w:before="40" w:after="4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D10693C" w14:textId="77777777" w:rsidR="009A3A57" w:rsidRPr="00D44B25" w:rsidRDefault="009A3A57" w:rsidP="009A3A57">
            <w:pPr>
              <w:spacing w:before="40" w:after="40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10.000 €</w:t>
            </w:r>
          </w:p>
          <w:p w14:paraId="79A21F40" w14:textId="77777777" w:rsidR="009A3A57" w:rsidRPr="00D44B25" w:rsidRDefault="009A3A57" w:rsidP="009A3A57">
            <w:pPr>
              <w:spacing w:before="40" w:after="40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(Budžet projekta)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1308EA" w14:textId="62722326" w:rsidR="009A3A57" w:rsidRPr="00D44B25" w:rsidRDefault="009A3A57" w:rsidP="009A3A57">
            <w:pPr>
              <w:spacing w:after="160" w:line="256" w:lineRule="auto"/>
              <w:rPr>
                <w:rFonts w:ascii="Trebuchet MS" w:eastAsia="Trebuchet MS" w:hAnsi="Trebuchet MS" w:cs="Trebuchet MS"/>
                <w:highlight w:val="yellow"/>
              </w:rPr>
            </w:pPr>
          </w:p>
          <w:p w14:paraId="5B95CF36" w14:textId="1249E150" w:rsidR="009A3A57" w:rsidRPr="00D44B25" w:rsidRDefault="009A3A57" w:rsidP="009A3A57">
            <w:pPr>
              <w:spacing w:after="160" w:line="256" w:lineRule="auto"/>
              <w:rPr>
                <w:rFonts w:ascii="Trebuchet MS" w:eastAsia="Trebuchet MS" w:hAnsi="Trebuchet MS" w:cs="Trebuchet MS"/>
                <w:highlight w:val="yellow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24 učenika i dva profesora Srednje Ekonomske škole ,,Mirko Vešović" prošlo obuku o sajber higijeni koju su povodom Međunarodnog dana </w:t>
            </w:r>
            <w:r w:rsidRPr="00D44B25">
              <w:rPr>
                <w:rFonts w:ascii="Trebuchet MS" w:eastAsia="Trebuchet MS" w:hAnsi="Trebuchet MS" w:cs="Trebuchet MS"/>
              </w:rPr>
              <w:lastRenderedPageBreak/>
              <w:t>bezbjednog interneta održali službenici CIRT-a državne uprave.</w:t>
            </w:r>
          </w:p>
        </w:tc>
      </w:tr>
      <w:tr w:rsidR="009A3A57" w:rsidRPr="00D44B25" w14:paraId="1D97F09D" w14:textId="77777777" w:rsidTr="00145122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8A3A" w14:textId="77777777" w:rsidR="009A3A57" w:rsidRPr="00D44B25" w:rsidRDefault="009A3A57" w:rsidP="009A3A57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lastRenderedPageBreak/>
              <w:t>Stručno usavršavanje policijskih službenika (iz domena javnog reda i mira, bezbjednosti saobraćaja, nadzora državne granice, granične provjere i suzbijanja nelegalnih migracija, suzbijanja opšteg i ekonomskog kriminala, specijalnih istražnih metoda, obezbjeđenja ličnosti i objekata i dr.)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8B58" w14:textId="77777777" w:rsidR="009A3A57" w:rsidRPr="00D44B25" w:rsidRDefault="009A3A57" w:rsidP="009A3A57">
            <w:pPr>
              <w:spacing w:after="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Ministarstvo unutrašnjih poslova</w:t>
            </w:r>
          </w:p>
          <w:p w14:paraId="3A1E7241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05CC" w14:textId="30E1891A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Realizovano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494F" w14:textId="77777777" w:rsidR="009A3A57" w:rsidRPr="00D44B25" w:rsidRDefault="009A3A57" w:rsidP="009A3A57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105.000,00 €</w:t>
            </w:r>
          </w:p>
          <w:p w14:paraId="698A529C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(Budžet Ministarstva unutrašnjih poslova i donacije)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0EB3" w14:textId="77777777" w:rsidR="009A3A57" w:rsidRPr="00D44B25" w:rsidRDefault="009A3A57" w:rsidP="009A3A57">
            <w:pPr>
              <w:numPr>
                <w:ilvl w:val="0"/>
                <w:numId w:val="2"/>
              </w:numPr>
              <w:spacing w:before="34" w:after="34" w:line="240" w:lineRule="auto"/>
              <w:rPr>
                <w:rFonts w:ascii="Trebuchet MS" w:hAnsi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realizovanih obuka</w:t>
            </w:r>
          </w:p>
          <w:p w14:paraId="0390D5AD" w14:textId="0C71130B" w:rsidR="009A3A57" w:rsidRPr="00D44B25" w:rsidRDefault="009A3A57" w:rsidP="009A3A57">
            <w:pPr>
              <w:numPr>
                <w:ilvl w:val="0"/>
                <w:numId w:val="2"/>
              </w:num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polaznika/ca</w:t>
            </w:r>
          </w:p>
          <w:p w14:paraId="227C5F88" w14:textId="77777777" w:rsidR="009A3A57" w:rsidRPr="00D44B25" w:rsidRDefault="009A3A57" w:rsidP="009A3A57">
            <w:pPr>
              <w:spacing w:before="34" w:after="34"/>
              <w:jc w:val="both"/>
              <w:rPr>
                <w:rFonts w:ascii="Trebuchet MS" w:hAnsi="Trebuchet MS" w:cs="Tahoma"/>
              </w:rPr>
            </w:pPr>
            <w:r w:rsidRPr="00D44B25">
              <w:rPr>
                <w:rFonts w:ascii="Trebuchet MS" w:hAnsi="Trebuchet MS" w:cs="Tahoma"/>
              </w:rPr>
              <w:t>Posredstvom Direkcije za obuke i stručno usavršavanje tokom 2024. godine organizovana je 81 obuka za 973 pol. službenika/ca.</w:t>
            </w:r>
          </w:p>
          <w:p w14:paraId="1869A825" w14:textId="77777777" w:rsidR="009A3A57" w:rsidRPr="00D44B25" w:rsidRDefault="009A3A57" w:rsidP="009A3A57">
            <w:pPr>
              <w:spacing w:before="34" w:after="34"/>
              <w:ind w:left="173"/>
              <w:jc w:val="both"/>
              <w:rPr>
                <w:rFonts w:ascii="Trebuchet MS" w:hAnsi="Trebuchet MS" w:cs="Tahoma"/>
              </w:rPr>
            </w:pPr>
          </w:p>
          <w:p w14:paraId="28644EB6" w14:textId="77777777" w:rsidR="009A3A57" w:rsidRPr="00D44B25" w:rsidRDefault="009A3A57" w:rsidP="009A3A57">
            <w:pPr>
              <w:jc w:val="both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 w:cs="Tahoma"/>
              </w:rPr>
              <w:t>Obuke su realizovane u saradnji sa JU VSŠ „Policijskom akademija“ (na osnovu Ugovora o poslovnoj saradnji), Upravom za ljudske resurse, drugim organima državne uprave, međunarodnim partnerima i nevladinim organizacijama, kao i putem platforme za e-učenje.</w:t>
            </w:r>
          </w:p>
          <w:p w14:paraId="68F438FA" w14:textId="77777777" w:rsidR="009A3A57" w:rsidRPr="00D44B25" w:rsidRDefault="009A3A57" w:rsidP="009A3A57">
            <w:pP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66621002" w14:textId="77777777" w:rsidR="009A3A57" w:rsidRPr="00D44B25" w:rsidRDefault="009A3A57" w:rsidP="009A3A57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  <w:p w14:paraId="5B0D057A" w14:textId="77777777" w:rsidR="009A3A57" w:rsidRPr="00D44B25" w:rsidRDefault="009A3A57" w:rsidP="009A3A57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9A3A57" w:rsidRPr="00D44B25" w14:paraId="7748A96B" w14:textId="77777777" w:rsidTr="00145122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81F6" w14:textId="77777777" w:rsidR="009A3A57" w:rsidRPr="00D44B25" w:rsidRDefault="009A3A57" w:rsidP="009A3A57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Stručno usavršavanje državnih službenika i namještenika Ministarstva unutrašnjih poslova (iz domena upravnih poslova, bezbjednosno nadzornih poslova i dr.)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ACC8" w14:textId="77777777" w:rsidR="009A3A57" w:rsidRPr="00D44B25" w:rsidRDefault="009A3A57" w:rsidP="009A3A57">
            <w:pPr>
              <w:spacing w:after="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Ministarstvo unutrašnjih poslova</w:t>
            </w:r>
          </w:p>
          <w:p w14:paraId="06C55C83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B781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Realizovano</w:t>
            </w:r>
          </w:p>
          <w:p w14:paraId="7CC17ADA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5C7AB7A0" w14:textId="4B00968F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4B24" w14:textId="77777777" w:rsidR="009A3A57" w:rsidRPr="00D44B25" w:rsidRDefault="009A3A57" w:rsidP="009A3A57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5.000.00 €</w:t>
            </w:r>
          </w:p>
          <w:p w14:paraId="2CC69200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(Budžet Ministarstva unutrašnjih poslova i donacije)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CF75" w14:textId="77777777" w:rsidR="009A3A57" w:rsidRPr="00D44B25" w:rsidRDefault="009A3A57" w:rsidP="009A3A57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- Broj realizovanih obuka</w:t>
            </w:r>
          </w:p>
          <w:p w14:paraId="61DBBF03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- Broj polaznika/ca</w:t>
            </w:r>
          </w:p>
          <w:p w14:paraId="2E8B5ED6" w14:textId="77777777" w:rsidR="009A3A57" w:rsidRPr="00D44B25" w:rsidRDefault="009A3A57" w:rsidP="009A3A57">
            <w:pPr>
              <w:spacing w:before="40" w:after="40"/>
              <w:jc w:val="both"/>
              <w:rPr>
                <w:rFonts w:ascii="Trebuchet MS" w:hAnsi="Trebuchet MS"/>
              </w:rPr>
            </w:pPr>
            <w:r w:rsidRPr="00D44B25">
              <w:rPr>
                <w:rFonts w:ascii="Trebuchet MS" w:hAnsi="Trebuchet MS"/>
              </w:rPr>
              <w:t>Posredstvom Direkcije za obuke i stručno usavršavanje tokom 2024. godine organizovano je 89 obuka za 210 drž. službenika/ca.</w:t>
            </w:r>
          </w:p>
          <w:p w14:paraId="03B2A3F5" w14:textId="33C1F569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/>
              </w:rPr>
              <w:lastRenderedPageBreak/>
              <w:t>Obuke su realizovane u saradnji sa Upravom za ljudske resurse, drugim organima državne uprave,  međunarodnim i nevladinim organizacijama, kao i putem platforme za e-učenje.</w:t>
            </w:r>
          </w:p>
        </w:tc>
      </w:tr>
      <w:tr w:rsidR="009A3A57" w:rsidRPr="00D44B25" w14:paraId="11B7FB59" w14:textId="77777777" w:rsidTr="00145122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86FA6" w14:textId="77777777" w:rsidR="009A3A57" w:rsidRPr="00D44B25" w:rsidRDefault="009A3A57" w:rsidP="009A3A57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lastRenderedPageBreak/>
              <w:t>Usavršavanje profesionalnih vojnih lica na vojno-obrazovnim institucijama savezničkih zemalja u inostranstvu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FFDDC" w14:textId="77777777" w:rsidR="009A3A57" w:rsidRPr="00D44B25" w:rsidRDefault="009A3A57" w:rsidP="009A3A57">
            <w:pPr>
              <w:spacing w:after="0"/>
              <w:jc w:val="both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Ministarstvo odbrane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B07F" w14:textId="600FA9C0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Realizovano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B1B21" w14:textId="77777777" w:rsidR="009A3A57" w:rsidRPr="00D44B25" w:rsidRDefault="009A3A57" w:rsidP="009A3A57">
            <w:pPr>
              <w:spacing w:before="40" w:after="40" w:line="240" w:lineRule="auto"/>
              <w:jc w:val="center"/>
              <w:rPr>
                <w:rFonts w:ascii="Trebuchet MS" w:hAnsi="Trebuchet MS"/>
              </w:rPr>
            </w:pPr>
            <w:r w:rsidRPr="00D44B25">
              <w:rPr>
                <w:rFonts w:ascii="Trebuchet MS" w:hAnsi="Trebuchet MS"/>
              </w:rPr>
              <w:t xml:space="preserve">Planirana sredstva: 134,868,47 € </w:t>
            </w:r>
          </w:p>
          <w:p w14:paraId="6F11CE3A" w14:textId="25BC749E" w:rsidR="009A3A57" w:rsidRPr="00D44B25" w:rsidRDefault="009A3A57" w:rsidP="009A3A57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/>
              </w:rPr>
              <w:t>Utrošena sredstva: 115.023,94 €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28AA5" w14:textId="77777777" w:rsidR="009A3A57" w:rsidRPr="00D44B25" w:rsidRDefault="009A3A57" w:rsidP="000732A4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right="-105"/>
              <w:jc w:val="both"/>
              <w:rPr>
                <w:rFonts w:ascii="Trebuchet MS" w:hAnsi="Trebuchet MS"/>
              </w:rPr>
            </w:pPr>
            <w:r w:rsidRPr="00D44B25">
              <w:rPr>
                <w:rFonts w:ascii="Trebuchet MS" w:hAnsi="Trebuchet MS"/>
              </w:rPr>
              <w:t>Usavršavanje operativno-strategijskog nivoa u toku 2024. godine završila su dva oficira, dok su tri oficira upućena na usavršavanje ovog nivoa u akademskoj 2024/2025. godini</w:t>
            </w:r>
          </w:p>
          <w:p w14:paraId="63D1500B" w14:textId="77777777" w:rsidR="000732A4" w:rsidRPr="00D44B25" w:rsidRDefault="009A3A57" w:rsidP="000732A4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right="-105"/>
              <w:jc w:val="both"/>
              <w:rPr>
                <w:rFonts w:ascii="Trebuchet MS" w:hAnsi="Trebuchet MS"/>
              </w:rPr>
            </w:pPr>
            <w:r w:rsidRPr="00D44B25">
              <w:rPr>
                <w:rFonts w:ascii="Trebuchet MS" w:hAnsi="Trebuchet MS"/>
              </w:rPr>
              <w:t>Usavršavanje komandno-štabnog nivoa u toku 2024. godine završila su četiri oficira, dok su četiri oficira upućena na usavršavanje ovog nivoa u akademskoj 2024/2025. godini</w:t>
            </w:r>
          </w:p>
          <w:p w14:paraId="349D4DA1" w14:textId="7515E3CE" w:rsidR="009A3A57" w:rsidRPr="00D44B25" w:rsidRDefault="009A3A57" w:rsidP="000732A4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right="-105"/>
              <w:jc w:val="both"/>
              <w:rPr>
                <w:rFonts w:ascii="Trebuchet MS" w:hAnsi="Trebuchet MS"/>
              </w:rPr>
            </w:pPr>
            <w:r w:rsidRPr="00D44B25">
              <w:rPr>
                <w:rFonts w:ascii="Trebuchet MS" w:hAnsi="Trebuchet MS"/>
              </w:rPr>
              <w:t>Kapetanske karijerne kurseve u toku 2024. godine završio je jedan oficir, dok su u akademskoj 2024/2025. godini na iste upućena pet oficira</w:t>
            </w:r>
          </w:p>
        </w:tc>
      </w:tr>
      <w:tr w:rsidR="009A3A57" w:rsidRPr="00D44B25" w14:paraId="0FAB5612" w14:textId="77777777" w:rsidTr="00145122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4159" w14:textId="77777777" w:rsidR="009A3A57" w:rsidRPr="00D44B25" w:rsidRDefault="009A3A57" w:rsidP="009A3A57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Podoficirska usavršavanja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E020" w14:textId="77777777" w:rsidR="009A3A57" w:rsidRPr="00D44B25" w:rsidRDefault="009A3A57" w:rsidP="009A3A57">
            <w:pPr>
              <w:spacing w:after="0"/>
              <w:jc w:val="both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Ministarstvo odbrane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21F0" w14:textId="53F01406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Realizovano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CF397" w14:textId="77777777" w:rsidR="009A3A57" w:rsidRPr="00D44B25" w:rsidRDefault="009A3A57" w:rsidP="009A3A57">
            <w:pPr>
              <w:spacing w:before="40" w:after="40" w:line="240" w:lineRule="auto"/>
              <w:jc w:val="center"/>
              <w:rPr>
                <w:rFonts w:ascii="Trebuchet MS" w:hAnsi="Trebuchet MS"/>
              </w:rPr>
            </w:pPr>
            <w:r w:rsidRPr="00D44B25">
              <w:rPr>
                <w:rFonts w:ascii="Trebuchet MS" w:hAnsi="Trebuchet MS"/>
              </w:rPr>
              <w:t xml:space="preserve">Planirana sredstva: 9.606,70 € </w:t>
            </w:r>
          </w:p>
          <w:p w14:paraId="5422C6C2" w14:textId="2309B0FD" w:rsidR="009A3A57" w:rsidRPr="00D44B25" w:rsidRDefault="009A3A57" w:rsidP="009A3A57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/>
              </w:rPr>
              <w:t>Utrošena sredstva: 12.476,94 €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1D84" w14:textId="77777777" w:rsidR="000732A4" w:rsidRPr="00D44B25" w:rsidRDefault="009A3A57" w:rsidP="000732A4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right="-105"/>
              <w:rPr>
                <w:rFonts w:ascii="Trebuchet MS" w:hAnsi="Trebuchet MS"/>
              </w:rPr>
            </w:pPr>
            <w:r w:rsidRPr="00D44B25">
              <w:rPr>
                <w:rFonts w:ascii="Trebuchet MS" w:hAnsi="Trebuchet MS"/>
              </w:rPr>
              <w:t>Na Osnovni podoficirski kurs upućena su 52 lica</w:t>
            </w:r>
          </w:p>
          <w:p w14:paraId="28CE5BFA" w14:textId="561C9724" w:rsidR="009A3A57" w:rsidRPr="00D44B25" w:rsidRDefault="009A3A57" w:rsidP="000732A4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right="-105"/>
              <w:rPr>
                <w:rFonts w:ascii="Trebuchet MS" w:hAnsi="Trebuchet MS"/>
              </w:rPr>
            </w:pPr>
            <w:r w:rsidRPr="00D44B25">
              <w:rPr>
                <w:rFonts w:ascii="Trebuchet MS" w:hAnsi="Trebuchet MS"/>
              </w:rPr>
              <w:t>Na Liderski podoficirski kurs upućena su 36 podoficira. Kurs za prvog podoficira voda završila je jedna podoficirka. Visoku podoficirsku školu završila su dva podoficira</w:t>
            </w:r>
          </w:p>
        </w:tc>
      </w:tr>
      <w:tr w:rsidR="009A3A57" w:rsidRPr="00D44B25" w14:paraId="632DB72F" w14:textId="77777777" w:rsidTr="00145122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1B89F" w14:textId="77777777" w:rsidR="009A3A57" w:rsidRPr="00D44B25" w:rsidRDefault="009A3A57" w:rsidP="009A3A57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lastRenderedPageBreak/>
              <w:t>Specijalistička i postdiplomska usavršavanja (specijalizacija iz oblasti medicinskih nauka, oficiri – doktori medicine)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7B90" w14:textId="77777777" w:rsidR="009A3A57" w:rsidRPr="00D44B25" w:rsidRDefault="009A3A57" w:rsidP="009A3A57">
            <w:pPr>
              <w:spacing w:after="0"/>
              <w:jc w:val="both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Ministarstvo odbrane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07F3" w14:textId="3C3D0BE3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Realizovano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D36DC" w14:textId="77777777" w:rsidR="009A3A57" w:rsidRPr="00D44B25" w:rsidRDefault="009A3A57" w:rsidP="009A3A57">
            <w:pPr>
              <w:spacing w:before="40" w:after="40" w:line="240" w:lineRule="auto"/>
              <w:jc w:val="center"/>
              <w:rPr>
                <w:rFonts w:ascii="Trebuchet MS" w:hAnsi="Trebuchet MS"/>
              </w:rPr>
            </w:pPr>
            <w:r w:rsidRPr="00D44B25">
              <w:rPr>
                <w:rFonts w:ascii="Trebuchet MS" w:hAnsi="Trebuchet MS"/>
              </w:rPr>
              <w:t xml:space="preserve">Planirana sredstva: 124.281,12 € </w:t>
            </w:r>
          </w:p>
          <w:p w14:paraId="2FEEB771" w14:textId="215E73CF" w:rsidR="009A3A57" w:rsidRPr="00D44B25" w:rsidRDefault="009A3A57" w:rsidP="009A3A57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/>
              </w:rPr>
              <w:t>Utrošena sredstva: 90.352,55 €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8D49F" w14:textId="77777777" w:rsidR="000732A4" w:rsidRPr="00D44B25" w:rsidRDefault="009A3A57" w:rsidP="000732A4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right="-105"/>
              <w:rPr>
                <w:rFonts w:ascii="Trebuchet MS" w:hAnsi="Trebuchet MS"/>
              </w:rPr>
            </w:pPr>
            <w:r w:rsidRPr="00D44B25">
              <w:rPr>
                <w:rFonts w:ascii="Trebuchet MS" w:hAnsi="Trebuchet MS"/>
              </w:rPr>
              <w:t>Na specijalizaciji iz oblasti medicinskih nauka nalazi se pet oficira/ki, dok je u 2024. godini na specijalizaciju upućena jedna oficirka - doktor medicine. U toku 2024. godine dva oficira - doktora medicine su završila specijalizaciju</w:t>
            </w:r>
          </w:p>
          <w:p w14:paraId="45B59BFB" w14:textId="0D5FC8D9" w:rsidR="009A3A57" w:rsidRPr="00D44B25" w:rsidRDefault="009A3A57" w:rsidP="000732A4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right="-105"/>
              <w:rPr>
                <w:rFonts w:ascii="Trebuchet MS" w:hAnsi="Trebuchet MS"/>
              </w:rPr>
            </w:pPr>
            <w:r w:rsidRPr="00D44B25">
              <w:rPr>
                <w:rFonts w:ascii="Trebuchet MS" w:hAnsi="Trebuchet MS"/>
              </w:rPr>
              <w:t>Na specijalizaciju iz oblasti kopnene vojske upućen je jedan oficir</w:t>
            </w:r>
          </w:p>
        </w:tc>
      </w:tr>
      <w:tr w:rsidR="009A3A57" w:rsidRPr="00D44B25" w14:paraId="6ADB3246" w14:textId="77777777" w:rsidTr="00145122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97F75" w14:textId="77777777" w:rsidR="009A3A57" w:rsidRPr="00D44B25" w:rsidRDefault="009A3A57" w:rsidP="009A3A57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Kursevi engleskog, francuskog i italijanskog jezika za pripadnike Ministarstva odbrane i Vojske Crne Gore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8F3D" w14:textId="77777777" w:rsidR="009A3A57" w:rsidRPr="00D44B25" w:rsidRDefault="009A3A57" w:rsidP="009A3A57">
            <w:pPr>
              <w:spacing w:after="0"/>
              <w:jc w:val="both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Ministarstvo odbrane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C1A4" w14:textId="0CFDD7EA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Realizovano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7AD5C" w14:textId="77777777" w:rsidR="009A3A57" w:rsidRPr="00D44B25" w:rsidRDefault="009A3A57" w:rsidP="009A3A57">
            <w:pPr>
              <w:spacing w:before="40" w:after="40" w:line="240" w:lineRule="auto"/>
              <w:jc w:val="center"/>
              <w:rPr>
                <w:rFonts w:ascii="Trebuchet MS" w:hAnsi="Trebuchet MS"/>
              </w:rPr>
            </w:pPr>
            <w:r w:rsidRPr="00D44B25">
              <w:rPr>
                <w:rFonts w:ascii="Trebuchet MS" w:hAnsi="Trebuchet MS"/>
              </w:rPr>
              <w:t xml:space="preserve">Planirana sredstva: 15.485,20 € </w:t>
            </w:r>
          </w:p>
          <w:p w14:paraId="36BBB068" w14:textId="65326FD2" w:rsidR="009A3A57" w:rsidRPr="00D44B25" w:rsidRDefault="009A3A57" w:rsidP="009A3A57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/>
              </w:rPr>
              <w:t xml:space="preserve">Utrošena sredstva: </w:t>
            </w:r>
            <w:r w:rsidRPr="00D44B25">
              <w:rPr>
                <w:rFonts w:ascii="Trebuchet MS" w:hAnsi="Trebuchet MS" w:cs="Trebuchet MS"/>
                <w:bCs/>
              </w:rPr>
              <w:t xml:space="preserve">7.600,55 </w:t>
            </w:r>
            <w:r w:rsidRPr="00D44B25">
              <w:rPr>
                <w:rFonts w:ascii="Trebuchet MS" w:hAnsi="Trebuchet MS"/>
              </w:rPr>
              <w:t>€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8BD7A" w14:textId="77777777" w:rsidR="009A3A57" w:rsidRPr="00D44B25" w:rsidRDefault="009A3A57" w:rsidP="009A3A57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rPr>
                <w:rFonts w:ascii="Trebuchet MS" w:hAnsi="Trebuchet MS" w:cs="Trebuchet MS"/>
                <w:bCs/>
              </w:rPr>
            </w:pPr>
            <w:r w:rsidRPr="00D44B25">
              <w:rPr>
                <w:rFonts w:ascii="Trebuchet MS" w:hAnsi="Trebuchet MS" w:cs="Trebuchet MS"/>
                <w:bCs/>
              </w:rPr>
              <w:t>Kurseve engleskog jezika u inostranstvu pohađalo je 7 lica (tri lica u Republici Hrvatskoj i četiri lica u Ujedinjenom Kraljevstvu Velike Britanije i Sjeverme Irske)</w:t>
            </w:r>
          </w:p>
          <w:p w14:paraId="1389EAA2" w14:textId="77777777" w:rsidR="009A3A57" w:rsidRPr="00D44B25" w:rsidRDefault="009A3A57" w:rsidP="009A3A57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rPr>
                <w:rFonts w:ascii="Trebuchet MS" w:hAnsi="Trebuchet MS" w:cs="Trebuchet MS"/>
                <w:bCs/>
              </w:rPr>
            </w:pPr>
            <w:r w:rsidRPr="00D44B25">
              <w:rPr>
                <w:rFonts w:ascii="Trebuchet MS" w:hAnsi="Trebuchet MS" w:cs="Trebuchet MS"/>
                <w:bCs/>
              </w:rPr>
              <w:t>Centar za obuku Vojske Crne Gore je organizovao kurseve engleskog jezika za 48 pripadnika Ministarstva odbrane i Vojske Crne Gore</w:t>
            </w:r>
          </w:p>
          <w:p w14:paraId="0AE5C4EF" w14:textId="77777777" w:rsidR="000732A4" w:rsidRPr="00D44B25" w:rsidRDefault="009A3A57" w:rsidP="000732A4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rPr>
                <w:rFonts w:ascii="Trebuchet MS" w:hAnsi="Trebuchet MS" w:cs="Trebuchet MS"/>
                <w:bCs/>
              </w:rPr>
            </w:pPr>
            <w:r w:rsidRPr="00D44B25">
              <w:rPr>
                <w:rFonts w:ascii="Trebuchet MS" w:hAnsi="Trebuchet MS" w:cs="Trebuchet MS"/>
                <w:bCs/>
              </w:rPr>
              <w:t>Kurs italijanskog jezika pohađalo je 30 pripadnika Ministarstva odbrane</w:t>
            </w:r>
          </w:p>
          <w:p w14:paraId="0693B032" w14:textId="3D268C6B" w:rsidR="009A3A57" w:rsidRPr="00D44B25" w:rsidRDefault="009A3A57" w:rsidP="000732A4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rPr>
                <w:rFonts w:ascii="Trebuchet MS" w:hAnsi="Trebuchet MS" w:cs="Trebuchet MS"/>
                <w:bCs/>
              </w:rPr>
            </w:pPr>
            <w:r w:rsidRPr="00D44B25">
              <w:rPr>
                <w:rFonts w:ascii="Trebuchet MS" w:hAnsi="Trebuchet MS" w:cs="Trebuchet MS"/>
                <w:bCs/>
              </w:rPr>
              <w:t>Kurs francuskog jezika pohađalo je 5 pripadnika Ministarstva odbrane</w:t>
            </w:r>
          </w:p>
        </w:tc>
      </w:tr>
      <w:tr w:rsidR="009A3A57" w:rsidRPr="00D44B25" w14:paraId="74D0A86F" w14:textId="77777777" w:rsidTr="00145122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8589" w14:textId="77777777" w:rsidR="009A3A57" w:rsidRPr="00D44B25" w:rsidRDefault="009A3A57" w:rsidP="009A3A57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Interne obuke za pripadnike Ministarstva odbrane i Vojske Crne Gore</w:t>
            </w:r>
            <w:r w:rsidRPr="00D44B25"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DE5D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Ministarstvo odbrane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90E4" w14:textId="0150D453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Realizovano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6574" w14:textId="2694D091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 w:cs="Trebuchet MS"/>
                <w:bCs/>
              </w:rPr>
              <w:t>- n/a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D25D" w14:textId="77777777" w:rsidR="000732A4" w:rsidRPr="00D44B25" w:rsidRDefault="009A3A57" w:rsidP="000732A4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right="-105"/>
              <w:rPr>
                <w:rFonts w:ascii="Trebuchet MS" w:hAnsi="Trebuchet MS" w:cs="Trebuchet MS"/>
                <w:bCs/>
              </w:rPr>
            </w:pPr>
            <w:r w:rsidRPr="00D44B25">
              <w:rPr>
                <w:rFonts w:ascii="Trebuchet MS" w:hAnsi="Trebuchet MS" w:cs="Trebuchet MS"/>
                <w:bCs/>
              </w:rPr>
              <w:t>Interne obuke je pohađalo 109 pripadnika Ministarstva odbrane i Vojske Crne Gore (8 internih obuka</w:t>
            </w:r>
            <w:r w:rsidRPr="00D44B25">
              <w:rPr>
                <w:rFonts w:ascii="Trebuchet MS" w:hAnsi="Trebuchet MS" w:cs="Trebuchet MS"/>
                <w:bCs/>
                <w:lang w:val="sr-Latn-ME"/>
              </w:rPr>
              <w:t xml:space="preserve"> iz oblasti: integriteta i prevencije korupcije u sektoru odbrane, javnih </w:t>
            </w:r>
            <w:r w:rsidRPr="00D44B25">
              <w:rPr>
                <w:rFonts w:ascii="Trebuchet MS" w:hAnsi="Trebuchet MS" w:cs="Trebuchet MS"/>
                <w:bCs/>
                <w:lang w:val="sr-Latn-ME"/>
              </w:rPr>
              <w:lastRenderedPageBreak/>
              <w:t>nabavki, rodne ravnopravnosti u Ministarstvu odbrane i Vojsci Crne Gore, vojno-obavještajnih poslova, pripremanja, planiranja, usvajanja i realizacije Budžeta MO, prava i obaveze državnih službenika i namještenika, psihološke podrške zaposlenim)</w:t>
            </w:r>
          </w:p>
          <w:p w14:paraId="7E53EDA4" w14:textId="2F287665" w:rsidR="009A3A57" w:rsidRPr="00D44B25" w:rsidRDefault="009A3A57" w:rsidP="000732A4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right="-105"/>
              <w:rPr>
                <w:rFonts w:ascii="Trebuchet MS" w:hAnsi="Trebuchet MS" w:cs="Trebuchet MS"/>
                <w:bCs/>
              </w:rPr>
            </w:pPr>
            <w:r w:rsidRPr="00D44B25">
              <w:rPr>
                <w:rFonts w:ascii="Trebuchet MS" w:hAnsi="Trebuchet MS" w:cs="Trebuchet MS"/>
                <w:bCs/>
              </w:rPr>
              <w:t>Na obukama na temu intergriteta, učestvovala su 82 pripadnika Vojske Crne Gore</w:t>
            </w:r>
          </w:p>
        </w:tc>
      </w:tr>
      <w:tr w:rsidR="009A3A57" w:rsidRPr="00D44B25" w14:paraId="024DE756" w14:textId="77777777" w:rsidTr="00145122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A8DE8" w14:textId="77777777" w:rsidR="009A3A57" w:rsidRPr="00D44B25" w:rsidRDefault="009A3A57" w:rsidP="009A3A57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lastRenderedPageBreak/>
              <w:t>Obuke u organizaciji Uprave za ljudske resurse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2C031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Ministarstvo odbrane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F982" w14:textId="14EE1CFE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Realizovano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7C4AC" w14:textId="2FB1701F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 w:cs="Trebuchet MS"/>
                <w:bCs/>
              </w:rPr>
              <w:t>- n/a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F918" w14:textId="1AF7A9A2" w:rsidR="009A3A57" w:rsidRPr="00D44B25" w:rsidRDefault="009A3A57" w:rsidP="000732A4">
            <w:pPr>
              <w:spacing w:before="40" w:after="40" w:line="240" w:lineRule="auto"/>
              <w:ind w:right="-105"/>
              <w:rPr>
                <w:rFonts w:ascii="Trebuchet MS" w:hAnsi="Trebuchet MS"/>
                <w:highlight w:val="yellow"/>
              </w:rPr>
            </w:pPr>
            <w:r w:rsidRPr="00D44B25">
              <w:rPr>
                <w:rFonts w:ascii="Trebuchet MS" w:hAnsi="Trebuchet MS" w:cs="Trebuchet MS"/>
                <w:bCs/>
              </w:rPr>
              <w:t>Obuke su pohađala 62 državna službenika i 105 pripadnika Vojske</w:t>
            </w:r>
          </w:p>
        </w:tc>
      </w:tr>
      <w:tr w:rsidR="009A3A57" w:rsidRPr="00D44B25" w14:paraId="7292904B" w14:textId="77777777" w:rsidTr="00145122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8B03" w14:textId="77777777" w:rsidR="009A3A57" w:rsidRPr="00D44B25" w:rsidRDefault="009A3A57" w:rsidP="009A3A57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Kursevi i obuke profesionalnih vojnih lica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1B17B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Ministarstvo odbrane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9FC9" w14:textId="0DDAEF8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Realizovano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8A7C7" w14:textId="066BC143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 w:cs="Trebuchet MS"/>
                <w:bCs/>
              </w:rPr>
              <w:t>- n/a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77E0C" w14:textId="77777777" w:rsidR="000732A4" w:rsidRPr="00D44B25" w:rsidRDefault="009A3A57" w:rsidP="000732A4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right="-105"/>
              <w:rPr>
                <w:rFonts w:ascii="Trebuchet MS" w:hAnsi="Trebuchet MS"/>
              </w:rPr>
            </w:pPr>
            <w:r w:rsidRPr="00D44B25">
              <w:rPr>
                <w:rFonts w:ascii="Trebuchet MS" w:hAnsi="Trebuchet MS"/>
              </w:rPr>
              <w:t>Obuka u inostranstvu realizovana je kroz: kurseve (28 PVL), obuke (89 PVL), radionice (sedam PVL), seminare (četiri PVL)</w:t>
            </w:r>
          </w:p>
          <w:p w14:paraId="55CE9E0F" w14:textId="59185451" w:rsidR="009A3A57" w:rsidRPr="00D44B25" w:rsidRDefault="009A3A57" w:rsidP="000732A4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right="-105"/>
              <w:rPr>
                <w:rFonts w:ascii="Trebuchet MS" w:hAnsi="Trebuchet MS"/>
              </w:rPr>
            </w:pPr>
            <w:r w:rsidRPr="00D44B25">
              <w:rPr>
                <w:rFonts w:ascii="Trebuchet MS" w:hAnsi="Trebuchet MS"/>
              </w:rPr>
              <w:t>Obuka u zemlji realizovana je kroz: kurseve (42 PVL), online kurseve (jedan PVL), obuke (255 PVL), radionice (jedan PVL), kurseve engleskog jezika (30 PVL), kurseve italijanskog jezika (sedam PVL)</w:t>
            </w:r>
          </w:p>
        </w:tc>
      </w:tr>
      <w:tr w:rsidR="009A3A57" w:rsidRPr="00D44B25" w14:paraId="5229E472" w14:textId="77777777" w:rsidTr="00145122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68E32" w14:textId="77777777" w:rsidR="009A3A57" w:rsidRPr="00D44B25" w:rsidRDefault="009A3A57" w:rsidP="009A3A57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Stručno usavršavanje državnih službenika i namještenika (kursevi, radionice i seminari)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A053C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Ministarstvo odbrane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A869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Realizovano</w:t>
            </w:r>
          </w:p>
          <w:p w14:paraId="5C77ABC0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55278605" w14:textId="3B0BCB39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D42A2" w14:textId="4945ADD9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 w:cs="Trebuchet MS"/>
                <w:bCs/>
              </w:rPr>
              <w:t>- n/a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3211B" w14:textId="112B28C3" w:rsidR="009A3A57" w:rsidRPr="00D44B25" w:rsidRDefault="009A3A57" w:rsidP="009A3A57">
            <w:pP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  <w:b/>
                <w:highlight w:val="yellow"/>
              </w:rPr>
            </w:pPr>
            <w:r w:rsidRPr="00D44B25">
              <w:rPr>
                <w:rFonts w:ascii="Trebuchet MS" w:hAnsi="Trebuchet MS"/>
              </w:rPr>
              <w:t>Na aktivnosti stručnog usavršavanja u inostranstvu tokom 2024. godine bilo je upućeno 20 lica, dok je na aktivnosti stručnog usavršavanja u zemlji tokom godine upućeno 9 lica.</w:t>
            </w:r>
          </w:p>
        </w:tc>
      </w:tr>
      <w:tr w:rsidR="009A3A57" w:rsidRPr="00D44B25" w14:paraId="4C410E2A" w14:textId="77777777" w:rsidTr="00145122">
        <w:trPr>
          <w:jc w:val="center"/>
        </w:trPr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C2DC8E0" w14:textId="77777777" w:rsidR="009A3A57" w:rsidRPr="00D44B25" w:rsidRDefault="009A3A57" w:rsidP="009A3A57">
            <w:pPr>
              <w:spacing w:before="40" w:after="4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lastRenderedPageBreak/>
              <w:t>Radionica na temu politike kvaliteta i organske proizvodnje</w:t>
            </w:r>
          </w:p>
        </w:tc>
        <w:tc>
          <w:tcPr>
            <w:tcW w:w="2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37FFC95" w14:textId="77777777" w:rsidR="009A3A57" w:rsidRPr="00D44B25" w:rsidRDefault="009A3A57" w:rsidP="009A3A57">
            <w:pPr>
              <w:spacing w:before="40" w:after="4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Ministarstvo poljoprivrede, šumarstva i vodoprivrede</w:t>
            </w:r>
          </w:p>
        </w:tc>
        <w:tc>
          <w:tcPr>
            <w:tcW w:w="2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009DDB6" w14:textId="7136C8A1" w:rsidR="009A3A57" w:rsidRPr="00D44B25" w:rsidRDefault="004D650C" w:rsidP="009A3A57">
            <w:pPr>
              <w:spacing w:before="40" w:after="40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 w:cs="Trebuchet MS"/>
                <w:bCs/>
              </w:rPr>
              <w:t>n/a</w:t>
            </w:r>
          </w:p>
        </w:tc>
        <w:tc>
          <w:tcPr>
            <w:tcW w:w="3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8B5313" w14:textId="77777777" w:rsidR="009A3A57" w:rsidRPr="00D44B25" w:rsidRDefault="009A3A57" w:rsidP="009A3A57">
            <w:pPr>
              <w:numPr>
                <w:ilvl w:val="0"/>
                <w:numId w:val="2"/>
              </w:num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n / a (sredstva iz agrobudžeta)</w:t>
            </w:r>
          </w:p>
        </w:tc>
        <w:tc>
          <w:tcPr>
            <w:tcW w:w="3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FEF671" w14:textId="77777777" w:rsidR="009A3A57" w:rsidRPr="00D44B25" w:rsidRDefault="009A3A57" w:rsidP="009A3A57">
            <w:pPr>
              <w:numPr>
                <w:ilvl w:val="0"/>
                <w:numId w:val="2"/>
              </w:num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poljoprivrednih proizvođača (planirano 100 poljoprivrednih proizvođača i 10 radionica)</w:t>
            </w:r>
          </w:p>
        </w:tc>
      </w:tr>
      <w:tr w:rsidR="009A3A57" w:rsidRPr="00D44B25" w14:paraId="5DBEA370" w14:textId="77777777" w:rsidTr="00145122">
        <w:trPr>
          <w:jc w:val="center"/>
        </w:trPr>
        <w:tc>
          <w:tcPr>
            <w:tcW w:w="3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6C9352D" w14:textId="77777777" w:rsidR="009A3A57" w:rsidRPr="00D44B25" w:rsidRDefault="009A3A57" w:rsidP="009A3A57">
            <w:pPr>
              <w:spacing w:before="40" w:after="4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Edukacije na temu: Kontrola šema kvaliteta u pogledu inspekcijskog nadzora i nadzora od strane sertifikacionih tijela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009E9F9" w14:textId="77777777" w:rsidR="009A3A57" w:rsidRPr="00D44B25" w:rsidRDefault="009A3A57" w:rsidP="009A3A57">
            <w:pPr>
              <w:spacing w:before="40" w:after="4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Ministarstvo poljoprivrede, šumarstva i vodoprivrede /</w:t>
            </w:r>
          </w:p>
          <w:p w14:paraId="3761BB37" w14:textId="77777777" w:rsidR="009A3A57" w:rsidRPr="00D44B25" w:rsidRDefault="009A3A57" w:rsidP="009A3A57">
            <w:pPr>
              <w:spacing w:before="40" w:after="40"/>
              <w:ind w:left="360" w:hanging="18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-</w:t>
            </w:r>
            <w:r w:rsidRPr="00D44B25">
              <w:rPr>
                <w:rFonts w:ascii="Trebuchet MS" w:hAnsi="Trebuchet MS"/>
                <w:b/>
              </w:rPr>
              <w:t xml:space="preserve"> </w:t>
            </w:r>
            <w:r w:rsidRPr="00D44B25">
              <w:rPr>
                <w:rFonts w:ascii="Trebuchet MS" w:eastAsia="Trebuchet MS" w:hAnsi="Trebuchet MS" w:cs="Trebuchet MS"/>
                <w:b/>
              </w:rPr>
              <w:t>Poljorivredna inspekcija</w:t>
            </w:r>
          </w:p>
          <w:p w14:paraId="3B580AF1" w14:textId="77777777" w:rsidR="009A3A57" w:rsidRPr="00D44B25" w:rsidRDefault="009A3A57" w:rsidP="009A3A57">
            <w:pPr>
              <w:spacing w:before="40" w:after="4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Monteorganica d.o.o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A890D9" w14:textId="5DBBABC4" w:rsidR="009A3A57" w:rsidRPr="00D44B25" w:rsidRDefault="004D650C" w:rsidP="009A3A57">
            <w:pPr>
              <w:spacing w:before="40" w:after="40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 w:cs="Trebuchet MS"/>
                <w:bCs/>
              </w:rPr>
              <w:t>n/a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C9B1BE" w14:textId="77777777" w:rsidR="009A3A57" w:rsidRPr="00D44B25" w:rsidRDefault="009A3A57" w:rsidP="009A3A57">
            <w:pPr>
              <w:numPr>
                <w:ilvl w:val="0"/>
                <w:numId w:val="2"/>
              </w:num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n / a (sredstva iz projekata: BTSF, FAO)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B4A8DA" w14:textId="77777777" w:rsidR="009A3A57" w:rsidRPr="00D44B25" w:rsidRDefault="009A3A57" w:rsidP="009A3A57">
            <w:pPr>
              <w:numPr>
                <w:ilvl w:val="0"/>
                <w:numId w:val="2"/>
              </w:num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polaznika obuke (planirano 4 polaznika obuke administrativnog kadra)</w:t>
            </w:r>
          </w:p>
        </w:tc>
      </w:tr>
      <w:tr w:rsidR="009A3A57" w:rsidRPr="00D44B25" w14:paraId="7054B286" w14:textId="77777777" w:rsidTr="00145122">
        <w:trPr>
          <w:jc w:val="center"/>
        </w:trPr>
        <w:tc>
          <w:tcPr>
            <w:tcW w:w="3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590DD6B" w14:textId="77777777" w:rsidR="009A3A57" w:rsidRPr="00D44B25" w:rsidRDefault="009A3A57" w:rsidP="009A3A57">
            <w:pPr>
              <w:spacing w:before="40" w:after="4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Edukacije na temu legislative o šemama kvaliteta na nivou EU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8B5AFD" w14:textId="77777777" w:rsidR="009A3A57" w:rsidRPr="00D44B25" w:rsidRDefault="009A3A57" w:rsidP="009A3A57">
            <w:pPr>
              <w:spacing w:before="40" w:after="4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Ministarstvo poljoprivrede, šumarstva i vodoprivrede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2E8555" w14:textId="03B971F9" w:rsidR="009A3A57" w:rsidRPr="00D44B25" w:rsidRDefault="004D650C" w:rsidP="009A3A57">
            <w:pPr>
              <w:spacing w:before="40" w:after="40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 w:cs="Trebuchet MS"/>
                <w:bCs/>
              </w:rPr>
              <w:t>n/a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5BDFD86" w14:textId="77777777" w:rsidR="009A3A57" w:rsidRPr="00D44B25" w:rsidRDefault="009A3A57" w:rsidP="009A3A57">
            <w:pPr>
              <w:numPr>
                <w:ilvl w:val="0"/>
                <w:numId w:val="2"/>
              </w:num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n/a (sredstva iz projekata: BTSF, TAEX)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4B3C9E2" w14:textId="77777777" w:rsidR="009A3A57" w:rsidRPr="00D44B25" w:rsidRDefault="009A3A57" w:rsidP="009A3A57">
            <w:pPr>
              <w:numPr>
                <w:ilvl w:val="0"/>
                <w:numId w:val="2"/>
              </w:num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polaznika obuke (planirano 4 polaznika obuke administrativnog kadra)</w:t>
            </w:r>
          </w:p>
        </w:tc>
      </w:tr>
      <w:tr w:rsidR="009A3A57" w:rsidRPr="00D44B25" w14:paraId="6880DDB2" w14:textId="77777777" w:rsidTr="00145122">
        <w:trPr>
          <w:jc w:val="center"/>
        </w:trPr>
        <w:tc>
          <w:tcPr>
            <w:tcW w:w="3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C51AD32" w14:textId="77777777" w:rsidR="009A3A57" w:rsidRPr="00D44B25" w:rsidRDefault="009A3A57" w:rsidP="009A3A57">
            <w:pPr>
              <w:spacing w:before="40" w:after="4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Obuka za ocjenjivače za senzorsku analizu maslinovog ulja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6E545E" w14:textId="77777777" w:rsidR="009A3A57" w:rsidRPr="00D44B25" w:rsidRDefault="009A3A57" w:rsidP="009A3A57">
            <w:pPr>
              <w:spacing w:before="40" w:after="4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Ministarstvo poljoprivrede, šumarstva i vodoprivrede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7A78811" w14:textId="7C5602EB" w:rsidR="009A3A57" w:rsidRPr="00D44B25" w:rsidRDefault="004D650C" w:rsidP="009A3A57">
            <w:pPr>
              <w:spacing w:before="40" w:after="40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 w:cs="Trebuchet MS"/>
                <w:bCs/>
              </w:rPr>
              <w:t>n/a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11BDFEC" w14:textId="77777777" w:rsidR="009A3A57" w:rsidRPr="00D44B25" w:rsidRDefault="009A3A57" w:rsidP="009A3A57">
            <w:pPr>
              <w:numPr>
                <w:ilvl w:val="0"/>
                <w:numId w:val="2"/>
              </w:num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n/a (sredstva iz agrobudžeta i iz projekta IOC - Interanational olive council)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6A425D" w14:textId="77777777" w:rsidR="009A3A57" w:rsidRPr="00D44B25" w:rsidRDefault="009A3A57" w:rsidP="009A3A57">
            <w:pPr>
              <w:numPr>
                <w:ilvl w:val="0"/>
                <w:numId w:val="2"/>
              </w:num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polaznika obuke (planirano 25 polaznika)</w:t>
            </w:r>
          </w:p>
        </w:tc>
      </w:tr>
      <w:tr w:rsidR="009A3A57" w:rsidRPr="00D44B25" w14:paraId="222DAAC6" w14:textId="77777777" w:rsidTr="00145122">
        <w:trPr>
          <w:jc w:val="center"/>
        </w:trPr>
        <w:tc>
          <w:tcPr>
            <w:tcW w:w="3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C5F5CB" w14:textId="77777777" w:rsidR="009A3A57" w:rsidRPr="00D44B25" w:rsidRDefault="009A3A57" w:rsidP="009A3A57">
            <w:pPr>
              <w:spacing w:before="40" w:after="4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Učešće na trodnevnoj maslinarskoj manifestaciji »Noćnjak 2 Hrvatska«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733772" w14:textId="77777777" w:rsidR="009A3A57" w:rsidRPr="00D44B25" w:rsidRDefault="009A3A57" w:rsidP="009A3A57">
            <w:pPr>
              <w:spacing w:before="40" w:after="4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Ministarstvo poljoprivrede, šumarstva i vodoprivrede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223144A" w14:textId="0ABAEAAF" w:rsidR="009A3A57" w:rsidRPr="00D44B25" w:rsidRDefault="004D650C" w:rsidP="009A3A57">
            <w:pPr>
              <w:spacing w:before="40" w:after="40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 w:cs="Trebuchet MS"/>
                <w:bCs/>
              </w:rPr>
              <w:t>n/a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6CE28BD" w14:textId="77777777" w:rsidR="009A3A57" w:rsidRPr="00D44B25" w:rsidRDefault="009A3A57" w:rsidP="009A3A57">
            <w:pPr>
              <w:numPr>
                <w:ilvl w:val="0"/>
                <w:numId w:val="2"/>
              </w:num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5.000,00 € (sredstva agrobudžeta)</w:t>
            </w:r>
          </w:p>
          <w:p w14:paraId="2DFD8393" w14:textId="77777777" w:rsidR="009A3A57" w:rsidRPr="00D44B25" w:rsidRDefault="009A3A57" w:rsidP="009A3A57">
            <w:pPr>
              <w:spacing w:before="40" w:after="40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1AD589E" w14:textId="77777777" w:rsidR="009A3A57" w:rsidRPr="00D44B25" w:rsidRDefault="009A3A57" w:rsidP="009A3A57">
            <w:pPr>
              <w:numPr>
                <w:ilvl w:val="0"/>
                <w:numId w:val="2"/>
              </w:num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polaznika obuke (planirano 100 polaznika)</w:t>
            </w:r>
          </w:p>
        </w:tc>
      </w:tr>
      <w:tr w:rsidR="009A3A57" w:rsidRPr="00D44B25" w14:paraId="7002E4BB" w14:textId="77777777" w:rsidTr="00145122">
        <w:trPr>
          <w:jc w:val="center"/>
        </w:trPr>
        <w:tc>
          <w:tcPr>
            <w:tcW w:w="3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FD2DB1" w14:textId="77777777" w:rsidR="009A3A57" w:rsidRPr="00D44B25" w:rsidRDefault="009A3A57" w:rsidP="009A3A57">
            <w:pPr>
              <w:spacing w:before="40" w:after="4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Tromjesečni kurs za kvalitet maslinovog ulja u Španiji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7CECF3F" w14:textId="77777777" w:rsidR="009A3A57" w:rsidRPr="00D44B25" w:rsidRDefault="009A3A57" w:rsidP="009A3A57">
            <w:pPr>
              <w:spacing w:before="40" w:after="4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Ministarstvo poljoprivrede, šumarstva i vodoprivrede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3F16599" w14:textId="3FC9F20C" w:rsidR="009A3A57" w:rsidRPr="00D44B25" w:rsidRDefault="009A3A57" w:rsidP="009A3A57">
            <w:pPr>
              <w:spacing w:before="40" w:after="40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 </w:t>
            </w:r>
            <w:r w:rsidR="004D650C" w:rsidRPr="00D44B25">
              <w:rPr>
                <w:rFonts w:ascii="Trebuchet MS" w:hAnsi="Trebuchet MS" w:cs="Trebuchet MS"/>
                <w:bCs/>
              </w:rPr>
              <w:t>n/a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ED383E3" w14:textId="77777777" w:rsidR="009A3A57" w:rsidRPr="00D44B25" w:rsidRDefault="009A3A57" w:rsidP="009A3A57">
            <w:pPr>
              <w:numPr>
                <w:ilvl w:val="0"/>
                <w:numId w:val="2"/>
              </w:num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n/a (sredstva iz projekta:</w:t>
            </w:r>
          </w:p>
          <w:p w14:paraId="3377651F" w14:textId="77777777" w:rsidR="009A3A57" w:rsidRPr="00D44B25" w:rsidRDefault="009A3A57" w:rsidP="009A3A57">
            <w:pPr>
              <w:numPr>
                <w:ilvl w:val="0"/>
                <w:numId w:val="2"/>
              </w:num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IOC- Interanational olive council)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66F1EF2" w14:textId="77777777" w:rsidR="009A3A57" w:rsidRPr="00D44B25" w:rsidRDefault="009A3A57" w:rsidP="009A3A57">
            <w:pPr>
              <w:numPr>
                <w:ilvl w:val="0"/>
                <w:numId w:val="2"/>
              </w:num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polaznika obuke (planirano 2 polaznika)</w:t>
            </w:r>
          </w:p>
        </w:tc>
      </w:tr>
      <w:tr w:rsidR="009A3A57" w:rsidRPr="00D44B25" w14:paraId="5E7E7C13" w14:textId="77777777" w:rsidTr="00145122">
        <w:trPr>
          <w:jc w:val="center"/>
        </w:trPr>
        <w:tc>
          <w:tcPr>
            <w:tcW w:w="3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0DCA54" w14:textId="77777777" w:rsidR="009A3A57" w:rsidRPr="00D44B25" w:rsidRDefault="009A3A57" w:rsidP="009A3A57">
            <w:pPr>
              <w:spacing w:before="40" w:after="4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Edukacija maslinara kroz seminare i obuke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E17BDAD" w14:textId="77777777" w:rsidR="009A3A57" w:rsidRPr="00D44B25" w:rsidRDefault="009A3A57" w:rsidP="009A3A57">
            <w:pPr>
              <w:spacing w:before="40" w:after="4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Ministarstvo poljoprivrede, šumarstva i vodoprivrede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FD4626D" w14:textId="41579239" w:rsidR="009A3A57" w:rsidRPr="00D44B25" w:rsidRDefault="004D650C" w:rsidP="009A3A57">
            <w:pPr>
              <w:spacing w:before="40" w:after="40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 w:cs="Trebuchet MS"/>
                <w:bCs/>
              </w:rPr>
              <w:t>n/a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D0BB81" w14:textId="77777777" w:rsidR="009A3A57" w:rsidRPr="00D44B25" w:rsidRDefault="009A3A57" w:rsidP="009A3A57">
            <w:pPr>
              <w:numPr>
                <w:ilvl w:val="0"/>
                <w:numId w:val="2"/>
              </w:num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5.000,00 € (sredstva iz agrobudžeta)</w:t>
            </w:r>
          </w:p>
          <w:p w14:paraId="3FB5F76A" w14:textId="77777777" w:rsidR="009A3A57" w:rsidRPr="00D44B25" w:rsidRDefault="009A3A57" w:rsidP="009A3A57">
            <w:pPr>
              <w:spacing w:before="40" w:after="40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2E17627" w14:textId="77777777" w:rsidR="009A3A57" w:rsidRPr="00D44B25" w:rsidRDefault="009A3A57" w:rsidP="009A3A57">
            <w:pPr>
              <w:numPr>
                <w:ilvl w:val="0"/>
                <w:numId w:val="2"/>
              </w:num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polaznika obuke (planirano 100 polaznika)</w:t>
            </w:r>
          </w:p>
        </w:tc>
      </w:tr>
      <w:tr w:rsidR="009A3A57" w:rsidRPr="00D44B25" w14:paraId="40ADEF4D" w14:textId="77777777" w:rsidTr="00145122">
        <w:trPr>
          <w:jc w:val="center"/>
        </w:trPr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AD0CD" w14:textId="77777777" w:rsidR="009A3A57" w:rsidRPr="00D44B25" w:rsidRDefault="009A3A57" w:rsidP="009A3A57">
            <w:pPr>
              <w:spacing w:after="0"/>
              <w:ind w:right="6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Agroekološke mjere u stočarskoj proizvodnji</w:t>
            </w:r>
          </w:p>
        </w:tc>
        <w:tc>
          <w:tcPr>
            <w:tcW w:w="2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91187" w14:textId="77777777" w:rsidR="009A3A57" w:rsidRPr="00D44B25" w:rsidRDefault="009A3A57" w:rsidP="009A3A57">
            <w:pPr>
              <w:spacing w:after="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MPRR, Odjeljenje za savjetodavne poslove u oblasti stočarstva</w:t>
            </w:r>
          </w:p>
        </w:tc>
        <w:tc>
          <w:tcPr>
            <w:tcW w:w="2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8245B3" w14:textId="579162B5" w:rsidR="009A3A57" w:rsidRPr="00D44B25" w:rsidRDefault="004D650C" w:rsidP="009A3A57">
            <w:pPr>
              <w:spacing w:after="0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 w:cs="Trebuchet MS"/>
                <w:bCs/>
              </w:rPr>
              <w:t>n/a</w:t>
            </w:r>
          </w:p>
        </w:tc>
        <w:tc>
          <w:tcPr>
            <w:tcW w:w="3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B8E62D" w14:textId="77777777" w:rsidR="009A3A57" w:rsidRPr="00D44B25" w:rsidRDefault="009A3A57" w:rsidP="009A3A57">
            <w:pPr>
              <w:numPr>
                <w:ilvl w:val="0"/>
                <w:numId w:val="2"/>
              </w:num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n/a (sredstva iz agrobudžeta)</w:t>
            </w:r>
          </w:p>
        </w:tc>
        <w:tc>
          <w:tcPr>
            <w:tcW w:w="3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6339D1" w14:textId="77777777" w:rsidR="009A3A57" w:rsidRPr="00D44B25" w:rsidRDefault="009A3A57" w:rsidP="009A3A57">
            <w:pPr>
              <w:spacing w:after="0" w:line="36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poljoprivrednih proizvođača (planirano 500 poljoprivrednih proizvođača)</w:t>
            </w:r>
          </w:p>
        </w:tc>
      </w:tr>
      <w:tr w:rsidR="009A3A57" w:rsidRPr="00D44B25" w14:paraId="47611C42" w14:textId="77777777" w:rsidTr="00145122">
        <w:trPr>
          <w:jc w:val="center"/>
        </w:trPr>
        <w:tc>
          <w:tcPr>
            <w:tcW w:w="3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C237DC" w14:textId="77777777" w:rsidR="009A3A57" w:rsidRPr="00D44B25" w:rsidRDefault="009A3A57" w:rsidP="009A3A57">
            <w:pPr>
              <w:spacing w:after="0"/>
              <w:ind w:right="6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lastRenderedPageBreak/>
              <w:t>Registar poljoprivrednih gazdinstava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E5D96D" w14:textId="77777777" w:rsidR="009A3A57" w:rsidRPr="00D44B25" w:rsidRDefault="009A3A57" w:rsidP="009A3A57">
            <w:pPr>
              <w:spacing w:after="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MPRR, Odjeljenje za savjetodavne poslove u oblasti stočarstva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D2F0A8" w14:textId="7F8496F6" w:rsidR="009A3A57" w:rsidRPr="00D44B25" w:rsidRDefault="004D650C" w:rsidP="009A3A57">
            <w:pPr>
              <w:spacing w:after="0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 w:cs="Trebuchet MS"/>
                <w:bCs/>
              </w:rPr>
              <w:t>n/a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73080" w14:textId="77777777" w:rsidR="009A3A57" w:rsidRPr="00D44B25" w:rsidRDefault="009A3A57" w:rsidP="009A3A57">
            <w:pPr>
              <w:spacing w:after="0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– n/a (sredstva iz agrobudžeta)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BC85AD" w14:textId="77777777" w:rsidR="009A3A57" w:rsidRPr="00D44B25" w:rsidRDefault="009A3A57" w:rsidP="009A3A57">
            <w:pPr>
              <w:spacing w:after="0" w:line="36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poljoprivrednih proizvođača (planirano 500 poljoprivrednih proizvođača)</w:t>
            </w:r>
          </w:p>
        </w:tc>
      </w:tr>
      <w:tr w:rsidR="009A3A57" w:rsidRPr="00D44B25" w14:paraId="5ECE2C26" w14:textId="77777777" w:rsidTr="00145122">
        <w:trPr>
          <w:jc w:val="center"/>
        </w:trPr>
        <w:tc>
          <w:tcPr>
            <w:tcW w:w="3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85E4B8" w14:textId="77777777" w:rsidR="009A3A57" w:rsidRPr="00D44B25" w:rsidRDefault="009A3A57" w:rsidP="009A3A57">
            <w:pPr>
              <w:spacing w:after="0"/>
              <w:ind w:right="6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Ekonomika stočarske proizvodnje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45164" w14:textId="77777777" w:rsidR="009A3A57" w:rsidRPr="00D44B25" w:rsidRDefault="009A3A57" w:rsidP="009A3A57">
            <w:pPr>
              <w:spacing w:after="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MPRR, Odjeljenje za savjetodavne poslove u oblasti stočarstva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D34E8F" w14:textId="1CA05A13" w:rsidR="009A3A57" w:rsidRPr="00D44B25" w:rsidRDefault="004D650C" w:rsidP="009A3A57">
            <w:pPr>
              <w:spacing w:after="0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 w:cs="Trebuchet MS"/>
                <w:bCs/>
              </w:rPr>
              <w:t>n/a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986B6" w14:textId="77777777" w:rsidR="009A3A57" w:rsidRPr="00D44B25" w:rsidRDefault="009A3A57" w:rsidP="009A3A57">
            <w:pPr>
              <w:spacing w:after="0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– n / a (sredstva iz agrobudžeta)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31C7E4" w14:textId="77777777" w:rsidR="009A3A57" w:rsidRPr="00D44B25" w:rsidRDefault="009A3A57" w:rsidP="009A3A57">
            <w:pPr>
              <w:spacing w:after="0" w:line="36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poljoprivrednih proizvođača (planirano 500 poljoprivrednih proizvođača)</w:t>
            </w:r>
          </w:p>
        </w:tc>
      </w:tr>
      <w:tr w:rsidR="009A3A57" w:rsidRPr="00D44B25" w14:paraId="7732B7C5" w14:textId="77777777" w:rsidTr="00145122">
        <w:trPr>
          <w:jc w:val="center"/>
        </w:trPr>
        <w:tc>
          <w:tcPr>
            <w:tcW w:w="3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80A218" w14:textId="77777777" w:rsidR="009A3A57" w:rsidRPr="00D44B25" w:rsidRDefault="009A3A57" w:rsidP="009A3A57">
            <w:pPr>
              <w:spacing w:after="0"/>
              <w:ind w:right="6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Realizacija Programa pčelar/ka III stepen stručnosti na nivou neformalnog obrazovanja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D748F6" w14:textId="77777777" w:rsidR="009A3A57" w:rsidRPr="00D44B25" w:rsidRDefault="009A3A57" w:rsidP="009A3A57">
            <w:pPr>
              <w:spacing w:after="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MPRR, SPOCG, CZO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6E1D3" w14:textId="4EAC445F" w:rsidR="009A3A57" w:rsidRPr="00D44B25" w:rsidRDefault="004D650C" w:rsidP="009A3A57">
            <w:pPr>
              <w:spacing w:after="0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 w:cs="Trebuchet MS"/>
                <w:bCs/>
              </w:rPr>
              <w:t>n/a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26167" w14:textId="77777777" w:rsidR="009A3A57" w:rsidRPr="00D44B25" w:rsidRDefault="009A3A57" w:rsidP="009A3A57">
            <w:pPr>
              <w:numPr>
                <w:ilvl w:val="0"/>
                <w:numId w:val="2"/>
              </w:num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8.000,00€ (sredstva iz agrobudžeta)</w:t>
            </w:r>
          </w:p>
          <w:p w14:paraId="28BF68BD" w14:textId="77777777" w:rsidR="009A3A57" w:rsidRPr="00D44B25" w:rsidRDefault="009A3A57" w:rsidP="009A3A57">
            <w:pPr>
              <w:spacing w:after="0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1D69A" w14:textId="77777777" w:rsidR="009A3A57" w:rsidRPr="00D44B25" w:rsidRDefault="009A3A57" w:rsidP="009A3A57">
            <w:pPr>
              <w:spacing w:after="0" w:line="36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polaznika obuke (planirano 28 polaznika)</w:t>
            </w:r>
          </w:p>
        </w:tc>
      </w:tr>
      <w:tr w:rsidR="009A3A57" w:rsidRPr="00D44B25" w14:paraId="5AD4BCC5" w14:textId="77777777" w:rsidTr="00145122">
        <w:trPr>
          <w:jc w:val="center"/>
        </w:trPr>
        <w:tc>
          <w:tcPr>
            <w:tcW w:w="3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C0FAFF" w14:textId="77777777" w:rsidR="009A3A57" w:rsidRPr="00D44B25" w:rsidRDefault="009A3A57" w:rsidP="009A3A57">
            <w:pPr>
              <w:spacing w:after="0"/>
              <w:ind w:right="6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Studijska posjeta crnogorskih pčelara nekoj od zemalja u kojoj je razvijeno pčelarstvo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6A0158" w14:textId="77777777" w:rsidR="009A3A57" w:rsidRPr="00D44B25" w:rsidRDefault="009A3A57" w:rsidP="009A3A57">
            <w:pPr>
              <w:spacing w:after="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MPRR, SPOCG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27EC9" w14:textId="41C7D690" w:rsidR="009A3A57" w:rsidRPr="00D44B25" w:rsidRDefault="004D650C" w:rsidP="009A3A57">
            <w:pPr>
              <w:spacing w:after="0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 w:cs="Trebuchet MS"/>
                <w:bCs/>
              </w:rPr>
              <w:t>n/a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86BB7E" w14:textId="77777777" w:rsidR="009A3A57" w:rsidRPr="00D44B25" w:rsidRDefault="009A3A57" w:rsidP="009A3A57">
            <w:pPr>
              <w:numPr>
                <w:ilvl w:val="0"/>
                <w:numId w:val="2"/>
              </w:num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3.000,00€ (sredstva iz agrobudžeta)</w:t>
            </w:r>
          </w:p>
          <w:p w14:paraId="6DD37569" w14:textId="77777777" w:rsidR="009A3A57" w:rsidRPr="00D44B25" w:rsidRDefault="009A3A57" w:rsidP="009A3A57">
            <w:pPr>
              <w:spacing w:after="0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4C3687" w14:textId="77777777" w:rsidR="009A3A57" w:rsidRPr="00D44B25" w:rsidRDefault="009A3A57" w:rsidP="009A3A57">
            <w:pPr>
              <w:spacing w:after="0" w:line="36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učesnika (planirano 40 pčelara)</w:t>
            </w:r>
          </w:p>
        </w:tc>
      </w:tr>
      <w:tr w:rsidR="009A3A57" w:rsidRPr="00D44B25" w14:paraId="47ABC1DF" w14:textId="77777777" w:rsidTr="00145122">
        <w:trPr>
          <w:jc w:val="center"/>
        </w:trPr>
        <w:tc>
          <w:tcPr>
            <w:tcW w:w="3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AC8B4" w14:textId="77777777" w:rsidR="009A3A57" w:rsidRPr="00D44B25" w:rsidRDefault="009A3A57" w:rsidP="009A3A57">
            <w:pPr>
              <w:spacing w:after="0"/>
              <w:ind w:right="6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Studijska posjeta odgajivača pčelinjih matica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D273E2" w14:textId="77777777" w:rsidR="009A3A57" w:rsidRPr="00D44B25" w:rsidRDefault="009A3A57" w:rsidP="009A3A57">
            <w:pPr>
              <w:spacing w:after="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MPRR, SPOCG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4A4C9" w14:textId="2A7F3B4A" w:rsidR="009A3A57" w:rsidRPr="00D44B25" w:rsidRDefault="004D650C" w:rsidP="009A3A57">
            <w:pPr>
              <w:spacing w:after="0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 w:cs="Trebuchet MS"/>
                <w:bCs/>
              </w:rPr>
              <w:t>n/a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253EA" w14:textId="77777777" w:rsidR="009A3A57" w:rsidRPr="00D44B25" w:rsidRDefault="009A3A57" w:rsidP="009A3A57">
            <w:pPr>
              <w:numPr>
                <w:ilvl w:val="0"/>
                <w:numId w:val="2"/>
              </w:num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25.000,00€ (sredstva iz projekta MIDAS)</w:t>
            </w:r>
          </w:p>
          <w:p w14:paraId="73FA07E1" w14:textId="77777777" w:rsidR="009A3A57" w:rsidRPr="00D44B25" w:rsidRDefault="009A3A57" w:rsidP="009A3A57">
            <w:pPr>
              <w:spacing w:after="0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0D34B4" w14:textId="77777777" w:rsidR="009A3A57" w:rsidRPr="00D44B25" w:rsidRDefault="009A3A57" w:rsidP="009A3A57">
            <w:pPr>
              <w:spacing w:after="0" w:line="36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učesnika (planirano 12 pčelara, i predstavnici Ministarstva)</w:t>
            </w:r>
          </w:p>
        </w:tc>
      </w:tr>
      <w:tr w:rsidR="009A3A57" w:rsidRPr="00D44B25" w14:paraId="6D7E017C" w14:textId="77777777" w:rsidTr="00145122">
        <w:trPr>
          <w:jc w:val="center"/>
        </w:trPr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3951BE" w14:textId="77777777" w:rsidR="009A3A57" w:rsidRPr="00D44B25" w:rsidRDefault="009A3A57" w:rsidP="009A3A57">
            <w:pPr>
              <w:spacing w:after="0"/>
              <w:ind w:right="6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Studijska posjeta crnogorskih proizvođača nekoj od zemalja u kojoj su razvijeni sistemi geografskih oznaka</w:t>
            </w:r>
          </w:p>
        </w:tc>
        <w:tc>
          <w:tcPr>
            <w:tcW w:w="2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01B5AC" w14:textId="77777777" w:rsidR="009A3A57" w:rsidRPr="00D44B25" w:rsidRDefault="009A3A57" w:rsidP="009A3A57">
            <w:pPr>
              <w:spacing w:after="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MPRR</w:t>
            </w:r>
          </w:p>
        </w:tc>
        <w:tc>
          <w:tcPr>
            <w:tcW w:w="2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A3648D" w14:textId="6E124BB7" w:rsidR="009A3A57" w:rsidRPr="00D44B25" w:rsidRDefault="004D650C" w:rsidP="009A3A57">
            <w:pPr>
              <w:spacing w:after="0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 w:cs="Trebuchet MS"/>
                <w:bCs/>
              </w:rPr>
              <w:t>n/a</w:t>
            </w:r>
          </w:p>
        </w:tc>
        <w:tc>
          <w:tcPr>
            <w:tcW w:w="3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551943" w14:textId="77777777" w:rsidR="009A3A57" w:rsidRPr="00D44B25" w:rsidRDefault="009A3A57" w:rsidP="009A3A57">
            <w:pPr>
              <w:spacing w:after="0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 </w:t>
            </w:r>
          </w:p>
          <w:p w14:paraId="7FB70757" w14:textId="77777777" w:rsidR="009A3A57" w:rsidRPr="00D44B25" w:rsidRDefault="009A3A57" w:rsidP="009A3A57">
            <w:pPr>
              <w:numPr>
                <w:ilvl w:val="0"/>
                <w:numId w:val="2"/>
              </w:num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5.000,00€ (sredstva iz agrobudžeta)</w:t>
            </w:r>
          </w:p>
        </w:tc>
        <w:tc>
          <w:tcPr>
            <w:tcW w:w="3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A17E7B" w14:textId="77777777" w:rsidR="009A3A57" w:rsidRPr="00D44B25" w:rsidRDefault="009A3A57" w:rsidP="009A3A57">
            <w:pPr>
              <w:spacing w:after="0" w:line="36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učesnika (planirano 15 poljoprivrednih proizvođača)</w:t>
            </w:r>
          </w:p>
        </w:tc>
      </w:tr>
      <w:tr w:rsidR="009A3A57" w:rsidRPr="00D44B25" w14:paraId="74759853" w14:textId="77777777" w:rsidTr="00145122">
        <w:trPr>
          <w:jc w:val="center"/>
        </w:trPr>
        <w:tc>
          <w:tcPr>
            <w:tcW w:w="3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0BD2DB" w14:textId="77777777" w:rsidR="009A3A57" w:rsidRPr="00D44B25" w:rsidRDefault="009A3A57" w:rsidP="009A3A57">
            <w:pPr>
              <w:spacing w:after="0"/>
              <w:ind w:right="6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Radionica na temu politike kvaliteta i organske proizvodnje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4E91C" w14:textId="77777777" w:rsidR="009A3A57" w:rsidRPr="00D44B25" w:rsidRDefault="009A3A57" w:rsidP="009A3A57">
            <w:pPr>
              <w:spacing w:after="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MPRR, Odjeljenje za savjetodavne poslove u stočarstvu, Odjeljenje za savjetodavne poslove u biljnoj proizvodnji, Monteorganica d.o.o.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8FB0EF" w14:textId="4EEF9069" w:rsidR="009A3A57" w:rsidRPr="00D44B25" w:rsidRDefault="004D650C" w:rsidP="009A3A57">
            <w:pPr>
              <w:spacing w:after="0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 w:cs="Trebuchet MS"/>
                <w:bCs/>
              </w:rPr>
              <w:t>n/a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83B1E4" w14:textId="77777777" w:rsidR="009A3A57" w:rsidRPr="00D44B25" w:rsidRDefault="009A3A57" w:rsidP="009A3A57">
            <w:pPr>
              <w:numPr>
                <w:ilvl w:val="0"/>
                <w:numId w:val="2"/>
              </w:num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n / a (sredstva iz agrobudžeta)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C5569" w14:textId="77777777" w:rsidR="009A3A57" w:rsidRPr="00D44B25" w:rsidRDefault="009A3A57" w:rsidP="009A3A57">
            <w:pPr>
              <w:spacing w:after="0" w:line="36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polaznika ( planirano 200 poljoprivrednih proizvođača)</w:t>
            </w:r>
          </w:p>
        </w:tc>
      </w:tr>
      <w:tr w:rsidR="009A3A57" w:rsidRPr="00D44B25" w14:paraId="3236F7A8" w14:textId="77777777" w:rsidTr="00145122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99AB" w14:textId="77777777" w:rsidR="009A3A57" w:rsidRPr="00D44B25" w:rsidRDefault="009A3A57" w:rsidP="009A3A57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lastRenderedPageBreak/>
              <w:t>Organizovanje interne obuke iz oblasti turizma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1627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Ministarstvo turizma, ekologije, održivog razvoja i razvoja sjevera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B89F" w14:textId="5783D965" w:rsidR="009A3A57" w:rsidRPr="00D44B25" w:rsidRDefault="004D650C" w:rsidP="009A3A57">
            <w:pPr>
              <w:spacing w:after="0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 w:cs="Trebuchet MS"/>
                <w:bCs/>
              </w:rPr>
              <w:t>n/a</w:t>
            </w:r>
          </w:p>
          <w:p w14:paraId="68769F86" w14:textId="733EC034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C9F2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- n/a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22D5" w14:textId="77777777" w:rsidR="009A3A57" w:rsidRPr="00D44B25" w:rsidRDefault="009A3A57" w:rsidP="009A3A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  <w:b/>
                <w:i/>
              </w:rPr>
            </w:pPr>
            <w:r w:rsidRPr="00D44B25">
              <w:rPr>
                <w:rFonts w:ascii="Trebuchet MS" w:eastAsia="Trebuchet MS" w:hAnsi="Trebuchet MS" w:cs="Trebuchet MS"/>
              </w:rPr>
              <w:t>Broj polaznika</w:t>
            </w:r>
            <w:r w:rsidRPr="00D44B25">
              <w:rPr>
                <w:rFonts w:ascii="Trebuchet MS" w:eastAsia="Trebuchet MS" w:hAnsi="Trebuchet MS" w:cs="Trebuchet MS"/>
                <w:b/>
                <w:i/>
              </w:rPr>
              <w:t xml:space="preserve"> </w:t>
            </w:r>
            <w:r w:rsidRPr="00D44B25">
              <w:rPr>
                <w:rFonts w:ascii="Trebuchet MS" w:eastAsia="Trebuchet MS" w:hAnsi="Trebuchet MS" w:cs="Trebuchet MS"/>
              </w:rPr>
              <w:t>(planirano 20 polaznika)</w:t>
            </w:r>
          </w:p>
        </w:tc>
      </w:tr>
      <w:tr w:rsidR="009A3A57" w:rsidRPr="00D44B25" w14:paraId="1854FF57" w14:textId="77777777" w:rsidTr="00145122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BD4E" w14:textId="77777777" w:rsidR="009A3A57" w:rsidRPr="00D44B25" w:rsidRDefault="009A3A57" w:rsidP="009A3A57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Organizovanje interne obuke na temu „Rodna ravnopravnost“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0192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Ministarstvo turizma, ekologije, održivog razvoja i razvoja sjevera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2CA2" w14:textId="7837DBF1" w:rsidR="009A3A57" w:rsidRPr="00D44B25" w:rsidRDefault="004D650C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 w:cs="Trebuchet MS"/>
                <w:bCs/>
              </w:rPr>
              <w:t>n/a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3797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- n/a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75B1" w14:textId="77777777" w:rsidR="009A3A57" w:rsidRPr="00D44B25" w:rsidRDefault="009A3A57" w:rsidP="009A3A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  <w:b/>
                <w:i/>
              </w:rPr>
            </w:pPr>
            <w:r w:rsidRPr="00D44B25">
              <w:rPr>
                <w:rFonts w:ascii="Trebuchet MS" w:eastAsia="Trebuchet MS" w:hAnsi="Trebuchet MS" w:cs="Trebuchet MS"/>
              </w:rPr>
              <w:t>Broj polaznika (planirano 18 polaznika)</w:t>
            </w:r>
          </w:p>
        </w:tc>
      </w:tr>
      <w:tr w:rsidR="009A3A57" w:rsidRPr="00D44B25" w14:paraId="7D3548D1" w14:textId="77777777" w:rsidTr="00145122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5FC9" w14:textId="77777777" w:rsidR="009A3A57" w:rsidRPr="00D44B25" w:rsidRDefault="009A3A57" w:rsidP="009A3A57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Organizovanje interne obuke iz oblasti ekologije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57D1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Ministarstvo turizma, ekologije, održivog razvoja i razvoja sjevera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D6CC" w14:textId="11FDAE1B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 </w:t>
            </w:r>
            <w:r w:rsidR="004D650C" w:rsidRPr="00D44B25">
              <w:rPr>
                <w:rFonts w:ascii="Trebuchet MS" w:hAnsi="Trebuchet MS" w:cs="Trebuchet MS"/>
                <w:bCs/>
              </w:rPr>
              <w:t>n/a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4333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- n/a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D55D" w14:textId="77777777" w:rsidR="009A3A57" w:rsidRPr="00D44B25" w:rsidRDefault="009A3A57" w:rsidP="009A3A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  <w:b/>
                <w:i/>
              </w:rPr>
            </w:pPr>
            <w:r w:rsidRPr="00D44B25">
              <w:rPr>
                <w:rFonts w:ascii="Trebuchet MS" w:eastAsia="Trebuchet MS" w:hAnsi="Trebuchet MS" w:cs="Trebuchet MS"/>
              </w:rPr>
              <w:t>Broj polaznika (planirano 15 polaznika)</w:t>
            </w:r>
          </w:p>
        </w:tc>
      </w:tr>
      <w:tr w:rsidR="009A3A57" w:rsidRPr="00D44B25" w14:paraId="62C3AE61" w14:textId="77777777" w:rsidTr="00145122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79AF" w14:textId="77777777" w:rsidR="009A3A57" w:rsidRPr="00D44B25" w:rsidRDefault="009A3A57" w:rsidP="009A3A57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Organizovanje interne obuke iz oblasti turizma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D682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Ministarstvo turizma, ekologije, održivog razvoja i razvoja sjevera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3250" w14:textId="4C0CF788" w:rsidR="009A3A57" w:rsidRPr="00D44B25" w:rsidRDefault="004D650C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 w:cs="Trebuchet MS"/>
                <w:bCs/>
              </w:rPr>
              <w:t>n/a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FD4E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- n/a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75CC" w14:textId="77777777" w:rsidR="009A3A57" w:rsidRPr="00D44B25" w:rsidRDefault="009A3A57" w:rsidP="009A3A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  <w:b/>
                <w:i/>
              </w:rPr>
            </w:pPr>
            <w:r w:rsidRPr="00D44B25">
              <w:rPr>
                <w:rFonts w:ascii="Trebuchet MS" w:eastAsia="Trebuchet MS" w:hAnsi="Trebuchet MS" w:cs="Trebuchet MS"/>
              </w:rPr>
              <w:t>Broj polaznika (planirano 15 polaznika)</w:t>
            </w:r>
          </w:p>
          <w:p w14:paraId="3AE0F27E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</w:tc>
      </w:tr>
      <w:tr w:rsidR="009A3A57" w:rsidRPr="00D44B25" w14:paraId="32D6F10F" w14:textId="77777777" w:rsidTr="00145122">
        <w:trPr>
          <w:jc w:val="center"/>
        </w:trPr>
        <w:tc>
          <w:tcPr>
            <w:tcW w:w="3393" w:type="dxa"/>
          </w:tcPr>
          <w:p w14:paraId="08059A94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Razvijanje programa stručnog usavršavanja zaposlenih</w:t>
            </w:r>
          </w:p>
        </w:tc>
        <w:tc>
          <w:tcPr>
            <w:tcW w:w="2935" w:type="dxa"/>
          </w:tcPr>
          <w:p w14:paraId="5A07E35A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Centar za stručno obrazovanje /</w:t>
            </w:r>
          </w:p>
          <w:p w14:paraId="7BA9C763" w14:textId="77777777" w:rsidR="009A3A57" w:rsidRPr="00D44B25" w:rsidRDefault="009A3A57" w:rsidP="009A3A57">
            <w:pPr>
              <w:numPr>
                <w:ilvl w:val="0"/>
                <w:numId w:val="2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Poslodavci</w:t>
            </w:r>
          </w:p>
          <w:p w14:paraId="3B531D0C" w14:textId="77777777" w:rsidR="009A3A57" w:rsidRPr="00D44B25" w:rsidRDefault="009A3A57" w:rsidP="009A3A57">
            <w:pPr>
              <w:numPr>
                <w:ilvl w:val="0"/>
                <w:numId w:val="2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Obrazovne ustanove</w:t>
            </w:r>
          </w:p>
          <w:p w14:paraId="7E8E2767" w14:textId="77777777" w:rsidR="009A3A57" w:rsidRPr="00D44B25" w:rsidRDefault="009A3A57" w:rsidP="009A3A57">
            <w:pPr>
              <w:numPr>
                <w:ilvl w:val="0"/>
                <w:numId w:val="2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Uprava za ljudske resurse</w:t>
            </w:r>
          </w:p>
          <w:p w14:paraId="2E8A96A7" w14:textId="77777777" w:rsidR="009A3A57" w:rsidRPr="00D44B25" w:rsidRDefault="009A3A57" w:rsidP="009A3A57">
            <w:pPr>
              <w:numPr>
                <w:ilvl w:val="0"/>
                <w:numId w:val="2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Licencirani organizatori obrazovanja odraslih</w:t>
            </w:r>
          </w:p>
          <w:p w14:paraId="15C23E71" w14:textId="77777777" w:rsidR="009A3A57" w:rsidRPr="00D44B25" w:rsidRDefault="009A3A57" w:rsidP="009A3A57">
            <w:pPr>
              <w:numPr>
                <w:ilvl w:val="0"/>
                <w:numId w:val="2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Savjet za kvalifikacije</w:t>
            </w:r>
          </w:p>
          <w:p w14:paraId="57E22A40" w14:textId="77777777" w:rsidR="009A3A57" w:rsidRPr="00D44B25" w:rsidRDefault="009A3A57" w:rsidP="009A3A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NVO</w:t>
            </w:r>
          </w:p>
        </w:tc>
        <w:tc>
          <w:tcPr>
            <w:tcW w:w="2530" w:type="dxa"/>
          </w:tcPr>
          <w:p w14:paraId="1A7BB1BE" w14:textId="3A27436C" w:rsidR="009A3A57" w:rsidRPr="00D44B25" w:rsidRDefault="004D650C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Realizovano</w:t>
            </w:r>
          </w:p>
        </w:tc>
        <w:tc>
          <w:tcPr>
            <w:tcW w:w="3412" w:type="dxa"/>
          </w:tcPr>
          <w:p w14:paraId="165E8D5C" w14:textId="77777777" w:rsidR="009A3A57" w:rsidRPr="00D44B25" w:rsidRDefault="009A3A57" w:rsidP="009A3A57">
            <w:pPr>
              <w:numPr>
                <w:ilvl w:val="0"/>
                <w:numId w:val="2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n /a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1B2E7" w14:textId="77777777" w:rsidR="009A3A57" w:rsidRPr="00D44B25" w:rsidRDefault="009A3A57" w:rsidP="009A3A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podnesenih inicijativa za izradu /akreditaciju programa</w:t>
            </w:r>
          </w:p>
          <w:p w14:paraId="73190F66" w14:textId="4CF4F304" w:rsidR="009A3A57" w:rsidRPr="00D44B25" w:rsidRDefault="009A3A57" w:rsidP="009A3A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usvojenih programa obrazovanja za stručno usavršavanje zaposlenih</w:t>
            </w:r>
          </w:p>
          <w:p w14:paraId="6C1BD0EB" w14:textId="6907D23D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Theme="minorEastAsia" w:hAnsi="Trebuchet MS" w:cstheme="minorBidi"/>
                <w:lang w:val="sr-Latn-ME"/>
              </w:rPr>
              <w:t>Centar za stručno obrazovanje je na zahtjev JZU Dom zadravlja Glavnog grada, pripremio Program obrazovanja za  stručno usavršavanje patronažnih sestara za pružanje podrške majkama i očevima u prenatalnoj njezi, brizi o maloj i bolesnoj novorođenčadi</w:t>
            </w:r>
          </w:p>
          <w:p w14:paraId="2370A0D6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9A3A57" w:rsidRPr="00D44B25" w14:paraId="7F2C9C6E" w14:textId="77777777" w:rsidTr="00145122">
        <w:trPr>
          <w:jc w:val="center"/>
        </w:trPr>
        <w:tc>
          <w:tcPr>
            <w:tcW w:w="3393" w:type="dxa"/>
          </w:tcPr>
          <w:p w14:paraId="7AEA9294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 xml:space="preserve">Realizacija obuka o konkretnim temama koje su od značaja za funkcionisanje preduzeća (npr. </w:t>
            </w:r>
            <w:r w:rsidRPr="00D44B25">
              <w:rPr>
                <w:rFonts w:ascii="Trebuchet MS" w:eastAsia="Trebuchet MS" w:hAnsi="Trebuchet MS" w:cs="Trebuchet MS"/>
                <w:b/>
              </w:rPr>
              <w:lastRenderedPageBreak/>
              <w:t>Obuke o pravilnoj primjeni tehnologija na konkretnom radnom mjestu i sl.)</w:t>
            </w:r>
          </w:p>
        </w:tc>
        <w:tc>
          <w:tcPr>
            <w:tcW w:w="2935" w:type="dxa"/>
          </w:tcPr>
          <w:p w14:paraId="14063892" w14:textId="77777777" w:rsidR="009A3A57" w:rsidRPr="00D44B25" w:rsidRDefault="009A3A57" w:rsidP="009A3A57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hAnsi="Trebuchet MS"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lastRenderedPageBreak/>
              <w:t>Privredna komora</w:t>
            </w:r>
          </w:p>
          <w:p w14:paraId="4DB4F5CE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Unija poslodavaca</w:t>
            </w:r>
          </w:p>
        </w:tc>
        <w:tc>
          <w:tcPr>
            <w:tcW w:w="2530" w:type="dxa"/>
          </w:tcPr>
          <w:p w14:paraId="3246C597" w14:textId="58573CA6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6016FEF4" w14:textId="3F729D27" w:rsidR="009A3A57" w:rsidRPr="00D44B25" w:rsidRDefault="004D650C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Realizovano</w:t>
            </w:r>
          </w:p>
          <w:p w14:paraId="6D3FD352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449AD438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02CC43AF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714D5428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3EA27C98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7A929993" w14:textId="1D2F3CF2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651A8BBE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412" w:type="dxa"/>
          </w:tcPr>
          <w:p w14:paraId="466FF53B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lastRenderedPageBreak/>
              <w:t xml:space="preserve">n /a </w:t>
            </w:r>
          </w:p>
          <w:p w14:paraId="501F9FEA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6846B8C9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7C2BDC9E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39BBA54A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6EC0E684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79583F99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498CD548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1.000,00€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EF902" w14:textId="77777777" w:rsidR="009A3A57" w:rsidRPr="00D44B25" w:rsidRDefault="009A3A57" w:rsidP="009A3A57">
            <w:pPr>
              <w:spacing w:before="34" w:after="34" w:line="240" w:lineRule="auto"/>
              <w:rPr>
                <w:rFonts w:ascii="Trebuchet MS" w:eastAsia="Trebuchet MS" w:hAnsi="Trebuchet MS" w:cs="Trebuchet MS"/>
                <w:highlight w:val="cyan"/>
              </w:rPr>
            </w:pPr>
          </w:p>
          <w:p w14:paraId="17039101" w14:textId="7A4F7E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Broj stručnih obuka (planirano 800 učesnika) </w:t>
            </w:r>
          </w:p>
          <w:p w14:paraId="56B3A625" w14:textId="44F9D0A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/>
              </w:rPr>
              <w:lastRenderedPageBreak/>
              <w:t>Privredna komora Crne Gore je u  2024. god. organizovala 73 edukativne aktivnosti kojima je prisustvovalo 3037 učesnika.</w:t>
            </w:r>
          </w:p>
          <w:p w14:paraId="4E4360D7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545395EF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stručnih obuka (planirano 100 učesnika - članova UPCG)</w:t>
            </w:r>
          </w:p>
          <w:p w14:paraId="25ABE345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Na osnovu zaključenog Sporazuma o saradnji UPCG i HGK ŽK Otočac (Hrvatska), u periodu II-IV kvartala 2024. godine, organizovana su online predavanja na teme iz oblasti preduzetništva. Predavanja su realizovana u okviru programa podrške za žene preduzetnice, kroz digitalnu platformu za učenje (Žene i točka Hub).  Realizovano je ukupno 9 online obuka, uz učešće 204 polaznika, od toga 191 žena.   </w:t>
            </w:r>
          </w:p>
          <w:p w14:paraId="09E7080D" w14:textId="37A1C6C7" w:rsidR="009A3A57" w:rsidRPr="00D44B25" w:rsidRDefault="009A3A57" w:rsidP="00047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9A3A57" w:rsidRPr="00D44B25" w14:paraId="7441DE43" w14:textId="77777777" w:rsidTr="00145122">
        <w:trPr>
          <w:jc w:val="center"/>
        </w:trPr>
        <w:tc>
          <w:tcPr>
            <w:tcW w:w="3393" w:type="dxa"/>
          </w:tcPr>
          <w:p w14:paraId="6D7A33A0" w14:textId="77777777" w:rsidR="009A3A57" w:rsidRPr="00D44B25" w:rsidRDefault="009A3A57" w:rsidP="009A3A57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lastRenderedPageBreak/>
              <w:t>Podizanje svijesti rukovodnog kadra o značaju stručnog osposobljavanja i usavršavanja zaposlenih u organima državne uprave</w:t>
            </w:r>
          </w:p>
        </w:tc>
        <w:tc>
          <w:tcPr>
            <w:tcW w:w="2935" w:type="dxa"/>
          </w:tcPr>
          <w:p w14:paraId="041B7126" w14:textId="77777777" w:rsidR="009A3A57" w:rsidRPr="00D44B25" w:rsidRDefault="009A3A57" w:rsidP="009A3A57">
            <w:p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Uprava za ljudske resurse/</w:t>
            </w:r>
          </w:p>
          <w:p w14:paraId="2BD06133" w14:textId="77777777" w:rsidR="009A3A57" w:rsidRPr="00D44B25" w:rsidRDefault="009A3A57" w:rsidP="009A3A57">
            <w:pPr>
              <w:numPr>
                <w:ilvl w:val="0"/>
                <w:numId w:val="2"/>
              </w:num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Privredna komora</w:t>
            </w:r>
          </w:p>
          <w:p w14:paraId="742DA350" w14:textId="77777777" w:rsidR="009A3A57" w:rsidRPr="00D44B25" w:rsidRDefault="009A3A57" w:rsidP="009A3A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Unija poslodavaca</w:t>
            </w:r>
          </w:p>
          <w:p w14:paraId="15DF2056" w14:textId="77777777" w:rsidR="009A3A57" w:rsidRPr="00D44B25" w:rsidRDefault="009A3A57" w:rsidP="009A3A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Centar za stručno obrazovanje</w:t>
            </w:r>
          </w:p>
        </w:tc>
        <w:tc>
          <w:tcPr>
            <w:tcW w:w="2530" w:type="dxa"/>
          </w:tcPr>
          <w:p w14:paraId="2BE848DA" w14:textId="2B03A98D" w:rsidR="009A3A57" w:rsidRPr="00D44B25" w:rsidRDefault="004D650C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 w:cs="Trebuchet MS"/>
                <w:bCs/>
              </w:rPr>
              <w:t>n/a</w:t>
            </w:r>
          </w:p>
        </w:tc>
        <w:tc>
          <w:tcPr>
            <w:tcW w:w="3412" w:type="dxa"/>
          </w:tcPr>
          <w:p w14:paraId="093FA339" w14:textId="77777777" w:rsidR="009A3A57" w:rsidRPr="00D44B25" w:rsidRDefault="009A3A57" w:rsidP="009A3A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n /a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574E1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- Broj učesnika</w:t>
            </w:r>
          </w:p>
        </w:tc>
      </w:tr>
      <w:tr w:rsidR="009A3A57" w:rsidRPr="00D44B25" w14:paraId="6915C35C" w14:textId="77777777" w:rsidTr="00145122">
        <w:trPr>
          <w:trHeight w:val="1043"/>
          <w:jc w:val="center"/>
        </w:trPr>
        <w:tc>
          <w:tcPr>
            <w:tcW w:w="3393" w:type="dxa"/>
          </w:tcPr>
          <w:p w14:paraId="1DF89A37" w14:textId="77777777" w:rsidR="009A3A57" w:rsidRPr="00D44B25" w:rsidRDefault="009A3A57" w:rsidP="009A3A57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Podizanje svijesti poslodavaca o značaju stručnog osposobljavanja i usavršavanja zaposlenih u privredi</w:t>
            </w:r>
          </w:p>
        </w:tc>
        <w:tc>
          <w:tcPr>
            <w:tcW w:w="2935" w:type="dxa"/>
          </w:tcPr>
          <w:p w14:paraId="6540FCC8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Privredna komora /</w:t>
            </w:r>
          </w:p>
          <w:p w14:paraId="092E6578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Centar za stručno obrazovanje</w:t>
            </w:r>
          </w:p>
          <w:p w14:paraId="53F753C8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lastRenderedPageBreak/>
              <w:t>Uprava za ljudske resurse</w:t>
            </w:r>
          </w:p>
          <w:p w14:paraId="5255F96B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Unija poslodavaca</w:t>
            </w:r>
          </w:p>
        </w:tc>
        <w:tc>
          <w:tcPr>
            <w:tcW w:w="2530" w:type="dxa"/>
          </w:tcPr>
          <w:p w14:paraId="474E6EF0" w14:textId="0FF09DB8" w:rsidR="009A3A57" w:rsidRPr="00D44B25" w:rsidRDefault="004D650C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lastRenderedPageBreak/>
              <w:t>Realizovano</w:t>
            </w:r>
          </w:p>
        </w:tc>
        <w:tc>
          <w:tcPr>
            <w:tcW w:w="3412" w:type="dxa"/>
          </w:tcPr>
          <w:p w14:paraId="2702CAB3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n /a </w:t>
            </w:r>
          </w:p>
          <w:p w14:paraId="312702E1" w14:textId="77777777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64103" w14:textId="77777777" w:rsidR="009A3A57" w:rsidRPr="00D44B25" w:rsidRDefault="009A3A57" w:rsidP="009A3A57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hAnsi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Broj savjetodavnih aktivnosti </w:t>
            </w:r>
          </w:p>
          <w:p w14:paraId="68D5D57E" w14:textId="128C93DC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/>
              </w:rPr>
              <w:t xml:space="preserve">Privredna komora Crne Gore svojim članicama pruža savjetodavne usluge, bilo u neposrednom kontaktu, bilo u okviru skupova koje </w:t>
            </w:r>
            <w:r w:rsidRPr="00D44B25">
              <w:rPr>
                <w:rFonts w:ascii="Trebuchet MS" w:hAnsi="Trebuchet MS"/>
              </w:rPr>
              <w:lastRenderedPageBreak/>
              <w:t xml:space="preserve">organizuje. I u neposrednim konsultacijama. Ovu oblast pokriva Sektor za obrazovanje i kvalitet. </w:t>
            </w:r>
            <w:r w:rsidR="0007354B" w:rsidRPr="00D44B25">
              <w:rPr>
                <w:rFonts w:ascii="Trebuchet MS" w:hAnsi="Trebuchet MS"/>
              </w:rPr>
              <w:t>Pruženo</w:t>
            </w:r>
            <w:r w:rsidRPr="00D44B25">
              <w:rPr>
                <w:rFonts w:ascii="Trebuchet MS" w:hAnsi="Trebuchet MS"/>
              </w:rPr>
              <w:t xml:space="preserve"> 20 neposrednih konsultacija</w:t>
            </w:r>
          </w:p>
          <w:p w14:paraId="6E6C28E6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4669EF7F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9A3A57" w:rsidRPr="00D44B25" w14:paraId="4C2658A4" w14:textId="77777777" w:rsidTr="00145122">
        <w:trPr>
          <w:jc w:val="center"/>
        </w:trPr>
        <w:tc>
          <w:tcPr>
            <w:tcW w:w="3393" w:type="dxa"/>
          </w:tcPr>
          <w:p w14:paraId="02F493AA" w14:textId="77777777" w:rsidR="009A3A57" w:rsidRPr="00D44B25" w:rsidRDefault="009A3A57" w:rsidP="009A3A57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lastRenderedPageBreak/>
              <w:t>Osnaživanje službi za razvoj ljudskih resursa u pogledu karijernog vođenja</w:t>
            </w:r>
          </w:p>
        </w:tc>
        <w:tc>
          <w:tcPr>
            <w:tcW w:w="2935" w:type="dxa"/>
          </w:tcPr>
          <w:p w14:paraId="7BD1A22B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Privredna komora</w:t>
            </w:r>
          </w:p>
        </w:tc>
        <w:tc>
          <w:tcPr>
            <w:tcW w:w="2530" w:type="dxa"/>
          </w:tcPr>
          <w:p w14:paraId="34473B6B" w14:textId="1CDF5CBC" w:rsidR="009A3A57" w:rsidRPr="00D44B25" w:rsidRDefault="004D650C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 w:cs="Trebuchet MS"/>
                <w:bCs/>
              </w:rPr>
              <w:t>n/a</w:t>
            </w:r>
          </w:p>
        </w:tc>
        <w:tc>
          <w:tcPr>
            <w:tcW w:w="3412" w:type="dxa"/>
          </w:tcPr>
          <w:p w14:paraId="2BBF42BA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n /a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79090" w14:textId="10770E55" w:rsidR="009A3A57" w:rsidRPr="00D44B25" w:rsidRDefault="009A3A57" w:rsidP="0007354B">
            <w:pPr>
              <w:pStyle w:val="ListParagraph"/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hAnsi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Broj organizovanih aktivnosti </w:t>
            </w:r>
          </w:p>
          <w:p w14:paraId="636F9EA7" w14:textId="54F496C2" w:rsidR="009A3A57" w:rsidRPr="00D44B25" w:rsidRDefault="009A3A57" w:rsidP="00047027">
            <w:pPr>
              <w:spacing w:before="34" w:after="34" w:line="240" w:lineRule="auto"/>
              <w:rPr>
                <w:rFonts w:ascii="Trebuchet MS" w:hAnsi="Trebuchet MS"/>
                <w:highlight w:val="yellow"/>
              </w:rPr>
            </w:pPr>
          </w:p>
        </w:tc>
      </w:tr>
      <w:tr w:rsidR="009A3A57" w:rsidRPr="00D44B25" w14:paraId="2F044A2A" w14:textId="77777777" w:rsidTr="00145122">
        <w:trPr>
          <w:jc w:val="center"/>
        </w:trPr>
        <w:tc>
          <w:tcPr>
            <w:tcW w:w="3393" w:type="dxa"/>
          </w:tcPr>
          <w:p w14:paraId="76235B99" w14:textId="77777777" w:rsidR="009A3A57" w:rsidRPr="00D44B25" w:rsidRDefault="009A3A57" w:rsidP="009A3A57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Sprovođenje aktivnosti u cilju postizanja komplementarnosti vještina kod nastavnika u VET-u (posebno u pogledu »Mekih vještina«, primjene Evropskog okvira E-vještina)</w:t>
            </w:r>
          </w:p>
        </w:tc>
        <w:tc>
          <w:tcPr>
            <w:tcW w:w="2935" w:type="dxa"/>
          </w:tcPr>
          <w:p w14:paraId="457DFC7C" w14:textId="77777777" w:rsidR="009A3A57" w:rsidRPr="00D44B25" w:rsidRDefault="009A3A57" w:rsidP="009A3A57">
            <w:pPr>
              <w:numPr>
                <w:ilvl w:val="0"/>
                <w:numId w:val="6"/>
              </w:numPr>
              <w:spacing w:before="40" w:after="40" w:line="240" w:lineRule="auto"/>
              <w:ind w:left="180" w:hanging="180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Centar za stručno obrazovanje</w:t>
            </w:r>
          </w:p>
        </w:tc>
        <w:tc>
          <w:tcPr>
            <w:tcW w:w="2530" w:type="dxa"/>
          </w:tcPr>
          <w:p w14:paraId="0D4BFD49" w14:textId="01D80359" w:rsidR="009A3A57" w:rsidRPr="00D44B25" w:rsidRDefault="004D650C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 w:cs="Trebuchet MS"/>
                <w:bCs/>
              </w:rPr>
              <w:t>Realizovano</w:t>
            </w:r>
          </w:p>
        </w:tc>
        <w:tc>
          <w:tcPr>
            <w:tcW w:w="3412" w:type="dxa"/>
          </w:tcPr>
          <w:p w14:paraId="3740A400" w14:textId="77777777" w:rsidR="009A3A57" w:rsidRPr="00D44B25" w:rsidRDefault="009A3A57" w:rsidP="009A3A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n /a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8C8BE" w14:textId="77777777" w:rsidR="00047027" w:rsidRPr="00D44B25" w:rsidRDefault="009A3A57" w:rsidP="00047027">
            <w:pPr>
              <w:numPr>
                <w:ilvl w:val="0"/>
                <w:numId w:val="2"/>
              </w:num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sprovedenih aktivnosti</w:t>
            </w:r>
          </w:p>
          <w:p w14:paraId="318FA7E9" w14:textId="77777777" w:rsidR="00047027" w:rsidRPr="00D44B25" w:rsidRDefault="009A3A57" w:rsidP="00047027">
            <w:pPr>
              <w:numPr>
                <w:ilvl w:val="0"/>
                <w:numId w:val="2"/>
              </w:num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nastavnika koji su učestvovali u ovoj aktivnosti</w:t>
            </w:r>
          </w:p>
          <w:p w14:paraId="761ABA7A" w14:textId="3CE4D36C" w:rsidR="009A3A57" w:rsidRPr="00D44B25" w:rsidRDefault="009A3A57" w:rsidP="00047027">
            <w:pPr>
              <w:numPr>
                <w:ilvl w:val="0"/>
                <w:numId w:val="2"/>
              </w:num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nastavnika koji su pohađali programe po katalogu stručnog usavršavanja koji su izdali Centar za stručno obrazovanje i Zavod za školstvo</w:t>
            </w:r>
          </w:p>
          <w:p w14:paraId="1ECA4C8E" w14:textId="77777777" w:rsidR="00047027" w:rsidRPr="00D44B25" w:rsidRDefault="009A3A57" w:rsidP="0004702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Centar za stručno obrazovanje je tokom 2024 realizovao:</w:t>
            </w:r>
          </w:p>
          <w:p w14:paraId="385329C2" w14:textId="77777777" w:rsidR="00047027" w:rsidRPr="00D44B25" w:rsidRDefault="009A3A57" w:rsidP="00047027">
            <w:pPr>
              <w:pStyle w:val="ListParagraph"/>
              <w:numPr>
                <w:ilvl w:val="0"/>
                <w:numId w:val="32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59 obuka u koje je bilo uključeno 810 nastavnika/ca</w:t>
            </w:r>
          </w:p>
          <w:p w14:paraId="100A5E97" w14:textId="77777777" w:rsidR="00047027" w:rsidRPr="00D44B25" w:rsidRDefault="009A3A57" w:rsidP="00047027">
            <w:pPr>
              <w:pStyle w:val="ListParagraph"/>
              <w:numPr>
                <w:ilvl w:val="0"/>
                <w:numId w:val="32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200 nastavnika je završilo ECDL</w:t>
            </w:r>
          </w:p>
          <w:p w14:paraId="026C7FB9" w14:textId="625272C8" w:rsidR="009A3A57" w:rsidRPr="00D44B25" w:rsidRDefault="009A3A57" w:rsidP="00047027">
            <w:pPr>
              <w:pStyle w:val="ListParagraph"/>
              <w:numPr>
                <w:ilvl w:val="0"/>
                <w:numId w:val="32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112 nastavnika je bilo uključeno u program stručnog usavršavanja nastavnikastručno-teorijskih predmeta i praktične nastave kod poslodavaca</w:t>
            </w:r>
          </w:p>
          <w:p w14:paraId="1F7623FA" w14:textId="77777777" w:rsidR="009A3A57" w:rsidRPr="00D44B25" w:rsidRDefault="009A3A57" w:rsidP="009A3A57">
            <w:pPr>
              <w:shd w:val="clear" w:color="auto" w:fill="FFFFFF"/>
              <w:spacing w:after="0" w:line="240" w:lineRule="auto"/>
              <w:rPr>
                <w:rFonts w:ascii="Trebuchet MS" w:hAnsi="Trebuchet MS" w:cs="Arial"/>
                <w:lang w:val="en-US" w:eastAsia="en-US"/>
              </w:rPr>
            </w:pPr>
            <w:proofErr w:type="spellStart"/>
            <w:r w:rsidRPr="00D44B25">
              <w:rPr>
                <w:rFonts w:ascii="Trebuchet MS" w:hAnsi="Trebuchet MS" w:cs="Arial"/>
                <w:bdr w:val="none" w:sz="0" w:space="0" w:color="auto" w:frame="1"/>
                <w:lang w:val="en-US" w:eastAsia="en-US"/>
              </w:rPr>
              <w:lastRenderedPageBreak/>
              <w:t>Tokom</w:t>
            </w:r>
            <w:proofErr w:type="spellEnd"/>
            <w:r w:rsidRPr="00D44B25">
              <w:rPr>
                <w:rFonts w:ascii="Trebuchet MS" w:hAnsi="Trebuchet MS" w:cs="Arial"/>
                <w:bdr w:val="none" w:sz="0" w:space="0" w:color="auto" w:frame="1"/>
                <w:lang w:val="en-US" w:eastAsia="en-US"/>
              </w:rPr>
              <w:t xml:space="preserve"> 2024. </w:t>
            </w:r>
            <w:proofErr w:type="spellStart"/>
            <w:r w:rsidRPr="00D44B25">
              <w:rPr>
                <w:rFonts w:ascii="Trebuchet MS" w:hAnsi="Trebuchet MS" w:cs="Arial"/>
                <w:bdr w:val="none" w:sz="0" w:space="0" w:color="auto" w:frame="1"/>
                <w:lang w:val="en-US" w:eastAsia="en-US"/>
              </w:rPr>
              <w:t>godine</w:t>
            </w:r>
            <w:proofErr w:type="spellEnd"/>
            <w:r w:rsidRPr="00D44B25">
              <w:rPr>
                <w:rFonts w:ascii="Trebuchet MS" w:hAnsi="Trebuchet MS" w:cs="Arial"/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D44B25">
              <w:rPr>
                <w:rFonts w:ascii="Trebuchet MS" w:hAnsi="Trebuchet MS" w:cs="Arial"/>
                <w:bdr w:val="none" w:sz="0" w:space="0" w:color="auto" w:frame="1"/>
                <w:lang w:val="en-US" w:eastAsia="en-US"/>
              </w:rPr>
              <w:t>Zavod</w:t>
            </w:r>
            <w:proofErr w:type="spellEnd"/>
            <w:r w:rsidRPr="00D44B25">
              <w:rPr>
                <w:rFonts w:ascii="Trebuchet MS" w:hAnsi="Trebuchet MS" w:cs="Arial"/>
                <w:bdr w:val="none" w:sz="0" w:space="0" w:color="auto" w:frame="1"/>
                <w:lang w:val="en-US" w:eastAsia="en-US"/>
              </w:rPr>
              <w:t xml:space="preserve"> za </w:t>
            </w:r>
            <w:proofErr w:type="spellStart"/>
            <w:r w:rsidRPr="00D44B25">
              <w:rPr>
                <w:rFonts w:ascii="Trebuchet MS" w:hAnsi="Trebuchet MS" w:cs="Arial"/>
                <w:bdr w:val="none" w:sz="0" w:space="0" w:color="auto" w:frame="1"/>
                <w:lang w:val="en-US" w:eastAsia="en-US"/>
              </w:rPr>
              <w:t>školstvo</w:t>
            </w:r>
            <w:proofErr w:type="spellEnd"/>
            <w:r w:rsidRPr="00D44B25">
              <w:rPr>
                <w:rFonts w:ascii="Trebuchet MS" w:hAnsi="Trebuchet MS" w:cs="Arial"/>
                <w:bdr w:val="none" w:sz="0" w:space="0" w:color="auto" w:frame="1"/>
                <w:lang w:val="en-US" w:eastAsia="en-US"/>
              </w:rPr>
              <w:t xml:space="preserve"> je </w:t>
            </w:r>
            <w:proofErr w:type="spellStart"/>
            <w:r w:rsidRPr="00D44B25">
              <w:rPr>
                <w:rFonts w:ascii="Trebuchet MS" w:hAnsi="Trebuchet MS" w:cs="Arial"/>
                <w:bdr w:val="none" w:sz="0" w:space="0" w:color="auto" w:frame="1"/>
                <w:lang w:val="en-US" w:eastAsia="en-US"/>
              </w:rPr>
              <w:t>realizovao</w:t>
            </w:r>
            <w:proofErr w:type="spellEnd"/>
            <w:r w:rsidRPr="00D44B25">
              <w:rPr>
                <w:rFonts w:ascii="Trebuchet MS" w:hAnsi="Trebuchet MS" w:cs="Arial"/>
                <w:bdr w:val="none" w:sz="0" w:space="0" w:color="auto" w:frame="1"/>
                <w:lang w:val="en-US" w:eastAsia="en-US"/>
              </w:rPr>
              <w:t>:</w:t>
            </w:r>
          </w:p>
          <w:p w14:paraId="72DA3CC9" w14:textId="77777777" w:rsidR="00047027" w:rsidRPr="00D44B25" w:rsidRDefault="009A3A57" w:rsidP="00047027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after="160" w:line="240" w:lineRule="auto"/>
              <w:rPr>
                <w:rFonts w:ascii="Trebuchet MS" w:hAnsi="Trebuchet MS" w:cs="Arial"/>
                <w:lang w:val="en-US" w:eastAsia="en-US"/>
              </w:rPr>
            </w:pPr>
            <w:r w:rsidRPr="00D44B25">
              <w:rPr>
                <w:rFonts w:ascii="Trebuchet MS" w:hAnsi="Trebuchet MS" w:cs="Arial"/>
                <w:lang w:val="en-US" w:eastAsia="en-US"/>
              </w:rPr>
              <w:t xml:space="preserve">157 </w:t>
            </w:r>
            <w:proofErr w:type="spellStart"/>
            <w:r w:rsidRPr="00D44B25">
              <w:rPr>
                <w:rFonts w:ascii="Trebuchet MS" w:hAnsi="Trebuchet MS" w:cs="Arial"/>
                <w:lang w:val="en-US" w:eastAsia="en-US"/>
              </w:rPr>
              <w:t>obuka</w:t>
            </w:r>
            <w:proofErr w:type="spellEnd"/>
            <w:r w:rsidRPr="00D44B25">
              <w:rPr>
                <w:rFonts w:ascii="Trebuchet MS" w:hAnsi="Trebuchet MS" w:cs="Arial"/>
                <w:lang w:val="en-US" w:eastAsia="en-US"/>
              </w:rPr>
              <w:t xml:space="preserve"> za </w:t>
            </w:r>
            <w:proofErr w:type="spellStart"/>
            <w:r w:rsidRPr="00D44B25">
              <w:rPr>
                <w:rFonts w:ascii="Trebuchet MS" w:hAnsi="Trebuchet MS" w:cs="Arial"/>
                <w:lang w:val="en-US" w:eastAsia="en-US"/>
              </w:rPr>
              <w:t>nastavnike</w:t>
            </w:r>
            <w:proofErr w:type="spellEnd"/>
            <w:r w:rsidRPr="00D44B25">
              <w:rPr>
                <w:rFonts w:ascii="Trebuchet MS" w:hAnsi="Trebuchet MS" w:cs="Arial"/>
                <w:lang w:val="en-US" w:eastAsia="en-US"/>
              </w:rPr>
              <w:t>/</w:t>
            </w:r>
            <w:proofErr w:type="spellStart"/>
            <w:r w:rsidRPr="00D44B25">
              <w:rPr>
                <w:rFonts w:ascii="Trebuchet MS" w:hAnsi="Trebuchet MS" w:cs="Arial"/>
                <w:lang w:val="en-US" w:eastAsia="en-US"/>
              </w:rPr>
              <w:t>ce</w:t>
            </w:r>
            <w:proofErr w:type="spellEnd"/>
            <w:r w:rsidRPr="00D44B25">
              <w:rPr>
                <w:rFonts w:ascii="Trebuchet MS" w:hAnsi="Trebuchet MS" w:cs="Arial"/>
                <w:lang w:val="en-US" w:eastAsia="en-US"/>
              </w:rPr>
              <w:t xml:space="preserve"> </w:t>
            </w:r>
            <w:proofErr w:type="spellStart"/>
            <w:r w:rsidRPr="00D44B25">
              <w:rPr>
                <w:rFonts w:ascii="Trebuchet MS" w:hAnsi="Trebuchet MS" w:cs="Arial"/>
                <w:lang w:val="en-US" w:eastAsia="en-US"/>
              </w:rPr>
              <w:t>i</w:t>
            </w:r>
            <w:proofErr w:type="spellEnd"/>
            <w:r w:rsidRPr="00D44B25">
              <w:rPr>
                <w:rFonts w:ascii="Trebuchet MS" w:hAnsi="Trebuchet MS" w:cs="Arial"/>
                <w:lang w:val="en-US" w:eastAsia="en-US"/>
              </w:rPr>
              <w:t xml:space="preserve"> </w:t>
            </w:r>
            <w:proofErr w:type="spellStart"/>
            <w:r w:rsidRPr="00D44B25">
              <w:rPr>
                <w:rFonts w:ascii="Trebuchet MS" w:hAnsi="Trebuchet MS" w:cs="Arial"/>
                <w:lang w:val="en-US" w:eastAsia="en-US"/>
              </w:rPr>
              <w:t>direktore</w:t>
            </w:r>
            <w:proofErr w:type="spellEnd"/>
            <w:r w:rsidRPr="00D44B25">
              <w:rPr>
                <w:rFonts w:ascii="Trebuchet MS" w:hAnsi="Trebuchet MS" w:cs="Arial"/>
                <w:lang w:val="en-US" w:eastAsia="en-US"/>
              </w:rPr>
              <w:t>/ice, </w:t>
            </w:r>
          </w:p>
          <w:p w14:paraId="5A16FE71" w14:textId="77777777" w:rsidR="00047027" w:rsidRPr="00D44B25" w:rsidRDefault="009A3A57" w:rsidP="00047027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after="160" w:line="240" w:lineRule="auto"/>
              <w:rPr>
                <w:rFonts w:ascii="Trebuchet MS" w:hAnsi="Trebuchet MS" w:cs="Arial"/>
                <w:lang w:val="en-US" w:eastAsia="en-US"/>
              </w:rPr>
            </w:pPr>
            <w:proofErr w:type="spellStart"/>
            <w:r w:rsidRPr="00D44B25">
              <w:rPr>
                <w:rFonts w:ascii="Trebuchet MS" w:hAnsi="Trebuchet MS" w:cs="Arial"/>
                <w:lang w:val="en-US" w:eastAsia="en-US"/>
              </w:rPr>
              <w:t>ukupno</w:t>
            </w:r>
            <w:proofErr w:type="spellEnd"/>
            <w:r w:rsidRPr="00D44B25">
              <w:rPr>
                <w:rFonts w:ascii="Trebuchet MS" w:hAnsi="Trebuchet MS" w:cs="Arial"/>
                <w:lang w:val="en-US" w:eastAsia="en-US"/>
              </w:rPr>
              <w:t xml:space="preserve"> 2.588 </w:t>
            </w:r>
            <w:proofErr w:type="spellStart"/>
            <w:r w:rsidRPr="00D44B25">
              <w:rPr>
                <w:rFonts w:ascii="Trebuchet MS" w:hAnsi="Trebuchet MS" w:cs="Arial"/>
                <w:lang w:val="en-US" w:eastAsia="en-US"/>
              </w:rPr>
              <w:t>obučenih</w:t>
            </w:r>
            <w:proofErr w:type="spellEnd"/>
            <w:r w:rsidRPr="00D44B25">
              <w:rPr>
                <w:rFonts w:ascii="Trebuchet MS" w:hAnsi="Trebuchet MS" w:cs="Arial"/>
                <w:lang w:val="en-US" w:eastAsia="en-US"/>
              </w:rPr>
              <w:t xml:space="preserve"> </w:t>
            </w:r>
            <w:proofErr w:type="spellStart"/>
            <w:r w:rsidRPr="00D44B25">
              <w:rPr>
                <w:rFonts w:ascii="Trebuchet MS" w:hAnsi="Trebuchet MS" w:cs="Arial"/>
                <w:lang w:val="en-US" w:eastAsia="en-US"/>
              </w:rPr>
              <w:t>nastavnika</w:t>
            </w:r>
            <w:proofErr w:type="spellEnd"/>
            <w:r w:rsidRPr="00D44B25">
              <w:rPr>
                <w:rFonts w:ascii="Trebuchet MS" w:hAnsi="Trebuchet MS" w:cs="Arial"/>
                <w:lang w:val="en-US" w:eastAsia="en-US"/>
              </w:rPr>
              <w:t>/ca, </w:t>
            </w:r>
          </w:p>
          <w:p w14:paraId="0158211F" w14:textId="77777777" w:rsidR="00047027" w:rsidRPr="00D44B25" w:rsidRDefault="009A3A57" w:rsidP="00047027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after="160" w:line="240" w:lineRule="auto"/>
              <w:rPr>
                <w:rFonts w:ascii="Trebuchet MS" w:hAnsi="Trebuchet MS" w:cs="Arial"/>
                <w:lang w:val="en-US" w:eastAsia="en-US"/>
              </w:rPr>
            </w:pPr>
            <w:r w:rsidRPr="00D44B25">
              <w:rPr>
                <w:rFonts w:ascii="Trebuchet MS" w:hAnsi="Trebuchet MS" w:cs="Arial"/>
                <w:lang w:val="en-US" w:eastAsia="en-US"/>
              </w:rPr>
              <w:t xml:space="preserve">33 </w:t>
            </w:r>
            <w:proofErr w:type="spellStart"/>
            <w:r w:rsidRPr="00D44B25">
              <w:rPr>
                <w:rFonts w:ascii="Trebuchet MS" w:hAnsi="Trebuchet MS" w:cs="Arial"/>
                <w:lang w:val="en-US" w:eastAsia="en-US"/>
              </w:rPr>
              <w:t>programa</w:t>
            </w:r>
            <w:proofErr w:type="spellEnd"/>
            <w:r w:rsidRPr="00D44B25">
              <w:rPr>
                <w:rFonts w:ascii="Trebuchet MS" w:hAnsi="Trebuchet MS" w:cs="Arial"/>
                <w:lang w:val="en-US" w:eastAsia="en-US"/>
              </w:rPr>
              <w:t xml:space="preserve"> </w:t>
            </w:r>
            <w:proofErr w:type="spellStart"/>
            <w:r w:rsidRPr="00D44B25">
              <w:rPr>
                <w:rFonts w:ascii="Trebuchet MS" w:hAnsi="Trebuchet MS" w:cs="Arial"/>
                <w:lang w:val="en-US" w:eastAsia="en-US"/>
              </w:rPr>
              <w:t>stručnog</w:t>
            </w:r>
            <w:proofErr w:type="spellEnd"/>
            <w:r w:rsidRPr="00D44B25">
              <w:rPr>
                <w:rFonts w:ascii="Trebuchet MS" w:hAnsi="Trebuchet MS" w:cs="Arial"/>
                <w:lang w:val="en-US" w:eastAsia="en-US"/>
              </w:rPr>
              <w:t xml:space="preserve"> </w:t>
            </w:r>
            <w:proofErr w:type="spellStart"/>
            <w:r w:rsidRPr="00D44B25">
              <w:rPr>
                <w:rFonts w:ascii="Trebuchet MS" w:hAnsi="Trebuchet MS" w:cs="Arial"/>
                <w:lang w:val="en-US" w:eastAsia="en-US"/>
              </w:rPr>
              <w:t>usavršavanja</w:t>
            </w:r>
            <w:proofErr w:type="spellEnd"/>
            <w:r w:rsidRPr="00D44B25">
              <w:rPr>
                <w:rFonts w:ascii="Trebuchet MS" w:hAnsi="Trebuchet MS" w:cs="Arial"/>
                <w:lang w:val="en-US" w:eastAsia="en-US"/>
              </w:rPr>
              <w:t xml:space="preserve"> se </w:t>
            </w:r>
            <w:proofErr w:type="spellStart"/>
            <w:r w:rsidRPr="00D44B25">
              <w:rPr>
                <w:rFonts w:ascii="Trebuchet MS" w:hAnsi="Trebuchet MS" w:cs="Arial"/>
                <w:lang w:val="en-US" w:eastAsia="en-US"/>
              </w:rPr>
              <w:t>odnosi</w:t>
            </w:r>
            <w:proofErr w:type="spellEnd"/>
            <w:r w:rsidRPr="00D44B25">
              <w:rPr>
                <w:rFonts w:ascii="Trebuchet MS" w:hAnsi="Trebuchet MS" w:cs="Arial"/>
                <w:lang w:val="en-US" w:eastAsia="en-US"/>
              </w:rPr>
              <w:t xml:space="preserve"> </w:t>
            </w:r>
            <w:proofErr w:type="spellStart"/>
            <w:r w:rsidRPr="00D44B25">
              <w:rPr>
                <w:rFonts w:ascii="Trebuchet MS" w:hAnsi="Trebuchet MS" w:cs="Arial"/>
                <w:lang w:val="en-US" w:eastAsia="en-US"/>
              </w:rPr>
              <w:t>na</w:t>
            </w:r>
            <w:proofErr w:type="spellEnd"/>
            <w:r w:rsidRPr="00D44B25">
              <w:rPr>
                <w:rFonts w:ascii="Trebuchet MS" w:hAnsi="Trebuchet MS" w:cs="Arial"/>
                <w:lang w:val="en-US" w:eastAsia="en-US"/>
              </w:rPr>
              <w:t xml:space="preserve"> </w:t>
            </w:r>
            <w:proofErr w:type="spellStart"/>
            <w:r w:rsidRPr="00D44B25">
              <w:rPr>
                <w:rFonts w:ascii="Trebuchet MS" w:hAnsi="Trebuchet MS" w:cs="Arial"/>
                <w:lang w:val="en-US" w:eastAsia="en-US"/>
              </w:rPr>
              <w:t>unapređenje</w:t>
            </w:r>
            <w:proofErr w:type="spellEnd"/>
            <w:r w:rsidRPr="00D44B25">
              <w:rPr>
                <w:rFonts w:ascii="Trebuchet MS" w:hAnsi="Trebuchet MS" w:cs="Arial"/>
                <w:lang w:val="en-US" w:eastAsia="en-US"/>
              </w:rPr>
              <w:t xml:space="preserve"> </w:t>
            </w:r>
            <w:proofErr w:type="spellStart"/>
            <w:r w:rsidRPr="00D44B25">
              <w:rPr>
                <w:rFonts w:ascii="Trebuchet MS" w:hAnsi="Trebuchet MS" w:cs="Arial"/>
                <w:lang w:val="en-US" w:eastAsia="en-US"/>
              </w:rPr>
              <w:t>mekih</w:t>
            </w:r>
            <w:proofErr w:type="spellEnd"/>
            <w:r w:rsidRPr="00D44B25">
              <w:rPr>
                <w:rFonts w:ascii="Trebuchet MS" w:hAnsi="Trebuchet MS" w:cs="Arial"/>
                <w:lang w:val="en-US" w:eastAsia="en-US"/>
              </w:rPr>
              <w:t xml:space="preserve"> </w:t>
            </w:r>
            <w:proofErr w:type="spellStart"/>
            <w:r w:rsidRPr="00D44B25">
              <w:rPr>
                <w:rFonts w:ascii="Trebuchet MS" w:hAnsi="Trebuchet MS" w:cs="Arial"/>
                <w:lang w:val="en-US" w:eastAsia="en-US"/>
              </w:rPr>
              <w:t>vještina</w:t>
            </w:r>
            <w:proofErr w:type="spellEnd"/>
            <w:r w:rsidRPr="00D44B25">
              <w:rPr>
                <w:rFonts w:ascii="Trebuchet MS" w:hAnsi="Trebuchet MS" w:cs="Arial"/>
                <w:lang w:val="en-US" w:eastAsia="en-US"/>
              </w:rPr>
              <w:t>, 21%</w:t>
            </w:r>
          </w:p>
          <w:p w14:paraId="4E1C6DD3" w14:textId="51C4AE1B" w:rsidR="009A3A57" w:rsidRPr="00D44B25" w:rsidRDefault="009A3A57" w:rsidP="00047027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after="160" w:line="240" w:lineRule="auto"/>
              <w:rPr>
                <w:rFonts w:ascii="Trebuchet MS" w:hAnsi="Trebuchet MS" w:cs="Arial"/>
                <w:lang w:val="en-US" w:eastAsia="en-US"/>
              </w:rPr>
            </w:pPr>
            <w:r w:rsidRPr="00D44B25">
              <w:rPr>
                <w:rFonts w:ascii="Trebuchet MS" w:hAnsi="Trebuchet MS" w:cs="Arial"/>
                <w:lang w:val="en-US" w:eastAsia="en-US"/>
              </w:rPr>
              <w:t xml:space="preserve">812 </w:t>
            </w:r>
            <w:proofErr w:type="spellStart"/>
            <w:r w:rsidRPr="00D44B25">
              <w:rPr>
                <w:rFonts w:ascii="Trebuchet MS" w:hAnsi="Trebuchet MS" w:cs="Arial"/>
                <w:lang w:val="en-US" w:eastAsia="en-US"/>
              </w:rPr>
              <w:t>obučenih</w:t>
            </w:r>
            <w:proofErr w:type="spellEnd"/>
            <w:r w:rsidRPr="00D44B25">
              <w:rPr>
                <w:rFonts w:ascii="Trebuchet MS" w:hAnsi="Trebuchet MS" w:cs="Arial"/>
                <w:lang w:val="en-US" w:eastAsia="en-US"/>
              </w:rPr>
              <w:t xml:space="preserve"> </w:t>
            </w:r>
            <w:proofErr w:type="spellStart"/>
            <w:r w:rsidRPr="00D44B25">
              <w:rPr>
                <w:rFonts w:ascii="Trebuchet MS" w:hAnsi="Trebuchet MS" w:cs="Arial"/>
                <w:lang w:val="en-US" w:eastAsia="en-US"/>
              </w:rPr>
              <w:t>nastavnika</w:t>
            </w:r>
            <w:proofErr w:type="spellEnd"/>
            <w:r w:rsidRPr="00D44B25">
              <w:rPr>
                <w:rFonts w:ascii="Trebuchet MS" w:hAnsi="Trebuchet MS" w:cs="Arial"/>
                <w:lang w:val="en-US" w:eastAsia="en-US"/>
              </w:rPr>
              <w:t xml:space="preserve">/ca </w:t>
            </w:r>
            <w:proofErr w:type="spellStart"/>
            <w:r w:rsidRPr="00D44B25">
              <w:rPr>
                <w:rFonts w:ascii="Trebuchet MS" w:hAnsi="Trebuchet MS" w:cs="Arial"/>
                <w:lang w:val="en-US" w:eastAsia="en-US"/>
              </w:rPr>
              <w:t>i</w:t>
            </w:r>
            <w:proofErr w:type="spellEnd"/>
            <w:r w:rsidRPr="00D44B25">
              <w:rPr>
                <w:rFonts w:ascii="Trebuchet MS" w:hAnsi="Trebuchet MS" w:cs="Arial"/>
                <w:lang w:val="en-US" w:eastAsia="en-US"/>
              </w:rPr>
              <w:t xml:space="preserve"> </w:t>
            </w:r>
            <w:proofErr w:type="spellStart"/>
            <w:r w:rsidRPr="00D44B25">
              <w:rPr>
                <w:rFonts w:ascii="Trebuchet MS" w:hAnsi="Trebuchet MS" w:cs="Arial"/>
                <w:lang w:val="en-US" w:eastAsia="en-US"/>
              </w:rPr>
              <w:t>direktora</w:t>
            </w:r>
            <w:proofErr w:type="spellEnd"/>
            <w:r w:rsidRPr="00D44B25">
              <w:rPr>
                <w:rFonts w:ascii="Trebuchet MS" w:hAnsi="Trebuchet MS" w:cs="Arial"/>
                <w:lang w:val="en-US" w:eastAsia="en-US"/>
              </w:rPr>
              <w:t>/</w:t>
            </w:r>
            <w:proofErr w:type="spellStart"/>
            <w:r w:rsidRPr="00D44B25">
              <w:rPr>
                <w:rFonts w:ascii="Trebuchet MS" w:hAnsi="Trebuchet MS" w:cs="Arial"/>
                <w:lang w:val="en-US" w:eastAsia="en-US"/>
              </w:rPr>
              <w:t>ica</w:t>
            </w:r>
            <w:proofErr w:type="spellEnd"/>
            <w:r w:rsidRPr="00D44B25">
              <w:rPr>
                <w:rFonts w:ascii="Trebuchet MS" w:hAnsi="Trebuchet MS" w:cs="Arial"/>
                <w:lang w:val="en-US" w:eastAsia="en-US"/>
              </w:rPr>
              <w:t xml:space="preserve"> za </w:t>
            </w:r>
            <w:proofErr w:type="spellStart"/>
            <w:r w:rsidRPr="00D44B25">
              <w:rPr>
                <w:rFonts w:ascii="Trebuchet MS" w:hAnsi="Trebuchet MS" w:cs="Arial"/>
                <w:lang w:val="en-US" w:eastAsia="en-US"/>
              </w:rPr>
              <w:t>unapređenje</w:t>
            </w:r>
            <w:proofErr w:type="spellEnd"/>
            <w:r w:rsidRPr="00D44B25">
              <w:rPr>
                <w:rFonts w:ascii="Trebuchet MS" w:hAnsi="Trebuchet MS" w:cs="Arial"/>
                <w:lang w:val="en-US" w:eastAsia="en-US"/>
              </w:rPr>
              <w:t xml:space="preserve"> </w:t>
            </w:r>
            <w:proofErr w:type="spellStart"/>
            <w:r w:rsidRPr="00D44B25">
              <w:rPr>
                <w:rFonts w:ascii="Trebuchet MS" w:hAnsi="Trebuchet MS" w:cs="Arial"/>
                <w:lang w:val="en-US" w:eastAsia="en-US"/>
              </w:rPr>
              <w:t>mekih</w:t>
            </w:r>
            <w:proofErr w:type="spellEnd"/>
            <w:r w:rsidRPr="00D44B25">
              <w:rPr>
                <w:rFonts w:ascii="Trebuchet MS" w:hAnsi="Trebuchet MS" w:cs="Arial"/>
                <w:lang w:val="en-US" w:eastAsia="en-US"/>
              </w:rPr>
              <w:t xml:space="preserve"> </w:t>
            </w:r>
            <w:proofErr w:type="spellStart"/>
            <w:r w:rsidRPr="00D44B25">
              <w:rPr>
                <w:rFonts w:ascii="Trebuchet MS" w:hAnsi="Trebuchet MS" w:cs="Arial"/>
                <w:lang w:val="en-US" w:eastAsia="en-US"/>
              </w:rPr>
              <w:t>vještina</w:t>
            </w:r>
            <w:proofErr w:type="spellEnd"/>
            <w:r w:rsidRPr="00D44B25">
              <w:rPr>
                <w:rFonts w:ascii="Trebuchet MS" w:hAnsi="Trebuchet MS" w:cs="Arial"/>
                <w:lang w:val="en-US" w:eastAsia="en-US"/>
              </w:rPr>
              <w:t>, 31%.  </w:t>
            </w:r>
          </w:p>
          <w:p w14:paraId="774862D4" w14:textId="644CEC86" w:rsidR="009A3A57" w:rsidRPr="00D44B25" w:rsidRDefault="009A3A57" w:rsidP="009A3A57">
            <w:pP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</w:tc>
      </w:tr>
      <w:tr w:rsidR="009A3A57" w:rsidRPr="00D44B25" w14:paraId="6AC1034C" w14:textId="77777777" w:rsidTr="00145122">
        <w:trPr>
          <w:jc w:val="center"/>
        </w:trPr>
        <w:tc>
          <w:tcPr>
            <w:tcW w:w="3393" w:type="dxa"/>
          </w:tcPr>
          <w:p w14:paraId="529DFD81" w14:textId="77777777" w:rsidR="009A3A57" w:rsidRPr="00D44B25" w:rsidRDefault="009A3A57" w:rsidP="009A3A57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lastRenderedPageBreak/>
              <w:t>Sprovođenje aktivnosti u cilju promocije Evropskog okvira E-vještina</w:t>
            </w:r>
            <w:r w:rsidRPr="00D44B25">
              <w:rPr>
                <w:rFonts w:ascii="Trebuchet MS" w:eastAsia="Trebuchet MS" w:hAnsi="Trebuchet MS" w:cs="Trebuchet MS"/>
                <w:b/>
                <w:vertAlign w:val="superscript"/>
              </w:rPr>
              <w:footnoteReference w:id="8"/>
            </w:r>
          </w:p>
        </w:tc>
        <w:tc>
          <w:tcPr>
            <w:tcW w:w="2935" w:type="dxa"/>
          </w:tcPr>
          <w:p w14:paraId="12132C50" w14:textId="77777777" w:rsidR="009A3A57" w:rsidRPr="00D44B25" w:rsidRDefault="009A3A57" w:rsidP="009A3A57">
            <w:p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 xml:space="preserve">Uprava za ljudske resurse / </w:t>
            </w:r>
          </w:p>
          <w:p w14:paraId="0497A280" w14:textId="77777777" w:rsidR="009A3A57" w:rsidRPr="00D44B25" w:rsidRDefault="009A3A57" w:rsidP="009A3A57">
            <w:p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Centar za stručno obrazovanje </w:t>
            </w:r>
          </w:p>
          <w:p w14:paraId="4841CD22" w14:textId="77777777" w:rsidR="009A3A57" w:rsidRPr="00D44B25" w:rsidRDefault="009A3A57" w:rsidP="009A3A57">
            <w:p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</w:rPr>
              <w:t>Privredna komora</w:t>
            </w:r>
          </w:p>
        </w:tc>
        <w:tc>
          <w:tcPr>
            <w:tcW w:w="2530" w:type="dxa"/>
          </w:tcPr>
          <w:p w14:paraId="1F6779E1" w14:textId="485EDB09" w:rsidR="009A3A57" w:rsidRPr="00D44B25" w:rsidRDefault="004D650C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Realizovano</w:t>
            </w:r>
          </w:p>
        </w:tc>
        <w:tc>
          <w:tcPr>
            <w:tcW w:w="3412" w:type="dxa"/>
          </w:tcPr>
          <w:p w14:paraId="5FBB6F20" w14:textId="77777777" w:rsidR="009A3A57" w:rsidRPr="00D44B25" w:rsidRDefault="009A3A57" w:rsidP="009A3A57">
            <w:pPr>
              <w:numPr>
                <w:ilvl w:val="0"/>
                <w:numId w:val="2"/>
              </w:num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n /a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A8038" w14:textId="415A023B" w:rsidR="009A3A57" w:rsidRPr="00D44B25" w:rsidRDefault="00047027" w:rsidP="00047027">
            <w:pPr>
              <w:pStyle w:val="ListParagraph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J</w:t>
            </w:r>
            <w:r w:rsidR="009A3A57" w:rsidRPr="00D44B25">
              <w:rPr>
                <w:rFonts w:ascii="Trebuchet MS" w:eastAsia="Trebuchet MS" w:hAnsi="Trebuchet MS" w:cs="Trebuchet MS"/>
              </w:rPr>
              <w:t>edan online događaj (planirano 10 učesnika)</w:t>
            </w:r>
          </w:p>
          <w:p w14:paraId="34A2F5EB" w14:textId="441F0704" w:rsidR="009A3A57" w:rsidRPr="00D44B25" w:rsidRDefault="009A3A57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/>
              </w:rPr>
              <w:t>Za 12  mjeseci 2024. godine na EPALE platformi objavljeno je 40 post o edukativnim aktivnostima koje sprovodi PKCG.</w:t>
            </w:r>
          </w:p>
        </w:tc>
      </w:tr>
      <w:tr w:rsidR="009A3A57" w:rsidRPr="00D44B25" w14:paraId="082A5671" w14:textId="77777777" w:rsidTr="00145122">
        <w:trPr>
          <w:jc w:val="center"/>
        </w:trPr>
        <w:tc>
          <w:tcPr>
            <w:tcW w:w="3393" w:type="dxa"/>
          </w:tcPr>
          <w:p w14:paraId="09A86D07" w14:textId="77777777" w:rsidR="009A3A57" w:rsidRPr="00D44B25" w:rsidRDefault="009A3A57" w:rsidP="009A3A57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Podizanje svijesti rukovodnog kadra o značaju stručnog osposobljavanja i usavršavanja zaposlenih u organima državne uprave</w:t>
            </w:r>
          </w:p>
        </w:tc>
        <w:tc>
          <w:tcPr>
            <w:tcW w:w="2935" w:type="dxa"/>
          </w:tcPr>
          <w:p w14:paraId="1D6B6708" w14:textId="77777777" w:rsidR="009A3A57" w:rsidRPr="00D44B25" w:rsidRDefault="009A3A57" w:rsidP="009A3A57">
            <w:p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Uprava za ljudske resurse /</w:t>
            </w:r>
          </w:p>
          <w:p w14:paraId="3C5C6E4E" w14:textId="77777777" w:rsidR="009A3A57" w:rsidRPr="00D44B25" w:rsidRDefault="009A3A57" w:rsidP="009A3A57">
            <w:pPr>
              <w:numPr>
                <w:ilvl w:val="0"/>
                <w:numId w:val="2"/>
              </w:num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Privredna komora</w:t>
            </w:r>
          </w:p>
          <w:p w14:paraId="41007C5B" w14:textId="77777777" w:rsidR="009A3A57" w:rsidRPr="00D44B25" w:rsidRDefault="009A3A57" w:rsidP="009A3A57">
            <w:pPr>
              <w:numPr>
                <w:ilvl w:val="0"/>
                <w:numId w:val="2"/>
              </w:num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Unija poslodavaca</w:t>
            </w:r>
          </w:p>
          <w:p w14:paraId="4AAF769D" w14:textId="77777777" w:rsidR="009A3A57" w:rsidRPr="00D44B25" w:rsidRDefault="009A3A57" w:rsidP="009A3A57">
            <w:pPr>
              <w:numPr>
                <w:ilvl w:val="0"/>
                <w:numId w:val="2"/>
              </w:num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lastRenderedPageBreak/>
              <w:t>Centar za stručno obrazovanje</w:t>
            </w:r>
          </w:p>
        </w:tc>
        <w:tc>
          <w:tcPr>
            <w:tcW w:w="2530" w:type="dxa"/>
          </w:tcPr>
          <w:p w14:paraId="486650C8" w14:textId="7A05B119" w:rsidR="009A3A57" w:rsidRPr="00D44B25" w:rsidRDefault="004D650C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 w:cs="Trebuchet MS"/>
                <w:bCs/>
              </w:rPr>
              <w:lastRenderedPageBreak/>
              <w:t>n/a</w:t>
            </w:r>
          </w:p>
        </w:tc>
        <w:tc>
          <w:tcPr>
            <w:tcW w:w="3412" w:type="dxa"/>
          </w:tcPr>
          <w:p w14:paraId="1835EA24" w14:textId="77777777" w:rsidR="009A3A57" w:rsidRPr="00D44B25" w:rsidRDefault="009A3A57" w:rsidP="009A3A5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80" w:hanging="180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n/a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4269E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učesnika</w:t>
            </w:r>
          </w:p>
        </w:tc>
      </w:tr>
      <w:tr w:rsidR="009A3A57" w:rsidRPr="00D44B25" w14:paraId="4952979D" w14:textId="77777777" w:rsidTr="00145122">
        <w:trPr>
          <w:jc w:val="center"/>
        </w:trPr>
        <w:tc>
          <w:tcPr>
            <w:tcW w:w="3393" w:type="dxa"/>
          </w:tcPr>
          <w:p w14:paraId="5B42D4C3" w14:textId="77777777" w:rsidR="009A3A57" w:rsidRPr="00D44B25" w:rsidRDefault="009A3A57" w:rsidP="009A3A57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Razvijanje mehanizama za predviđanje promjena na tržištu rada u pogledu potreba za novim znanjima i vještinama i povećanje inovativnosti (npr. Istraživanje obrazovnih potreba zaposlenih, utvrđivanje novih profesionalnih profila, učešće predstavnika privrede u kreiranju novih kvalifikacija, primjeri dobrih praksi iz EU zemalja i sl. )</w:t>
            </w:r>
            <w:r w:rsidRPr="00D44B25">
              <w:rPr>
                <w:rFonts w:ascii="Trebuchet MS" w:eastAsia="Trebuchet MS" w:hAnsi="Trebuchet MS" w:cs="Trebuchet MS"/>
                <w:vertAlign w:val="superscript"/>
              </w:rPr>
              <w:footnoteReference w:id="9"/>
            </w:r>
          </w:p>
        </w:tc>
        <w:tc>
          <w:tcPr>
            <w:tcW w:w="2935" w:type="dxa"/>
          </w:tcPr>
          <w:p w14:paraId="2DE92105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Ministarstvo prosvjete, nauke i inovacija/</w:t>
            </w:r>
          </w:p>
          <w:p w14:paraId="63A49109" w14:textId="77777777" w:rsidR="009A3A57" w:rsidRPr="00D44B25" w:rsidRDefault="009A3A57" w:rsidP="009A3A57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hAnsi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Privredna komora</w:t>
            </w:r>
          </w:p>
          <w:p w14:paraId="3B5CE667" w14:textId="77777777" w:rsidR="009A3A57" w:rsidRPr="00D44B25" w:rsidRDefault="009A3A57" w:rsidP="009A3A57">
            <w:pP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75FFD8FA" w14:textId="77777777" w:rsidR="009A3A57" w:rsidRPr="00D44B25" w:rsidRDefault="009A3A57" w:rsidP="009A3A57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hAnsi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Centar za stručno obrazovanje</w:t>
            </w:r>
          </w:p>
          <w:p w14:paraId="7333EDAC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2A31CD42" w14:textId="77777777" w:rsidR="009A3A57" w:rsidRPr="00D44B25" w:rsidRDefault="009A3A57" w:rsidP="009A3A57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Unija poslodavaca</w:t>
            </w:r>
          </w:p>
        </w:tc>
        <w:tc>
          <w:tcPr>
            <w:tcW w:w="2530" w:type="dxa"/>
          </w:tcPr>
          <w:p w14:paraId="539C147F" w14:textId="047BD2AA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25CB3CD5" w14:textId="3B325812" w:rsidR="009A3A57" w:rsidRPr="00D44B25" w:rsidRDefault="004D650C" w:rsidP="009A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Realizovano</w:t>
            </w:r>
          </w:p>
        </w:tc>
        <w:tc>
          <w:tcPr>
            <w:tcW w:w="3412" w:type="dxa"/>
          </w:tcPr>
          <w:p w14:paraId="00E9720D" w14:textId="77777777" w:rsidR="009A3A57" w:rsidRPr="00D44B25" w:rsidRDefault="009A3A57" w:rsidP="009A3A5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80" w:hanging="180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n/a</w:t>
            </w:r>
          </w:p>
          <w:p w14:paraId="16C918D1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3BC9D754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495688D8" w14:textId="77777777" w:rsidR="009A3A57" w:rsidRPr="00D44B25" w:rsidRDefault="009A3A57" w:rsidP="009A3A57">
            <w:pPr>
              <w:numPr>
                <w:ilvl w:val="0"/>
                <w:numId w:val="6"/>
              </w:numPr>
              <w:spacing w:before="40" w:after="40" w:line="240" w:lineRule="auto"/>
              <w:ind w:left="180" w:hanging="180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Budžet EPALE projekta</w:t>
            </w:r>
          </w:p>
          <w:p w14:paraId="17CCA807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2156DB0D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1C1E58A4" w14:textId="77777777" w:rsidR="009A3A57" w:rsidRPr="00D44B25" w:rsidRDefault="009A3A57" w:rsidP="009A3A57">
            <w:pPr>
              <w:numPr>
                <w:ilvl w:val="0"/>
                <w:numId w:val="6"/>
              </w:numPr>
              <w:spacing w:before="40" w:after="40" w:line="240" w:lineRule="auto"/>
              <w:ind w:left="180" w:hanging="180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n/p</w:t>
            </w:r>
          </w:p>
          <w:p w14:paraId="533B5A07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99F34" w14:textId="77777777" w:rsidR="009A3A57" w:rsidRPr="00D44B25" w:rsidRDefault="009A3A57" w:rsidP="009A3A57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istraživanja o obrazovnim potrebama zaposlenih</w:t>
            </w:r>
          </w:p>
          <w:p w14:paraId="03732FE0" w14:textId="77777777" w:rsidR="009A3A57" w:rsidRPr="00D44B25" w:rsidRDefault="009A3A57" w:rsidP="009A3A57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novih profesionalnih profila</w:t>
            </w:r>
          </w:p>
          <w:p w14:paraId="750047F7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Broj predstavnika iz privrede u kreiranju novih kvalifikacija </w:t>
            </w:r>
          </w:p>
          <w:p w14:paraId="4637E429" w14:textId="05B11246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Centar za stručno obrzovanje će sprovesti istraživanje o izazovima s kojima se susreću licencirane ustanove za obrazovanje odraslih</w:t>
            </w:r>
          </w:p>
          <w:p w14:paraId="7516C218" w14:textId="52873ACE" w:rsidR="009A3A57" w:rsidRPr="00D44B25" w:rsidRDefault="009A3A57" w:rsidP="00005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Trebuchet MS" w:eastAsiaTheme="minorEastAsia" w:hAnsi="Trebuchet MS"/>
                <w:lang w:val="en-US"/>
              </w:rPr>
            </w:pP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Ministarstvo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 xml:space="preserve"> </w:t>
            </w: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prosvjete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 xml:space="preserve">, </w:t>
            </w: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nauke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 xml:space="preserve"> </w:t>
            </w: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i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 xml:space="preserve"> </w:t>
            </w: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inovacija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 xml:space="preserve"> je </w:t>
            </w: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uz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 xml:space="preserve"> </w:t>
            </w: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partnersku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 xml:space="preserve"> </w:t>
            </w: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saradnju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 xml:space="preserve"> </w:t>
            </w: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sa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 xml:space="preserve"> JU </w:t>
            </w: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Centar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 xml:space="preserve"> za </w:t>
            </w: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stručno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 xml:space="preserve"> </w:t>
            </w: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obrazovanje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 xml:space="preserve">, a </w:t>
            </w: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kroz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 xml:space="preserve"> </w:t>
            </w: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projekat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 xml:space="preserve"> EPALE </w:t>
            </w: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Nacionalna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 xml:space="preserve"> </w:t>
            </w: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služba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 xml:space="preserve"> </w:t>
            </w: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podrške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 xml:space="preserve"> za </w:t>
            </w: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Crnu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 xml:space="preserve"> </w:t>
            </w: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Goru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 xml:space="preserve"> </w:t>
            </w: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sufinasiran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 xml:space="preserve"> </w:t>
            </w: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iz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 xml:space="preserve"> ERASMUS+ </w:t>
            </w: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programa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 xml:space="preserve"> u </w:t>
            </w: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okviru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 xml:space="preserve"> EU Fonda, </w:t>
            </w: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sprovelo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 xml:space="preserve"> </w:t>
            </w: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Empirijsko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 xml:space="preserve"> </w:t>
            </w: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istraživanje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 xml:space="preserve"> o </w:t>
            </w: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izazovima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 xml:space="preserve"> </w:t>
            </w: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sa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 xml:space="preserve"> </w:t>
            </w: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kojima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 xml:space="preserve"> se </w:t>
            </w: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suočavaju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 xml:space="preserve"> </w:t>
            </w: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licencirani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 xml:space="preserve"> </w:t>
            </w: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organizatori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 xml:space="preserve"> </w:t>
            </w: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obrazovanja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 xml:space="preserve"> </w:t>
            </w:r>
            <w:proofErr w:type="spellStart"/>
            <w:r w:rsidRPr="00D44B25">
              <w:rPr>
                <w:rFonts w:ascii="Trebuchet MS" w:eastAsiaTheme="minorEastAsia" w:hAnsi="Trebuchet MS"/>
                <w:lang w:val="en-US"/>
              </w:rPr>
              <w:t>odraslih</w:t>
            </w:r>
            <w:proofErr w:type="spellEnd"/>
            <w:r w:rsidRPr="00D44B25">
              <w:rPr>
                <w:rFonts w:ascii="Trebuchet MS" w:eastAsiaTheme="minorEastAsia" w:hAnsi="Trebuchet MS"/>
                <w:lang w:val="en-US"/>
              </w:rPr>
              <w:t>.</w:t>
            </w:r>
          </w:p>
          <w:p w14:paraId="28E7DD1C" w14:textId="621A40B4" w:rsidR="009A3A57" w:rsidRPr="00D44B25" w:rsidRDefault="009A3A57" w:rsidP="00005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jc w:val="both"/>
              <w:rPr>
                <w:rFonts w:ascii="Trebuchet MS" w:eastAsia="Trebuchet MS" w:hAnsi="Trebuchet MS" w:cs="Trebuchet MS"/>
                <w:highlight w:val="yellow"/>
              </w:rPr>
            </w:pPr>
          </w:p>
          <w:p w14:paraId="0CF76ADD" w14:textId="77777777" w:rsidR="009A3A57" w:rsidRPr="00D44B25" w:rsidRDefault="009A3A57" w:rsidP="00005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Trebuchet MS" w:hAnsi="Trebuchet MS"/>
              </w:rPr>
            </w:pPr>
            <w:r w:rsidRPr="00D44B25">
              <w:rPr>
                <w:rFonts w:ascii="Trebuchet MS" w:hAnsi="Trebuchet MS"/>
              </w:rPr>
              <w:t xml:space="preserve">PKCG  priprema godišnju analizu o organizovanim edukativnim aktivnostima »Analiza Sektora za </w:t>
            </w:r>
            <w:r w:rsidRPr="00D44B25">
              <w:rPr>
                <w:rFonts w:ascii="Trebuchet MS" w:hAnsi="Trebuchet MS"/>
              </w:rPr>
              <w:lastRenderedPageBreak/>
              <w:t>obrazovanje i kvalitet za 2024. godinu«, koja objedinjuje odgovore iz upitnika koje popunjavaju učesnici seminara sa ciljem utvrđivanja potreba privatnog sektora na polju usavršavanja i edukacije.</w:t>
            </w:r>
          </w:p>
          <w:p w14:paraId="243128D0" w14:textId="0ACB55B6" w:rsidR="009A3A57" w:rsidRPr="00D44B25" w:rsidRDefault="009A3A57" w:rsidP="00005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/>
              </w:rPr>
              <w:t>PKCG je sprovela „Istraživanje o deficitarnim zanimanjima ICT profila”,  gdje su ispitanici bili kompanije iz djelatnosti Informaciono komunikacionih tehnologija</w:t>
            </w:r>
          </w:p>
          <w:p w14:paraId="34BA1B30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UPCG će i u 2024. godini sprovesti interno istraživanje o potrebama svojih članova za obukama/seminarima iz oblasti koje su njihova sfera interesovanja, s ciljem unapređenja njihovih vještina i znanja</w:t>
            </w:r>
          </w:p>
          <w:p w14:paraId="5A327CEE" w14:textId="77777777" w:rsidR="009A3A57" w:rsidRPr="00D44B25" w:rsidRDefault="009A3A57" w:rsidP="00005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Istraživanje o potrebama članova za obukama/seminarima, s ciljem unapređenja njihovih vještina i znanja je sprovedeno tokom januara 2024. godine. </w:t>
            </w:r>
          </w:p>
          <w:p w14:paraId="5DEFAFC5" w14:textId="77777777" w:rsidR="009A3A57" w:rsidRPr="00D44B25" w:rsidRDefault="009A3A57" w:rsidP="00005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Trebuchet MS" w:eastAsia="Trebuchet MS" w:hAnsi="Trebuchet MS" w:cs="Trebuchet MS"/>
              </w:rPr>
            </w:pPr>
          </w:p>
          <w:p w14:paraId="6F4BC85D" w14:textId="4F36F554" w:rsidR="009A3A57" w:rsidRPr="00D44B25" w:rsidRDefault="009A3A57" w:rsidP="00005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UPCG je sprovela i istraživanje o sistemu dualnog obrazovanja u Crnoj Gori. Dobijeni rezultati prezentovani su na sastanku kojem su prisustvovali predstavnici Centra za stručno </w:t>
            </w:r>
            <w:r w:rsidRPr="00D44B25">
              <w:rPr>
                <w:rFonts w:ascii="Trebuchet MS" w:eastAsia="Trebuchet MS" w:hAnsi="Trebuchet MS" w:cs="Trebuchet MS"/>
              </w:rPr>
              <w:lastRenderedPageBreak/>
              <w:t>obrazovanje, Ministarstva prosvjete, nauke i inovacija kao i privrednici – članovi UPCG</w:t>
            </w:r>
          </w:p>
        </w:tc>
      </w:tr>
      <w:tr w:rsidR="009A3A57" w:rsidRPr="00D44B25" w14:paraId="6017BA08" w14:textId="77777777" w:rsidTr="00145122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F3762" w14:textId="77777777" w:rsidR="009A3A57" w:rsidRPr="00D44B25" w:rsidRDefault="009A3A57" w:rsidP="009A3A57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lastRenderedPageBreak/>
              <w:t>Razvoj kompetencija i vještina zaposlenih u privredi kroz organizovanje edukativnih aktivnosti iz različitih oblasti u skladu sa interesovanjem privrede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C59CF" w14:textId="77777777" w:rsidR="009A3A57" w:rsidRPr="00D44B25" w:rsidRDefault="009A3A57" w:rsidP="009A3A57">
            <w:pPr>
              <w:spacing w:before="34" w:after="34" w:line="240" w:lineRule="auto"/>
              <w:ind w:right="-105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Privredna komora</w:t>
            </w:r>
          </w:p>
          <w:p w14:paraId="391E1E50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DA64F" w14:textId="694F1A3D" w:rsidR="009A3A57" w:rsidRPr="00D44B25" w:rsidRDefault="004D650C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Realizovano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2128C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70.450,00€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3FE16" w14:textId="77777777" w:rsidR="009A3A57" w:rsidRPr="00D44B25" w:rsidRDefault="009A3A57" w:rsidP="009A3A57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učesnika (planirano 800 učesnika)</w:t>
            </w:r>
          </w:p>
          <w:p w14:paraId="4B6E4346" w14:textId="3E2769E2" w:rsidR="009A3A57" w:rsidRPr="00D44B25" w:rsidRDefault="009A3A57" w:rsidP="00005A06">
            <w:pPr>
              <w:spacing w:before="40" w:after="40" w:line="240" w:lineRule="auto"/>
              <w:jc w:val="both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Privredna komora Crne Gore je u 2024. godini organizovala ukupno 45 edukativnih aktivnosti (seminari, obuke, radionice) iz različitih oblasti u skladu sa interesovanjem privrede na kojime se obučavalo 1669 učesnika (1112 žena i 557 muškaraca)</w:t>
            </w:r>
          </w:p>
        </w:tc>
      </w:tr>
      <w:tr w:rsidR="009A3A57" w:rsidRPr="00D44B25" w14:paraId="42C5D0FE" w14:textId="77777777" w:rsidTr="00145122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8AA70" w14:textId="77777777" w:rsidR="009A3A57" w:rsidRPr="00D44B25" w:rsidRDefault="009A3A57" w:rsidP="009A3A57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Organizovanje okruglih stolova, konferencija, prezentacije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F42E2" w14:textId="77777777" w:rsidR="009A3A57" w:rsidRPr="00D44B25" w:rsidRDefault="009A3A57" w:rsidP="009A3A57">
            <w:pPr>
              <w:spacing w:before="34" w:after="34" w:line="240" w:lineRule="auto"/>
              <w:ind w:right="-105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Privredna komora</w:t>
            </w:r>
          </w:p>
          <w:p w14:paraId="1B75BAC9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B6CF7" w14:textId="449E3C54" w:rsidR="009A3A57" w:rsidRPr="00D44B25" w:rsidRDefault="00646655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Realizovano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FFF33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7.000,00 €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02AFF" w14:textId="77777777" w:rsidR="009A3A57" w:rsidRPr="00D44B25" w:rsidRDefault="009A3A57" w:rsidP="009A3A57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učesnika (planirano 500 učesnika)</w:t>
            </w:r>
          </w:p>
          <w:p w14:paraId="4D4DF53C" w14:textId="606E69A0" w:rsidR="009A3A57" w:rsidRPr="00D44B25" w:rsidRDefault="009A3A57" w:rsidP="00005A06">
            <w:pPr>
              <w:spacing w:before="40" w:after="40" w:line="240" w:lineRule="auto"/>
              <w:jc w:val="both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Privredna komora Crne Gore je u 2024. godini organizovala 28 događaja kojima je prisustvovalo 1368 učesnika (625 žena i 743 muškarca)</w:t>
            </w:r>
          </w:p>
        </w:tc>
      </w:tr>
      <w:tr w:rsidR="009A3A57" w:rsidRPr="00D44B25" w14:paraId="6646599E" w14:textId="77777777" w:rsidTr="00145122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F8414" w14:textId="77777777" w:rsidR="009A3A57" w:rsidRPr="00D44B25" w:rsidRDefault="009A3A57" w:rsidP="009A3A57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Izdavanje Glasnika za objavljivanje informacija na sajtu Privredne komore Crne Gore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ACB02" w14:textId="77777777" w:rsidR="009A3A57" w:rsidRPr="00D44B25" w:rsidRDefault="009A3A57" w:rsidP="009A3A57">
            <w:pPr>
              <w:spacing w:before="34" w:after="34" w:line="240" w:lineRule="auto"/>
              <w:ind w:right="-105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Privredna komora</w:t>
            </w:r>
          </w:p>
          <w:p w14:paraId="173ADA1B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DF122" w14:textId="2CB5AFA2" w:rsidR="009A3A57" w:rsidRPr="00D44B25" w:rsidRDefault="00646655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Realizovano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88F73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36.000,00 €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8AF52" w14:textId="77777777" w:rsidR="009A3A57" w:rsidRPr="00D44B25" w:rsidRDefault="009A3A57" w:rsidP="009A3A57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publikacija (planirano 11 brojeva)</w:t>
            </w:r>
          </w:p>
          <w:p w14:paraId="57941068" w14:textId="146AAA0B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hAnsi="Trebuchet MS"/>
              </w:rPr>
              <w:t>Objavljeno je 12 brojeva</w:t>
            </w:r>
          </w:p>
        </w:tc>
      </w:tr>
      <w:tr w:rsidR="009A3A57" w:rsidRPr="00D44B25" w14:paraId="531BE45E" w14:textId="77777777" w:rsidTr="00145122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8FB8F" w14:textId="77777777" w:rsidR="009A3A57" w:rsidRPr="00D44B25" w:rsidRDefault="009A3A57" w:rsidP="009A3A57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 xml:space="preserve">Izrada sektorskih analiza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76BC7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Privredna komora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E6812" w14:textId="511FB1F7" w:rsidR="00B52D91" w:rsidRPr="00D44B25" w:rsidRDefault="00646655" w:rsidP="0007354B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Realizovano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B258D" w14:textId="77777777" w:rsidR="009A3A57" w:rsidRPr="00D44B25" w:rsidRDefault="009A3A57" w:rsidP="009A3A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n/p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06B56" w14:textId="77777777" w:rsidR="009A3A57" w:rsidRPr="00D44B25" w:rsidRDefault="009A3A57" w:rsidP="009A3A57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analiza (planirana 1 analiza)</w:t>
            </w:r>
          </w:p>
          <w:p w14:paraId="62CC4FBD" w14:textId="3B729258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1 analiza</w:t>
            </w:r>
          </w:p>
        </w:tc>
      </w:tr>
      <w:tr w:rsidR="009A3A57" w:rsidRPr="00D44B25" w14:paraId="41C7B015" w14:textId="77777777" w:rsidTr="00145122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4DAC3" w14:textId="77777777" w:rsidR="009A3A57" w:rsidRPr="00D44B25" w:rsidRDefault="009A3A57" w:rsidP="009A3A57">
            <w:pPr>
              <w:spacing w:before="34" w:after="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Organizovanje okruglih stolova, konferencija, prezentacije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96B44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Unija poslodavaca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4F66E" w14:textId="47FB41F2" w:rsidR="009A3A57" w:rsidRPr="00D44B25" w:rsidRDefault="00646655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Realizovano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EB501" w14:textId="77777777" w:rsidR="009A3A57" w:rsidRPr="00D44B25" w:rsidRDefault="009A3A57" w:rsidP="009A3A57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hAnsi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n/p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038B4" w14:textId="77777777" w:rsidR="009A3A57" w:rsidRPr="00D44B25" w:rsidRDefault="009A3A57" w:rsidP="00005A06">
            <w:pPr>
              <w:numPr>
                <w:ilvl w:val="0"/>
                <w:numId w:val="9"/>
              </w:numPr>
              <w:spacing w:before="40" w:after="40" w:line="240" w:lineRule="auto"/>
              <w:jc w:val="both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učesnika (planirano 100 učesnika)</w:t>
            </w:r>
          </w:p>
          <w:p w14:paraId="7B5C1CFD" w14:textId="77777777" w:rsidR="009A3A57" w:rsidRPr="00D44B25" w:rsidRDefault="009A3A57" w:rsidP="00005A06">
            <w:pPr>
              <w:spacing w:before="40" w:after="40" w:line="240" w:lineRule="auto"/>
              <w:jc w:val="both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lastRenderedPageBreak/>
              <w:t xml:space="preserve">U sklopu svojih redovnih aktivnosti UPCG je tokom 2024. godini organizovala više događaja kojima je prisustvovalo više od 300 učesnika. </w:t>
            </w:r>
          </w:p>
          <w:p w14:paraId="17D120AE" w14:textId="77777777" w:rsidR="009A3A57" w:rsidRPr="00D44B25" w:rsidRDefault="009A3A57" w:rsidP="00005A06">
            <w:pPr>
              <w:spacing w:before="40" w:after="40" w:line="240" w:lineRule="auto"/>
              <w:ind w:left="173"/>
              <w:jc w:val="both"/>
              <w:rPr>
                <w:rFonts w:ascii="Trebuchet MS" w:eastAsia="Trebuchet MS" w:hAnsi="Trebuchet MS" w:cs="Trebuchet MS"/>
              </w:rPr>
            </w:pPr>
          </w:p>
          <w:p w14:paraId="4CDF75F9" w14:textId="77777777" w:rsidR="009A3A57" w:rsidRPr="00D44B25" w:rsidRDefault="009A3A57" w:rsidP="00005A06">
            <w:pPr>
              <w:spacing w:before="40" w:after="40" w:line="240" w:lineRule="auto"/>
              <w:jc w:val="both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I Kvartal </w:t>
            </w:r>
          </w:p>
          <w:p w14:paraId="33BDA53A" w14:textId="77777777" w:rsidR="009A3A57" w:rsidRPr="00D44B25" w:rsidRDefault="009A3A57" w:rsidP="00005A06">
            <w:pPr>
              <w:spacing w:before="40" w:after="40" w:line="240" w:lineRule="auto"/>
              <w:jc w:val="both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UPCG, u partnerstvu sa Skupštinom Glavnog grada Podgorica i Međunarodnom organizacijom rada (ILO), organizovala je konferenciju "Žene u menadžentu - snaga promjena i ekonomskog napretka" sa ciljem da se promocijom uspješnih poslovnih žena u Crnoj Gori dodatno ukaže na ulogu, snagu i potencijal ženskog liderstva, kao i značaj većeg učešća žena na pozicijama upravljanja i rukovođenja.</w:t>
            </w:r>
          </w:p>
          <w:p w14:paraId="0D787EC3" w14:textId="77777777" w:rsidR="009A3A57" w:rsidRPr="00D44B25" w:rsidRDefault="009A3A57" w:rsidP="00005A06">
            <w:pPr>
              <w:spacing w:before="40" w:after="40" w:line="240" w:lineRule="auto"/>
              <w:jc w:val="both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Događaj su otvorili predsjednik UPCG Mikavica i Jelena Borovinić Bojović, predsjednica Skupštine Glavnog grada Podgorica. Radni dio konferencije otvorila je dr Irena Radović, guvernerka Centralne banke Crne Gore, uvodnim izlaganjem na temu „Više žena u menadžmentu: Put do ravnopravnosti i ekonomskog razvoja“.</w:t>
            </w:r>
          </w:p>
          <w:p w14:paraId="62A3A666" w14:textId="77777777" w:rsidR="009A3A57" w:rsidRPr="00D44B25" w:rsidRDefault="009A3A57" w:rsidP="00005A06">
            <w:pPr>
              <w:spacing w:before="40" w:after="40" w:line="240" w:lineRule="auto"/>
              <w:jc w:val="both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U nastavku je održan panel „Žene u menadžmentu u Crnoj Gori: Stanje i perspektive“  u kojem su učestvovale </w:t>
            </w:r>
            <w:r w:rsidRPr="00D44B25">
              <w:rPr>
                <w:rFonts w:ascii="Trebuchet MS" w:eastAsia="Trebuchet MS" w:hAnsi="Trebuchet MS" w:cs="Trebuchet MS"/>
              </w:rPr>
              <w:lastRenderedPageBreak/>
              <w:t>Naida Nišić, ministarka rada i socijalnog staranja; Ana Šebek, samostalna savjetnica I u Ministarstvu ekonomskog razvoja; Dr Ines Pajović, nacionalna projektna koordinatorka ILO-a i Ljubica Kostić Bukarica, predsjednica Asocijacije poslovnih žena Crne Gore.</w:t>
            </w:r>
          </w:p>
          <w:p w14:paraId="3B3393A9" w14:textId="77777777" w:rsidR="009A3A57" w:rsidRPr="00D44B25" w:rsidRDefault="009A3A57" w:rsidP="00005A06">
            <w:pPr>
              <w:spacing w:before="40" w:after="40" w:line="240" w:lineRule="auto"/>
              <w:jc w:val="both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Nakon radnog dijela, uslijedila je svečana ceremonija dodjele nagrada UPCG za "NAJ menadžerke u Crnoj Gori”, za 2023. godinu. </w:t>
            </w:r>
          </w:p>
          <w:p w14:paraId="5F0C2EF1" w14:textId="77777777" w:rsidR="009A3A57" w:rsidRPr="00D44B25" w:rsidRDefault="009A3A57" w:rsidP="00005A06">
            <w:pPr>
              <w:spacing w:before="40" w:after="40" w:line="240" w:lineRule="auto"/>
              <w:jc w:val="both"/>
              <w:rPr>
                <w:rFonts w:ascii="Trebuchet MS" w:eastAsia="Trebuchet MS" w:hAnsi="Trebuchet MS" w:cs="Trebuchet MS"/>
              </w:rPr>
            </w:pPr>
          </w:p>
          <w:p w14:paraId="7171B627" w14:textId="77777777" w:rsidR="009A3A57" w:rsidRPr="00D44B25" w:rsidRDefault="009A3A57" w:rsidP="00005A06">
            <w:pPr>
              <w:spacing w:before="40" w:after="40" w:line="240" w:lineRule="auto"/>
              <w:jc w:val="both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III kvartal </w:t>
            </w:r>
          </w:p>
          <w:p w14:paraId="3265F7DF" w14:textId="5F94DEAB" w:rsidR="009A3A57" w:rsidRPr="00D44B25" w:rsidRDefault="009A3A57" w:rsidP="00005A06">
            <w:pPr>
              <w:spacing w:before="40" w:after="40" w:line="240" w:lineRule="auto"/>
              <w:jc w:val="both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U sklopu projekta ILOFORDIGITAL, koji sesprovodi u okviru Programa Interreg IPA Južni Jadran Italija-Albanija-Crna Gora, UPCG organizovala je konferenciju “Unapređenje digitalnih vještina u privatnom sektoru”.  Fokus konferencije bio je na osnaživanju malih i srednjih preduzeća kroz upotrebu digitalnih alata vještina, sa ciljem  povećanja efikasnosti, smanjenja troškova, pristupa širem tržištu, veće fleksibilnosti, konkurentnosti i održivosti, čime kompanije postaju prilagodljivije i uspešnije u modernom poslovnom okruženju.</w:t>
            </w:r>
          </w:p>
          <w:p w14:paraId="28E1C053" w14:textId="5D4C9FA1" w:rsidR="009A3A57" w:rsidRPr="00D44B25" w:rsidRDefault="009A3A57" w:rsidP="00005A06">
            <w:pPr>
              <w:spacing w:before="40" w:after="40" w:line="240" w:lineRule="auto"/>
              <w:jc w:val="both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lastRenderedPageBreak/>
              <w:t xml:space="preserve">Broj učesnika: 90, od čega 40% žena. </w:t>
            </w:r>
          </w:p>
          <w:p w14:paraId="779BF768" w14:textId="77777777" w:rsidR="009A3A57" w:rsidRPr="00D44B25" w:rsidRDefault="009A3A57" w:rsidP="00005A06">
            <w:pPr>
              <w:spacing w:before="40" w:after="40" w:line="240" w:lineRule="auto"/>
              <w:ind w:left="173"/>
              <w:jc w:val="both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IV Kvartal </w:t>
            </w:r>
          </w:p>
          <w:p w14:paraId="09045693" w14:textId="77777777" w:rsidR="009A3A57" w:rsidRPr="00D44B25" w:rsidRDefault="009A3A57" w:rsidP="00005A06">
            <w:pPr>
              <w:spacing w:before="40" w:after="40" w:line="240" w:lineRule="auto"/>
              <w:jc w:val="both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UPCG bila je glavni partner i pokrovitelj IV Svjetskog kongresa preduzetnika (SKP Crna Gora 2024) koji je održan u periodu od 16. do 19. oktobra, na temu „PREDUZETNIŠTVO: Ljudi. Saradnja. Razvoj. Sigurnost“. Glavni organizator SKP Crna Gora 2024 je Međunarodni ekonomski forum (MEF) PERSPEKTIVE, a izvršni organizator društvo PROMO GLOBAL. Kongres je obilježilo više od 100 izlaganja, predavanja i prezentacija uspješnih poslovnih praksi, dvije plenarne sjednice, ekspertski okrugli sto „Preduzetništvo u 21. vijeku“, naučno-stručni paneli, program B2B, dodjele tradicionalnih nagrada i priznanja kao i brojni drugi programski sadržaji.</w:t>
            </w:r>
          </w:p>
          <w:p w14:paraId="0679EB05" w14:textId="77777777" w:rsidR="009A3A57" w:rsidRPr="00D44B25" w:rsidRDefault="009A3A57" w:rsidP="00005A06">
            <w:pPr>
              <w:spacing w:before="40" w:after="40" w:line="240" w:lineRule="auto"/>
              <w:ind w:left="173"/>
              <w:jc w:val="both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Kongresa je okupio preko 100 uspješnih preduzetnika, predstavnika privatnog i javnog sektora, neke od najznačajnijih kompanija iz srednje i jugoistočne Evrope, predstavnike akademske zajednice, civilnog društva, medija i itd. </w:t>
            </w:r>
          </w:p>
          <w:p w14:paraId="6DD28F13" w14:textId="5E1656E3" w:rsidR="009A3A57" w:rsidRPr="00D44B25" w:rsidRDefault="009A3A57" w:rsidP="00005A06">
            <w:pPr>
              <w:spacing w:before="40" w:after="40" w:line="240" w:lineRule="auto"/>
              <w:ind w:left="443"/>
              <w:jc w:val="both"/>
              <w:rPr>
                <w:rFonts w:ascii="Trebuchet MS" w:eastAsia="Trebuchet MS" w:hAnsi="Trebuchet MS" w:cs="Trebuchet MS"/>
              </w:rPr>
            </w:pPr>
          </w:p>
        </w:tc>
      </w:tr>
      <w:tr w:rsidR="009A3A57" w:rsidRPr="00D44B25" w14:paraId="74487005" w14:textId="77777777" w:rsidTr="00145122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AE9ED" w14:textId="77777777" w:rsidR="009A3A57" w:rsidRPr="00D44B25" w:rsidRDefault="009A3A57" w:rsidP="009A3A57">
            <w:pPr>
              <w:spacing w:before="34" w:after="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lastRenderedPageBreak/>
              <w:t>Razvoj kompetencija i vještina zaposlenih u privredi kroz organizovanje edukativnih aktivnosti iz različitih oblasti u skladu sa interesovanjem privrede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CE9D6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D44B25">
              <w:rPr>
                <w:rFonts w:ascii="Trebuchet MS" w:eastAsia="Trebuchet MS" w:hAnsi="Trebuchet MS" w:cs="Trebuchet MS"/>
                <w:b/>
              </w:rPr>
              <w:t>Unija poslodavaca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63CB0" w14:textId="77777777" w:rsidR="009A3A57" w:rsidRPr="00D44B25" w:rsidRDefault="009A3A57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51938E2F" w14:textId="0D1DCC5D" w:rsidR="009A3A57" w:rsidRPr="00D44B25" w:rsidRDefault="00646655" w:rsidP="009A3A5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Realizovano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279F1" w14:textId="77777777" w:rsidR="009A3A57" w:rsidRPr="00D44B25" w:rsidRDefault="009A3A57" w:rsidP="009A3A57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hAnsi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n/p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43F9D" w14:textId="77777777" w:rsidR="009A3A57" w:rsidRPr="00D44B25" w:rsidRDefault="009A3A57" w:rsidP="009A3A57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učesnika (planirano 60 učesnika)</w:t>
            </w:r>
          </w:p>
          <w:p w14:paraId="0ED949A6" w14:textId="77777777" w:rsidR="009A3A57" w:rsidRPr="00D44B25" w:rsidRDefault="009A3A57" w:rsidP="009A3A57">
            <w:pPr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UPCG je organizovala više edukativnih aktivnosti – radnih sastanaka za svoje članove, čime je ispunjen target od 60 učesnika. </w:t>
            </w:r>
          </w:p>
          <w:p w14:paraId="53CCD65C" w14:textId="14D51155" w:rsidR="009A3A57" w:rsidRPr="00D44B25" w:rsidRDefault="009A3A57" w:rsidP="00047027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UPCG, u saradnji sa studentskom organizaciji EESTEC LC Podgorica, uspješno je realizovala četvrti sajam poslova, Job Fair, koji je omogućio studentima da stupe u direktan kontakt sa predstavnicima 14 kompanija, predaju svoje biografije i informišu se o slobodnim radnim mjestima, stručnom osposobljavanju ili mogućnostima za praksu.</w:t>
            </w:r>
          </w:p>
        </w:tc>
      </w:tr>
    </w:tbl>
    <w:p w14:paraId="19FE5F8A" w14:textId="77777777" w:rsidR="008B2B5E" w:rsidRPr="00D44B25" w:rsidRDefault="008B2B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sz w:val="20"/>
          <w:szCs w:val="20"/>
        </w:rPr>
      </w:pPr>
    </w:p>
    <w:p w14:paraId="7D4393C6" w14:textId="77777777" w:rsidR="008B2B5E" w:rsidRDefault="00A532C6">
      <w:pPr>
        <w:pStyle w:val="Heading2"/>
        <w:numPr>
          <w:ilvl w:val="0"/>
          <w:numId w:val="7"/>
        </w:numPr>
        <w:spacing w:before="0" w:after="120" w:line="240" w:lineRule="auto"/>
        <w:ind w:left="274" w:hanging="274"/>
        <w:rPr>
          <w:rFonts w:ascii="Trebuchet MS" w:eastAsia="Trebuchet MS" w:hAnsi="Trebuchet MS" w:cs="Trebuchet MS"/>
          <w:b/>
          <w:color w:val="000000"/>
          <w:sz w:val="24"/>
          <w:szCs w:val="24"/>
          <w:u w:val="single"/>
        </w:rPr>
      </w:pPr>
      <w:bookmarkStart w:id="9" w:name="_heading=h.3znysh7" w:colFirst="0" w:colLast="0"/>
      <w:bookmarkEnd w:id="9"/>
      <w:r w:rsidRPr="00D44B25">
        <w:rPr>
          <w:rFonts w:ascii="Trebuchet MS" w:hAnsi="Trebuchet MS"/>
          <w:color w:val="auto"/>
          <w:sz w:val="20"/>
          <w:szCs w:val="20"/>
        </w:rPr>
        <w:br w:type="page"/>
      </w:r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lastRenderedPageBreak/>
        <w:t xml:space="preserve">PRIORITETNA OBLAST: </w:t>
      </w:r>
      <w:r>
        <w:rPr>
          <w:rFonts w:ascii="Trebuchet MS" w:eastAsia="Trebuchet MS" w:hAnsi="Trebuchet MS" w:cs="Trebuchet MS"/>
          <w:b/>
          <w:color w:val="000000"/>
          <w:sz w:val="24"/>
          <w:szCs w:val="24"/>
          <w:u w:val="single"/>
        </w:rPr>
        <w:t>OSIGURANJE KVALITETA U OBRAZOVANJU ODRASLIH</w:t>
      </w:r>
    </w:p>
    <w:tbl>
      <w:tblPr>
        <w:tblStyle w:val="a5"/>
        <w:tblW w:w="15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14"/>
        <w:gridCol w:w="3156"/>
        <w:gridCol w:w="3159"/>
        <w:gridCol w:w="3159"/>
        <w:gridCol w:w="3152"/>
      </w:tblGrid>
      <w:tr w:rsidR="008B2B5E" w:rsidRPr="00FC0CD6" w14:paraId="2DE54F7D" w14:textId="77777777" w:rsidTr="000B2C36">
        <w:trPr>
          <w:tblHeader/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48908B8" w14:textId="77777777" w:rsidR="008B2B5E" w:rsidRPr="00FC0CD6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 w:rsidRPr="00FC0CD6">
              <w:rPr>
                <w:rFonts w:ascii="Trebuchet MS" w:eastAsia="Trebuchet MS" w:hAnsi="Trebuchet MS" w:cs="Trebuchet MS"/>
                <w:b/>
              </w:rPr>
              <w:t>Aktivnosti kojima se neposredno ostvaruju operativni ciljevi</w:t>
            </w:r>
            <w:r w:rsidR="00FD3E66" w:rsidRPr="00FC0CD6">
              <w:rPr>
                <w:rFonts w:ascii="Trebuchet MS" w:eastAsia="Trebuchet MS" w:hAnsi="Trebuchet MS" w:cs="Trebuchet MS"/>
                <w:b/>
              </w:rPr>
              <w:t>,</w:t>
            </w:r>
            <w:r w:rsidRPr="00FC0CD6">
              <w:rPr>
                <w:rFonts w:ascii="Trebuchet MS" w:eastAsia="Trebuchet MS" w:hAnsi="Trebuchet MS" w:cs="Trebuchet MS"/>
                <w:b/>
              </w:rPr>
              <w:t xml:space="preserve"> a posredno strateški ciljevi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8204300" w14:textId="77777777" w:rsidR="008B2B5E" w:rsidRPr="00FC0CD6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 w:rsidRPr="00FC0CD6">
              <w:rPr>
                <w:rFonts w:ascii="Trebuchet MS" w:eastAsia="Trebuchet MS" w:hAnsi="Trebuchet MS" w:cs="Trebuchet MS"/>
                <w:b/>
              </w:rPr>
              <w:t>Partnerske institucije odgovorne za sprovođenje aktivnosti i institucija nadležna za praćenje sprovođenja i izvještavanja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8B72DC4" w14:textId="1A06F33A" w:rsidR="008B2B5E" w:rsidRPr="00FC0CD6" w:rsidRDefault="00DC418C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Ocjena realizacije aktivnosti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6639F15" w14:textId="77777777" w:rsidR="008B2B5E" w:rsidRPr="00FC0CD6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 w:rsidRPr="00FC0CD6">
              <w:rPr>
                <w:rFonts w:ascii="Trebuchet MS" w:eastAsia="Trebuchet MS" w:hAnsi="Trebuchet MS" w:cs="Trebuchet MS"/>
                <w:b/>
              </w:rPr>
              <w:t>Planirana i utrošena finansijska sredstva i fondovi za sprovođenje aktivnosti (informacije o izvorima finansiranja)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6DAAB2B" w14:textId="77777777" w:rsidR="008B2B5E" w:rsidRPr="00FC0CD6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 w:rsidRPr="00FC0CD6">
              <w:rPr>
                <w:rFonts w:ascii="Trebuchet MS" w:eastAsia="Trebuchet MS" w:hAnsi="Trebuchet MS" w:cs="Trebuchet MS"/>
                <w:b/>
              </w:rPr>
              <w:t>Indikatori rezultata</w:t>
            </w:r>
          </w:p>
        </w:tc>
      </w:tr>
      <w:tr w:rsidR="008B2B5E" w:rsidRPr="00FC0CD6" w14:paraId="4FDA162A" w14:textId="77777777" w:rsidTr="000B2C36">
        <w:trPr>
          <w:jc w:val="center"/>
        </w:trPr>
        <w:tc>
          <w:tcPr>
            <w:tcW w:w="3068" w:type="dxa"/>
          </w:tcPr>
          <w:p w14:paraId="51273118" w14:textId="77777777" w:rsidR="008B2B5E" w:rsidRPr="00FC0CD6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FC0CD6">
              <w:rPr>
                <w:rFonts w:ascii="Trebuchet MS" w:eastAsia="Trebuchet MS" w:hAnsi="Trebuchet MS" w:cs="Trebuchet MS"/>
                <w:b/>
              </w:rPr>
              <w:t xml:space="preserve">Praćenje i evaluacija rada obrazovnih ustanova </w:t>
            </w:r>
          </w:p>
        </w:tc>
        <w:tc>
          <w:tcPr>
            <w:tcW w:w="3013" w:type="dxa"/>
          </w:tcPr>
          <w:p w14:paraId="679358E2" w14:textId="77777777" w:rsidR="008B2B5E" w:rsidRPr="00FC0CD6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FC0CD6">
              <w:rPr>
                <w:rFonts w:ascii="Trebuchet MS" w:eastAsia="Trebuchet MS" w:hAnsi="Trebuchet MS" w:cs="Trebuchet MS"/>
                <w:b/>
              </w:rPr>
              <w:t>Centar za stručno obrazovanje</w:t>
            </w:r>
          </w:p>
        </w:tc>
        <w:tc>
          <w:tcPr>
            <w:tcW w:w="3015" w:type="dxa"/>
          </w:tcPr>
          <w:p w14:paraId="1AC5B6E9" w14:textId="5AB97F0C" w:rsidR="008B2B5E" w:rsidRPr="00FC0CD6" w:rsidRDefault="00060429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Realizovano</w:t>
            </w:r>
          </w:p>
        </w:tc>
        <w:tc>
          <w:tcPr>
            <w:tcW w:w="3015" w:type="dxa"/>
          </w:tcPr>
          <w:p w14:paraId="2E06D632" w14:textId="77777777" w:rsidR="008B2B5E" w:rsidRPr="00FC0CD6" w:rsidRDefault="00A532C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FC0CD6">
              <w:rPr>
                <w:rFonts w:ascii="Trebuchet MS" w:eastAsia="Trebuchet MS" w:hAnsi="Trebuchet MS" w:cs="Trebuchet MS"/>
                <w:color w:val="000000"/>
              </w:rPr>
              <w:t>n/a</w:t>
            </w:r>
          </w:p>
        </w:tc>
        <w:tc>
          <w:tcPr>
            <w:tcW w:w="3009" w:type="dxa"/>
          </w:tcPr>
          <w:p w14:paraId="575415ED" w14:textId="68378818" w:rsidR="008B2B5E" w:rsidRPr="00D44B25" w:rsidRDefault="00A532C6" w:rsidP="00E83057">
            <w:pPr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Pripremljeni izvještaji o praćenju i evaluaciji rada</w:t>
            </w:r>
            <w:r w:rsidR="00E83057" w:rsidRPr="00D44B25">
              <w:rPr>
                <w:rFonts w:ascii="Trebuchet MS" w:eastAsia="Trebuchet MS" w:hAnsi="Trebuchet MS" w:cs="Trebuchet MS"/>
              </w:rPr>
              <w:t xml:space="preserve">  ustanova koje imaju licencu za rad u obrazovanju odraslih Fakultet za pomorstvo i turizam Bar i JU Škola za srednje i više stručno obrazovanje »Sergije Stanić« iz Podgorice i  četiri auto škole »Stefan«, »Clio«, »Vozač« i »Leman« iz Bara. </w:t>
            </w:r>
          </w:p>
        </w:tc>
      </w:tr>
      <w:tr w:rsidR="008B2B5E" w:rsidRPr="00FC0CD6" w14:paraId="585CEDC4" w14:textId="77777777" w:rsidTr="000B2C36">
        <w:trPr>
          <w:jc w:val="center"/>
        </w:trPr>
        <w:tc>
          <w:tcPr>
            <w:tcW w:w="3068" w:type="dxa"/>
          </w:tcPr>
          <w:p w14:paraId="7C9126C4" w14:textId="77777777" w:rsidR="008B2B5E" w:rsidRPr="00FC0CD6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FC0CD6">
              <w:rPr>
                <w:rFonts w:ascii="Trebuchet MS" w:eastAsia="Trebuchet MS" w:hAnsi="Trebuchet MS" w:cs="Trebuchet MS"/>
                <w:b/>
              </w:rPr>
              <w:t>Samoevaluacija rada ustanove</w:t>
            </w:r>
          </w:p>
        </w:tc>
        <w:tc>
          <w:tcPr>
            <w:tcW w:w="3013" w:type="dxa"/>
          </w:tcPr>
          <w:p w14:paraId="6789216A" w14:textId="77777777" w:rsidR="008B2B5E" w:rsidRPr="00FC0CD6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FC0CD6">
              <w:rPr>
                <w:rFonts w:ascii="Trebuchet MS" w:eastAsia="Trebuchet MS" w:hAnsi="Trebuchet MS" w:cs="Trebuchet MS"/>
                <w:b/>
              </w:rPr>
              <w:t>Licencirani organizatori obrazovanja odraslih</w:t>
            </w:r>
          </w:p>
        </w:tc>
        <w:tc>
          <w:tcPr>
            <w:tcW w:w="3015" w:type="dxa"/>
          </w:tcPr>
          <w:p w14:paraId="12D3D539" w14:textId="320320FB" w:rsidR="008B2B5E" w:rsidRPr="00FC0CD6" w:rsidRDefault="00646655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FC0CD6">
              <w:rPr>
                <w:rFonts w:ascii="Trebuchet MS" w:eastAsia="Trebuchet MS" w:hAnsi="Trebuchet MS" w:cs="Trebuchet MS"/>
                <w:color w:val="000000"/>
              </w:rPr>
              <w:t>n/a</w:t>
            </w:r>
          </w:p>
        </w:tc>
        <w:tc>
          <w:tcPr>
            <w:tcW w:w="3015" w:type="dxa"/>
          </w:tcPr>
          <w:p w14:paraId="63A7ACE5" w14:textId="77777777" w:rsidR="008B2B5E" w:rsidRPr="00FC0CD6" w:rsidRDefault="00A532C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FC0CD6">
              <w:rPr>
                <w:rFonts w:ascii="Trebuchet MS" w:eastAsia="Trebuchet MS" w:hAnsi="Trebuchet MS" w:cs="Trebuchet MS"/>
                <w:color w:val="000000"/>
              </w:rPr>
              <w:t>n/a</w:t>
            </w:r>
          </w:p>
        </w:tc>
        <w:tc>
          <w:tcPr>
            <w:tcW w:w="3009" w:type="dxa"/>
          </w:tcPr>
          <w:p w14:paraId="18B62CC1" w14:textId="77777777" w:rsidR="00E83057" w:rsidRPr="00D44B25" w:rsidRDefault="00E83057" w:rsidP="00E8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640CB73C" w14:textId="77777777" w:rsidR="00E83057" w:rsidRPr="00D44B25" w:rsidRDefault="00E83057" w:rsidP="00E8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32A0A815" w14:textId="1FDFB418" w:rsidR="00E83057" w:rsidRPr="00D44B25" w:rsidRDefault="00E83057" w:rsidP="00E8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8B2B5E" w:rsidRPr="00FC0CD6" w14:paraId="14C29E8B" w14:textId="77777777" w:rsidTr="000B2C36">
        <w:trPr>
          <w:jc w:val="center"/>
        </w:trPr>
        <w:tc>
          <w:tcPr>
            <w:tcW w:w="3068" w:type="dxa"/>
          </w:tcPr>
          <w:p w14:paraId="001A64A1" w14:textId="77777777" w:rsidR="008B2B5E" w:rsidRPr="00FC0CD6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FC0CD6">
              <w:rPr>
                <w:rFonts w:ascii="Trebuchet MS" w:eastAsia="Trebuchet MS" w:hAnsi="Trebuchet MS" w:cs="Trebuchet MS"/>
                <w:b/>
              </w:rPr>
              <w:t>Evaluacija programa obrazovanja</w:t>
            </w:r>
          </w:p>
        </w:tc>
        <w:tc>
          <w:tcPr>
            <w:tcW w:w="3013" w:type="dxa"/>
          </w:tcPr>
          <w:p w14:paraId="0F932199" w14:textId="77777777" w:rsidR="008B2B5E" w:rsidRPr="00FC0CD6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FC0CD6">
              <w:rPr>
                <w:rFonts w:ascii="Trebuchet MS" w:eastAsia="Trebuchet MS" w:hAnsi="Trebuchet MS" w:cs="Trebuchet MS"/>
                <w:b/>
              </w:rPr>
              <w:t>Centar za stručno obrazovanje</w:t>
            </w:r>
          </w:p>
        </w:tc>
        <w:tc>
          <w:tcPr>
            <w:tcW w:w="3015" w:type="dxa"/>
          </w:tcPr>
          <w:p w14:paraId="06F56ED9" w14:textId="289CA54D" w:rsidR="00200661" w:rsidRDefault="00646655" w:rsidP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</w:rPr>
              <w:t xml:space="preserve">Realizovano </w:t>
            </w:r>
          </w:p>
          <w:p w14:paraId="1A7CAB66" w14:textId="65C45BF4" w:rsidR="008B2B5E" w:rsidRPr="00FC0CD6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015" w:type="dxa"/>
          </w:tcPr>
          <w:p w14:paraId="3BC82E78" w14:textId="77777777" w:rsidR="008B2B5E" w:rsidRPr="00FC0CD6" w:rsidRDefault="00A532C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FC0CD6">
              <w:rPr>
                <w:rFonts w:ascii="Trebuchet MS" w:eastAsia="Trebuchet MS" w:hAnsi="Trebuchet MS" w:cs="Trebuchet MS"/>
                <w:color w:val="000000"/>
              </w:rPr>
              <w:t>n/a</w:t>
            </w:r>
          </w:p>
        </w:tc>
        <w:tc>
          <w:tcPr>
            <w:tcW w:w="3009" w:type="dxa"/>
          </w:tcPr>
          <w:p w14:paraId="09AB8965" w14:textId="41C0A7E1" w:rsidR="00E83057" w:rsidRPr="00D44B25" w:rsidRDefault="00E83057" w:rsidP="00005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Izvršena je analiza koncepta modularizovanih obrazovnih programa</w:t>
            </w:r>
          </w:p>
        </w:tc>
      </w:tr>
      <w:tr w:rsidR="008B2B5E" w:rsidRPr="00FC0CD6" w14:paraId="49019211" w14:textId="77777777" w:rsidTr="000B2C36">
        <w:trPr>
          <w:jc w:val="center"/>
        </w:trPr>
        <w:tc>
          <w:tcPr>
            <w:tcW w:w="3068" w:type="dxa"/>
          </w:tcPr>
          <w:p w14:paraId="0948EC7A" w14:textId="77777777" w:rsidR="008B2B5E" w:rsidRPr="00FC0CD6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FC0CD6">
              <w:rPr>
                <w:rFonts w:ascii="Trebuchet MS" w:eastAsia="Trebuchet MS" w:hAnsi="Trebuchet MS" w:cs="Trebuchet MS"/>
                <w:b/>
              </w:rPr>
              <w:t>Praćenje polaznika nakon završetka programa obrazovanja koji vode sticanju stručnih kvalifikacija (razvijanje procedura za praćenje polaznika)</w:t>
            </w:r>
          </w:p>
        </w:tc>
        <w:tc>
          <w:tcPr>
            <w:tcW w:w="3013" w:type="dxa"/>
          </w:tcPr>
          <w:p w14:paraId="4DA4BDB7" w14:textId="77777777" w:rsidR="008B2B5E" w:rsidRPr="00FC0CD6" w:rsidRDefault="00A532C6">
            <w:p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  <w:b/>
              </w:rPr>
            </w:pPr>
            <w:r w:rsidRPr="00FC0CD6">
              <w:rPr>
                <w:rFonts w:ascii="Trebuchet MS" w:eastAsia="Trebuchet MS" w:hAnsi="Trebuchet MS" w:cs="Trebuchet MS"/>
                <w:b/>
              </w:rPr>
              <w:t>Ministarstvo prosvjete</w:t>
            </w:r>
            <w:r w:rsidR="00A52991" w:rsidRPr="00FC0CD6">
              <w:rPr>
                <w:rFonts w:ascii="Trebuchet MS" w:eastAsia="Trebuchet MS" w:hAnsi="Trebuchet MS" w:cs="Trebuchet MS"/>
                <w:b/>
              </w:rPr>
              <w:t>, nauke i inovacija</w:t>
            </w:r>
            <w:r w:rsidRPr="00FC0CD6">
              <w:rPr>
                <w:rFonts w:ascii="Trebuchet MS" w:eastAsia="Trebuchet MS" w:hAnsi="Trebuchet MS" w:cs="Trebuchet MS"/>
                <w:b/>
              </w:rPr>
              <w:t>/</w:t>
            </w:r>
          </w:p>
          <w:p w14:paraId="440EF491" w14:textId="77777777" w:rsidR="008B2B5E" w:rsidRPr="00FC0CD6" w:rsidRDefault="00A532C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  <w:b/>
                <w:color w:val="000000"/>
              </w:rPr>
            </w:pPr>
            <w:r w:rsidRPr="00FC0CD6">
              <w:rPr>
                <w:rFonts w:ascii="Trebuchet MS" w:eastAsia="Trebuchet MS" w:hAnsi="Trebuchet MS" w:cs="Trebuchet MS"/>
                <w:color w:val="000000"/>
              </w:rPr>
              <w:t>Licencirani organizatori obrazovanja odraslih</w:t>
            </w:r>
          </w:p>
        </w:tc>
        <w:tc>
          <w:tcPr>
            <w:tcW w:w="3015" w:type="dxa"/>
          </w:tcPr>
          <w:p w14:paraId="5F52CFA9" w14:textId="77777777" w:rsidR="00200661" w:rsidRDefault="00200661" w:rsidP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</w:rPr>
              <w:t>Realizovano</w:t>
            </w:r>
          </w:p>
          <w:p w14:paraId="0CC92569" w14:textId="4648991E" w:rsidR="008B2B5E" w:rsidRPr="00FC0CD6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015" w:type="dxa"/>
          </w:tcPr>
          <w:p w14:paraId="1BACF29B" w14:textId="77777777" w:rsidR="008B2B5E" w:rsidRPr="00FC0CD6" w:rsidRDefault="00A532C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FC0CD6">
              <w:rPr>
                <w:rFonts w:ascii="Trebuchet MS" w:eastAsia="Trebuchet MS" w:hAnsi="Trebuchet MS" w:cs="Trebuchet MS"/>
                <w:color w:val="000000"/>
              </w:rPr>
              <w:t>n/a</w:t>
            </w:r>
          </w:p>
        </w:tc>
        <w:tc>
          <w:tcPr>
            <w:tcW w:w="3009" w:type="dxa"/>
          </w:tcPr>
          <w:p w14:paraId="54E3E665" w14:textId="5E0A0469" w:rsidR="008B2B5E" w:rsidRPr="00D44B25" w:rsidRDefault="00A532C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Uneseni podaci u MEIS bazu podataka u dijelu koji se odnosi na praćenje polaznika koji su završili program obrazovanja za stručnu kvalifikaciju</w:t>
            </w:r>
          </w:p>
          <w:p w14:paraId="4158227C" w14:textId="56A30BC1" w:rsidR="00D14DC9" w:rsidRPr="00D44B25" w:rsidRDefault="00D14DC9" w:rsidP="00005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9 licenciranih ustanova za obrazovanje odraslih je unijelo podatke o</w:t>
            </w:r>
            <w:r w:rsidR="00005A06" w:rsidRPr="00D44B25">
              <w:rPr>
                <w:rFonts w:ascii="Trebuchet MS" w:eastAsia="Trebuchet MS" w:hAnsi="Trebuchet MS" w:cs="Trebuchet MS"/>
              </w:rPr>
              <w:t xml:space="preserve"> </w:t>
            </w:r>
            <w:r w:rsidRPr="00D44B25">
              <w:rPr>
                <w:rFonts w:ascii="Trebuchet MS" w:eastAsia="Trebuchet MS" w:hAnsi="Trebuchet MS" w:cs="Trebuchet MS"/>
              </w:rPr>
              <w:t>zapošljavanju/</w:t>
            </w:r>
            <w:r w:rsidR="00005A06" w:rsidRPr="00D44B25">
              <w:rPr>
                <w:rFonts w:ascii="Trebuchet MS" w:eastAsia="Trebuchet MS" w:hAnsi="Trebuchet MS" w:cs="Trebuchet MS"/>
              </w:rPr>
              <w:t xml:space="preserve"> </w:t>
            </w:r>
            <w:r w:rsidRPr="00D44B25">
              <w:rPr>
                <w:rFonts w:ascii="Trebuchet MS" w:eastAsia="Trebuchet MS" w:hAnsi="Trebuchet MS" w:cs="Trebuchet MS"/>
              </w:rPr>
              <w:lastRenderedPageBreak/>
              <w:t>praćenju polaznika nakon završenog programa</w:t>
            </w:r>
          </w:p>
          <w:p w14:paraId="460A9279" w14:textId="79E09D2A" w:rsidR="008B2B5E" w:rsidRPr="00D44B25" w:rsidRDefault="00A532C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realizovanih savjetovanja organizatora obrazovanja odraslih o značaju i obavezi ažurne evidencije podataka u MEIS aplikaciji</w:t>
            </w:r>
          </w:p>
          <w:p w14:paraId="38FA3D62" w14:textId="53F5E99F" w:rsidR="00D14DC9" w:rsidRPr="00D44B25" w:rsidRDefault="00D14DC9" w:rsidP="00005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Realizovane su obuke za</w:t>
            </w:r>
            <w:r w:rsidR="00D5012D" w:rsidRPr="00D44B25">
              <w:rPr>
                <w:rFonts w:ascii="Trebuchet MS" w:eastAsia="Trebuchet MS" w:hAnsi="Trebuchet MS" w:cs="Trebuchet MS"/>
              </w:rPr>
              <w:t xml:space="preserve"> vođenje podataka u</w:t>
            </w:r>
            <w:r w:rsidRPr="00D44B25">
              <w:rPr>
                <w:rFonts w:ascii="Trebuchet MS" w:eastAsia="Trebuchet MS" w:hAnsi="Trebuchet MS" w:cs="Trebuchet MS"/>
              </w:rPr>
              <w:t xml:space="preserve"> MEIS</w:t>
            </w:r>
            <w:r w:rsidR="00D5012D" w:rsidRPr="00D44B25">
              <w:rPr>
                <w:rFonts w:ascii="Trebuchet MS" w:eastAsia="Trebuchet MS" w:hAnsi="Trebuchet MS" w:cs="Trebuchet MS"/>
              </w:rPr>
              <w:t>-u</w:t>
            </w:r>
            <w:r w:rsidRPr="00D44B25">
              <w:rPr>
                <w:rFonts w:ascii="Trebuchet MS" w:eastAsia="Trebuchet MS" w:hAnsi="Trebuchet MS" w:cs="Trebuchet MS"/>
              </w:rPr>
              <w:t xml:space="preserve"> za predstavnike dvije nove licencirane ustanove za obrazovanje odraslih</w:t>
            </w:r>
          </w:p>
          <w:p w14:paraId="39EA27DC" w14:textId="77777777" w:rsidR="008B2B5E" w:rsidRPr="00D44B25" w:rsidRDefault="00A532C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Iniciranje za pokretanje aktivnosti na uspostavljanju sistema elektronske razmjene podataka sa Zavodom za zapošljavanje i Poreskom upravom</w:t>
            </w:r>
          </w:p>
          <w:p w14:paraId="1EA2075F" w14:textId="4806E16D" w:rsidR="00D5012D" w:rsidRPr="00D44B25" w:rsidRDefault="00D5012D" w:rsidP="00005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</w:tc>
      </w:tr>
      <w:tr w:rsidR="008B2B5E" w:rsidRPr="00FC0CD6" w14:paraId="174DCA87" w14:textId="77777777" w:rsidTr="000B2C36">
        <w:trPr>
          <w:jc w:val="center"/>
        </w:trPr>
        <w:tc>
          <w:tcPr>
            <w:tcW w:w="3068" w:type="dxa"/>
          </w:tcPr>
          <w:p w14:paraId="5C4D65C0" w14:textId="77777777" w:rsidR="008B2B5E" w:rsidRPr="00FC0CD6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FC0CD6">
              <w:rPr>
                <w:rFonts w:ascii="Trebuchet MS" w:eastAsia="Trebuchet MS" w:hAnsi="Trebuchet MS" w:cs="Trebuchet MS"/>
                <w:b/>
              </w:rPr>
              <w:lastRenderedPageBreak/>
              <w:t xml:space="preserve">Online savjetovanja zaposlenih u ustanovama za obrazovanje odraslih u cilju poboljšanja unosa i tačnosti podataka </w:t>
            </w:r>
          </w:p>
        </w:tc>
        <w:tc>
          <w:tcPr>
            <w:tcW w:w="3013" w:type="dxa"/>
          </w:tcPr>
          <w:p w14:paraId="20454CD8" w14:textId="77777777" w:rsidR="008B2B5E" w:rsidRPr="00FC0CD6" w:rsidRDefault="00A532C6">
            <w:p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  <w:b/>
              </w:rPr>
            </w:pPr>
            <w:r w:rsidRPr="00FC0CD6">
              <w:rPr>
                <w:rFonts w:ascii="Trebuchet MS" w:eastAsia="Trebuchet MS" w:hAnsi="Trebuchet MS" w:cs="Trebuchet MS"/>
                <w:b/>
              </w:rPr>
              <w:t>Ministarstvo prosvjete</w:t>
            </w:r>
            <w:r w:rsidR="00705F46" w:rsidRPr="00FC0CD6">
              <w:rPr>
                <w:rFonts w:ascii="Trebuchet MS" w:eastAsia="Trebuchet MS" w:hAnsi="Trebuchet MS" w:cs="Trebuchet MS"/>
                <w:b/>
              </w:rPr>
              <w:t>, nauke i inovacija</w:t>
            </w:r>
          </w:p>
        </w:tc>
        <w:tc>
          <w:tcPr>
            <w:tcW w:w="3015" w:type="dxa"/>
          </w:tcPr>
          <w:p w14:paraId="1DA1C8FF" w14:textId="52DABCD9" w:rsidR="008B2B5E" w:rsidRPr="00FC0CD6" w:rsidRDefault="00646655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FC0CD6">
              <w:rPr>
                <w:rFonts w:ascii="Trebuchet MS" w:eastAsia="Trebuchet MS" w:hAnsi="Trebuchet MS" w:cs="Trebuchet MS"/>
                <w:color w:val="000000"/>
              </w:rPr>
              <w:t>n/a</w:t>
            </w:r>
          </w:p>
        </w:tc>
        <w:tc>
          <w:tcPr>
            <w:tcW w:w="3015" w:type="dxa"/>
          </w:tcPr>
          <w:p w14:paraId="62A89FE6" w14:textId="77777777" w:rsidR="008B2B5E" w:rsidRPr="00FC0CD6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FC0CD6">
              <w:rPr>
                <w:rFonts w:ascii="Trebuchet MS" w:eastAsia="Trebuchet MS" w:hAnsi="Trebuchet MS" w:cs="Trebuchet MS"/>
                <w:color w:val="000000"/>
              </w:rPr>
              <w:t>Nijesu predviđena finansijska sredstva</w:t>
            </w:r>
          </w:p>
        </w:tc>
        <w:tc>
          <w:tcPr>
            <w:tcW w:w="3009" w:type="dxa"/>
          </w:tcPr>
          <w:p w14:paraId="7A0B1C68" w14:textId="77777777" w:rsidR="008B2B5E" w:rsidRPr="00D44B25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Broj održanih savjetovanja</w:t>
            </w:r>
          </w:p>
        </w:tc>
      </w:tr>
      <w:tr w:rsidR="008B2B5E" w:rsidRPr="00FC0CD6" w14:paraId="043D9C78" w14:textId="77777777" w:rsidTr="000B2C36">
        <w:trPr>
          <w:jc w:val="center"/>
        </w:trPr>
        <w:tc>
          <w:tcPr>
            <w:tcW w:w="3068" w:type="dxa"/>
          </w:tcPr>
          <w:p w14:paraId="1E5F638E" w14:textId="77777777" w:rsidR="008B2B5E" w:rsidRPr="00FC0CD6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FC0CD6">
              <w:rPr>
                <w:rFonts w:ascii="Trebuchet MS" w:eastAsia="Trebuchet MS" w:hAnsi="Trebuchet MS" w:cs="Trebuchet MS"/>
                <w:b/>
              </w:rPr>
              <w:t>Andragoško osposobljavanje nastavnog kadra koji radi u obrazovanju odraslih</w:t>
            </w:r>
          </w:p>
        </w:tc>
        <w:tc>
          <w:tcPr>
            <w:tcW w:w="3013" w:type="dxa"/>
          </w:tcPr>
          <w:p w14:paraId="4C7AEF24" w14:textId="77777777" w:rsidR="008B2B5E" w:rsidRPr="00FC0CD6" w:rsidRDefault="00A532C6">
            <w:p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  <w:b/>
              </w:rPr>
            </w:pPr>
            <w:r w:rsidRPr="00FC0CD6">
              <w:rPr>
                <w:rFonts w:ascii="Trebuchet MS" w:eastAsia="Trebuchet MS" w:hAnsi="Trebuchet MS" w:cs="Trebuchet MS"/>
                <w:b/>
              </w:rPr>
              <w:t xml:space="preserve">Centar za stručno </w:t>
            </w:r>
            <w:r w:rsidRPr="00FC0CD6">
              <w:rPr>
                <w:rFonts w:ascii="Trebuchet MS" w:eastAsia="Trebuchet MS" w:hAnsi="Trebuchet MS" w:cs="Trebuchet MS"/>
                <w:b/>
              </w:rPr>
              <w:br/>
              <w:t>obrazovanje /</w:t>
            </w:r>
          </w:p>
          <w:p w14:paraId="23350688" w14:textId="77777777" w:rsidR="008B2B5E" w:rsidRPr="00FC0CD6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FC0CD6">
              <w:rPr>
                <w:rFonts w:ascii="Trebuchet MS" w:eastAsia="Trebuchet MS" w:hAnsi="Trebuchet MS" w:cs="Trebuchet MS"/>
                <w:color w:val="000000"/>
              </w:rPr>
              <w:t>Licencirani organizatori obrazovanja odraslih</w:t>
            </w:r>
            <w:r w:rsidRPr="00FC0CD6">
              <w:rPr>
                <w:rFonts w:ascii="Trebuchet MS" w:eastAsia="Trebuchet MS" w:hAnsi="Trebuchet MS" w:cs="Trebuchet MS"/>
                <w:b/>
                <w:color w:val="000000"/>
              </w:rPr>
              <w:t xml:space="preserve"> </w:t>
            </w:r>
          </w:p>
        </w:tc>
        <w:tc>
          <w:tcPr>
            <w:tcW w:w="3015" w:type="dxa"/>
          </w:tcPr>
          <w:p w14:paraId="444849B3" w14:textId="4FF9AEE8" w:rsidR="008B2B5E" w:rsidRPr="00FC0CD6" w:rsidRDefault="00200661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Realizovano</w:t>
            </w:r>
          </w:p>
        </w:tc>
        <w:tc>
          <w:tcPr>
            <w:tcW w:w="3015" w:type="dxa"/>
          </w:tcPr>
          <w:p w14:paraId="24403E02" w14:textId="77777777" w:rsidR="008B2B5E" w:rsidRPr="00FC0CD6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FC0CD6">
              <w:rPr>
                <w:rFonts w:ascii="Trebuchet MS" w:eastAsia="Trebuchet MS" w:hAnsi="Trebuchet MS" w:cs="Trebuchet MS"/>
                <w:color w:val="000000"/>
              </w:rPr>
              <w:t xml:space="preserve">n/a </w:t>
            </w:r>
          </w:p>
        </w:tc>
        <w:tc>
          <w:tcPr>
            <w:tcW w:w="3009" w:type="dxa"/>
          </w:tcPr>
          <w:p w14:paraId="5A67D199" w14:textId="77777777" w:rsidR="008B2B5E" w:rsidRPr="00D44B25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Broj lica koja su završila Program andragoškog ospobljavanja nastavnog kadra koji radi kod organizatora obrazovanja odraslih </w:t>
            </w:r>
          </w:p>
          <w:p w14:paraId="4F978E5E" w14:textId="0F00F4E3" w:rsidR="007F28BE" w:rsidRPr="00D44B25" w:rsidRDefault="007F28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lastRenderedPageBreak/>
              <w:t>78 lica je završilo program andragoškog osposobljavanja za rad u obrazovanju odraslih</w:t>
            </w:r>
          </w:p>
        </w:tc>
      </w:tr>
      <w:tr w:rsidR="008B2B5E" w:rsidRPr="00FC0CD6" w14:paraId="21295F53" w14:textId="77777777" w:rsidTr="000B2C36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65C9" w14:textId="77777777" w:rsidR="008B2B5E" w:rsidRPr="00FC0CD6" w:rsidRDefault="00A53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b/>
                <w:color w:val="000000"/>
              </w:rPr>
            </w:pPr>
            <w:r w:rsidRPr="00FC0CD6">
              <w:rPr>
                <w:rFonts w:ascii="Trebuchet MS" w:eastAsia="Trebuchet MS" w:hAnsi="Trebuchet MS" w:cs="Trebuchet MS"/>
                <w:b/>
                <w:color w:val="000000"/>
              </w:rPr>
              <w:lastRenderedPageBreak/>
              <w:t xml:space="preserve">Stručno usavršavanje lica koja kreiraju i sprovode politiku obrazovanja odraslih u Crnoj Gori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A0B8" w14:textId="77777777" w:rsidR="008B2B5E" w:rsidRPr="00FC0CD6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FC0CD6">
              <w:rPr>
                <w:rFonts w:ascii="Trebuchet MS" w:eastAsia="Trebuchet MS" w:hAnsi="Trebuchet MS" w:cs="Trebuchet MS"/>
                <w:b/>
              </w:rPr>
              <w:t xml:space="preserve">Centar za stručno obrazovanje / </w:t>
            </w:r>
          </w:p>
          <w:p w14:paraId="25037E60" w14:textId="77777777" w:rsidR="008B2B5E" w:rsidRPr="00FC0CD6" w:rsidRDefault="00A532C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FC0CD6">
              <w:rPr>
                <w:rFonts w:ascii="Trebuchet MS" w:eastAsia="Trebuchet MS" w:hAnsi="Trebuchet MS" w:cs="Trebuchet MS"/>
                <w:color w:val="000000"/>
              </w:rPr>
              <w:t>Ministarstvo prosvjete</w:t>
            </w:r>
            <w:r w:rsidR="002B5870" w:rsidRPr="00FC0CD6">
              <w:rPr>
                <w:rFonts w:ascii="Trebuchet MS" w:eastAsia="Trebuchet MS" w:hAnsi="Trebuchet MS" w:cs="Trebuchet MS"/>
                <w:color w:val="000000"/>
              </w:rPr>
              <w:t>, nauke i inovacija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4427" w14:textId="77777777"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3BDD6453" w14:textId="4ABE23CE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</w:rPr>
              <w:t>Realizovano</w:t>
            </w:r>
          </w:p>
          <w:p w14:paraId="4313D421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0CA4832B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684232CB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731B8FB3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499493F2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692A5589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2940857E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68390364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43580978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1D657500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1AED2040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57A9A09E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55B03E6E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78F97DB9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75C619AA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0A68CFD9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3215834A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72325495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32708C51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4DDA7E3B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19FCFF2F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53462EEA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1FCE2F10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712A75AE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40BDF05D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0D775BC2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415953A2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291ABF7C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20B25F89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22FD7559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35DFE749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6A8604F5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6D19A652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24D8D4D1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36FB6825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0841F3BE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0CDA7D8C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22494A06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33EDABB1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20F92B15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399DDC22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068113E0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6A6233A9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3AB8C18D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7F788F09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59EBC283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2FBAA08A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0DED1CDA" w14:textId="77777777" w:rsidR="00200661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  <w:p w14:paraId="1213DFF3" w14:textId="50F85656" w:rsidR="00200661" w:rsidRPr="00FC0CD6" w:rsidRDefault="0020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3429" w14:textId="77777777" w:rsidR="008B2B5E" w:rsidRPr="00FC0CD6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FC0CD6">
              <w:rPr>
                <w:rFonts w:ascii="Trebuchet MS" w:eastAsia="Trebuchet MS" w:hAnsi="Trebuchet MS" w:cs="Trebuchet MS"/>
                <w:color w:val="000000"/>
              </w:rPr>
              <w:lastRenderedPageBreak/>
              <w:t>n/a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E318" w14:textId="2A13BEEB" w:rsidR="008B2B5E" w:rsidRPr="00D44B25" w:rsidRDefault="00A532C6" w:rsidP="00005A0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Učešće predstavnika stručnih službi za obrazovanje odraslih na: nacionalnim i međunarodnim konferencijama, studijskim posjetama, simpozijumima i drugim stručnim skupovima</w:t>
            </w:r>
          </w:p>
          <w:p w14:paraId="3885EF38" w14:textId="17FCD460" w:rsidR="00446EDF" w:rsidRPr="00D44B25" w:rsidRDefault="00446EDF" w:rsidP="00005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Sastanak partnera u projektu MCVET na temu Definisanje mikrokvalifikacija od 17. do 20. septembra u Kragujevcu</w:t>
            </w:r>
          </w:p>
          <w:p w14:paraId="0B8DB85E" w14:textId="0799F62E" w:rsidR="00FE57A6" w:rsidRPr="00D44B25" w:rsidRDefault="00FE57A6" w:rsidP="00005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Regionalna radionica«Validacija prethodnog neformalnog i informalnog učenja i politike cjeloživotnog učenja na Zapadnom Balkanu 13-15. novembra 2024. godine u Valoni, Albanija</w:t>
            </w:r>
          </w:p>
          <w:p w14:paraId="18C3A214" w14:textId="0F938556" w:rsidR="00FE57A6" w:rsidRPr="00D44B25" w:rsidRDefault="00FE57A6" w:rsidP="00005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Završna konferencija partnera projekta VET VEB u Milanu 5.11.2024. godine</w:t>
            </w:r>
          </w:p>
          <w:p w14:paraId="61E997D5" w14:textId="77777777" w:rsidR="008B2B5E" w:rsidRPr="00D44B25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 xml:space="preserve">Stručno usavršavanje predstavnika licenciranih ustanova za obrazovanje </w:t>
            </w:r>
            <w:r w:rsidR="00B679A3" w:rsidRPr="00D44B25">
              <w:rPr>
                <w:rFonts w:ascii="Trebuchet MS" w:eastAsia="Trebuchet MS" w:hAnsi="Trebuchet MS" w:cs="Trebuchet MS"/>
              </w:rPr>
              <w:t>odraslih (T</w:t>
            </w:r>
            <w:r w:rsidRPr="00D44B25">
              <w:rPr>
                <w:rFonts w:ascii="Trebuchet MS" w:eastAsia="Trebuchet MS" w:hAnsi="Trebuchet MS" w:cs="Trebuchet MS"/>
              </w:rPr>
              <w:t xml:space="preserve">eams edukacija) </w:t>
            </w:r>
          </w:p>
          <w:p w14:paraId="5972B473" w14:textId="019AF307" w:rsidR="008B2B5E" w:rsidRPr="00D44B25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lastRenderedPageBreak/>
              <w:t>Kreiranje smjernica za unapređenje rada licenciranih ustanova za obrazovanje odraslih</w:t>
            </w:r>
          </w:p>
          <w:p w14:paraId="3069F2DD" w14:textId="787055F1" w:rsidR="0051515D" w:rsidRPr="00D44B25" w:rsidRDefault="0051515D" w:rsidP="00005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Sprovedeno je empirijsko istraživanje Izazovi sa kojima se suočavaju licencirani organizatori obrazovanja odraslih u Crnoj Gori. Na osnovu ključnih nalaza pripremljene su preporuke za unapređenje ambijenta poslovanja i rada ustanova za obrazovanje odraslih u Crnoj Gori. Preporuke imaju za cilj rješavanje evidentiranih prepreka  i izazova sa kojima se suočavaju licencirane ustanove za obrazovanje odraslih.</w:t>
            </w:r>
          </w:p>
          <w:p w14:paraId="466AD9F5" w14:textId="77777777" w:rsidR="008B2B5E" w:rsidRPr="00D44B25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Jačanje saradnje među nacionalnim ERASMUS+ timovima u Crnoj Gori/profesionalizacija u obrazovanju odraslih</w:t>
            </w:r>
          </w:p>
          <w:p w14:paraId="2081731A" w14:textId="65005D92" w:rsidR="00FE57A6" w:rsidRPr="00D44B25" w:rsidRDefault="00FE57A6" w:rsidP="00005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Trebuchet MS" w:eastAsia="Trebuchet MS" w:hAnsi="Trebuchet MS" w:cs="Trebuchet MS"/>
              </w:rPr>
            </w:pPr>
            <w:r w:rsidRPr="00D44B25">
              <w:rPr>
                <w:rFonts w:ascii="Trebuchet MS" w:eastAsia="Trebuchet MS" w:hAnsi="Trebuchet MS" w:cs="Trebuchet MS"/>
              </w:rPr>
              <w:t>Učešće nacionalnih ERASMUS+ timova na promotivnim događajima na kojima su prezentovane aktivnosti projekata MC VET  i VET VEB.</w:t>
            </w:r>
          </w:p>
        </w:tc>
      </w:tr>
    </w:tbl>
    <w:p w14:paraId="4B3AB371" w14:textId="77777777" w:rsidR="008B2B5E" w:rsidRDefault="008B2B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0000"/>
        </w:rPr>
      </w:pPr>
    </w:p>
    <w:p w14:paraId="40717861" w14:textId="02FAA9C2" w:rsidR="008B2B5E" w:rsidRDefault="00A532C6" w:rsidP="004D650C">
      <w:pPr>
        <w:spacing w:after="0" w:line="240" w:lineRule="auto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  <w:bookmarkStart w:id="10" w:name="_heading=h.2et92p0" w:colFirst="0" w:colLast="0"/>
      <w:bookmarkEnd w:id="10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PRIORITETNA OBLAST: </w:t>
      </w:r>
      <w:r>
        <w:rPr>
          <w:rFonts w:ascii="Trebuchet MS" w:eastAsia="Trebuchet MS" w:hAnsi="Trebuchet MS" w:cs="Trebuchet MS"/>
          <w:b/>
          <w:color w:val="000000"/>
          <w:sz w:val="24"/>
          <w:szCs w:val="24"/>
          <w:u w:val="single"/>
        </w:rPr>
        <w:t>OBEZBJEĐIVANJE FLEKSIBILNOG I ODRŽIVOG SISTEMA OBRAZOVANJA ODRASLIH</w:t>
      </w:r>
    </w:p>
    <w:tbl>
      <w:tblPr>
        <w:tblStyle w:val="a7"/>
        <w:tblW w:w="15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63"/>
        <w:gridCol w:w="2825"/>
        <w:gridCol w:w="2452"/>
        <w:gridCol w:w="3111"/>
        <w:gridCol w:w="3589"/>
      </w:tblGrid>
      <w:tr w:rsidR="008B2B5E" w14:paraId="0D9EAE73" w14:textId="77777777" w:rsidTr="00FC0CD6">
        <w:trPr>
          <w:cantSplit/>
          <w:trHeight w:val="306"/>
          <w:tblHeader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C240976" w14:textId="77777777" w:rsidR="008B2B5E" w:rsidRDefault="00A532C6">
            <w:pPr>
              <w:spacing w:before="40" w:after="40" w:line="240" w:lineRule="auto"/>
              <w:ind w:left="15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Aktivnosti kojima se neposredno ostvaruju operativni ciljevi</w:t>
            </w:r>
            <w:r w:rsidR="008512D7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,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a posredno strateški ciljevi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D8BE71B" w14:textId="77777777" w:rsidR="008B2B5E" w:rsidRDefault="00A532C6">
            <w:pPr>
              <w:spacing w:before="40" w:after="40" w:line="240" w:lineRule="auto"/>
              <w:ind w:left="15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Partnerske institucije odgovorne za sprovođenje aktivnosti i institucija nadležna za praćenje sprovođenja i izvještavanja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B2DDE96" w14:textId="56499102" w:rsidR="008B2B5E" w:rsidRPr="00DC418C" w:rsidRDefault="00DC418C">
            <w:pPr>
              <w:spacing w:before="40" w:after="40" w:line="240" w:lineRule="auto"/>
              <w:ind w:left="150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DC418C">
              <w:rPr>
                <w:rFonts w:ascii="Trebuchet MS" w:eastAsia="Trebuchet MS" w:hAnsi="Trebuchet MS" w:cs="Trebuchet MS"/>
              </w:rPr>
              <w:t>Ocjena realizacije aktivnosti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9C0EA00" w14:textId="77777777" w:rsidR="008B2B5E" w:rsidRDefault="00A532C6">
            <w:pPr>
              <w:spacing w:before="40" w:after="40" w:line="240" w:lineRule="auto"/>
              <w:ind w:left="15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Planirana i utrošena finansijska sredstva i fondovi za sprovođenje aktivnosti (informacije o izvorima finansiranja)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8DDBCBF" w14:textId="77777777" w:rsidR="008B2B5E" w:rsidRDefault="00A532C6">
            <w:pPr>
              <w:spacing w:before="40" w:after="40" w:line="240" w:lineRule="auto"/>
              <w:ind w:left="15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Indikatori rezultata</w:t>
            </w:r>
          </w:p>
        </w:tc>
      </w:tr>
      <w:tr w:rsidR="008B2B5E" w14:paraId="3CF094A0" w14:textId="77777777" w:rsidTr="00FC0CD6">
        <w:trPr>
          <w:cantSplit/>
          <w:trHeight w:val="375"/>
          <w:jc w:val="center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73B0F" w14:textId="77777777"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Kreiranje fleksibilnih programa prilagođenih različitim potrebama usavršavanja odraslih lica, uključujući različita osposobljavanja i učenja na radu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  <w:vertAlign w:val="superscript"/>
              </w:rPr>
              <w:footnoteReference w:id="10"/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3C17AA8" w14:textId="77777777"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Centar za stručno obrazovanje 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8B2819" w14:textId="2C8BA414" w:rsidR="008B2B5E" w:rsidRDefault="00646655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FC0CD6">
              <w:rPr>
                <w:rFonts w:ascii="Trebuchet MS" w:eastAsia="Trebuchet MS" w:hAnsi="Trebuchet MS" w:cs="Trebuchet MS"/>
                <w:color w:val="000000"/>
              </w:rPr>
              <w:t>n/a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8DE8DF" w14:textId="77777777"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Programi se </w:t>
            </w:r>
            <w:r w:rsidR="00701EC0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rade na zahtjev poslodavaca, in</w:t>
            </w: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stitucija/ organizacija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02BB024" w14:textId="77777777"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Broj kreiranih programa obrazovanja</w:t>
            </w:r>
          </w:p>
          <w:p w14:paraId="0711477F" w14:textId="77777777"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Broj realizovanih programa obrazovanja u praksi</w:t>
            </w:r>
          </w:p>
        </w:tc>
      </w:tr>
      <w:tr w:rsidR="008B2B5E" w14:paraId="5B28FBE7" w14:textId="77777777" w:rsidTr="00FC0CD6">
        <w:trPr>
          <w:cantSplit/>
          <w:trHeight w:val="375"/>
          <w:jc w:val="center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28E85" w14:textId="77777777"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Priznavanje stručnih kvalifikacija u procesu sticanja kvalifikacije nivoa obrazovanja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  <w:vertAlign w:val="superscript"/>
              </w:rPr>
              <w:footnoteReference w:id="11"/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FA280B2" w14:textId="77777777"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Obrazovne ustanove u srednjem stručnom obrazovanju </w:t>
            </w:r>
          </w:p>
          <w:p w14:paraId="28301A96" w14:textId="77777777"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78B1E0" w14:textId="0422658A" w:rsidR="008B2B5E" w:rsidRDefault="00646655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FC0CD6">
              <w:rPr>
                <w:rFonts w:ascii="Trebuchet MS" w:eastAsia="Trebuchet MS" w:hAnsi="Trebuchet MS" w:cs="Trebuchet MS"/>
                <w:color w:val="000000"/>
              </w:rPr>
              <w:t>n/a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4CBFDC" w14:textId="77777777"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1A77" w14:textId="77777777"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Broj lica kojima je izdat sertifikat o stečenoj stručnoj kvalifikaciji nakon napuštanja obrazovnog programa ili na lični zahtjev tokom školovanja</w:t>
            </w:r>
          </w:p>
        </w:tc>
      </w:tr>
      <w:tr w:rsidR="008B2B5E" w14:paraId="44F85F05" w14:textId="77777777" w:rsidTr="00FC0CD6">
        <w:trPr>
          <w:cantSplit/>
          <w:trHeight w:val="375"/>
          <w:jc w:val="center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4C15C" w14:textId="77777777"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Oslanjanje na postojeće mehanizme priznavanja neformalnog i informalnog učenja, uključujući učenje na radnom mjestu – u skladu sa nacionalnim okvirima kvalifikacija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  <w:vertAlign w:val="superscript"/>
              </w:rPr>
              <w:footnoteReference w:id="12"/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8AB2A0" w14:textId="77777777"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Ministarstvo prosvjete</w:t>
            </w:r>
            <w:r w:rsidR="007A5E70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, nauke i inovacija</w:t>
            </w:r>
          </w:p>
          <w:p w14:paraId="77F3738C" w14:textId="77777777"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Centar za stručno obrazovanje</w:t>
            </w:r>
          </w:p>
          <w:p w14:paraId="51A4B061" w14:textId="77777777"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Ispitni centar</w:t>
            </w:r>
          </w:p>
          <w:p w14:paraId="360F5015" w14:textId="77777777"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Licencirani organizatori obrazovanja odraslih </w:t>
            </w:r>
          </w:p>
          <w:p w14:paraId="047FFD1D" w14:textId="77777777"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D1DFFF3" w14:textId="369E238B" w:rsidR="008B2B5E" w:rsidRDefault="00646655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FC0CD6">
              <w:rPr>
                <w:rFonts w:ascii="Trebuchet MS" w:eastAsia="Trebuchet MS" w:hAnsi="Trebuchet MS" w:cs="Trebuchet MS"/>
                <w:color w:val="000000"/>
              </w:rPr>
              <w:t>n/a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F0F2E1" w14:textId="77777777"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A28744" w14:textId="77777777"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Mjere preduzete u cilju informisanja licenciranih organizatora obrazovanja odraslih o primjeni mehanizama vrednovanja neformalnog i informalnog učenja, uključujući učenje na radnom mjestu</w:t>
            </w:r>
          </w:p>
          <w:p w14:paraId="662C1A43" w14:textId="77777777"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Broj organizovanih aktivnosti na temu vrednovanja neformalnog i informalnog učenja, uključujući učenje na radnom mjestu</w:t>
            </w:r>
          </w:p>
        </w:tc>
      </w:tr>
      <w:tr w:rsidR="008B2B5E" w14:paraId="3321261B" w14:textId="77777777" w:rsidTr="00FC0CD6">
        <w:trPr>
          <w:cantSplit/>
          <w:trHeight w:val="375"/>
          <w:jc w:val="center"/>
        </w:trPr>
        <w:tc>
          <w:tcPr>
            <w:tcW w:w="3686" w:type="dxa"/>
            <w:tcBorders>
              <w:top w:val="single" w:sz="8" w:space="0" w:color="000000"/>
              <w:bottom w:val="single" w:sz="4" w:space="0" w:color="000000"/>
            </w:tcBorders>
          </w:tcPr>
          <w:p w14:paraId="07622520" w14:textId="77777777"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lastRenderedPageBreak/>
              <w:t>Izdvajanje budžetskih sredstava za aktivnosti razvoja sistema obrazovanja odraslih i njihovu implementaciju u praksi</w:t>
            </w:r>
          </w:p>
        </w:tc>
        <w:tc>
          <w:tcPr>
            <w:tcW w:w="2697" w:type="dxa"/>
            <w:tcBorders>
              <w:top w:val="single" w:sz="8" w:space="0" w:color="000000"/>
              <w:bottom w:val="single" w:sz="4" w:space="0" w:color="000000"/>
            </w:tcBorders>
          </w:tcPr>
          <w:p w14:paraId="5B36FC17" w14:textId="77777777"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Ministarstvo prosvjete</w:t>
            </w:r>
            <w:r w:rsidR="00043892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, nauke i inovacija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/</w:t>
            </w:r>
          </w:p>
          <w:p w14:paraId="6771D26C" w14:textId="77777777" w:rsidR="008B2B5E" w:rsidRDefault="0011388A" w:rsidP="0011388A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Ministarstvo finansija </w:t>
            </w:r>
          </w:p>
        </w:tc>
        <w:tc>
          <w:tcPr>
            <w:tcW w:w="2341" w:type="dxa"/>
            <w:tcBorders>
              <w:top w:val="single" w:sz="8" w:space="0" w:color="000000"/>
              <w:bottom w:val="single" w:sz="4" w:space="0" w:color="000000"/>
            </w:tcBorders>
          </w:tcPr>
          <w:p w14:paraId="14A271CC" w14:textId="6BC65F1D" w:rsidR="008B2B5E" w:rsidRDefault="00646655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FC0CD6">
              <w:rPr>
                <w:rFonts w:ascii="Trebuchet MS" w:eastAsia="Trebuchet MS" w:hAnsi="Trebuchet MS" w:cs="Trebuchet MS"/>
                <w:color w:val="000000"/>
              </w:rPr>
              <w:t>n/a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4" w:space="0" w:color="000000"/>
            </w:tcBorders>
          </w:tcPr>
          <w:p w14:paraId="36F45C8D" w14:textId="77777777"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Sredstva nijesu potrebna</w:t>
            </w:r>
          </w:p>
        </w:tc>
        <w:tc>
          <w:tcPr>
            <w:tcW w:w="3426" w:type="dxa"/>
            <w:tcBorders>
              <w:top w:val="single" w:sz="8" w:space="0" w:color="000000"/>
              <w:bottom w:val="single" w:sz="4" w:space="0" w:color="000000"/>
            </w:tcBorders>
          </w:tcPr>
          <w:p w14:paraId="578F64F6" w14:textId="77777777"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Zakonom o budžetu za određenu godinu prepoznata i izdvojena budžetska linija za obrazovanje odraslih u okviru Ministarstva prosvjete</w:t>
            </w:r>
            <w:r w:rsidR="00FE357F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, nauke i inovacija</w:t>
            </w: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i Centra za stručno obrazovanje</w:t>
            </w:r>
          </w:p>
        </w:tc>
      </w:tr>
    </w:tbl>
    <w:p w14:paraId="19BFB380" w14:textId="77777777" w:rsidR="008B2B5E" w:rsidRDefault="00A532C6">
      <w:pPr>
        <w:spacing w:after="0" w:line="240" w:lineRule="auto"/>
        <w:rPr>
          <w:rFonts w:ascii="Trebuchet MS" w:eastAsia="Trebuchet MS" w:hAnsi="Trebuchet MS" w:cs="Trebuchet MS"/>
        </w:rPr>
      </w:pPr>
      <w:r>
        <w:br w:type="page"/>
      </w:r>
    </w:p>
    <w:p w14:paraId="1952507E" w14:textId="77777777" w:rsidR="008B2B5E" w:rsidRDefault="00A532C6">
      <w:pPr>
        <w:spacing w:before="240" w:after="240" w:line="240" w:lineRule="auto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lastRenderedPageBreak/>
        <w:t>PREPORUKE ZA NAREDNE FAZE SPROVOĐENJA GODIŠNJEG PLANA OBRAZOVANJA ODRASLIH</w:t>
      </w:r>
    </w:p>
    <w:p w14:paraId="05E69E5C" w14:textId="6933CC99"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U izradu narednog Godišnjeg plana obrazovanja odraslih za 202</w:t>
      </w:r>
      <w:r w:rsidR="00F03241">
        <w:rPr>
          <w:rFonts w:ascii="Trebuchet MS" w:eastAsia="Trebuchet MS" w:hAnsi="Trebuchet MS" w:cs="Trebuchet MS"/>
        </w:rPr>
        <w:t>5</w:t>
      </w:r>
      <w:r>
        <w:rPr>
          <w:rFonts w:ascii="Trebuchet MS" w:eastAsia="Trebuchet MS" w:hAnsi="Trebuchet MS" w:cs="Trebuchet MS"/>
        </w:rPr>
        <w:t>. godinu potrebno je da se uključe predstavnici svih nadležnih ministarstava i institucije koje dobijaju sredstva iz budžeta za različite oblike obrazovanja i usavršavanja. Jedino na ovaj način ćemo imati pregled utrošenih javnih sredstava za obrazovanje odraslih na nivou jedne godine i broja građana koji su bili uključeni u različite programe obrazovanja i učenja. Nakon usvajanja Nacionalnog budžeta potrebno je ostvariti komunikaciju sa predstavnicima institucija u cilju informisanja stručne javnosti o finansijskom planu obrazovanja odraslih za 202</w:t>
      </w:r>
      <w:r w:rsidR="00D44B25">
        <w:rPr>
          <w:rFonts w:ascii="Trebuchet MS" w:eastAsia="Trebuchet MS" w:hAnsi="Trebuchet MS" w:cs="Trebuchet MS"/>
        </w:rPr>
        <w:t>5</w:t>
      </w:r>
      <w:r>
        <w:rPr>
          <w:rFonts w:ascii="Trebuchet MS" w:eastAsia="Trebuchet MS" w:hAnsi="Trebuchet MS" w:cs="Trebuchet MS"/>
        </w:rPr>
        <w:t xml:space="preserve">. godinu. </w:t>
      </w:r>
    </w:p>
    <w:p w14:paraId="7B55E5D1" w14:textId="77777777" w:rsidR="008B2B5E" w:rsidRDefault="00A532C6">
      <w:pPr>
        <w:spacing w:before="240" w:after="240" w:line="240" w:lineRule="auto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RASPOREĐIVANJE PROGRAMA NA JEDINICE LOKALNE SAMOUPRAVE</w:t>
      </w:r>
    </w:p>
    <w:p w14:paraId="295E7E2F" w14:textId="77777777"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Za raspoređivanje programa utvrđenih Planom obrazovanja odraslih za 2024. godinu na nivou jedinica lokalne samouprave nijesu dobijeni podaci od nadležnih institucija, a raspoređivanje programa vrši se u skla</w:t>
      </w:r>
      <w:r w:rsidR="00D77F5B">
        <w:rPr>
          <w:rFonts w:ascii="Trebuchet MS" w:eastAsia="Trebuchet MS" w:hAnsi="Trebuchet MS" w:cs="Trebuchet MS"/>
        </w:rPr>
        <w:t xml:space="preserve">du sa prijavljenim polaznicima, </w:t>
      </w:r>
      <w:r>
        <w:rPr>
          <w:rFonts w:ascii="Trebuchet MS" w:eastAsia="Trebuchet MS" w:hAnsi="Trebuchet MS" w:cs="Trebuchet MS"/>
        </w:rPr>
        <w:t>zainteresovanim za obrazovanje/obuku.</w:t>
      </w:r>
    </w:p>
    <w:p w14:paraId="291BA346" w14:textId="77777777" w:rsidR="008B2B5E" w:rsidRDefault="000A3EBE" w:rsidP="00FC0CD6">
      <w:pPr>
        <w:spacing w:before="240" w:after="240" w:line="240" w:lineRule="auto"/>
        <w:jc w:val="right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</w:t>
      </w:r>
      <w:r w:rsidR="00A532C6">
        <w:rPr>
          <w:rFonts w:ascii="Trebuchet MS" w:eastAsia="Trebuchet MS" w:hAnsi="Trebuchet MS" w:cs="Trebuchet MS"/>
        </w:rPr>
        <w:t xml:space="preserve">(M.P.) </w:t>
      </w:r>
      <w:r w:rsidR="00A532C6">
        <w:rPr>
          <w:rFonts w:ascii="Trebuchet MS" w:eastAsia="Trebuchet MS" w:hAnsi="Trebuchet MS" w:cs="Trebuchet MS"/>
        </w:rPr>
        <w:tab/>
      </w:r>
      <w:r w:rsidR="00A532C6">
        <w:rPr>
          <w:rFonts w:ascii="Trebuchet MS" w:eastAsia="Trebuchet MS" w:hAnsi="Trebuchet MS" w:cs="Trebuchet MS"/>
        </w:rPr>
        <w:tab/>
      </w:r>
      <w:r w:rsidR="00A532C6">
        <w:rPr>
          <w:rFonts w:ascii="Trebuchet MS" w:eastAsia="Trebuchet MS" w:hAnsi="Trebuchet MS" w:cs="Trebuchet MS"/>
        </w:rPr>
        <w:tab/>
      </w:r>
      <w:r w:rsidR="00A532C6">
        <w:rPr>
          <w:rFonts w:ascii="Trebuchet MS" w:eastAsia="Trebuchet MS" w:hAnsi="Trebuchet MS" w:cs="Trebuchet MS"/>
        </w:rPr>
        <w:tab/>
      </w:r>
      <w:r w:rsidR="00FC0CD6">
        <w:rPr>
          <w:rFonts w:ascii="Trebuchet MS" w:eastAsia="Trebuchet MS" w:hAnsi="Trebuchet MS" w:cs="Trebuchet MS"/>
        </w:rPr>
        <w:tab/>
      </w:r>
      <w:r w:rsidR="00FC0CD6">
        <w:rPr>
          <w:rFonts w:ascii="Trebuchet MS" w:eastAsia="Trebuchet MS" w:hAnsi="Trebuchet MS" w:cs="Trebuchet MS"/>
        </w:rPr>
        <w:tab/>
      </w:r>
      <w:r w:rsidR="00FC0CD6">
        <w:rPr>
          <w:rFonts w:ascii="Trebuchet MS" w:eastAsia="Trebuchet MS" w:hAnsi="Trebuchet MS" w:cs="Trebuchet MS"/>
        </w:rPr>
        <w:tab/>
      </w:r>
      <w:r w:rsidR="00FC0CD6">
        <w:rPr>
          <w:rFonts w:ascii="Trebuchet MS" w:eastAsia="Trebuchet MS" w:hAnsi="Trebuchet MS" w:cs="Trebuchet MS"/>
        </w:rPr>
        <w:tab/>
      </w:r>
      <w:r w:rsidR="00A532C6">
        <w:rPr>
          <w:rFonts w:ascii="Trebuchet MS" w:eastAsia="Trebuchet MS" w:hAnsi="Trebuchet MS" w:cs="Trebuchet MS"/>
        </w:rPr>
        <w:t>Direktorica:</w:t>
      </w:r>
    </w:p>
    <w:p w14:paraId="245371DF" w14:textId="77777777" w:rsidR="008B2B5E" w:rsidRDefault="00A532C6" w:rsidP="00FC0CD6">
      <w:pPr>
        <w:spacing w:before="240" w:after="240" w:line="240" w:lineRule="auto"/>
        <w:ind w:left="10800" w:firstLine="720"/>
        <w:jc w:val="right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Aleksandra Lalević</w:t>
      </w:r>
    </w:p>
    <w:sectPr w:rsidR="008B2B5E">
      <w:headerReference w:type="default" r:id="rId11"/>
      <w:footerReference w:type="default" r:id="rId12"/>
      <w:pgSz w:w="16840" w:h="11907" w:orient="landscape"/>
      <w:pgMar w:top="1440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CAF76" w14:textId="77777777" w:rsidR="001B5104" w:rsidRDefault="001B5104">
      <w:pPr>
        <w:spacing w:after="0" w:line="240" w:lineRule="auto"/>
      </w:pPr>
      <w:r>
        <w:separator/>
      </w:r>
    </w:p>
  </w:endnote>
  <w:endnote w:type="continuationSeparator" w:id="0">
    <w:p w14:paraId="0AA5FA6C" w14:textId="77777777" w:rsidR="001B5104" w:rsidRDefault="001B5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FA5F0" w14:textId="77777777" w:rsidR="001B5104" w:rsidRDefault="001B51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rebuchet MS" w:eastAsia="Trebuchet MS" w:hAnsi="Trebuchet MS" w:cs="Trebuchet MS"/>
        <w:color w:val="000000"/>
        <w:sz w:val="20"/>
        <w:szCs w:val="20"/>
      </w:rPr>
    </w:pPr>
    <w:r>
      <w:rPr>
        <w:rFonts w:ascii="Trebuchet MS" w:eastAsia="Trebuchet MS" w:hAnsi="Trebuchet MS" w:cs="Trebuchet MS"/>
        <w:color w:val="000000"/>
        <w:sz w:val="20"/>
        <w:szCs w:val="20"/>
      </w:rPr>
      <w:fldChar w:fldCharType="begin"/>
    </w:r>
    <w:r>
      <w:rPr>
        <w:rFonts w:ascii="Trebuchet MS" w:eastAsia="Trebuchet MS" w:hAnsi="Trebuchet MS" w:cs="Trebuchet MS"/>
        <w:color w:val="000000"/>
        <w:sz w:val="20"/>
        <w:szCs w:val="20"/>
      </w:rPr>
      <w:instrText>PAGE</w:instrText>
    </w:r>
    <w:r>
      <w:rPr>
        <w:rFonts w:ascii="Trebuchet MS" w:eastAsia="Trebuchet MS" w:hAnsi="Trebuchet MS" w:cs="Trebuchet MS"/>
        <w:color w:val="000000"/>
        <w:sz w:val="20"/>
        <w:szCs w:val="20"/>
      </w:rPr>
      <w:fldChar w:fldCharType="separate"/>
    </w:r>
    <w:r>
      <w:rPr>
        <w:rFonts w:ascii="Trebuchet MS" w:eastAsia="Trebuchet MS" w:hAnsi="Trebuchet MS" w:cs="Trebuchet MS"/>
        <w:noProof/>
        <w:color w:val="000000"/>
        <w:sz w:val="20"/>
        <w:szCs w:val="20"/>
      </w:rPr>
      <w:t>2</w:t>
    </w:r>
    <w:r>
      <w:rPr>
        <w:rFonts w:ascii="Trebuchet MS" w:eastAsia="Trebuchet MS" w:hAnsi="Trebuchet MS" w:cs="Trebuchet MS"/>
        <w:color w:val="000000"/>
        <w:sz w:val="20"/>
        <w:szCs w:val="20"/>
      </w:rPr>
      <w:fldChar w:fldCharType="end"/>
    </w:r>
  </w:p>
  <w:p w14:paraId="12DDA39C" w14:textId="77777777" w:rsidR="001B5104" w:rsidRDefault="001B51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67900" w14:textId="77777777" w:rsidR="001B5104" w:rsidRDefault="001B5104">
      <w:pPr>
        <w:spacing w:after="0" w:line="240" w:lineRule="auto"/>
      </w:pPr>
      <w:r>
        <w:separator/>
      </w:r>
    </w:p>
  </w:footnote>
  <w:footnote w:type="continuationSeparator" w:id="0">
    <w:p w14:paraId="361335A7" w14:textId="77777777" w:rsidR="001B5104" w:rsidRDefault="001B5104">
      <w:pPr>
        <w:spacing w:after="0" w:line="240" w:lineRule="auto"/>
      </w:pPr>
      <w:r>
        <w:continuationSeparator/>
      </w:r>
    </w:p>
  </w:footnote>
  <w:footnote w:id="1">
    <w:p w14:paraId="29BAF79A" w14:textId="77777777" w:rsidR="001B5104" w:rsidRDefault="001B51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16"/>
          <w:szCs w:val="16"/>
        </w:rPr>
        <w:t xml:space="preserve"> Preporuke Savjeta o oblicima usavršavanja: Nove prilike za odrasle (19. decembar 2016) (2016/C 484/01).</w:t>
      </w:r>
    </w:p>
  </w:footnote>
  <w:footnote w:id="2">
    <w:p w14:paraId="04B99D8D" w14:textId="77777777" w:rsidR="001B5104" w:rsidRDefault="001B51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Obnovljena Evropska strategija za obrazovanje odraslih (2011/C 372/01).</w:t>
      </w:r>
    </w:p>
  </w:footnote>
  <w:footnote w:id="3">
    <w:p w14:paraId="5FDDCC17" w14:textId="77777777" w:rsidR="001B5104" w:rsidRDefault="001B51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 xml:space="preserve">Preporuke Savjeta o ključnim kompetencijama za cjeloživotno učenje (22. maj 2018) (2018/C 189/01). </w:t>
      </w:r>
    </w:p>
  </w:footnote>
  <w:footnote w:id="4">
    <w:p w14:paraId="5AEB6C17" w14:textId="77777777" w:rsidR="001B5104" w:rsidRDefault="001B51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16"/>
          <w:szCs w:val="16"/>
        </w:rPr>
        <w:t xml:space="preserve"> Dalje postupanje u vezi sa Strateškim okvirom za evropsku saradnju u području obrazovanja i osposobljavanja (ET 2020), Rezolucija Evropskog parlamenta od 23. juna 2016. o daljem postupanju u vezi sa Strateškim</w:t>
      </w:r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okvirom za evropsku saradnju u oblasti obrazovanja i osposobljavanja (ET 2020) (2015/2281 (INI).</w:t>
      </w:r>
    </w:p>
  </w:footnote>
  <w:footnote w:id="5">
    <w:p w14:paraId="149E911D" w14:textId="77777777" w:rsidR="001B5104" w:rsidRDefault="001B51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16"/>
          <w:szCs w:val="16"/>
        </w:rPr>
        <w:t xml:space="preserve"> Novi program vještina za Evropu – Saradnja na jačanju ljudskog kapitala, zapošljivosti i konkurentnosti (10.</w:t>
      </w:r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jun 2016).</w:t>
      </w:r>
    </w:p>
  </w:footnote>
  <w:footnote w:id="6">
    <w:p w14:paraId="2231C873" w14:textId="77777777" w:rsidR="001B5104" w:rsidRDefault="001B51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Obnovljena Evropska strategija za obrazovanje odraslih (2011/C 372/01).</w:t>
      </w:r>
    </w:p>
  </w:footnote>
  <w:footnote w:id="7">
    <w:p w14:paraId="6AE39F1E" w14:textId="77777777" w:rsidR="001B5104" w:rsidRDefault="001B51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16"/>
          <w:szCs w:val="16"/>
        </w:rPr>
        <w:t xml:space="preserve"> Preporuka iz Belema (2009).</w:t>
      </w:r>
    </w:p>
  </w:footnote>
  <w:footnote w:id="8">
    <w:p w14:paraId="4BACBD08" w14:textId="77777777" w:rsidR="001B5104" w:rsidRDefault="001B5104">
      <w:pPr>
        <w:spacing w:after="0" w:line="240" w:lineRule="auto"/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>Novi program vještina za Evropu – Saradnja na jačanju ljudskog kapitala, zapošljivosti i konkurentnosti (10. jun 2016).</w:t>
      </w:r>
    </w:p>
  </w:footnote>
  <w:footnote w:id="9">
    <w:p w14:paraId="3CDCB166" w14:textId="77777777" w:rsidR="001B5104" w:rsidRDefault="001B51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Budućnost rada – sticanje odgovarajućih znanja i vještina za ispunjavanje potreba budućih radnih mjesta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(Mišljenje Evropskog ekonomskog i socijalnog odbora) (2018).</w:t>
      </w:r>
    </w:p>
    <w:p w14:paraId="798E798E" w14:textId="77777777" w:rsidR="001B5104" w:rsidRDefault="001B51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</w:p>
  </w:footnote>
  <w:footnote w:id="10">
    <w:p w14:paraId="1C969D1A" w14:textId="77777777" w:rsidR="001B5104" w:rsidRDefault="001B51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16"/>
          <w:szCs w:val="16"/>
        </w:rPr>
        <w:t xml:space="preserve"> Obnovljena Evropska strategija za obrazovanje odraslih (2011/C 372/01).</w:t>
      </w:r>
    </w:p>
  </w:footnote>
  <w:footnote w:id="11">
    <w:p w14:paraId="5915BC4B" w14:textId="77777777" w:rsidR="001B5104" w:rsidRDefault="001B51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16"/>
          <w:szCs w:val="16"/>
        </w:rPr>
        <w:t xml:space="preserve"> Dalje postupanje u vezi sa Strateškim okvirom za evropsku saradnju u području obrazovanja i osposobljavanja</w:t>
      </w:r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(ET 2020), (2016).</w:t>
      </w:r>
    </w:p>
  </w:footnote>
  <w:footnote w:id="12">
    <w:p w14:paraId="31E57EE2" w14:textId="77777777" w:rsidR="001B5104" w:rsidRDefault="001B51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16"/>
          <w:szCs w:val="16"/>
        </w:rPr>
        <w:t xml:space="preserve"> Preporuke Savjeta o oblicima usavršavanja: Nove prilike za odrasle (19. decembar 2016) (2016/C 484/01).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DE5A3" w14:textId="77777777" w:rsidR="001B5104" w:rsidRDefault="001B5104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ind w:firstLin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4348"/>
    <w:multiLevelType w:val="hybridMultilevel"/>
    <w:tmpl w:val="EC88D76E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03504EBD"/>
    <w:multiLevelType w:val="hybridMultilevel"/>
    <w:tmpl w:val="FCA4CDF4"/>
    <w:lvl w:ilvl="0" w:tplc="1D604066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9608AF"/>
    <w:multiLevelType w:val="hybridMultilevel"/>
    <w:tmpl w:val="E2F8C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1395C"/>
    <w:multiLevelType w:val="hybridMultilevel"/>
    <w:tmpl w:val="2DF6837A"/>
    <w:lvl w:ilvl="0" w:tplc="1D604066">
      <w:numFmt w:val="bullet"/>
      <w:lvlText w:val="-"/>
      <w:lvlJc w:val="left"/>
      <w:pPr>
        <w:ind w:left="893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4" w15:restartNumberingAfterBreak="0">
    <w:nsid w:val="101B171B"/>
    <w:multiLevelType w:val="hybridMultilevel"/>
    <w:tmpl w:val="C51414FE"/>
    <w:lvl w:ilvl="0" w:tplc="EAF8EA3A">
      <w:start w:val="2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7143F"/>
    <w:multiLevelType w:val="multilevel"/>
    <w:tmpl w:val="B31E18DA"/>
    <w:lvl w:ilvl="0">
      <w:start w:val="10"/>
      <w:numFmt w:val="bullet"/>
      <w:lvlText w:val="-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1F47818"/>
    <w:multiLevelType w:val="hybridMultilevel"/>
    <w:tmpl w:val="FE9E8AB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16489"/>
    <w:multiLevelType w:val="multilevel"/>
    <w:tmpl w:val="4B86C350"/>
    <w:lvl w:ilvl="0">
      <w:start w:val="2"/>
      <w:numFmt w:val="bullet"/>
      <w:lvlText w:val="-"/>
      <w:lvlJc w:val="left"/>
      <w:pPr>
        <w:ind w:left="173" w:hanging="173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AC77983"/>
    <w:multiLevelType w:val="multilevel"/>
    <w:tmpl w:val="B504D9EE"/>
    <w:lvl w:ilvl="0">
      <w:start w:val="2"/>
      <w:numFmt w:val="bullet"/>
      <w:lvlText w:val="-"/>
      <w:lvlJc w:val="left"/>
      <w:pPr>
        <w:ind w:left="443" w:hanging="173"/>
      </w:pPr>
      <w:rPr>
        <w:rFonts w:ascii="Trebuchet MS" w:eastAsia="Trebuchet MS" w:hAnsi="Trebuchet MS" w:cs="Trebuchet M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2107F35"/>
    <w:multiLevelType w:val="hybridMultilevel"/>
    <w:tmpl w:val="C7520BD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8210E"/>
    <w:multiLevelType w:val="hybridMultilevel"/>
    <w:tmpl w:val="B3EA941A"/>
    <w:lvl w:ilvl="0" w:tplc="1D60406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36443"/>
    <w:multiLevelType w:val="multilevel"/>
    <w:tmpl w:val="32B8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5A6B86"/>
    <w:multiLevelType w:val="hybridMultilevel"/>
    <w:tmpl w:val="9302310E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DA26C0"/>
    <w:multiLevelType w:val="hybridMultilevel"/>
    <w:tmpl w:val="75D04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71C5B"/>
    <w:multiLevelType w:val="hybridMultilevel"/>
    <w:tmpl w:val="77100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F5181"/>
    <w:multiLevelType w:val="hybridMultilevel"/>
    <w:tmpl w:val="ABC8B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A77FE"/>
    <w:multiLevelType w:val="multilevel"/>
    <w:tmpl w:val="3BB2843A"/>
    <w:lvl w:ilvl="0">
      <w:start w:val="2"/>
      <w:numFmt w:val="bullet"/>
      <w:lvlText w:val="-"/>
      <w:lvlJc w:val="left"/>
      <w:pPr>
        <w:ind w:left="173" w:hanging="17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D994D17"/>
    <w:multiLevelType w:val="hybridMultilevel"/>
    <w:tmpl w:val="43766E48"/>
    <w:lvl w:ilvl="0" w:tplc="5FD4D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470A5"/>
    <w:multiLevelType w:val="multilevel"/>
    <w:tmpl w:val="57108DF0"/>
    <w:lvl w:ilvl="0">
      <w:start w:val="2"/>
      <w:numFmt w:val="bullet"/>
      <w:lvlText w:val="-"/>
      <w:lvlJc w:val="left"/>
      <w:pPr>
        <w:ind w:left="173" w:hanging="173"/>
      </w:pPr>
      <w:rPr>
        <w:rFonts w:ascii="Trebuchet MS" w:eastAsia="Trebuchet MS" w:hAnsi="Trebuchet MS" w:cs="Trebuchet M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B832C50"/>
    <w:multiLevelType w:val="multilevel"/>
    <w:tmpl w:val="8F30CF24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F701C"/>
    <w:multiLevelType w:val="hybridMultilevel"/>
    <w:tmpl w:val="72A8342A"/>
    <w:lvl w:ilvl="0" w:tplc="1D60406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13AC5"/>
    <w:multiLevelType w:val="hybridMultilevel"/>
    <w:tmpl w:val="27266666"/>
    <w:lvl w:ilvl="0" w:tplc="1D60406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57F8B"/>
    <w:multiLevelType w:val="hybridMultilevel"/>
    <w:tmpl w:val="20C6B5C6"/>
    <w:lvl w:ilvl="0" w:tplc="1D604066">
      <w:numFmt w:val="bullet"/>
      <w:lvlText w:val="-"/>
      <w:lvlJc w:val="left"/>
      <w:pPr>
        <w:ind w:left="893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3" w15:restartNumberingAfterBreak="0">
    <w:nsid w:val="586E3679"/>
    <w:multiLevelType w:val="hybridMultilevel"/>
    <w:tmpl w:val="0862F474"/>
    <w:lvl w:ilvl="0" w:tplc="1D60406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B31CC"/>
    <w:multiLevelType w:val="multilevel"/>
    <w:tmpl w:val="5CE0859A"/>
    <w:lvl w:ilvl="0">
      <w:start w:val="2"/>
      <w:numFmt w:val="bullet"/>
      <w:lvlText w:val="-"/>
      <w:lvlJc w:val="left"/>
      <w:pPr>
        <w:ind w:left="173" w:hanging="173"/>
      </w:pPr>
      <w:rPr>
        <w:rFonts w:ascii="Trebuchet MS" w:eastAsia="Trebuchet MS" w:hAnsi="Trebuchet MS" w:cs="Trebuchet M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C090A1C"/>
    <w:multiLevelType w:val="hybridMultilevel"/>
    <w:tmpl w:val="F09A0A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D7E7479"/>
    <w:multiLevelType w:val="hybridMultilevel"/>
    <w:tmpl w:val="21D8AE08"/>
    <w:lvl w:ilvl="0" w:tplc="CD4ED932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479DA"/>
    <w:multiLevelType w:val="multilevel"/>
    <w:tmpl w:val="DD3CF3A6"/>
    <w:lvl w:ilvl="0">
      <w:start w:val="10"/>
      <w:numFmt w:val="bullet"/>
      <w:lvlText w:val="-"/>
      <w:lvlJc w:val="left"/>
      <w:pPr>
        <w:ind w:left="893" w:hanging="360"/>
      </w:pPr>
    </w:lvl>
    <w:lvl w:ilvl="1">
      <w:start w:val="1"/>
      <w:numFmt w:val="bullet"/>
      <w:lvlText w:val="o"/>
      <w:lvlJc w:val="left"/>
      <w:pPr>
        <w:ind w:left="161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53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A6A3173"/>
    <w:multiLevelType w:val="hybridMultilevel"/>
    <w:tmpl w:val="714E546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B30FE"/>
    <w:multiLevelType w:val="hybridMultilevel"/>
    <w:tmpl w:val="D7209D0E"/>
    <w:lvl w:ilvl="0" w:tplc="1D60406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E8112F"/>
    <w:multiLevelType w:val="multilevel"/>
    <w:tmpl w:val="EDB85260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F78EF"/>
    <w:multiLevelType w:val="multilevel"/>
    <w:tmpl w:val="6B180BCA"/>
    <w:lvl w:ilvl="0">
      <w:start w:val="1"/>
      <w:numFmt w:val="bullet"/>
      <w:lvlText w:val="o"/>
      <w:lvlJc w:val="left"/>
      <w:pPr>
        <w:ind w:left="893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1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53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71F26E5"/>
    <w:multiLevelType w:val="multilevel"/>
    <w:tmpl w:val="D228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7E317DD"/>
    <w:multiLevelType w:val="hybridMultilevel"/>
    <w:tmpl w:val="6E4E490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85E102D"/>
    <w:multiLevelType w:val="hybridMultilevel"/>
    <w:tmpl w:val="48C4FB16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E1702B"/>
    <w:multiLevelType w:val="hybridMultilevel"/>
    <w:tmpl w:val="EA845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E6025"/>
    <w:multiLevelType w:val="hybridMultilevel"/>
    <w:tmpl w:val="C5527F9E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7" w15:restartNumberingAfterBreak="0">
    <w:nsid w:val="7DAB5FEE"/>
    <w:multiLevelType w:val="hybridMultilevel"/>
    <w:tmpl w:val="238E416A"/>
    <w:lvl w:ilvl="0" w:tplc="8056FA96">
      <w:start w:val="2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hAnsi="Trebuchet MS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5"/>
  </w:num>
  <w:num w:numId="4">
    <w:abstractNumId w:val="31"/>
  </w:num>
  <w:num w:numId="5">
    <w:abstractNumId w:val="24"/>
  </w:num>
  <w:num w:numId="6">
    <w:abstractNumId w:val="27"/>
  </w:num>
  <w:num w:numId="7">
    <w:abstractNumId w:val="30"/>
  </w:num>
  <w:num w:numId="8">
    <w:abstractNumId w:val="19"/>
  </w:num>
  <w:num w:numId="9">
    <w:abstractNumId w:val="8"/>
  </w:num>
  <w:num w:numId="10">
    <w:abstractNumId w:val="9"/>
  </w:num>
  <w:num w:numId="11">
    <w:abstractNumId w:val="12"/>
  </w:num>
  <w:num w:numId="12">
    <w:abstractNumId w:val="33"/>
  </w:num>
  <w:num w:numId="13">
    <w:abstractNumId w:val="13"/>
  </w:num>
  <w:num w:numId="14">
    <w:abstractNumId w:val="15"/>
  </w:num>
  <w:num w:numId="15">
    <w:abstractNumId w:val="17"/>
  </w:num>
  <w:num w:numId="16">
    <w:abstractNumId w:val="28"/>
  </w:num>
  <w:num w:numId="17">
    <w:abstractNumId w:val="29"/>
  </w:num>
  <w:num w:numId="18">
    <w:abstractNumId w:val="26"/>
  </w:num>
  <w:num w:numId="19">
    <w:abstractNumId w:val="14"/>
  </w:num>
  <w:num w:numId="20">
    <w:abstractNumId w:val="11"/>
  </w:num>
  <w:num w:numId="21">
    <w:abstractNumId w:val="32"/>
  </w:num>
  <w:num w:numId="22">
    <w:abstractNumId w:val="2"/>
  </w:num>
  <w:num w:numId="23">
    <w:abstractNumId w:val="25"/>
  </w:num>
  <w:num w:numId="24">
    <w:abstractNumId w:val="34"/>
  </w:num>
  <w:num w:numId="25">
    <w:abstractNumId w:val="0"/>
  </w:num>
  <w:num w:numId="26">
    <w:abstractNumId w:val="6"/>
  </w:num>
  <w:num w:numId="27">
    <w:abstractNumId w:val="18"/>
  </w:num>
  <w:num w:numId="28">
    <w:abstractNumId w:val="4"/>
  </w:num>
  <w:num w:numId="29">
    <w:abstractNumId w:val="37"/>
  </w:num>
  <w:num w:numId="30">
    <w:abstractNumId w:val="35"/>
  </w:num>
  <w:num w:numId="31">
    <w:abstractNumId w:val="36"/>
  </w:num>
  <w:num w:numId="32">
    <w:abstractNumId w:val="20"/>
  </w:num>
  <w:num w:numId="33">
    <w:abstractNumId w:val="1"/>
  </w:num>
  <w:num w:numId="34">
    <w:abstractNumId w:val="10"/>
  </w:num>
  <w:num w:numId="35">
    <w:abstractNumId w:val="23"/>
  </w:num>
  <w:num w:numId="36">
    <w:abstractNumId w:val="21"/>
  </w:num>
  <w:num w:numId="37">
    <w:abstractNumId w:val="22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B5E"/>
    <w:rsid w:val="00001581"/>
    <w:rsid w:val="00005A06"/>
    <w:rsid w:val="00012672"/>
    <w:rsid w:val="00021FBB"/>
    <w:rsid w:val="0002726B"/>
    <w:rsid w:val="00027FFD"/>
    <w:rsid w:val="00032E48"/>
    <w:rsid w:val="00043892"/>
    <w:rsid w:val="00043954"/>
    <w:rsid w:val="00047027"/>
    <w:rsid w:val="00060429"/>
    <w:rsid w:val="000732A4"/>
    <w:rsid w:val="0007354B"/>
    <w:rsid w:val="00091625"/>
    <w:rsid w:val="00092381"/>
    <w:rsid w:val="000A3EBE"/>
    <w:rsid w:val="000A7DBF"/>
    <w:rsid w:val="000B2C36"/>
    <w:rsid w:val="000C2DB9"/>
    <w:rsid w:val="000E09B8"/>
    <w:rsid w:val="000E10FF"/>
    <w:rsid w:val="000E19D9"/>
    <w:rsid w:val="000E7EB9"/>
    <w:rsid w:val="000F2E06"/>
    <w:rsid w:val="000F72B8"/>
    <w:rsid w:val="000F7E32"/>
    <w:rsid w:val="00110DAC"/>
    <w:rsid w:val="001113F7"/>
    <w:rsid w:val="0011388A"/>
    <w:rsid w:val="00145122"/>
    <w:rsid w:val="001855EB"/>
    <w:rsid w:val="0019358C"/>
    <w:rsid w:val="00197007"/>
    <w:rsid w:val="001B5104"/>
    <w:rsid w:val="001C2BC1"/>
    <w:rsid w:val="001D3085"/>
    <w:rsid w:val="00200661"/>
    <w:rsid w:val="00204777"/>
    <w:rsid w:val="002078C0"/>
    <w:rsid w:val="00214BC8"/>
    <w:rsid w:val="00216AAF"/>
    <w:rsid w:val="002245C8"/>
    <w:rsid w:val="0024339B"/>
    <w:rsid w:val="00252973"/>
    <w:rsid w:val="002619E9"/>
    <w:rsid w:val="002936DB"/>
    <w:rsid w:val="002A14E4"/>
    <w:rsid w:val="002A614F"/>
    <w:rsid w:val="002B5870"/>
    <w:rsid w:val="002C1902"/>
    <w:rsid w:val="002F5AD5"/>
    <w:rsid w:val="00316E5B"/>
    <w:rsid w:val="003237BB"/>
    <w:rsid w:val="00345FED"/>
    <w:rsid w:val="00354729"/>
    <w:rsid w:val="003551F5"/>
    <w:rsid w:val="00390117"/>
    <w:rsid w:val="00393BFB"/>
    <w:rsid w:val="003C6D6F"/>
    <w:rsid w:val="003D5265"/>
    <w:rsid w:val="003D6528"/>
    <w:rsid w:val="00402C39"/>
    <w:rsid w:val="00405E51"/>
    <w:rsid w:val="0040634B"/>
    <w:rsid w:val="00413C1D"/>
    <w:rsid w:val="004418E0"/>
    <w:rsid w:val="0044600C"/>
    <w:rsid w:val="00446EDF"/>
    <w:rsid w:val="00453677"/>
    <w:rsid w:val="00467B8A"/>
    <w:rsid w:val="004806BF"/>
    <w:rsid w:val="00484598"/>
    <w:rsid w:val="00492D94"/>
    <w:rsid w:val="004945BA"/>
    <w:rsid w:val="004B10E9"/>
    <w:rsid w:val="004D650C"/>
    <w:rsid w:val="00504B93"/>
    <w:rsid w:val="005150F2"/>
    <w:rsid w:val="0051515D"/>
    <w:rsid w:val="00567739"/>
    <w:rsid w:val="00575E1B"/>
    <w:rsid w:val="0058286C"/>
    <w:rsid w:val="005956FF"/>
    <w:rsid w:val="00597FF4"/>
    <w:rsid w:val="005B4A9F"/>
    <w:rsid w:val="005C1288"/>
    <w:rsid w:val="005D0A19"/>
    <w:rsid w:val="005D0C97"/>
    <w:rsid w:val="005E211D"/>
    <w:rsid w:val="0062472B"/>
    <w:rsid w:val="0063546C"/>
    <w:rsid w:val="00636934"/>
    <w:rsid w:val="00641478"/>
    <w:rsid w:val="00646655"/>
    <w:rsid w:val="006507F0"/>
    <w:rsid w:val="00650F82"/>
    <w:rsid w:val="00661045"/>
    <w:rsid w:val="0067579B"/>
    <w:rsid w:val="00682758"/>
    <w:rsid w:val="006B22CA"/>
    <w:rsid w:val="006B4BF2"/>
    <w:rsid w:val="006B581D"/>
    <w:rsid w:val="006B71D9"/>
    <w:rsid w:val="006D3E65"/>
    <w:rsid w:val="006D7515"/>
    <w:rsid w:val="006E0706"/>
    <w:rsid w:val="006E53F4"/>
    <w:rsid w:val="00701EC0"/>
    <w:rsid w:val="00705F46"/>
    <w:rsid w:val="007077D0"/>
    <w:rsid w:val="0071177F"/>
    <w:rsid w:val="00725F1C"/>
    <w:rsid w:val="0073355A"/>
    <w:rsid w:val="00744453"/>
    <w:rsid w:val="0077651C"/>
    <w:rsid w:val="00785A2C"/>
    <w:rsid w:val="00791AAC"/>
    <w:rsid w:val="007A5E70"/>
    <w:rsid w:val="007A6050"/>
    <w:rsid w:val="007A6A90"/>
    <w:rsid w:val="007C5936"/>
    <w:rsid w:val="007C5C1C"/>
    <w:rsid w:val="007C6F9E"/>
    <w:rsid w:val="007E3145"/>
    <w:rsid w:val="007F28BE"/>
    <w:rsid w:val="007F6C88"/>
    <w:rsid w:val="00835343"/>
    <w:rsid w:val="00837C25"/>
    <w:rsid w:val="00844A17"/>
    <w:rsid w:val="008512D7"/>
    <w:rsid w:val="008514A5"/>
    <w:rsid w:val="00877BFA"/>
    <w:rsid w:val="00890AA2"/>
    <w:rsid w:val="008B2B5E"/>
    <w:rsid w:val="008C07EF"/>
    <w:rsid w:val="008E2299"/>
    <w:rsid w:val="00924049"/>
    <w:rsid w:val="00926A4E"/>
    <w:rsid w:val="00933FB5"/>
    <w:rsid w:val="0094227C"/>
    <w:rsid w:val="00942ACA"/>
    <w:rsid w:val="009750C3"/>
    <w:rsid w:val="00982CB3"/>
    <w:rsid w:val="00990A1A"/>
    <w:rsid w:val="009A3A57"/>
    <w:rsid w:val="009B5A44"/>
    <w:rsid w:val="009B6CD0"/>
    <w:rsid w:val="009C0B4D"/>
    <w:rsid w:val="009C73D9"/>
    <w:rsid w:val="009D5D33"/>
    <w:rsid w:val="009D5DC9"/>
    <w:rsid w:val="009E07E1"/>
    <w:rsid w:val="009E45E7"/>
    <w:rsid w:val="00A02FEA"/>
    <w:rsid w:val="00A25ACB"/>
    <w:rsid w:val="00A52991"/>
    <w:rsid w:val="00A532C6"/>
    <w:rsid w:val="00A55736"/>
    <w:rsid w:val="00A608C2"/>
    <w:rsid w:val="00AB1FFC"/>
    <w:rsid w:val="00AD3D0E"/>
    <w:rsid w:val="00AE3E98"/>
    <w:rsid w:val="00AE5B91"/>
    <w:rsid w:val="00AF0B97"/>
    <w:rsid w:val="00B05998"/>
    <w:rsid w:val="00B065A6"/>
    <w:rsid w:val="00B10C35"/>
    <w:rsid w:val="00B216E3"/>
    <w:rsid w:val="00B250B3"/>
    <w:rsid w:val="00B3732D"/>
    <w:rsid w:val="00B41AE6"/>
    <w:rsid w:val="00B43048"/>
    <w:rsid w:val="00B47490"/>
    <w:rsid w:val="00B52D91"/>
    <w:rsid w:val="00B53D61"/>
    <w:rsid w:val="00B64B2C"/>
    <w:rsid w:val="00B679A3"/>
    <w:rsid w:val="00B85D68"/>
    <w:rsid w:val="00B871F1"/>
    <w:rsid w:val="00B95520"/>
    <w:rsid w:val="00B95C8C"/>
    <w:rsid w:val="00B961E4"/>
    <w:rsid w:val="00B97DA7"/>
    <w:rsid w:val="00BA4EDF"/>
    <w:rsid w:val="00BA6C2F"/>
    <w:rsid w:val="00BB2A29"/>
    <w:rsid w:val="00BB4E89"/>
    <w:rsid w:val="00BB7AA3"/>
    <w:rsid w:val="00BC52B4"/>
    <w:rsid w:val="00BD1D16"/>
    <w:rsid w:val="00BD7BEC"/>
    <w:rsid w:val="00BF7149"/>
    <w:rsid w:val="00C33E9F"/>
    <w:rsid w:val="00C7054E"/>
    <w:rsid w:val="00C74DAF"/>
    <w:rsid w:val="00C810C2"/>
    <w:rsid w:val="00C9410E"/>
    <w:rsid w:val="00C947B7"/>
    <w:rsid w:val="00C94D83"/>
    <w:rsid w:val="00C96BDA"/>
    <w:rsid w:val="00CA6AF0"/>
    <w:rsid w:val="00CB4F79"/>
    <w:rsid w:val="00CE3FCF"/>
    <w:rsid w:val="00CE5360"/>
    <w:rsid w:val="00CF3EF6"/>
    <w:rsid w:val="00D01C7F"/>
    <w:rsid w:val="00D024A2"/>
    <w:rsid w:val="00D14DC9"/>
    <w:rsid w:val="00D20D2A"/>
    <w:rsid w:val="00D30CF8"/>
    <w:rsid w:val="00D44B25"/>
    <w:rsid w:val="00D5012D"/>
    <w:rsid w:val="00D74EAA"/>
    <w:rsid w:val="00D77F5B"/>
    <w:rsid w:val="00D87898"/>
    <w:rsid w:val="00D96AD8"/>
    <w:rsid w:val="00DB038A"/>
    <w:rsid w:val="00DB1236"/>
    <w:rsid w:val="00DC17F1"/>
    <w:rsid w:val="00DC418C"/>
    <w:rsid w:val="00DD2A99"/>
    <w:rsid w:val="00DE716D"/>
    <w:rsid w:val="00DE743C"/>
    <w:rsid w:val="00DF0D32"/>
    <w:rsid w:val="00DF6D3E"/>
    <w:rsid w:val="00E3368E"/>
    <w:rsid w:val="00E37638"/>
    <w:rsid w:val="00E42ECC"/>
    <w:rsid w:val="00E51902"/>
    <w:rsid w:val="00E62092"/>
    <w:rsid w:val="00E83057"/>
    <w:rsid w:val="00E90ECB"/>
    <w:rsid w:val="00E9411C"/>
    <w:rsid w:val="00EC6DEC"/>
    <w:rsid w:val="00ED2F76"/>
    <w:rsid w:val="00ED6944"/>
    <w:rsid w:val="00EE5007"/>
    <w:rsid w:val="00F03241"/>
    <w:rsid w:val="00F13C4F"/>
    <w:rsid w:val="00F168DF"/>
    <w:rsid w:val="00F31D6F"/>
    <w:rsid w:val="00F476A1"/>
    <w:rsid w:val="00F8196E"/>
    <w:rsid w:val="00FB7FD5"/>
    <w:rsid w:val="00FC0CD6"/>
    <w:rsid w:val="00FD3E66"/>
    <w:rsid w:val="00FE0789"/>
    <w:rsid w:val="00FE357F"/>
    <w:rsid w:val="00FE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02B8E"/>
  <w15:docId w15:val="{155AE661-0AB8-4F84-B2D1-C9525712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l-SI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1B4C"/>
  </w:style>
  <w:style w:type="paragraph" w:styleId="Heading1">
    <w:name w:val="heading 1"/>
    <w:basedOn w:val="Normal"/>
    <w:next w:val="Normal"/>
    <w:link w:val="Heading1Char1"/>
    <w:uiPriority w:val="9"/>
    <w:qFormat/>
    <w:locked/>
    <w:rsid w:val="003D6CB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F566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231470"/>
    <w:pPr>
      <w:spacing w:before="240" w:after="60" w:line="240" w:lineRule="auto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uiPriority w:val="9"/>
    <w:locked/>
    <w:rsid w:val="00AD4E7C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31470"/>
    <w:rPr>
      <w:rFonts w:ascii="Calibri" w:hAnsi="Calibri" w:cs="Calibri"/>
      <w:b/>
      <w:bCs/>
    </w:rPr>
  </w:style>
  <w:style w:type="character" w:customStyle="1" w:styleId="Heading1Char1">
    <w:name w:val="Heading 1 Char1"/>
    <w:link w:val="Heading1"/>
    <w:uiPriority w:val="99"/>
    <w:locked/>
    <w:rsid w:val="003D6CBD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ListParagraph">
    <w:name w:val="List Paragraph"/>
    <w:aliases w:val="Bullet Points,Liste Paragraf,Heading 2_sj,heading 6,List Paragraph1,Numbering,Opsomming,Bullet List,FooterText,Colorful List Accent 1,numbered,Paragraphe de liste1,列出段落,列出段落1,Bulletr List Paragraph,List Paragraph2,List Paragraph21,リスト段落1"/>
    <w:basedOn w:val="Normal"/>
    <w:link w:val="ListParagraphChar"/>
    <w:uiPriority w:val="34"/>
    <w:qFormat/>
    <w:rsid w:val="005B150A"/>
    <w:pPr>
      <w:ind w:left="720"/>
    </w:pPr>
  </w:style>
  <w:style w:type="paragraph" w:styleId="Footer">
    <w:name w:val="footer"/>
    <w:basedOn w:val="Normal"/>
    <w:link w:val="FooterChar"/>
    <w:uiPriority w:val="99"/>
    <w:rsid w:val="00C772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0554B"/>
  </w:style>
  <w:style w:type="character" w:styleId="PageNumber">
    <w:name w:val="page number"/>
    <w:basedOn w:val="DefaultParagraphFont"/>
    <w:uiPriority w:val="99"/>
    <w:rsid w:val="00C772F8"/>
  </w:style>
  <w:style w:type="paragraph" w:styleId="Header">
    <w:name w:val="header"/>
    <w:basedOn w:val="Normal"/>
    <w:link w:val="HeaderChar"/>
    <w:uiPriority w:val="99"/>
    <w:semiHidden/>
    <w:rsid w:val="006A73F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A73F1"/>
  </w:style>
  <w:style w:type="paragraph" w:styleId="TOC1">
    <w:name w:val="toc 1"/>
    <w:basedOn w:val="Normal"/>
    <w:next w:val="Normal"/>
    <w:autoRedefine/>
    <w:uiPriority w:val="39"/>
    <w:locked/>
    <w:rsid w:val="0000278C"/>
  </w:style>
  <w:style w:type="character" w:styleId="Hyperlink">
    <w:name w:val="Hyperlink"/>
    <w:basedOn w:val="DefaultParagraphFont"/>
    <w:uiPriority w:val="99"/>
    <w:rsid w:val="000027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D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291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locked/>
    <w:rsid w:val="00840B2A"/>
    <w:rPr>
      <w:i/>
      <w:iCs/>
    </w:rPr>
  </w:style>
  <w:style w:type="table" w:styleId="TableGrid">
    <w:name w:val="Table Grid"/>
    <w:basedOn w:val="TableNormal"/>
    <w:uiPriority w:val="99"/>
    <w:locked/>
    <w:rsid w:val="00C843F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70720C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it-IT"/>
    </w:rPr>
  </w:style>
  <w:style w:type="character" w:customStyle="1" w:styleId="BodyText2Char">
    <w:name w:val="Body Text 2 Char"/>
    <w:basedOn w:val="DefaultParagraphFont"/>
    <w:link w:val="BodyText2"/>
    <w:rsid w:val="0070720C"/>
    <w:rPr>
      <w:rFonts w:ascii="Times New Roman" w:eastAsia="Times New Roman" w:hAnsi="Times New Roman"/>
      <w:b/>
      <w:bCs/>
      <w:i/>
      <w:iCs/>
      <w:sz w:val="32"/>
      <w:szCs w:val="24"/>
      <w:u w:val="single"/>
      <w:lang w:val="it-IT"/>
    </w:rPr>
  </w:style>
  <w:style w:type="paragraph" w:styleId="FootnoteText">
    <w:name w:val="footnote text"/>
    <w:basedOn w:val="Normal"/>
    <w:link w:val="FootnoteTextChar"/>
    <w:uiPriority w:val="99"/>
    <w:unhideWhenUsed/>
    <w:rsid w:val="008E52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52C7"/>
    <w:rPr>
      <w:rFonts w:cs="Calibri"/>
      <w:sz w:val="20"/>
      <w:szCs w:val="20"/>
    </w:rPr>
  </w:style>
  <w:style w:type="character" w:styleId="FootnoteReference">
    <w:name w:val="footnote reference"/>
    <w:basedOn w:val="DefaultParagraphFont"/>
    <w:unhideWhenUsed/>
    <w:rsid w:val="008E52C7"/>
    <w:rPr>
      <w:vertAlign w:val="superscript"/>
    </w:rPr>
  </w:style>
  <w:style w:type="character" w:customStyle="1" w:styleId="apple-converted-space">
    <w:name w:val="apple-converted-space"/>
    <w:basedOn w:val="DefaultParagraphFont"/>
    <w:rsid w:val="00831FE4"/>
  </w:style>
  <w:style w:type="character" w:customStyle="1" w:styleId="Heading2Char">
    <w:name w:val="Heading 2 Char"/>
    <w:basedOn w:val="DefaultParagraphFont"/>
    <w:link w:val="Heading2"/>
    <w:rsid w:val="00F566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EF3AF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TOC2">
    <w:name w:val="toc 2"/>
    <w:basedOn w:val="Normal"/>
    <w:next w:val="Normal"/>
    <w:autoRedefine/>
    <w:uiPriority w:val="39"/>
    <w:locked/>
    <w:rsid w:val="00EF3AF1"/>
    <w:pPr>
      <w:spacing w:after="100"/>
      <w:ind w:left="220"/>
    </w:pPr>
  </w:style>
  <w:style w:type="numbering" w:customStyle="1" w:styleId="NoList1">
    <w:name w:val="No List1"/>
    <w:next w:val="NoList"/>
    <w:uiPriority w:val="99"/>
    <w:semiHidden/>
    <w:unhideWhenUsed/>
    <w:rsid w:val="0020380C"/>
  </w:style>
  <w:style w:type="character" w:styleId="CommentReference">
    <w:name w:val="annotation reference"/>
    <w:basedOn w:val="DefaultParagraphFont"/>
    <w:uiPriority w:val="99"/>
    <w:unhideWhenUsed/>
    <w:rsid w:val="000B450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45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450C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50C"/>
    <w:rPr>
      <w:rFonts w:cs="Calibri"/>
      <w:b/>
      <w:bCs/>
      <w:sz w:val="20"/>
      <w:szCs w:val="20"/>
    </w:rPr>
  </w:style>
  <w:style w:type="character" w:customStyle="1" w:styleId="ListParagraphChar">
    <w:name w:val="List Paragraph Char"/>
    <w:aliases w:val="Bullet Points Char,Liste Paragraf Char,Heading 2_sj Char,heading 6 Char,List Paragraph1 Char,Numbering Char,Opsomming Char,Bullet List Char,FooterText Char,Colorful List Accent 1 Char,numbered Char,Paragraphe de liste1 Char,列出段落 Char"/>
    <w:link w:val="ListParagraph"/>
    <w:uiPriority w:val="34"/>
    <w:qFormat/>
    <w:locked/>
    <w:rsid w:val="001452BC"/>
    <w:rPr>
      <w:rFonts w:cs="Calibri"/>
    </w:rPr>
  </w:style>
  <w:style w:type="paragraph" w:styleId="NoSpacing">
    <w:name w:val="No Spacing"/>
    <w:link w:val="NoSpacingChar"/>
    <w:uiPriority w:val="1"/>
    <w:qFormat/>
    <w:rsid w:val="00506881"/>
    <w:pPr>
      <w:ind w:firstLine="360"/>
    </w:pPr>
    <w:rPr>
      <w:rFonts w:eastAsia="Times New Roman"/>
      <w:lang w:bidi="en-US"/>
    </w:rPr>
  </w:style>
  <w:style w:type="character" w:customStyle="1" w:styleId="NoSpacingChar">
    <w:name w:val="No Spacing Char"/>
    <w:link w:val="NoSpacing"/>
    <w:uiPriority w:val="1"/>
    <w:rsid w:val="00506881"/>
    <w:rPr>
      <w:rFonts w:eastAsia="Times New Roman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2542"/>
    <w:pPr>
      <w:spacing w:after="0" w:line="240" w:lineRule="auto"/>
    </w:pPr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12542"/>
    <w:rPr>
      <w:rFonts w:eastAsiaTheme="minorHAnsi" w:cs="Consolas"/>
      <w:szCs w:val="21"/>
    </w:rPr>
  </w:style>
  <w:style w:type="paragraph" w:customStyle="1" w:styleId="xmsonormal">
    <w:name w:val="x_msonormal"/>
    <w:basedOn w:val="Normal"/>
    <w:rsid w:val="000B7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44B4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0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3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5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Style3">
    <w:name w:val="Style3"/>
    <w:basedOn w:val="DefaultParagraphFont"/>
    <w:uiPriority w:val="1"/>
    <w:qFormat/>
    <w:rsid w:val="00AB1FFC"/>
    <w:rPr>
      <w:rFonts w:ascii="Garamond" w:hAnsi="Garamond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6W+K64dvpuxUVmK9XTXf3AMjKQ==">CgMxLjAyCGguZ2pkZ3hzMgloLjMwajB6bGwyCWguMWZvYjl0ZTIJaC4zem55c2g3MgloLjJldDkycDAyCGgudHlqY3d0OAByITFBTU51Sks5OTJhYXhzMzMweENrNDFWRlhQRTNYZlFvbg==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0A5D411-38E8-4E29-BDB6-F742E828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47</Pages>
  <Words>9084</Words>
  <Characters>51781</Characters>
  <Application>Microsoft Office Word</Application>
  <DocSecurity>0</DocSecurity>
  <Lines>431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 Boskovic</dc:creator>
  <cp:lastModifiedBy>KORISNIK</cp:lastModifiedBy>
  <cp:revision>3</cp:revision>
  <cp:lastPrinted>2025-02-05T09:34:00Z</cp:lastPrinted>
  <dcterms:created xsi:type="dcterms:W3CDTF">2025-02-25T09:22:00Z</dcterms:created>
  <dcterms:modified xsi:type="dcterms:W3CDTF">2025-02-25T11:04:00Z</dcterms:modified>
</cp:coreProperties>
</file>