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76D" w:rsidRPr="0016406F" w:rsidRDefault="002E576D" w:rsidP="002E576D">
      <w:pPr>
        <w:spacing w:after="0" w:line="276" w:lineRule="auto"/>
        <w:rPr>
          <w:rFonts w:ascii="Arial" w:eastAsiaTheme="minorEastAsia" w:hAnsi="Arial" w:cs="Arial"/>
          <w:b/>
          <w:noProof/>
        </w:rPr>
      </w:pPr>
      <w:bookmarkStart w:id="0" w:name="_GoBack"/>
      <w:bookmarkEnd w:id="0"/>
      <w:r w:rsidRPr="0016406F">
        <w:rPr>
          <w:rFonts w:ascii="Arial" w:eastAsiaTheme="minorEastAsia" w:hAnsi="Arial" w:cs="Arial"/>
          <w:b/>
          <w:noProof/>
        </w:rPr>
        <w:t>MINISTARSTVO FINANSIJA</w:t>
      </w:r>
    </w:p>
    <w:p w:rsidR="002E576D" w:rsidRPr="0016406F" w:rsidRDefault="002E576D" w:rsidP="002E576D">
      <w:pPr>
        <w:spacing w:after="0" w:line="276" w:lineRule="auto"/>
        <w:rPr>
          <w:rFonts w:ascii="Arial" w:eastAsiaTheme="minorEastAsia" w:hAnsi="Arial" w:cs="Arial"/>
          <w:noProof/>
        </w:rPr>
      </w:pPr>
    </w:p>
    <w:p w:rsidR="002E576D" w:rsidRPr="0016406F" w:rsidRDefault="002E576D" w:rsidP="002E576D">
      <w:pPr>
        <w:spacing w:line="276" w:lineRule="auto"/>
        <w:jc w:val="center"/>
        <w:rPr>
          <w:rFonts w:ascii="Arial" w:eastAsiaTheme="minorEastAsia" w:hAnsi="Arial" w:cs="Arial"/>
          <w:b/>
          <w:noProof/>
        </w:rPr>
      </w:pPr>
      <w:r w:rsidRPr="0016406F">
        <w:rPr>
          <w:rFonts w:ascii="Arial" w:eastAsiaTheme="minorEastAsia" w:hAnsi="Arial" w:cs="Arial"/>
          <w:b/>
          <w:noProof/>
        </w:rPr>
        <w:t>IZVJEŠTAJ O SPROVEDENOJ JAVNOJ RASPRAVI</w:t>
      </w:r>
    </w:p>
    <w:p w:rsidR="002E576D" w:rsidRPr="0016406F" w:rsidRDefault="004E1413" w:rsidP="002E576D">
      <w:pPr>
        <w:spacing w:after="0" w:line="276" w:lineRule="auto"/>
        <w:jc w:val="center"/>
        <w:rPr>
          <w:rFonts w:ascii="Arial" w:eastAsiaTheme="minorEastAsia" w:hAnsi="Arial" w:cs="Arial"/>
          <w:noProof/>
        </w:rPr>
      </w:pPr>
      <w:r>
        <w:rPr>
          <w:rFonts w:ascii="Arial" w:eastAsiaTheme="minorEastAsia" w:hAnsi="Arial" w:cs="Arial"/>
          <w:b/>
          <w:noProof/>
        </w:rPr>
        <w:t xml:space="preserve">na </w:t>
      </w:r>
      <w:r w:rsidRPr="004E1413">
        <w:rPr>
          <w:rFonts w:ascii="Arial" w:eastAsiaTheme="minorEastAsia" w:hAnsi="Arial" w:cs="Arial"/>
          <w:b/>
          <w:noProof/>
        </w:rPr>
        <w:t>Nacrt zakona o izmjenama i dopunama Zakona o osiguranju</w:t>
      </w:r>
    </w:p>
    <w:p w:rsidR="002E576D" w:rsidRPr="0016406F" w:rsidRDefault="002E576D" w:rsidP="002E576D">
      <w:pPr>
        <w:spacing w:after="0" w:line="276" w:lineRule="auto"/>
        <w:jc w:val="center"/>
        <w:rPr>
          <w:rFonts w:ascii="Arial" w:eastAsiaTheme="minorEastAsia" w:hAnsi="Arial" w:cs="Arial"/>
          <w:noProof/>
        </w:rPr>
      </w:pPr>
    </w:p>
    <w:p w:rsidR="002E576D" w:rsidRPr="0016406F" w:rsidRDefault="002E576D" w:rsidP="003141F4">
      <w:pPr>
        <w:spacing w:after="0" w:line="276" w:lineRule="auto"/>
        <w:jc w:val="both"/>
        <w:rPr>
          <w:rFonts w:ascii="Arial" w:eastAsiaTheme="minorEastAsia" w:hAnsi="Arial" w:cs="Arial"/>
          <w:noProof/>
        </w:rPr>
      </w:pPr>
      <w:r w:rsidRPr="0016406F">
        <w:rPr>
          <w:rFonts w:ascii="Arial" w:eastAsiaTheme="minorEastAsia" w:hAnsi="Arial" w:cs="Arial"/>
          <w:noProof/>
        </w:rPr>
        <w:t xml:space="preserve">Vrijeme trajanja javne rasprave:  </w:t>
      </w:r>
      <w:r w:rsidR="003141F4" w:rsidRPr="003141F4">
        <w:rPr>
          <w:rFonts w:ascii="Arial" w:eastAsiaTheme="minorEastAsia" w:hAnsi="Arial" w:cs="Arial"/>
          <w:noProof/>
          <w:u w:val="single"/>
        </w:rPr>
        <w:t xml:space="preserve">Javna rasprava je održana u periodu </w:t>
      </w:r>
      <w:r w:rsidR="003141F4" w:rsidRPr="00370152">
        <w:rPr>
          <w:rFonts w:ascii="Arial" w:eastAsiaTheme="minorEastAsia" w:hAnsi="Arial" w:cs="Arial"/>
          <w:noProof/>
          <w:u w:val="single"/>
        </w:rPr>
        <w:t xml:space="preserve">od </w:t>
      </w:r>
      <w:r w:rsidR="00370152" w:rsidRPr="00370152">
        <w:rPr>
          <w:rFonts w:ascii="Arial" w:eastAsiaTheme="minorEastAsia" w:hAnsi="Arial" w:cs="Arial"/>
          <w:noProof/>
          <w:u w:val="single"/>
        </w:rPr>
        <w:t>02</w:t>
      </w:r>
      <w:r w:rsidR="003141F4" w:rsidRPr="00370152">
        <w:rPr>
          <w:rFonts w:ascii="Arial" w:eastAsiaTheme="minorEastAsia" w:hAnsi="Arial" w:cs="Arial"/>
          <w:noProof/>
          <w:u w:val="single"/>
        </w:rPr>
        <w:t xml:space="preserve"> </w:t>
      </w:r>
      <w:r w:rsidR="00370152" w:rsidRPr="00370152">
        <w:rPr>
          <w:rFonts w:ascii="Arial" w:eastAsiaTheme="minorEastAsia" w:hAnsi="Arial" w:cs="Arial"/>
          <w:noProof/>
          <w:u w:val="single"/>
        </w:rPr>
        <w:t>avgusta</w:t>
      </w:r>
      <w:r w:rsidR="003141F4" w:rsidRPr="00370152">
        <w:rPr>
          <w:rFonts w:ascii="Arial" w:eastAsiaTheme="minorEastAsia" w:hAnsi="Arial" w:cs="Arial"/>
          <w:noProof/>
          <w:u w:val="single"/>
        </w:rPr>
        <w:t xml:space="preserve"> do 0</w:t>
      </w:r>
      <w:r w:rsidR="00370152" w:rsidRPr="00370152">
        <w:rPr>
          <w:rFonts w:ascii="Arial" w:eastAsiaTheme="minorEastAsia" w:hAnsi="Arial" w:cs="Arial"/>
          <w:noProof/>
          <w:u w:val="single"/>
        </w:rPr>
        <w:t>5</w:t>
      </w:r>
      <w:r w:rsidR="003141F4" w:rsidRPr="00370152">
        <w:rPr>
          <w:rFonts w:ascii="Arial" w:eastAsiaTheme="minorEastAsia" w:hAnsi="Arial" w:cs="Arial"/>
          <w:noProof/>
          <w:u w:val="single"/>
        </w:rPr>
        <w:t xml:space="preserve">. </w:t>
      </w:r>
      <w:r w:rsidR="00370152" w:rsidRPr="00370152">
        <w:rPr>
          <w:rFonts w:ascii="Arial" w:eastAsiaTheme="minorEastAsia" w:hAnsi="Arial" w:cs="Arial"/>
          <w:noProof/>
          <w:u w:val="single"/>
        </w:rPr>
        <w:t>septembra</w:t>
      </w:r>
      <w:r w:rsidR="003141F4" w:rsidRPr="00370152">
        <w:rPr>
          <w:rFonts w:ascii="Arial" w:eastAsiaTheme="minorEastAsia" w:hAnsi="Arial" w:cs="Arial"/>
          <w:noProof/>
          <w:u w:val="single"/>
        </w:rPr>
        <w:t xml:space="preserve"> 2019. godine.</w:t>
      </w:r>
    </w:p>
    <w:p w:rsidR="002E576D" w:rsidRPr="0016406F" w:rsidRDefault="002E576D" w:rsidP="002E576D">
      <w:pPr>
        <w:spacing w:after="0" w:line="276" w:lineRule="auto"/>
        <w:rPr>
          <w:rFonts w:ascii="Arial" w:eastAsiaTheme="minorEastAsia" w:hAnsi="Arial" w:cs="Arial"/>
          <w:noProof/>
        </w:rPr>
      </w:pPr>
    </w:p>
    <w:p w:rsidR="002E576D" w:rsidRPr="0016406F" w:rsidRDefault="002E576D" w:rsidP="002E576D">
      <w:pPr>
        <w:spacing w:after="0" w:line="276" w:lineRule="auto"/>
        <w:rPr>
          <w:rFonts w:ascii="Arial" w:eastAsiaTheme="minorEastAsia" w:hAnsi="Arial" w:cs="Arial"/>
          <w:noProof/>
        </w:rPr>
      </w:pPr>
      <w:r w:rsidRPr="0016406F">
        <w:rPr>
          <w:rFonts w:ascii="Arial" w:eastAsiaTheme="minorEastAsia" w:hAnsi="Arial" w:cs="Arial"/>
          <w:noProof/>
        </w:rPr>
        <w:t>Način sprovođenja javne rasprave:</w:t>
      </w:r>
    </w:p>
    <w:p w:rsidR="002E576D" w:rsidRPr="0016406F" w:rsidRDefault="002E576D" w:rsidP="002E576D">
      <w:pPr>
        <w:numPr>
          <w:ilvl w:val="0"/>
          <w:numId w:val="3"/>
        </w:numPr>
        <w:spacing w:after="0" w:line="276" w:lineRule="auto"/>
        <w:contextualSpacing/>
        <w:rPr>
          <w:rFonts w:ascii="Arial" w:hAnsi="Arial" w:cs="Arial"/>
          <w:noProof/>
        </w:rPr>
      </w:pPr>
      <w:r w:rsidRPr="0016406F">
        <w:rPr>
          <w:rFonts w:ascii="Arial" w:hAnsi="Arial" w:cs="Arial"/>
          <w:noProof/>
        </w:rPr>
        <w:t>Dostavljanje primjedbi, predloga i sugestija u pisanom ili elektronskom obliku</w:t>
      </w:r>
    </w:p>
    <w:p w:rsidR="002E576D" w:rsidRPr="0016406F" w:rsidRDefault="002E576D" w:rsidP="002E576D">
      <w:pPr>
        <w:spacing w:after="0" w:line="276" w:lineRule="auto"/>
        <w:ind w:left="720"/>
        <w:contextualSpacing/>
        <w:rPr>
          <w:rFonts w:ascii="Arial" w:hAnsi="Arial" w:cs="Arial"/>
          <w:noProof/>
        </w:rPr>
      </w:pPr>
    </w:p>
    <w:p w:rsidR="002E576D" w:rsidRPr="0016406F" w:rsidRDefault="002E576D" w:rsidP="002E576D">
      <w:pPr>
        <w:spacing w:after="0" w:line="276" w:lineRule="auto"/>
        <w:rPr>
          <w:rFonts w:ascii="Arial" w:eastAsiaTheme="minorEastAsia" w:hAnsi="Arial" w:cs="Arial"/>
          <w:noProof/>
        </w:rPr>
      </w:pPr>
      <w:r w:rsidRPr="0016406F">
        <w:rPr>
          <w:rFonts w:ascii="Arial" w:eastAsiaTheme="minorEastAsia" w:hAnsi="Arial" w:cs="Arial"/>
          <w:noProof/>
        </w:rPr>
        <w:t>Ovlašćeni predstavnici ministarstva koji su učestvovali u javnoj raspravi:</w:t>
      </w:r>
      <w:r w:rsidRPr="0016406F">
        <w:rPr>
          <w:rFonts w:ascii="Arial" w:hAnsi="Arial" w:cs="Arial"/>
        </w:rPr>
        <w:t xml:space="preserve"> </w:t>
      </w:r>
      <w:r w:rsidRPr="0030701B">
        <w:rPr>
          <w:rFonts w:ascii="Arial" w:eastAsiaTheme="minorEastAsia" w:hAnsi="Arial" w:cs="Arial"/>
          <w:noProof/>
          <w:u w:val="single"/>
        </w:rPr>
        <w:t>Direktorat za finansijski sistem i unapređenje poslovnog ambijenta</w:t>
      </w:r>
    </w:p>
    <w:p w:rsidR="002E576D" w:rsidRPr="0016406F" w:rsidRDefault="002E576D" w:rsidP="002E576D">
      <w:pPr>
        <w:spacing w:after="0" w:line="276" w:lineRule="auto"/>
        <w:rPr>
          <w:rFonts w:ascii="Arial" w:eastAsiaTheme="minorEastAsia" w:hAnsi="Arial" w:cs="Arial"/>
          <w:noProof/>
        </w:rPr>
      </w:pPr>
    </w:p>
    <w:p w:rsidR="002E576D" w:rsidRPr="0016406F" w:rsidRDefault="002E576D" w:rsidP="002E576D">
      <w:pPr>
        <w:spacing w:after="0" w:line="276" w:lineRule="auto"/>
        <w:jc w:val="both"/>
        <w:rPr>
          <w:rFonts w:ascii="Arial" w:eastAsiaTheme="minorEastAsia" w:hAnsi="Arial" w:cs="Arial"/>
          <w:noProof/>
        </w:rPr>
      </w:pPr>
      <w:r w:rsidRPr="0016406F">
        <w:rPr>
          <w:rFonts w:ascii="Arial" w:eastAsiaTheme="minorEastAsia" w:hAnsi="Arial" w:cs="Arial"/>
          <w:noProof/>
        </w:rPr>
        <w:t>Podaci o broju i strukturi učesnika u javnoj raspravi: U toku trajanja javne rasprave dostavljen</w:t>
      </w:r>
      <w:r w:rsidR="00A46978">
        <w:rPr>
          <w:rFonts w:ascii="Arial" w:eastAsiaTheme="minorEastAsia" w:hAnsi="Arial" w:cs="Arial"/>
          <w:noProof/>
        </w:rPr>
        <w:t>e</w:t>
      </w:r>
      <w:r w:rsidR="00366DC8">
        <w:rPr>
          <w:rFonts w:ascii="Arial" w:eastAsiaTheme="minorEastAsia" w:hAnsi="Arial" w:cs="Arial"/>
          <w:noProof/>
        </w:rPr>
        <w:t xml:space="preserve"> su su primjedbe</w:t>
      </w:r>
      <w:r w:rsidRPr="0016406F">
        <w:rPr>
          <w:rFonts w:ascii="Arial" w:eastAsiaTheme="minorEastAsia" w:hAnsi="Arial" w:cs="Arial"/>
          <w:noProof/>
        </w:rPr>
        <w:t xml:space="preserve"> </w:t>
      </w:r>
      <w:r w:rsidR="004E1413">
        <w:rPr>
          <w:rFonts w:ascii="Arial" w:eastAsiaTheme="minorEastAsia" w:hAnsi="Arial" w:cs="Arial"/>
          <w:noProof/>
        </w:rPr>
        <w:t>tri</w:t>
      </w:r>
      <w:r w:rsidRPr="0016406F">
        <w:rPr>
          <w:rFonts w:ascii="Arial" w:eastAsiaTheme="minorEastAsia" w:hAnsi="Arial" w:cs="Arial"/>
          <w:noProof/>
        </w:rPr>
        <w:t xml:space="preserve"> uče</w:t>
      </w:r>
      <w:r w:rsidR="004E1413">
        <w:rPr>
          <w:rFonts w:ascii="Arial" w:eastAsiaTheme="minorEastAsia" w:hAnsi="Arial" w:cs="Arial"/>
          <w:noProof/>
        </w:rPr>
        <w:t>s</w:t>
      </w:r>
      <w:r w:rsidRPr="0016406F">
        <w:rPr>
          <w:rFonts w:ascii="Arial" w:eastAsiaTheme="minorEastAsia" w:hAnsi="Arial" w:cs="Arial"/>
          <w:noProof/>
        </w:rPr>
        <w:t>nika, i to:</w:t>
      </w:r>
      <w:r w:rsidR="004E1413">
        <w:rPr>
          <w:rFonts w:ascii="Arial" w:eastAsiaTheme="minorEastAsia" w:hAnsi="Arial" w:cs="Arial"/>
          <w:noProof/>
        </w:rPr>
        <w:t xml:space="preserve"> </w:t>
      </w:r>
      <w:r w:rsidR="004E1413" w:rsidRPr="004E1413">
        <w:rPr>
          <w:rFonts w:ascii="Arial" w:eastAsiaTheme="minorEastAsia" w:hAnsi="Arial" w:cs="Arial"/>
          <w:noProof/>
        </w:rPr>
        <w:t xml:space="preserve">UNIQA neživotno osiguranje a.d. </w:t>
      </w:r>
      <w:r w:rsidR="004E1413" w:rsidRPr="004E1413">
        <w:rPr>
          <w:rFonts w:ascii="Arial" w:eastAsiaTheme="minorEastAsia" w:hAnsi="Arial" w:cs="Arial"/>
          <w:noProof/>
        </w:rPr>
        <w:lastRenderedPageBreak/>
        <w:t>Podgorica</w:t>
      </w:r>
      <w:r w:rsidR="004E1413">
        <w:rPr>
          <w:rFonts w:ascii="Arial" w:eastAsiaTheme="minorEastAsia" w:hAnsi="Arial" w:cs="Arial"/>
          <w:noProof/>
        </w:rPr>
        <w:t xml:space="preserve">, </w:t>
      </w:r>
      <w:r w:rsidR="004E1413" w:rsidRPr="004E1413">
        <w:rPr>
          <w:rFonts w:ascii="Arial" w:eastAsiaTheme="minorEastAsia" w:hAnsi="Arial" w:cs="Arial"/>
          <w:noProof/>
        </w:rPr>
        <w:t xml:space="preserve">AM Capital </w:t>
      </w:r>
      <w:r w:rsidR="004E1413">
        <w:rPr>
          <w:rFonts w:ascii="Arial" w:eastAsiaTheme="minorEastAsia" w:hAnsi="Arial" w:cs="Arial"/>
          <w:noProof/>
        </w:rPr>
        <w:t xml:space="preserve">DOO, </w:t>
      </w:r>
      <w:r w:rsidR="004E1413" w:rsidRPr="004E1413">
        <w:rPr>
          <w:rFonts w:ascii="Arial" w:eastAsiaTheme="minorEastAsia" w:hAnsi="Arial" w:cs="Arial"/>
          <w:noProof/>
        </w:rPr>
        <w:t>Smart Money Solutions DOO</w:t>
      </w:r>
      <w:r w:rsidR="004E1413">
        <w:rPr>
          <w:rFonts w:ascii="Arial" w:eastAsiaTheme="minorEastAsia" w:hAnsi="Arial" w:cs="Arial"/>
          <w:noProof/>
        </w:rPr>
        <w:t xml:space="preserve"> i Udruženje posrednika u osiguranju u Privrednoj komori</w:t>
      </w:r>
      <w:r w:rsidRPr="0016406F">
        <w:rPr>
          <w:rFonts w:ascii="Arial" w:eastAsiaTheme="minorEastAsia" w:hAnsi="Arial" w:cs="Arial"/>
          <w:noProof/>
        </w:rPr>
        <w:t xml:space="preserve">. </w:t>
      </w:r>
    </w:p>
    <w:p w:rsidR="002E576D" w:rsidRPr="0016406F" w:rsidRDefault="002E576D" w:rsidP="002E576D">
      <w:pPr>
        <w:spacing w:after="0" w:line="276" w:lineRule="auto"/>
        <w:jc w:val="both"/>
        <w:rPr>
          <w:rFonts w:ascii="Arial" w:eastAsiaTheme="minorEastAsia" w:hAnsi="Arial" w:cs="Arial"/>
          <w:noProof/>
        </w:rPr>
      </w:pPr>
    </w:p>
    <w:p w:rsidR="002E576D" w:rsidRPr="0016406F" w:rsidRDefault="002E576D" w:rsidP="002E576D">
      <w:pPr>
        <w:spacing w:after="0" w:line="276" w:lineRule="auto"/>
        <w:jc w:val="both"/>
        <w:rPr>
          <w:rFonts w:ascii="Arial" w:eastAsiaTheme="minorEastAsia" w:hAnsi="Arial" w:cs="Arial"/>
          <w:noProof/>
        </w:rPr>
      </w:pPr>
      <w:r w:rsidRPr="0016406F">
        <w:rPr>
          <w:rFonts w:ascii="Arial" w:eastAsiaTheme="minorEastAsia" w:hAnsi="Arial" w:cs="Arial"/>
          <w:noProof/>
        </w:rPr>
        <w:t>Rezime dostavljanih primjedbi, predloga i sugestija, sa navedenim razlozima njihovog prihvatanja, odnosno neprihvatanja:</w:t>
      </w:r>
    </w:p>
    <w:p w:rsidR="002E576D" w:rsidRDefault="002E576D" w:rsidP="002E576D">
      <w:pPr>
        <w:spacing w:after="0" w:line="276" w:lineRule="auto"/>
        <w:rPr>
          <w:rFonts w:ascii="Arial" w:eastAsiaTheme="minorEastAsia" w:hAnsi="Arial" w:cs="Arial"/>
          <w:noProof/>
        </w:rPr>
      </w:pPr>
    </w:p>
    <w:p w:rsidR="00970CDB" w:rsidRDefault="00970CDB" w:rsidP="002E576D">
      <w:pPr>
        <w:spacing w:after="0" w:line="276" w:lineRule="auto"/>
        <w:rPr>
          <w:rFonts w:ascii="Arial" w:eastAsiaTheme="minorEastAsia" w:hAnsi="Arial" w:cs="Arial"/>
          <w:noProof/>
        </w:rPr>
      </w:pPr>
    </w:p>
    <w:p w:rsidR="00970CDB" w:rsidRPr="0016406F" w:rsidRDefault="00970CDB" w:rsidP="002E576D">
      <w:pPr>
        <w:spacing w:after="0" w:line="276" w:lineRule="auto"/>
        <w:rPr>
          <w:rFonts w:ascii="Arial" w:eastAsiaTheme="minorEastAsia" w:hAnsi="Arial" w:cs="Arial"/>
          <w:noProof/>
        </w:rPr>
      </w:pPr>
    </w:p>
    <w:p w:rsidR="002E576D" w:rsidRPr="003949D6" w:rsidRDefault="002E576D" w:rsidP="002E576D">
      <w:pPr>
        <w:spacing w:after="0" w:line="276" w:lineRule="auto"/>
        <w:rPr>
          <w:rFonts w:ascii="Arial" w:eastAsiaTheme="minorEastAsia" w:hAnsi="Arial" w:cs="Arial"/>
          <w:noProof/>
        </w:rPr>
      </w:pPr>
      <w:r w:rsidRPr="0016406F">
        <w:rPr>
          <w:rFonts w:ascii="Arial" w:eastAsiaTheme="minorEastAsia" w:hAnsi="Arial" w:cs="Arial"/>
          <w:b/>
          <w:noProof/>
        </w:rPr>
        <w:t xml:space="preserve"> </w:t>
      </w:r>
      <w:r w:rsidRPr="003949D6">
        <w:rPr>
          <w:rFonts w:ascii="Arial" w:eastAsiaTheme="minorEastAsia" w:hAnsi="Arial" w:cs="Arial"/>
          <w:b/>
          <w:noProof/>
        </w:rPr>
        <w:t>Prihvaćene primjedbe, predlozi i sugestije</w:t>
      </w:r>
    </w:p>
    <w:p w:rsidR="00DB5FEA" w:rsidRDefault="00DB5FEA" w:rsidP="002E576D">
      <w:pPr>
        <w:tabs>
          <w:tab w:val="left" w:pos="0"/>
        </w:tabs>
        <w:spacing w:after="0" w:line="276" w:lineRule="auto"/>
        <w:rPr>
          <w:rFonts w:ascii="Arial" w:eastAsia="Times New Roman" w:hAnsi="Arial" w:cs="Arial"/>
          <w:noProof/>
        </w:rPr>
      </w:pPr>
    </w:p>
    <w:p w:rsidR="00DB5FEA" w:rsidRDefault="00DB5FEA" w:rsidP="002E576D">
      <w:pPr>
        <w:tabs>
          <w:tab w:val="left" w:pos="0"/>
        </w:tabs>
        <w:spacing w:after="0" w:line="276" w:lineRule="auto"/>
        <w:rPr>
          <w:rFonts w:ascii="Arial" w:eastAsia="Times New Roman" w:hAnsi="Arial" w:cs="Arial"/>
          <w:noProof/>
        </w:rPr>
      </w:pPr>
      <w:r>
        <w:rPr>
          <w:rFonts w:ascii="Arial" w:eastAsia="Times New Roman" w:hAnsi="Arial" w:cs="Arial"/>
          <w:noProof/>
        </w:rPr>
        <w:t xml:space="preserve">/ </w:t>
      </w:r>
    </w:p>
    <w:p w:rsidR="00DB5FEA" w:rsidRDefault="00DB5FEA" w:rsidP="002E576D">
      <w:pPr>
        <w:tabs>
          <w:tab w:val="left" w:pos="0"/>
        </w:tabs>
        <w:spacing w:after="0" w:line="276" w:lineRule="auto"/>
        <w:rPr>
          <w:rFonts w:ascii="Arial" w:eastAsia="Times New Roman" w:hAnsi="Arial" w:cs="Arial"/>
          <w:noProof/>
        </w:rPr>
      </w:pPr>
    </w:p>
    <w:p w:rsidR="002E576D" w:rsidRPr="00970CDB" w:rsidRDefault="002E576D" w:rsidP="002E576D">
      <w:pPr>
        <w:tabs>
          <w:tab w:val="left" w:pos="0"/>
        </w:tabs>
        <w:spacing w:after="0" w:line="276" w:lineRule="auto"/>
        <w:rPr>
          <w:rFonts w:ascii="Arial" w:eastAsiaTheme="minorEastAsia" w:hAnsi="Arial" w:cs="Arial"/>
          <w:b/>
          <w:noProof/>
        </w:rPr>
      </w:pPr>
      <w:r w:rsidRPr="00970CDB">
        <w:rPr>
          <w:rFonts w:ascii="Arial" w:eastAsiaTheme="minorEastAsia" w:hAnsi="Arial" w:cs="Arial"/>
          <w:b/>
          <w:noProof/>
        </w:rPr>
        <w:t>Primjedbe, predlozi i sugestije čije se pojašnjenje tražilo ili</w:t>
      </w:r>
      <w:r w:rsidRPr="00970CDB">
        <w:rPr>
          <w:rFonts w:ascii="Arial" w:eastAsiaTheme="minorEastAsia" w:hAnsi="Arial" w:cs="Arial"/>
          <w:noProof/>
        </w:rPr>
        <w:t xml:space="preserve"> </w:t>
      </w:r>
      <w:r w:rsidRPr="00970CDB">
        <w:rPr>
          <w:rFonts w:ascii="Arial" w:eastAsiaTheme="minorEastAsia" w:hAnsi="Arial" w:cs="Arial"/>
          <w:b/>
          <w:noProof/>
        </w:rPr>
        <w:t>koji nijesu prihvaćeni</w:t>
      </w:r>
    </w:p>
    <w:p w:rsidR="00206B75" w:rsidRPr="00206B75" w:rsidRDefault="00DB5FEA" w:rsidP="00970CDB">
      <w:pPr>
        <w:pStyle w:val="ListParagraph"/>
        <w:widowControl w:val="0"/>
        <w:numPr>
          <w:ilvl w:val="0"/>
          <w:numId w:val="7"/>
        </w:numPr>
        <w:tabs>
          <w:tab w:val="left" w:pos="8742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noProof/>
          <w:color w:val="231F20"/>
        </w:rPr>
      </w:pPr>
      <w:r w:rsidRPr="00970CDB">
        <w:rPr>
          <w:rFonts w:ascii="Arial" w:eastAsia="Times New Roman" w:hAnsi="Arial" w:cs="Arial"/>
          <w:noProof/>
          <w:color w:val="231F20"/>
        </w:rPr>
        <w:t>Podno</w:t>
      </w:r>
      <w:r w:rsidR="00970CDB">
        <w:rPr>
          <w:rFonts w:ascii="Arial" w:eastAsia="Times New Roman" w:hAnsi="Arial" w:cs="Arial"/>
          <w:noProof/>
          <w:color w:val="231F20"/>
        </w:rPr>
        <w:t xml:space="preserve">silac predloga </w:t>
      </w:r>
      <w:r w:rsidR="00970CDB" w:rsidRPr="00970CDB">
        <w:rPr>
          <w:rFonts w:ascii="Arial" w:eastAsia="Times New Roman" w:hAnsi="Arial" w:cs="Arial"/>
          <w:noProof/>
          <w:color w:val="231F20"/>
          <w:u w:val="single"/>
        </w:rPr>
        <w:t>AM Capital DOO</w:t>
      </w:r>
      <w:r w:rsidRPr="00970CDB">
        <w:rPr>
          <w:rFonts w:ascii="Arial" w:eastAsia="Times New Roman" w:hAnsi="Arial" w:cs="Arial"/>
          <w:noProof/>
          <w:color w:val="231F20"/>
        </w:rPr>
        <w:t xml:space="preserve"> </w:t>
      </w:r>
      <w:r w:rsidR="00970CDB">
        <w:rPr>
          <w:rFonts w:ascii="Arial" w:eastAsia="Times New Roman" w:hAnsi="Arial" w:cs="Arial"/>
          <w:noProof/>
          <w:color w:val="231F20"/>
        </w:rPr>
        <w:t xml:space="preserve">predložio je </w:t>
      </w:r>
      <w:r w:rsidR="00970CDB" w:rsidRPr="00970CDB">
        <w:rPr>
          <w:rFonts w:ascii="Arial" w:eastAsia="Times New Roman" w:hAnsi="Arial" w:cs="Arial"/>
          <w:noProof/>
          <w:color w:val="231F20"/>
        </w:rPr>
        <w:t>brisa</w:t>
      </w:r>
      <w:r w:rsidR="00970CDB">
        <w:rPr>
          <w:rFonts w:ascii="Arial" w:eastAsia="Times New Roman" w:hAnsi="Arial" w:cs="Arial"/>
          <w:noProof/>
          <w:color w:val="231F20"/>
        </w:rPr>
        <w:t>nje</w:t>
      </w:r>
      <w:r w:rsidR="00970CDB" w:rsidRPr="00970CDB">
        <w:rPr>
          <w:rFonts w:ascii="Arial" w:eastAsia="Times New Roman" w:hAnsi="Arial" w:cs="Arial"/>
          <w:noProof/>
          <w:color w:val="231F20"/>
        </w:rPr>
        <w:t xml:space="preserve"> </w:t>
      </w:r>
      <w:r w:rsidRPr="00970CDB">
        <w:rPr>
          <w:rFonts w:ascii="Arial" w:eastAsia="Times New Roman" w:hAnsi="Arial" w:cs="Arial"/>
          <w:noProof/>
          <w:color w:val="231F20"/>
        </w:rPr>
        <w:t>stav</w:t>
      </w:r>
      <w:r w:rsidR="00970CDB">
        <w:rPr>
          <w:rFonts w:ascii="Arial" w:eastAsia="Times New Roman" w:hAnsi="Arial" w:cs="Arial"/>
          <w:noProof/>
          <w:color w:val="231F20"/>
        </w:rPr>
        <w:t>a</w:t>
      </w:r>
      <w:r w:rsidRPr="00970CDB">
        <w:rPr>
          <w:rFonts w:ascii="Arial" w:eastAsia="Times New Roman" w:hAnsi="Arial" w:cs="Arial"/>
          <w:noProof/>
          <w:color w:val="231F20"/>
        </w:rPr>
        <w:t xml:space="preserve"> 2 člana 72</w:t>
      </w:r>
      <w:r w:rsidR="00970CDB">
        <w:rPr>
          <w:rFonts w:ascii="Arial" w:eastAsia="Times New Roman" w:hAnsi="Arial" w:cs="Arial"/>
          <w:noProof/>
          <w:color w:val="231F20"/>
        </w:rPr>
        <w:t xml:space="preserve"> kojim je propisano da l</w:t>
      </w:r>
      <w:r w:rsidRPr="00970CDB">
        <w:rPr>
          <w:rFonts w:ascii="Arial" w:eastAsia="Times New Roman" w:hAnsi="Arial" w:cs="Arial"/>
          <w:noProof/>
          <w:color w:val="231F20"/>
        </w:rPr>
        <w:t xml:space="preserve">icima koja obavljaju poslove zastupanja u osiguranju na osnovu zaposlenja u društvu za osiguranje nije potrebno </w:t>
      </w:r>
      <w:r w:rsidRPr="00970CDB">
        <w:rPr>
          <w:rFonts w:ascii="Arial" w:eastAsia="Times New Roman" w:hAnsi="Arial" w:cs="Arial"/>
          <w:noProof/>
          <w:color w:val="231F20"/>
        </w:rPr>
        <w:lastRenderedPageBreak/>
        <w:t>ovlašćenje iz stava 1 člana 72. Obrazloženje podnosioca predloga se odnosi na zapažanje da sadašnja norma dovodi u neravnopravan položaj društva za zastupanje i društva za posredovanje sa ostalim učesnicima na tržištu kako u dijelu troškova poslovanja tako i odgovornosti I obaveza koje iz toga proizilazen u svom poslovanju što je usporilo dosadašnji razvoj I kvalitet na našem tržištu osiguranja.</w:t>
      </w:r>
      <w:r w:rsidR="00970CDB" w:rsidRPr="00970CDB">
        <w:rPr>
          <w:rFonts w:ascii="Arial" w:hAnsi="Arial" w:cs="Arial"/>
        </w:rPr>
        <w:t xml:space="preserve"> </w:t>
      </w:r>
    </w:p>
    <w:p w:rsidR="002E576D" w:rsidRDefault="00970CDB" w:rsidP="00206B75">
      <w:pPr>
        <w:pStyle w:val="ListParagraph"/>
        <w:widowControl w:val="0"/>
        <w:tabs>
          <w:tab w:val="left" w:pos="8742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noProof/>
          <w:color w:val="231F20"/>
        </w:rPr>
      </w:pPr>
      <w:r w:rsidRPr="00970CDB">
        <w:rPr>
          <w:rFonts w:ascii="Arial" w:hAnsi="Arial" w:cs="Arial"/>
        </w:rPr>
        <w:t xml:space="preserve">Predlog se </w:t>
      </w:r>
      <w:r>
        <w:rPr>
          <w:rFonts w:ascii="Arial" w:eastAsia="Times New Roman" w:hAnsi="Arial" w:cs="Arial"/>
          <w:noProof/>
          <w:color w:val="231F20"/>
        </w:rPr>
        <w:t>ne prihvata, jer će k</w:t>
      </w:r>
      <w:r w:rsidRPr="00970CDB">
        <w:rPr>
          <w:rFonts w:ascii="Arial" w:eastAsia="Times New Roman" w:hAnsi="Arial" w:cs="Arial"/>
          <w:noProof/>
          <w:color w:val="231F20"/>
        </w:rPr>
        <w:t>roz novi Zakon o osi</w:t>
      </w:r>
      <w:r>
        <w:rPr>
          <w:rFonts w:ascii="Arial" w:eastAsia="Times New Roman" w:hAnsi="Arial" w:cs="Arial"/>
          <w:noProof/>
          <w:color w:val="231F20"/>
        </w:rPr>
        <w:t>guranju biti</w:t>
      </w:r>
      <w:r w:rsidRPr="00970CDB">
        <w:rPr>
          <w:rFonts w:ascii="Arial" w:eastAsia="Times New Roman" w:hAnsi="Arial" w:cs="Arial"/>
          <w:noProof/>
          <w:color w:val="231F20"/>
        </w:rPr>
        <w:t xml:space="preserve"> implementirana Direktiva (EU) 2016/97 Evropskog parlamenta i Vijeća (IDD direktiva), kojom će se i propisati obaveza da zaposleni u društvu za osiguranje treba da posjeduju odgovarajuća znanja i sposobnosti kako bi primjereno izvršili svoje radne obaveze koje se tiču aktivnosti tokom pripreme, zaključenja i nakon zaključenja polisa osiguranja, a sve u cilju povećanja stepena profesionalizma i stručnosti svih lica koja obavljaju poslove prodaje osiguranja u društvima za osiguranje</w:t>
      </w:r>
      <w:r>
        <w:rPr>
          <w:rFonts w:ascii="Arial" w:eastAsia="Times New Roman" w:hAnsi="Arial" w:cs="Arial"/>
          <w:noProof/>
          <w:color w:val="231F20"/>
        </w:rPr>
        <w:t>.</w:t>
      </w:r>
    </w:p>
    <w:p w:rsidR="00970CDB" w:rsidRPr="00970CDB" w:rsidRDefault="00970CDB" w:rsidP="00970CDB">
      <w:pPr>
        <w:pStyle w:val="ListParagraph"/>
        <w:widowControl w:val="0"/>
        <w:tabs>
          <w:tab w:val="left" w:pos="8742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noProof/>
          <w:color w:val="231F20"/>
        </w:rPr>
      </w:pPr>
    </w:p>
    <w:p w:rsidR="00206B75" w:rsidRDefault="00B00CEE" w:rsidP="00970CDB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noProof/>
        </w:rPr>
      </w:pPr>
      <w:r w:rsidRPr="00970CDB">
        <w:rPr>
          <w:rFonts w:ascii="Arial" w:hAnsi="Arial" w:cs="Arial"/>
          <w:noProof/>
        </w:rPr>
        <w:t xml:space="preserve">Podnosilac komentara </w:t>
      </w:r>
      <w:r w:rsidRPr="00970CDB">
        <w:rPr>
          <w:rFonts w:ascii="Arial" w:eastAsiaTheme="minorEastAsia" w:hAnsi="Arial" w:cs="Arial"/>
          <w:noProof/>
          <w:u w:val="single"/>
        </w:rPr>
        <w:t>Smart Money Solutions DOO</w:t>
      </w:r>
      <w:r w:rsidRPr="00970CDB">
        <w:rPr>
          <w:rFonts w:ascii="Arial" w:eastAsiaTheme="minorEastAsia" w:hAnsi="Arial" w:cs="Arial"/>
          <w:noProof/>
        </w:rPr>
        <w:t xml:space="preserve"> </w:t>
      </w:r>
      <w:r w:rsidR="00970CDB">
        <w:rPr>
          <w:rFonts w:ascii="Arial" w:hAnsi="Arial" w:cs="Arial"/>
          <w:noProof/>
        </w:rPr>
        <w:t>nije dostavio</w:t>
      </w:r>
      <w:r w:rsidRPr="00970CDB">
        <w:rPr>
          <w:rFonts w:ascii="Arial" w:hAnsi="Arial" w:cs="Arial"/>
          <w:noProof/>
        </w:rPr>
        <w:t xml:space="preserve"> konkretan predlog za izmjenu pojedinih odredbi Zakona</w:t>
      </w:r>
      <w:r w:rsidR="00A46978" w:rsidRPr="00970CDB">
        <w:rPr>
          <w:rFonts w:ascii="Arial" w:hAnsi="Arial" w:cs="Arial"/>
          <w:noProof/>
        </w:rPr>
        <w:t>,</w:t>
      </w:r>
      <w:r w:rsidRPr="00970CDB">
        <w:rPr>
          <w:rFonts w:ascii="Arial" w:hAnsi="Arial" w:cs="Arial"/>
          <w:noProof/>
        </w:rPr>
        <w:t xml:space="preserve"> </w:t>
      </w:r>
      <w:r w:rsidR="00A46978" w:rsidRPr="00970CDB">
        <w:rPr>
          <w:rFonts w:ascii="Arial" w:hAnsi="Arial" w:cs="Arial"/>
          <w:noProof/>
        </w:rPr>
        <w:t xml:space="preserve">već </w:t>
      </w:r>
      <w:r w:rsidRPr="00970CDB">
        <w:rPr>
          <w:rFonts w:ascii="Arial" w:hAnsi="Arial" w:cs="Arial"/>
          <w:noProof/>
        </w:rPr>
        <w:t xml:space="preserve">sugestije i uporedna iskustva zemalja u okruženju </w:t>
      </w:r>
      <w:r w:rsidR="00A46978" w:rsidRPr="00970CDB">
        <w:rPr>
          <w:rFonts w:ascii="Arial" w:hAnsi="Arial" w:cs="Arial"/>
          <w:noProof/>
        </w:rPr>
        <w:t>koje se odnose većinom na implementaciju direktive IDD</w:t>
      </w:r>
      <w:r w:rsidRPr="00970CDB">
        <w:rPr>
          <w:rFonts w:ascii="Arial" w:hAnsi="Arial" w:cs="Arial"/>
          <w:noProof/>
        </w:rPr>
        <w:t xml:space="preserve">. </w:t>
      </w:r>
    </w:p>
    <w:p w:rsidR="00B00CEE" w:rsidRDefault="00B00CEE" w:rsidP="00206B75">
      <w:pPr>
        <w:pStyle w:val="ListParagraph"/>
        <w:spacing w:after="0" w:line="276" w:lineRule="auto"/>
        <w:jc w:val="both"/>
        <w:rPr>
          <w:rFonts w:ascii="Arial" w:hAnsi="Arial" w:cs="Arial"/>
          <w:noProof/>
        </w:rPr>
      </w:pPr>
      <w:r w:rsidRPr="00970CDB">
        <w:rPr>
          <w:rFonts w:ascii="Arial" w:hAnsi="Arial" w:cs="Arial"/>
          <w:noProof/>
        </w:rPr>
        <w:lastRenderedPageBreak/>
        <w:t xml:space="preserve">Komentari u vezi odredbi koje propisuju uslove za sticanje ovlašćenja za obavljanje poslova zastupanja i posredovanja u osiguranju </w:t>
      </w:r>
      <w:r w:rsidR="00A46978" w:rsidRPr="00970CDB">
        <w:rPr>
          <w:rFonts w:ascii="Arial" w:hAnsi="Arial" w:cs="Arial"/>
          <w:noProof/>
        </w:rPr>
        <w:t>biće uzeti u obzir pri izradi</w:t>
      </w:r>
      <w:r w:rsidRPr="00970CDB">
        <w:rPr>
          <w:rFonts w:ascii="Arial" w:hAnsi="Arial" w:cs="Arial"/>
          <w:noProof/>
        </w:rPr>
        <w:t xml:space="preserve"> nacrt</w:t>
      </w:r>
      <w:r w:rsidR="00A46978" w:rsidRPr="00970CDB">
        <w:rPr>
          <w:rFonts w:ascii="Arial" w:hAnsi="Arial" w:cs="Arial"/>
          <w:noProof/>
        </w:rPr>
        <w:t>a</w:t>
      </w:r>
      <w:r w:rsidRPr="00970CDB">
        <w:rPr>
          <w:rFonts w:ascii="Arial" w:hAnsi="Arial" w:cs="Arial"/>
          <w:noProof/>
        </w:rPr>
        <w:t xml:space="preserve"> Zakona o osiguranju</w:t>
      </w:r>
      <w:r w:rsidR="00A46978" w:rsidRPr="00970CDB">
        <w:rPr>
          <w:rFonts w:ascii="Arial" w:hAnsi="Arial" w:cs="Arial"/>
          <w:noProof/>
        </w:rPr>
        <w:t>, kojim će se</w:t>
      </w:r>
      <w:r w:rsidRPr="00970CDB">
        <w:rPr>
          <w:rFonts w:ascii="Arial" w:hAnsi="Arial" w:cs="Arial"/>
          <w:noProof/>
        </w:rPr>
        <w:t xml:space="preserve"> implementira</w:t>
      </w:r>
      <w:r w:rsidR="00A46978" w:rsidRPr="00970CDB">
        <w:rPr>
          <w:rFonts w:ascii="Arial" w:hAnsi="Arial" w:cs="Arial"/>
          <w:noProof/>
        </w:rPr>
        <w:t>ti</w:t>
      </w:r>
      <w:r w:rsidRPr="00970CDB">
        <w:rPr>
          <w:rFonts w:ascii="Arial" w:hAnsi="Arial" w:cs="Arial"/>
          <w:noProof/>
        </w:rPr>
        <w:t xml:space="preserve"> Direktiva (EU) 2016/97 Evropskog parlamenta i Vijeća (poznatija kao IDD direktiva).</w:t>
      </w:r>
    </w:p>
    <w:p w:rsidR="00970CDB" w:rsidRPr="00970CDB" w:rsidRDefault="00970CDB" w:rsidP="00970CDB">
      <w:pPr>
        <w:pStyle w:val="ListParagraph"/>
        <w:spacing w:after="0" w:line="276" w:lineRule="auto"/>
        <w:jc w:val="both"/>
        <w:rPr>
          <w:rFonts w:ascii="Arial" w:hAnsi="Arial" w:cs="Arial"/>
          <w:noProof/>
        </w:rPr>
      </w:pPr>
    </w:p>
    <w:p w:rsidR="00206B75" w:rsidRPr="00206B75" w:rsidRDefault="002E576D" w:rsidP="00206B75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noProof/>
          <w:color w:val="231F20"/>
        </w:rPr>
      </w:pPr>
      <w:r w:rsidRPr="00970CDB">
        <w:rPr>
          <w:rFonts w:ascii="Arial" w:eastAsia="Times New Roman" w:hAnsi="Arial" w:cs="Arial"/>
          <w:noProof/>
          <w:color w:val="231F20"/>
        </w:rPr>
        <w:t xml:space="preserve">Predlog </w:t>
      </w:r>
      <w:r w:rsidR="00370152" w:rsidRPr="00970CDB">
        <w:rPr>
          <w:rFonts w:ascii="Arial" w:eastAsia="Times New Roman" w:hAnsi="Arial" w:cs="Arial"/>
          <w:noProof/>
          <w:color w:val="231F20"/>
          <w:u w:val="single"/>
        </w:rPr>
        <w:t>Udruženja posrednika</w:t>
      </w:r>
      <w:r w:rsidR="00370152" w:rsidRPr="00970CDB">
        <w:rPr>
          <w:rFonts w:ascii="Arial" w:eastAsia="Times New Roman" w:hAnsi="Arial" w:cs="Arial"/>
          <w:noProof/>
          <w:color w:val="231F20"/>
        </w:rPr>
        <w:t xml:space="preserve"> da se izmijeni član 8 stav 2 na način da se ugovore o osiguranju, ugovore o posredovanju i ugovore o zastupanju u osiguranju primjenjuje se zakon kojim su uređeni obligacioni odnosi i drugi zakoni kojima su uređeni ugovori o pojedinim vrstama osiguranja n</w:t>
      </w:r>
      <w:r w:rsidR="00970CDB">
        <w:rPr>
          <w:rFonts w:ascii="Arial" w:eastAsia="Times New Roman" w:hAnsi="Arial" w:cs="Arial"/>
          <w:noProof/>
          <w:color w:val="231F20"/>
        </w:rPr>
        <w:t>ij</w:t>
      </w:r>
      <w:r w:rsidR="00370152" w:rsidRPr="00970CDB">
        <w:rPr>
          <w:rFonts w:ascii="Arial" w:eastAsia="Times New Roman" w:hAnsi="Arial" w:cs="Arial"/>
          <w:noProof/>
          <w:color w:val="231F20"/>
        </w:rPr>
        <w:t>e prihva</w:t>
      </w:r>
      <w:r w:rsidR="00970CDB">
        <w:rPr>
          <w:rFonts w:ascii="Arial" w:eastAsia="Times New Roman" w:hAnsi="Arial" w:cs="Arial"/>
          <w:noProof/>
          <w:color w:val="231F20"/>
        </w:rPr>
        <w:t>ćen jer a</w:t>
      </w:r>
      <w:r w:rsidR="00370152" w:rsidRPr="00970CDB">
        <w:rPr>
          <w:rFonts w:ascii="Arial" w:eastAsia="Times New Roman" w:hAnsi="Arial" w:cs="Arial"/>
          <w:noProof/>
          <w:color w:val="231F20"/>
        </w:rPr>
        <w:t xml:space="preserve">nalizom sadržaja Zakona o osiguranju i ZOO u dijelu koji se odnosi na ugovore o zastupanju i posredovanju, </w:t>
      </w:r>
      <w:r w:rsidR="00A46978" w:rsidRPr="00970CDB">
        <w:rPr>
          <w:rFonts w:ascii="Arial" w:eastAsia="Times New Roman" w:hAnsi="Arial" w:cs="Arial"/>
          <w:noProof/>
          <w:color w:val="231F20"/>
        </w:rPr>
        <w:t xml:space="preserve">nije utvrđeno da </w:t>
      </w:r>
      <w:r w:rsidR="00370152" w:rsidRPr="00970CDB">
        <w:rPr>
          <w:rFonts w:ascii="Arial" w:eastAsia="Times New Roman" w:hAnsi="Arial" w:cs="Arial"/>
          <w:noProof/>
          <w:color w:val="231F20"/>
        </w:rPr>
        <w:t>postoji preklapanje</w:t>
      </w:r>
      <w:r w:rsidR="00A46978" w:rsidRPr="00970CDB">
        <w:rPr>
          <w:rFonts w:ascii="Arial" w:eastAsia="Times New Roman" w:hAnsi="Arial" w:cs="Arial"/>
          <w:noProof/>
          <w:color w:val="231F20"/>
        </w:rPr>
        <w:t xml:space="preserve"> normi ta dva propisa</w:t>
      </w:r>
      <w:r w:rsidR="00970CDB">
        <w:rPr>
          <w:rFonts w:ascii="Arial" w:eastAsia="Times New Roman" w:hAnsi="Arial" w:cs="Arial"/>
          <w:noProof/>
          <w:color w:val="231F20"/>
        </w:rPr>
        <w:t>,</w:t>
      </w:r>
      <w:r w:rsidR="00A46978" w:rsidRPr="00970CDB">
        <w:rPr>
          <w:rFonts w:ascii="Arial" w:eastAsia="Times New Roman" w:hAnsi="Arial" w:cs="Arial"/>
          <w:noProof/>
          <w:color w:val="231F20"/>
        </w:rPr>
        <w:t xml:space="preserve"> a</w:t>
      </w:r>
      <w:r w:rsidR="00970CDB">
        <w:rPr>
          <w:rFonts w:ascii="Arial" w:eastAsia="Times New Roman" w:hAnsi="Arial" w:cs="Arial"/>
          <w:noProof/>
          <w:color w:val="231F20"/>
        </w:rPr>
        <w:t xml:space="preserve"> u</w:t>
      </w:r>
      <w:r w:rsidR="00A46978" w:rsidRPr="00970CDB">
        <w:rPr>
          <w:rFonts w:ascii="Arial" w:eastAsia="Times New Roman" w:hAnsi="Arial" w:cs="Arial"/>
          <w:noProof/>
          <w:color w:val="231F20"/>
        </w:rPr>
        <w:t xml:space="preserve"> pogledu p</w:t>
      </w:r>
      <w:r w:rsidR="00370152" w:rsidRPr="00970CDB">
        <w:rPr>
          <w:rFonts w:ascii="Arial" w:eastAsia="Times New Roman" w:hAnsi="Arial" w:cs="Arial"/>
          <w:noProof/>
          <w:color w:val="231F20"/>
        </w:rPr>
        <w:t>rimjer</w:t>
      </w:r>
      <w:r w:rsidR="00A46978" w:rsidRPr="00970CDB">
        <w:rPr>
          <w:rFonts w:ascii="Arial" w:eastAsia="Times New Roman" w:hAnsi="Arial" w:cs="Arial"/>
          <w:noProof/>
          <w:color w:val="231F20"/>
        </w:rPr>
        <w:t>a</w:t>
      </w:r>
      <w:r w:rsidR="00370152" w:rsidRPr="00970CDB">
        <w:rPr>
          <w:rFonts w:ascii="Arial" w:eastAsia="Times New Roman" w:hAnsi="Arial" w:cs="Arial"/>
          <w:noProof/>
          <w:color w:val="231F20"/>
        </w:rPr>
        <w:t xml:space="preserve"> naveden</w:t>
      </w:r>
      <w:r w:rsidR="00A46978" w:rsidRPr="00970CDB">
        <w:rPr>
          <w:rFonts w:ascii="Arial" w:eastAsia="Times New Roman" w:hAnsi="Arial" w:cs="Arial"/>
          <w:noProof/>
          <w:color w:val="231F20"/>
        </w:rPr>
        <w:t>og</w:t>
      </w:r>
      <w:r w:rsidR="00370152" w:rsidRPr="00970CDB">
        <w:rPr>
          <w:rFonts w:ascii="Arial" w:eastAsia="Times New Roman" w:hAnsi="Arial" w:cs="Arial"/>
          <w:noProof/>
          <w:color w:val="231F20"/>
        </w:rPr>
        <w:t xml:space="preserve"> kao obrazloženje</w:t>
      </w:r>
      <w:r w:rsidR="00A46978" w:rsidRPr="00970CDB">
        <w:rPr>
          <w:rFonts w:ascii="Arial" w:eastAsia="Times New Roman" w:hAnsi="Arial" w:cs="Arial"/>
          <w:noProof/>
          <w:color w:val="231F20"/>
        </w:rPr>
        <w:t>, ocijenjeno je</w:t>
      </w:r>
      <w:r w:rsidR="00370152" w:rsidRPr="00970CDB">
        <w:rPr>
          <w:rFonts w:ascii="Arial" w:eastAsia="Times New Roman" w:hAnsi="Arial" w:cs="Arial"/>
          <w:noProof/>
          <w:color w:val="231F20"/>
        </w:rPr>
        <w:t xml:space="preserve"> da </w:t>
      </w:r>
      <w:r w:rsidR="00A46978" w:rsidRPr="00970CDB">
        <w:rPr>
          <w:rFonts w:ascii="Arial" w:eastAsia="Times New Roman" w:hAnsi="Arial" w:cs="Arial"/>
          <w:noProof/>
          <w:color w:val="231F20"/>
        </w:rPr>
        <w:t xml:space="preserve">shodno zakonskim normama poslovanje posrednika funkcioniše na način da to </w:t>
      </w:r>
      <w:r w:rsidR="00370152" w:rsidRPr="00970CDB">
        <w:rPr>
          <w:rFonts w:ascii="Arial" w:eastAsia="Times New Roman" w:hAnsi="Arial" w:cs="Arial"/>
          <w:noProof/>
          <w:color w:val="231F20"/>
        </w:rPr>
        <w:t xml:space="preserve">društvo u pravilu proviziju ostvaruje od društva za osiguranje, shodno ugovoru o posredovanju koji je sa tim osiguravačem zaključen, osim ako se posebnim ugovorom sa ugovaračem </w:t>
      </w:r>
      <w:r w:rsidR="00370152" w:rsidRPr="00206B75">
        <w:rPr>
          <w:rFonts w:ascii="Arial" w:eastAsia="Times New Roman" w:hAnsi="Arial" w:cs="Arial"/>
          <w:noProof/>
          <w:color w:val="231F20"/>
        </w:rPr>
        <w:t>osiguranja nije dogovorio da provizija bude naplaćena od tog lica.</w:t>
      </w:r>
      <w:r w:rsidR="00A46978" w:rsidRPr="00206B75">
        <w:rPr>
          <w:rFonts w:ascii="Arial" w:eastAsia="Times New Roman" w:hAnsi="Arial" w:cs="Arial"/>
          <w:noProof/>
          <w:color w:val="231F20"/>
        </w:rPr>
        <w:t xml:space="preserve"> Shodno zakonu,</w:t>
      </w:r>
      <w:r w:rsidR="00370152" w:rsidRPr="00206B75">
        <w:rPr>
          <w:rFonts w:ascii="Arial" w:eastAsia="Times New Roman" w:hAnsi="Arial" w:cs="Arial"/>
          <w:noProof/>
          <w:color w:val="231F20"/>
        </w:rPr>
        <w:t xml:space="preserve"> </w:t>
      </w:r>
      <w:r w:rsidR="00A46978" w:rsidRPr="00206B75">
        <w:rPr>
          <w:rFonts w:ascii="Arial" w:eastAsia="Times New Roman" w:hAnsi="Arial" w:cs="Arial"/>
          <w:noProof/>
          <w:color w:val="231F20"/>
        </w:rPr>
        <w:t>a</w:t>
      </w:r>
      <w:r w:rsidR="00370152" w:rsidRPr="00206B75">
        <w:rPr>
          <w:rFonts w:ascii="Arial" w:eastAsia="Times New Roman" w:hAnsi="Arial" w:cs="Arial"/>
          <w:noProof/>
          <w:color w:val="231F20"/>
        </w:rPr>
        <w:t>ko posrednik proviziju ostvar</w:t>
      </w:r>
      <w:r w:rsidR="00A46978" w:rsidRPr="00206B75">
        <w:rPr>
          <w:rFonts w:ascii="Arial" w:eastAsia="Times New Roman" w:hAnsi="Arial" w:cs="Arial"/>
          <w:noProof/>
          <w:color w:val="231F20"/>
        </w:rPr>
        <w:t>i</w:t>
      </w:r>
      <w:r w:rsidR="00370152" w:rsidRPr="00206B75">
        <w:rPr>
          <w:rFonts w:ascii="Arial" w:eastAsia="Times New Roman" w:hAnsi="Arial" w:cs="Arial"/>
          <w:noProof/>
          <w:color w:val="231F20"/>
        </w:rPr>
        <w:t xml:space="preserve"> od nalogodavca, tada nema pravo na primanja od </w:t>
      </w:r>
      <w:r w:rsidR="00370152" w:rsidRPr="00206B75">
        <w:rPr>
          <w:rFonts w:ascii="Arial" w:eastAsia="Times New Roman" w:hAnsi="Arial" w:cs="Arial"/>
          <w:noProof/>
          <w:color w:val="231F20"/>
        </w:rPr>
        <w:lastRenderedPageBreak/>
        <w:t>druge ugovorne strane iz ugovora o osiguranju. Tako</w:t>
      </w:r>
      <w:r w:rsidR="00A46978" w:rsidRPr="00206B75">
        <w:rPr>
          <w:rFonts w:ascii="Arial" w:eastAsia="Times New Roman" w:hAnsi="Arial" w:cs="Arial"/>
          <w:noProof/>
          <w:color w:val="231F20"/>
        </w:rPr>
        <w:t>đe</w:t>
      </w:r>
      <w:r w:rsidR="00370152" w:rsidRPr="00206B75">
        <w:rPr>
          <w:rFonts w:ascii="Arial" w:eastAsia="Times New Roman" w:hAnsi="Arial" w:cs="Arial"/>
          <w:noProof/>
          <w:color w:val="231F20"/>
        </w:rPr>
        <w:t>, bez obzira na to ko plaća proviziju, posrednik istupa kao lice koje obezbjeđuje da interesi ugovarača osiguranja budu zaštićeni.</w:t>
      </w:r>
      <w:r w:rsidR="00206B75" w:rsidRPr="00206B75">
        <w:rPr>
          <w:rFonts w:ascii="Arial" w:hAnsi="Arial" w:cs="Arial"/>
        </w:rPr>
        <w:t xml:space="preserve"> </w:t>
      </w:r>
    </w:p>
    <w:p w:rsidR="00206B75" w:rsidRPr="00206B75" w:rsidRDefault="00206B75" w:rsidP="00206B75">
      <w:pPr>
        <w:pStyle w:val="ListParagraph"/>
        <w:spacing w:after="0" w:line="276" w:lineRule="auto"/>
        <w:jc w:val="both"/>
        <w:rPr>
          <w:rFonts w:ascii="Arial" w:hAnsi="Arial" w:cs="Arial"/>
          <w:noProof/>
        </w:rPr>
      </w:pPr>
      <w:r w:rsidRPr="00206B75">
        <w:rPr>
          <w:rFonts w:ascii="Arial" w:hAnsi="Arial" w:cs="Arial"/>
        </w:rPr>
        <w:t xml:space="preserve">Posrednici su predložili takođe </w:t>
      </w:r>
      <w:r>
        <w:rPr>
          <w:rFonts w:ascii="Arial" w:hAnsi="Arial" w:cs="Arial"/>
        </w:rPr>
        <w:t>i</w:t>
      </w:r>
      <w:r w:rsidRPr="00206B75">
        <w:rPr>
          <w:rFonts w:ascii="Arial" w:eastAsia="Times New Roman" w:hAnsi="Arial" w:cs="Arial"/>
          <w:noProof/>
          <w:color w:val="231F20"/>
        </w:rPr>
        <w:t>zmjen</w:t>
      </w:r>
      <w:r>
        <w:rPr>
          <w:rFonts w:ascii="Arial" w:eastAsia="Times New Roman" w:hAnsi="Arial" w:cs="Arial"/>
          <w:noProof/>
          <w:color w:val="231F20"/>
        </w:rPr>
        <w:t>u</w:t>
      </w:r>
      <w:r w:rsidR="00366DC8">
        <w:rPr>
          <w:rFonts w:ascii="Arial" w:eastAsia="Times New Roman" w:hAnsi="Arial" w:cs="Arial"/>
          <w:noProof/>
          <w:color w:val="231F20"/>
        </w:rPr>
        <w:t xml:space="preserve"> člana 81b stav 2</w:t>
      </w:r>
      <w:r w:rsidRPr="00206B75">
        <w:rPr>
          <w:rFonts w:ascii="Arial" w:eastAsia="Times New Roman" w:hAnsi="Arial" w:cs="Arial"/>
          <w:noProof/>
          <w:color w:val="231F20"/>
        </w:rPr>
        <w:t xml:space="preserve"> tako da glasi“ "Društvo za posredovanje u osiguranju pravo na proviziju stiče od dana početka važenja ugovora o osiguranju ugovornika osiguranja, odnosno osiguranika- pravnog lica, fizičkog lica, institucije i organizacije, registrovanih u Crnoj Gori, nezavisno od načina organizovanja, vrste </w:t>
      </w:r>
      <w:r w:rsidR="00366DC8">
        <w:rPr>
          <w:rFonts w:ascii="Arial" w:eastAsia="Times New Roman" w:hAnsi="Arial" w:cs="Arial"/>
          <w:noProof/>
          <w:color w:val="231F20"/>
        </w:rPr>
        <w:t>svojine i načina registacije.“</w:t>
      </w:r>
      <w:r>
        <w:rPr>
          <w:rFonts w:ascii="Arial" w:eastAsia="Times New Roman" w:hAnsi="Arial" w:cs="Arial"/>
          <w:noProof/>
          <w:color w:val="231F20"/>
        </w:rPr>
        <w:t>, iz razloga što</w:t>
      </w:r>
      <w:r w:rsidRPr="00206B75">
        <w:rPr>
          <w:rFonts w:ascii="Arial" w:eastAsia="Times New Roman" w:hAnsi="Arial" w:cs="Arial"/>
          <w:noProof/>
          <w:color w:val="231F20"/>
        </w:rPr>
        <w:t xml:space="preserve"> u praksi postoji različito tumačenje uloge društava za posredovanje u osiguranju od strane pojedinih subjekata (učesnika na tržištu osiguranja) u zavisnosti od vrs</w:t>
      </w:r>
      <w:r>
        <w:rPr>
          <w:rFonts w:ascii="Arial" w:eastAsia="Times New Roman" w:hAnsi="Arial" w:cs="Arial"/>
          <w:noProof/>
          <w:color w:val="231F20"/>
        </w:rPr>
        <w:t>te svojine ugovarača osiguranja, pa su smatrali</w:t>
      </w:r>
      <w:r w:rsidRPr="00206B75">
        <w:rPr>
          <w:rFonts w:ascii="Arial" w:eastAsia="Times New Roman" w:hAnsi="Arial" w:cs="Arial"/>
          <w:noProof/>
          <w:color w:val="231F20"/>
        </w:rPr>
        <w:t xml:space="preserve"> da je potrebno naglasiti Zakonom o osiguranju da društva za posredovanje u osiguranju stiču pravo na proviziju u radu sa svim subjektima (bez izuzetka), sa kojima imaju validno ovlašćenje za posredovanje u osiguranju ili Ugovor o posredovanju u osiguranju kao formalni akt kojim se društva za posredovanju ovlašćuju da mogu istupati u ime i za račun nalogodavca. U tom smislu smatramo da je postojećem stavu potrebno dodati i riječi „ugovornika osiguranja, odnosno osiguranika- pravnog lica, fizičkog lica, institucije i </w:t>
      </w:r>
      <w:r w:rsidRPr="00206B75">
        <w:rPr>
          <w:rFonts w:ascii="Arial" w:eastAsia="Times New Roman" w:hAnsi="Arial" w:cs="Arial"/>
          <w:noProof/>
          <w:color w:val="231F20"/>
        </w:rPr>
        <w:lastRenderedPageBreak/>
        <w:t xml:space="preserve">organizacije, registrovanih u Crnoj Gori, nezavisno od načina organizovanja, vrste svojine i načina registacije.“  </w:t>
      </w:r>
    </w:p>
    <w:p w:rsidR="002E576D" w:rsidRPr="00970CDB" w:rsidRDefault="00206B75" w:rsidP="00206B75">
      <w:pPr>
        <w:pStyle w:val="ListParagraph"/>
        <w:spacing w:after="0" w:line="276" w:lineRule="auto"/>
        <w:jc w:val="both"/>
        <w:rPr>
          <w:rFonts w:ascii="Arial" w:hAnsi="Arial" w:cs="Arial"/>
          <w:noProof/>
        </w:rPr>
      </w:pPr>
      <w:r w:rsidRPr="00206B75">
        <w:rPr>
          <w:rFonts w:ascii="Arial" w:eastAsia="Times New Roman" w:hAnsi="Arial" w:cs="Arial"/>
          <w:noProof/>
          <w:color w:val="231F20"/>
        </w:rPr>
        <w:t>Primjedba se ne prihvata. Član 81b stav 2 odnosi se na sve ugovore o osiguranju, bez obzira na status ugovornika osiguranja. Dodavanje predloženog teksta nije potrebno jer ne mijenja značenje, već samo dodatno opterećuje tekst odredbe.</w:t>
      </w:r>
    </w:p>
    <w:p w:rsidR="00370152" w:rsidRDefault="00370152" w:rsidP="00370152">
      <w:pPr>
        <w:spacing w:after="0" w:line="276" w:lineRule="auto"/>
        <w:contextualSpacing/>
        <w:jc w:val="both"/>
        <w:rPr>
          <w:rFonts w:ascii="Arial" w:eastAsia="Times New Roman" w:hAnsi="Arial" w:cs="Arial"/>
          <w:noProof/>
          <w:color w:val="231F20"/>
        </w:rPr>
      </w:pPr>
    </w:p>
    <w:p w:rsidR="00970CDB" w:rsidRDefault="00370152" w:rsidP="00970CDB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eastAsiaTheme="minorEastAsia" w:hAnsi="Arial" w:cs="Arial"/>
          <w:noProof/>
        </w:rPr>
      </w:pPr>
      <w:r w:rsidRPr="00370152">
        <w:rPr>
          <w:rFonts w:ascii="Arial" w:eastAsiaTheme="minorEastAsia" w:hAnsi="Arial" w:cs="Arial"/>
          <w:noProof/>
        </w:rPr>
        <w:t>Ne prihvata se predlog UNIQA neživotno osiguranje a.d. Podgorica</w:t>
      </w:r>
      <w:r>
        <w:rPr>
          <w:rFonts w:ascii="Arial" w:eastAsiaTheme="minorEastAsia" w:hAnsi="Arial" w:cs="Arial"/>
          <w:noProof/>
        </w:rPr>
        <w:t xml:space="preserve"> kojim se predlaže da se briše član 32 Nacrta zakona </w:t>
      </w:r>
      <w:r w:rsidR="007376F2">
        <w:rPr>
          <w:rFonts w:ascii="Arial" w:eastAsiaTheme="minorEastAsia" w:hAnsi="Arial" w:cs="Arial"/>
          <w:noProof/>
        </w:rPr>
        <w:t xml:space="preserve">koji dopunjava postojeću odredbu </w:t>
      </w:r>
      <w:r w:rsidR="007376F2" w:rsidRPr="007376F2">
        <w:rPr>
          <w:rFonts w:ascii="Arial" w:eastAsiaTheme="minorEastAsia" w:hAnsi="Arial" w:cs="Arial"/>
          <w:noProof/>
        </w:rPr>
        <w:t>član</w:t>
      </w:r>
      <w:r w:rsidR="007376F2">
        <w:rPr>
          <w:rFonts w:ascii="Arial" w:eastAsiaTheme="minorEastAsia" w:hAnsi="Arial" w:cs="Arial"/>
          <w:noProof/>
        </w:rPr>
        <w:t>a</w:t>
      </w:r>
      <w:r w:rsidR="007376F2" w:rsidRPr="007376F2">
        <w:rPr>
          <w:rFonts w:ascii="Arial" w:eastAsiaTheme="minorEastAsia" w:hAnsi="Arial" w:cs="Arial"/>
          <w:noProof/>
        </w:rPr>
        <w:t xml:space="preserve"> 177 stav 4 Zakona o osiguranju </w:t>
      </w:r>
      <w:r w:rsidR="007376F2">
        <w:rPr>
          <w:rFonts w:ascii="Arial" w:eastAsiaTheme="minorEastAsia" w:hAnsi="Arial" w:cs="Arial"/>
          <w:noProof/>
        </w:rPr>
        <w:t>na način</w:t>
      </w:r>
      <w:r w:rsidR="007376F2" w:rsidRPr="007376F2">
        <w:rPr>
          <w:rFonts w:ascii="Arial" w:eastAsiaTheme="minorEastAsia" w:hAnsi="Arial" w:cs="Arial"/>
          <w:noProof/>
        </w:rPr>
        <w:t xml:space="preserve"> da se Agenciji za nadzor osiguranja, pored ovlašćenja da donisi akte utvrđene ovim zakonom, daje mogućnost da donosi “i druge akte u cilju adekvatnog ispunjavanja zakonskih obaveza subjekta nadzora”</w:t>
      </w:r>
      <w:r w:rsidR="007376F2">
        <w:rPr>
          <w:rFonts w:ascii="Arial" w:eastAsiaTheme="minorEastAsia" w:hAnsi="Arial" w:cs="Arial"/>
          <w:noProof/>
        </w:rPr>
        <w:t>.</w:t>
      </w:r>
      <w:r w:rsidR="00A46978">
        <w:rPr>
          <w:rFonts w:ascii="Arial" w:eastAsiaTheme="minorEastAsia" w:hAnsi="Arial" w:cs="Arial"/>
          <w:noProof/>
        </w:rPr>
        <w:t xml:space="preserve"> </w:t>
      </w:r>
      <w:r w:rsidR="007376F2">
        <w:rPr>
          <w:rFonts w:ascii="Arial" w:eastAsiaTheme="minorEastAsia" w:hAnsi="Arial" w:cs="Arial"/>
          <w:noProof/>
        </w:rPr>
        <w:t xml:space="preserve">U svom obrazloženju </w:t>
      </w:r>
      <w:r w:rsidR="007376F2" w:rsidRPr="00370152">
        <w:rPr>
          <w:rFonts w:ascii="Arial" w:eastAsiaTheme="minorEastAsia" w:hAnsi="Arial" w:cs="Arial"/>
          <w:noProof/>
        </w:rPr>
        <w:t>UNIQA neživotno osiguranje a.d. Podgorica</w:t>
      </w:r>
      <w:r w:rsidR="007376F2">
        <w:rPr>
          <w:rFonts w:ascii="Arial" w:eastAsiaTheme="minorEastAsia" w:hAnsi="Arial" w:cs="Arial"/>
          <w:noProof/>
        </w:rPr>
        <w:t xml:space="preserve"> navodi da </w:t>
      </w:r>
      <w:r w:rsidR="007376F2" w:rsidRPr="007376F2">
        <w:rPr>
          <w:rFonts w:ascii="Arial" w:eastAsiaTheme="minorEastAsia" w:hAnsi="Arial" w:cs="Arial"/>
          <w:noProof/>
        </w:rPr>
        <w:t>Agencija može donositi samo one akte za koje je ovlašćena zakonom i čiji je predmet uređivanja utvrđen zakonom</w:t>
      </w:r>
      <w:r w:rsidR="007376F2">
        <w:rPr>
          <w:rFonts w:ascii="Arial" w:eastAsiaTheme="minorEastAsia" w:hAnsi="Arial" w:cs="Arial"/>
          <w:noProof/>
        </w:rPr>
        <w:t xml:space="preserve">. Naime, predloženu </w:t>
      </w:r>
      <w:r w:rsidR="00F947BF">
        <w:rPr>
          <w:rFonts w:ascii="Arial" w:eastAsiaTheme="minorEastAsia" w:hAnsi="Arial" w:cs="Arial"/>
          <w:noProof/>
        </w:rPr>
        <w:t xml:space="preserve">izmjenu nije moguće uvažiti jer </w:t>
      </w:r>
      <w:r w:rsidR="00F947BF" w:rsidRPr="00F947BF">
        <w:rPr>
          <w:rFonts w:ascii="Arial" w:eastAsiaTheme="minorEastAsia" w:hAnsi="Arial" w:cs="Arial"/>
          <w:noProof/>
        </w:rPr>
        <w:t>se ovom odredbom vrši usk</w:t>
      </w:r>
      <w:r w:rsidR="00A46978">
        <w:rPr>
          <w:rFonts w:ascii="Arial" w:eastAsiaTheme="minorEastAsia" w:hAnsi="Arial" w:cs="Arial"/>
          <w:noProof/>
        </w:rPr>
        <w:t>l</w:t>
      </w:r>
      <w:r w:rsidR="00F947BF" w:rsidRPr="00F947BF">
        <w:rPr>
          <w:rFonts w:ascii="Arial" w:eastAsiaTheme="minorEastAsia" w:hAnsi="Arial" w:cs="Arial"/>
          <w:noProof/>
        </w:rPr>
        <w:t>ađivanje nadležnosti Agencije sa Zakonom o državnoj upravi</w:t>
      </w:r>
      <w:r w:rsidR="00F947BF">
        <w:rPr>
          <w:rFonts w:ascii="Arial" w:eastAsiaTheme="minorEastAsia" w:hAnsi="Arial" w:cs="Arial"/>
          <w:noProof/>
        </w:rPr>
        <w:t xml:space="preserve"> što je i glavni predmet</w:t>
      </w:r>
      <w:r w:rsidR="00F947BF" w:rsidRPr="00F947BF">
        <w:rPr>
          <w:rFonts w:ascii="Arial" w:eastAsiaTheme="minorEastAsia" w:hAnsi="Arial" w:cs="Arial"/>
          <w:noProof/>
        </w:rPr>
        <w:t>.</w:t>
      </w:r>
    </w:p>
    <w:p w:rsidR="000B4A34" w:rsidRDefault="00970CDB" w:rsidP="00970CDB">
      <w:pPr>
        <w:pStyle w:val="ListParagraph"/>
        <w:spacing w:line="276" w:lineRule="auto"/>
        <w:jc w:val="both"/>
        <w:rPr>
          <w:rFonts w:ascii="Arial" w:eastAsiaTheme="minorEastAsia" w:hAnsi="Arial" w:cs="Arial"/>
          <w:noProof/>
        </w:rPr>
      </w:pPr>
      <w:r w:rsidRPr="00970CDB">
        <w:rPr>
          <w:rFonts w:ascii="Arial" w:eastAsiaTheme="minorEastAsia" w:hAnsi="Arial" w:cs="Arial"/>
          <w:noProof/>
        </w:rPr>
        <w:lastRenderedPageBreak/>
        <w:t>Predlog</w:t>
      </w:r>
      <w:r w:rsidR="000B4A34" w:rsidRPr="00970CDB">
        <w:rPr>
          <w:rFonts w:ascii="Arial" w:eastAsiaTheme="minorEastAsia" w:hAnsi="Arial" w:cs="Arial"/>
          <w:noProof/>
        </w:rPr>
        <w:t xml:space="preserve"> da se u članu 81a stav 1 tačka 3</w:t>
      </w:r>
      <w:r w:rsidR="000B4A34" w:rsidRPr="00970CDB">
        <w:t xml:space="preserve"> </w:t>
      </w:r>
      <w:r>
        <w:rPr>
          <w:rFonts w:ascii="Arial" w:eastAsiaTheme="minorEastAsia" w:hAnsi="Arial" w:cs="Arial"/>
          <w:noProof/>
        </w:rPr>
        <w:t xml:space="preserve">posle alineje 1 doda </w:t>
      </w:r>
      <w:r w:rsidR="000B4A34" w:rsidRPr="00970CDB">
        <w:rPr>
          <w:rFonts w:ascii="Arial" w:eastAsiaTheme="minorEastAsia" w:hAnsi="Arial" w:cs="Arial"/>
          <w:noProof/>
        </w:rPr>
        <w:t>nova alineja „zdravstveno osiguranje lica za vrijeme boravka u inostranstvu,</w:t>
      </w:r>
      <w:r w:rsidR="00366DC8">
        <w:rPr>
          <w:rFonts w:ascii="Arial" w:eastAsiaTheme="minorEastAsia" w:hAnsi="Arial" w:cs="Arial"/>
          <w:noProof/>
        </w:rPr>
        <w:t xml:space="preserve"> </w:t>
      </w:r>
      <w:r w:rsidR="000B4A34" w:rsidRPr="00970CDB">
        <w:rPr>
          <w:rFonts w:ascii="Arial" w:eastAsiaTheme="minorEastAsia" w:hAnsi="Arial" w:cs="Arial"/>
          <w:noProof/>
        </w:rPr>
        <w:t>a u vezi sa putovanjem koje je bilo rezervisano preko turističke agencije” i da se u tački 4 pomenutog člana posle riječi „osiguranja“ dodaju se riječi „po pojedinačnom ugovoru o osiguranju”</w:t>
      </w:r>
      <w:r>
        <w:rPr>
          <w:rFonts w:ascii="Arial" w:eastAsiaTheme="minorEastAsia" w:hAnsi="Arial" w:cs="Arial"/>
          <w:noProof/>
        </w:rPr>
        <w:t>, nije prihvaćen iz razloga što postojeći zakon ni u ovom trenutku ne brani tumačenje</w:t>
      </w:r>
      <w:r w:rsidR="000B4A34" w:rsidRPr="00970CDB">
        <w:rPr>
          <w:rFonts w:ascii="Arial" w:eastAsiaTheme="minorEastAsia" w:hAnsi="Arial" w:cs="Arial"/>
          <w:noProof/>
        </w:rPr>
        <w:t xml:space="preserve"> </w:t>
      </w:r>
      <w:r>
        <w:rPr>
          <w:rFonts w:ascii="Arial" w:eastAsiaTheme="minorEastAsia" w:hAnsi="Arial" w:cs="Arial"/>
          <w:noProof/>
        </w:rPr>
        <w:t>da je moguća prodaja tih proizvoda na predloženi način, naravno uz poštovanje ostalih uslova iz člana 81a zakona. U drugom dijelu</w:t>
      </w:r>
      <w:r w:rsidR="000B4A34" w:rsidRPr="00970CDB">
        <w:rPr>
          <w:rFonts w:ascii="Arial" w:eastAsiaTheme="minorEastAsia" w:hAnsi="Arial" w:cs="Arial"/>
          <w:noProof/>
        </w:rPr>
        <w:t xml:space="preserve"> </w:t>
      </w:r>
      <w:r>
        <w:rPr>
          <w:rFonts w:ascii="Arial" w:eastAsiaTheme="minorEastAsia" w:hAnsi="Arial" w:cs="Arial"/>
          <w:noProof/>
        </w:rPr>
        <w:t xml:space="preserve">predloga, ocijenjeno je da </w:t>
      </w:r>
      <w:r w:rsidR="000B4A34" w:rsidRPr="00970CDB">
        <w:rPr>
          <w:rFonts w:ascii="Arial" w:eastAsiaTheme="minorEastAsia" w:hAnsi="Arial" w:cs="Arial"/>
          <w:noProof/>
        </w:rPr>
        <w:t>postojeće zakonsko rješenje podrazu</w:t>
      </w:r>
      <w:r>
        <w:rPr>
          <w:rFonts w:ascii="Arial" w:eastAsiaTheme="minorEastAsia" w:hAnsi="Arial" w:cs="Arial"/>
          <w:noProof/>
        </w:rPr>
        <w:t>m</w:t>
      </w:r>
      <w:r w:rsidR="000B4A34" w:rsidRPr="00970CDB">
        <w:rPr>
          <w:rFonts w:ascii="Arial" w:eastAsiaTheme="minorEastAsia" w:hAnsi="Arial" w:cs="Arial"/>
          <w:noProof/>
        </w:rPr>
        <w:t xml:space="preserve">ijeva da se premija odnosi </w:t>
      </w:r>
      <w:r>
        <w:rPr>
          <w:rFonts w:ascii="Arial" w:eastAsiaTheme="minorEastAsia" w:hAnsi="Arial" w:cs="Arial"/>
          <w:noProof/>
        </w:rPr>
        <w:t>na</w:t>
      </w:r>
      <w:r w:rsidR="000B4A34" w:rsidRPr="00970CDB">
        <w:rPr>
          <w:rFonts w:ascii="Arial" w:eastAsiaTheme="minorEastAsia" w:hAnsi="Arial" w:cs="Arial"/>
          <w:noProof/>
        </w:rPr>
        <w:t xml:space="preserve"> pojedinačn</w:t>
      </w:r>
      <w:r>
        <w:rPr>
          <w:rFonts w:ascii="Arial" w:eastAsiaTheme="minorEastAsia" w:hAnsi="Arial" w:cs="Arial"/>
          <w:noProof/>
        </w:rPr>
        <w:t>i</w:t>
      </w:r>
      <w:r w:rsidR="000B4A34" w:rsidRPr="00970CDB">
        <w:rPr>
          <w:rFonts w:ascii="Arial" w:eastAsiaTheme="minorEastAsia" w:hAnsi="Arial" w:cs="Arial"/>
          <w:noProof/>
        </w:rPr>
        <w:t xml:space="preserve"> ugovor.</w:t>
      </w:r>
    </w:p>
    <w:p w:rsidR="000B4A34" w:rsidRPr="00370152" w:rsidRDefault="00970CDB" w:rsidP="00970CDB">
      <w:pPr>
        <w:pStyle w:val="ListParagraph"/>
        <w:spacing w:line="276" w:lineRule="auto"/>
        <w:jc w:val="both"/>
        <w:rPr>
          <w:rFonts w:ascii="Arial" w:eastAsiaTheme="minorEastAsia" w:hAnsi="Arial" w:cs="Arial"/>
          <w:noProof/>
        </w:rPr>
      </w:pPr>
      <w:r>
        <w:rPr>
          <w:rFonts w:ascii="Arial" w:eastAsiaTheme="minorEastAsia" w:hAnsi="Arial" w:cs="Arial"/>
          <w:noProof/>
        </w:rPr>
        <w:t>P</w:t>
      </w:r>
      <w:r w:rsidR="003949D6">
        <w:rPr>
          <w:rFonts w:ascii="Arial" w:eastAsiaTheme="minorEastAsia" w:hAnsi="Arial" w:cs="Arial"/>
          <w:noProof/>
        </w:rPr>
        <w:t>redlo</w:t>
      </w:r>
      <w:r>
        <w:rPr>
          <w:rFonts w:ascii="Arial" w:eastAsiaTheme="minorEastAsia" w:hAnsi="Arial" w:cs="Arial"/>
          <w:noProof/>
        </w:rPr>
        <w:t xml:space="preserve">g dopuna </w:t>
      </w:r>
      <w:r w:rsidR="003949D6">
        <w:rPr>
          <w:rFonts w:ascii="Arial" w:eastAsiaTheme="minorEastAsia" w:hAnsi="Arial" w:cs="Arial"/>
          <w:noProof/>
        </w:rPr>
        <w:t xml:space="preserve">člana </w:t>
      </w:r>
      <w:r w:rsidR="003949D6" w:rsidRPr="003949D6">
        <w:rPr>
          <w:rFonts w:ascii="Arial" w:eastAsiaTheme="minorEastAsia" w:hAnsi="Arial" w:cs="Arial"/>
          <w:noProof/>
        </w:rPr>
        <w:t>65 stav 3</w:t>
      </w:r>
      <w:r w:rsidR="003949D6">
        <w:rPr>
          <w:rFonts w:ascii="Arial" w:eastAsiaTheme="minorEastAsia" w:hAnsi="Arial" w:cs="Arial"/>
          <w:noProof/>
        </w:rPr>
        <w:t xml:space="preserve"> i 4 i člana 66 stav 1</w:t>
      </w:r>
      <w:r>
        <w:rPr>
          <w:rFonts w:ascii="Arial" w:eastAsiaTheme="minorEastAsia" w:hAnsi="Arial" w:cs="Arial"/>
          <w:noProof/>
        </w:rPr>
        <w:t>,</w:t>
      </w:r>
      <w:r w:rsidR="003949D6">
        <w:rPr>
          <w:rFonts w:ascii="Arial" w:eastAsiaTheme="minorEastAsia" w:hAnsi="Arial" w:cs="Arial"/>
          <w:noProof/>
        </w:rPr>
        <w:t xml:space="preserve"> koje se odnose na </w:t>
      </w:r>
      <w:r w:rsidR="003949D6" w:rsidRPr="003949D6">
        <w:rPr>
          <w:rFonts w:ascii="Arial" w:eastAsiaTheme="minorEastAsia" w:hAnsi="Arial" w:cs="Arial"/>
          <w:noProof/>
        </w:rPr>
        <w:t>proširenje mogućnosti za obavljanje poslova zastupanja u osiguranju i na druge finan</w:t>
      </w:r>
      <w:r>
        <w:rPr>
          <w:rFonts w:ascii="Arial" w:eastAsiaTheme="minorEastAsia" w:hAnsi="Arial" w:cs="Arial"/>
          <w:noProof/>
        </w:rPr>
        <w:t>sijske institucije, osim banaka, nije prihvaćen</w:t>
      </w:r>
      <w:r w:rsidR="003949D6">
        <w:rPr>
          <w:rFonts w:ascii="Arial" w:eastAsiaTheme="minorEastAsia" w:hAnsi="Arial" w:cs="Arial"/>
          <w:noProof/>
        </w:rPr>
        <w:t xml:space="preserve"> </w:t>
      </w:r>
      <w:r w:rsidR="00A46978">
        <w:rPr>
          <w:rFonts w:ascii="Arial" w:eastAsiaTheme="minorEastAsia" w:hAnsi="Arial" w:cs="Arial"/>
          <w:noProof/>
        </w:rPr>
        <w:t>između ostalog</w:t>
      </w:r>
      <w:r w:rsidR="003949D6">
        <w:rPr>
          <w:rFonts w:ascii="Arial" w:eastAsiaTheme="minorEastAsia" w:hAnsi="Arial" w:cs="Arial"/>
          <w:noProof/>
        </w:rPr>
        <w:t xml:space="preserve"> </w:t>
      </w:r>
      <w:r w:rsidR="00A46978">
        <w:rPr>
          <w:rFonts w:ascii="Arial" w:eastAsiaTheme="minorEastAsia" w:hAnsi="Arial" w:cs="Arial"/>
          <w:noProof/>
        </w:rPr>
        <w:t xml:space="preserve">i </w:t>
      </w:r>
      <w:r w:rsidR="003949D6" w:rsidRPr="003949D6">
        <w:rPr>
          <w:rFonts w:ascii="Arial" w:eastAsiaTheme="minorEastAsia" w:hAnsi="Arial" w:cs="Arial"/>
          <w:noProof/>
        </w:rPr>
        <w:t xml:space="preserve">jer </w:t>
      </w:r>
      <w:r w:rsidR="003949D6">
        <w:rPr>
          <w:rFonts w:ascii="Arial" w:eastAsiaTheme="minorEastAsia" w:hAnsi="Arial" w:cs="Arial"/>
          <w:noProof/>
        </w:rPr>
        <w:t>Z</w:t>
      </w:r>
      <w:r w:rsidR="003949D6" w:rsidRPr="003949D6">
        <w:rPr>
          <w:rFonts w:ascii="Arial" w:eastAsiaTheme="minorEastAsia" w:hAnsi="Arial" w:cs="Arial"/>
          <w:noProof/>
        </w:rPr>
        <w:t>akon o finansijskom lizingu, faktoringu, otkupu potraživanja, mikrokreditiranju i kreditno-garantnim poslovima ("Službeni list Crne Gore", br. 073/17) ne predviđa proširenje djelatnosti subjekata tog zakona na poslove zastupanja u osiguranju</w:t>
      </w:r>
      <w:r w:rsidR="003949D6">
        <w:rPr>
          <w:rFonts w:ascii="Arial" w:eastAsiaTheme="minorEastAsia" w:hAnsi="Arial" w:cs="Arial"/>
          <w:noProof/>
        </w:rPr>
        <w:t>.</w:t>
      </w:r>
    </w:p>
    <w:p w:rsidR="00370152" w:rsidRDefault="00370152" w:rsidP="002E576D">
      <w:pPr>
        <w:spacing w:line="276" w:lineRule="auto"/>
        <w:rPr>
          <w:rFonts w:ascii="Arial" w:eastAsiaTheme="minorEastAsia" w:hAnsi="Arial" w:cs="Arial"/>
          <w:noProof/>
          <w:highlight w:val="yellow"/>
        </w:rPr>
      </w:pPr>
    </w:p>
    <w:p w:rsidR="002E576D" w:rsidRPr="003949D6" w:rsidRDefault="002E576D" w:rsidP="002E576D">
      <w:pPr>
        <w:spacing w:line="276" w:lineRule="auto"/>
        <w:rPr>
          <w:rFonts w:ascii="Arial" w:eastAsiaTheme="minorEastAsia" w:hAnsi="Arial" w:cs="Arial"/>
          <w:noProof/>
        </w:rPr>
      </w:pPr>
      <w:r w:rsidRPr="003949D6">
        <w:rPr>
          <w:rFonts w:ascii="Arial" w:eastAsiaTheme="minorEastAsia" w:hAnsi="Arial" w:cs="Arial"/>
          <w:noProof/>
        </w:rPr>
        <w:t>Mjesto i d</w:t>
      </w:r>
      <w:r w:rsidR="00366DC8">
        <w:rPr>
          <w:rFonts w:ascii="Arial" w:eastAsiaTheme="minorEastAsia" w:hAnsi="Arial" w:cs="Arial"/>
          <w:noProof/>
        </w:rPr>
        <w:t>atum sačinjavanja izvještaja:</w:t>
      </w:r>
      <w:r w:rsidRPr="003949D6">
        <w:rPr>
          <w:rFonts w:ascii="Arial" w:eastAsiaTheme="minorEastAsia" w:hAnsi="Arial" w:cs="Arial"/>
          <w:noProof/>
        </w:rPr>
        <w:t xml:space="preserve"> Podgorica, 2</w:t>
      </w:r>
      <w:r w:rsidR="00366DC8">
        <w:rPr>
          <w:rFonts w:ascii="Arial" w:eastAsiaTheme="minorEastAsia" w:hAnsi="Arial" w:cs="Arial"/>
          <w:noProof/>
        </w:rPr>
        <w:t>3</w:t>
      </w:r>
      <w:r w:rsidR="00501382">
        <w:rPr>
          <w:rFonts w:ascii="Arial" w:eastAsiaTheme="minorEastAsia" w:hAnsi="Arial" w:cs="Arial"/>
          <w:noProof/>
        </w:rPr>
        <w:t>.</w:t>
      </w:r>
      <w:r w:rsidR="003949D6" w:rsidRPr="003949D6">
        <w:rPr>
          <w:rFonts w:ascii="Arial" w:eastAsiaTheme="minorEastAsia" w:hAnsi="Arial" w:cs="Arial"/>
          <w:noProof/>
        </w:rPr>
        <w:t>09</w:t>
      </w:r>
      <w:r w:rsidRPr="003949D6">
        <w:rPr>
          <w:rFonts w:ascii="Arial" w:eastAsiaTheme="minorEastAsia" w:hAnsi="Arial" w:cs="Arial"/>
          <w:noProof/>
        </w:rPr>
        <w:t>.2019. godine</w:t>
      </w:r>
    </w:p>
    <w:p w:rsidR="002E576D" w:rsidRPr="003949D6" w:rsidRDefault="002E576D" w:rsidP="002E576D">
      <w:pPr>
        <w:spacing w:after="0" w:line="276" w:lineRule="auto"/>
        <w:rPr>
          <w:rFonts w:ascii="Arial" w:eastAsiaTheme="minorEastAsia" w:hAnsi="Arial" w:cs="Arial"/>
          <w:noProof/>
        </w:rPr>
      </w:pPr>
    </w:p>
    <w:p w:rsidR="002E576D" w:rsidRPr="003949D6" w:rsidRDefault="002E576D" w:rsidP="002E576D">
      <w:pPr>
        <w:spacing w:after="0" w:line="276" w:lineRule="auto"/>
        <w:rPr>
          <w:rFonts w:ascii="Arial" w:eastAsiaTheme="minorEastAsia" w:hAnsi="Arial" w:cs="Arial"/>
          <w:noProof/>
        </w:rPr>
      </w:pPr>
      <w:r w:rsidRPr="003949D6">
        <w:rPr>
          <w:rFonts w:ascii="Arial" w:eastAsiaTheme="minorEastAsia" w:hAnsi="Arial" w:cs="Arial"/>
          <w:noProof/>
        </w:rPr>
        <w:t>Naziv organizacione jedinice ministarstva koja je odgovorna za pripremu nacrta zakona, odnosno strategije:</w:t>
      </w:r>
      <w:r w:rsidRPr="003949D6">
        <w:t xml:space="preserve"> </w:t>
      </w:r>
      <w:r w:rsidRPr="003949D6">
        <w:rPr>
          <w:rFonts w:ascii="Arial" w:eastAsiaTheme="minorEastAsia" w:hAnsi="Arial" w:cs="Arial"/>
          <w:noProof/>
          <w:u w:val="single"/>
        </w:rPr>
        <w:t>Direktorat za finansijski sistem i unapređenje poslovnog ambijenta</w:t>
      </w:r>
      <w:r w:rsidRPr="003949D6">
        <w:rPr>
          <w:rFonts w:ascii="Arial" w:eastAsiaTheme="minorEastAsia" w:hAnsi="Arial" w:cs="Arial"/>
          <w:noProof/>
        </w:rPr>
        <w:t xml:space="preserve"> </w:t>
      </w:r>
    </w:p>
    <w:p w:rsidR="002E576D" w:rsidRPr="003949D6" w:rsidRDefault="002E576D" w:rsidP="002E576D">
      <w:pPr>
        <w:spacing w:line="276" w:lineRule="auto"/>
        <w:rPr>
          <w:rFonts w:ascii="Arial" w:eastAsiaTheme="minorEastAsia" w:hAnsi="Arial" w:cs="Arial"/>
          <w:noProof/>
        </w:rPr>
      </w:pPr>
    </w:p>
    <w:p w:rsidR="002E576D" w:rsidRPr="003949D6" w:rsidRDefault="002E576D" w:rsidP="002E576D">
      <w:pPr>
        <w:spacing w:line="276" w:lineRule="auto"/>
        <w:rPr>
          <w:rFonts w:ascii="Arial" w:eastAsiaTheme="minorEastAsia" w:hAnsi="Arial" w:cs="Arial"/>
          <w:noProof/>
        </w:rPr>
      </w:pPr>
    </w:p>
    <w:p w:rsidR="002E576D" w:rsidRPr="003949D6" w:rsidRDefault="002E576D" w:rsidP="002E576D">
      <w:pPr>
        <w:spacing w:after="0" w:line="276" w:lineRule="auto"/>
        <w:jc w:val="right"/>
        <w:rPr>
          <w:rFonts w:ascii="Arial" w:eastAsiaTheme="minorEastAsia" w:hAnsi="Arial" w:cs="Arial"/>
          <w:noProof/>
        </w:rPr>
      </w:pPr>
      <w:r w:rsidRPr="003949D6">
        <w:rPr>
          <w:rFonts w:ascii="Arial" w:eastAsiaTheme="minorEastAsia" w:hAnsi="Arial" w:cs="Arial"/>
          <w:noProof/>
        </w:rPr>
        <w:t>_________________________________________________</w:t>
      </w:r>
    </w:p>
    <w:p w:rsidR="002E576D" w:rsidRPr="003949D6" w:rsidRDefault="002E576D" w:rsidP="002E576D">
      <w:pPr>
        <w:spacing w:after="0" w:line="276" w:lineRule="auto"/>
        <w:jc w:val="right"/>
        <w:rPr>
          <w:rFonts w:ascii="Arial" w:eastAsiaTheme="minorEastAsia" w:hAnsi="Arial" w:cs="Arial"/>
          <w:noProof/>
        </w:rPr>
      </w:pPr>
      <w:r w:rsidRPr="003949D6">
        <w:rPr>
          <w:rFonts w:ascii="Arial" w:eastAsiaTheme="minorEastAsia" w:hAnsi="Arial" w:cs="Arial"/>
          <w:noProof/>
        </w:rPr>
        <w:t xml:space="preserve">                                               Potpis ministra,</w:t>
      </w:r>
    </w:p>
    <w:p w:rsidR="002E576D" w:rsidRPr="003949D6" w:rsidRDefault="002E576D" w:rsidP="002E576D">
      <w:pPr>
        <w:spacing w:after="0" w:line="276" w:lineRule="auto"/>
        <w:jc w:val="right"/>
        <w:rPr>
          <w:rFonts w:ascii="Arial" w:eastAsiaTheme="minorEastAsia" w:hAnsi="Arial" w:cs="Arial"/>
          <w:noProof/>
        </w:rPr>
      </w:pPr>
      <w:r w:rsidRPr="003949D6">
        <w:rPr>
          <w:rFonts w:ascii="Arial" w:eastAsiaTheme="minorEastAsia" w:hAnsi="Arial" w:cs="Arial"/>
          <w:noProof/>
        </w:rPr>
        <w:t xml:space="preserve">       odnosno rukovodioca organizacione jedinice ministarstva</w:t>
      </w:r>
    </w:p>
    <w:p w:rsidR="002E576D" w:rsidRPr="0016406F" w:rsidRDefault="002E576D" w:rsidP="002E576D">
      <w:pPr>
        <w:spacing w:after="0" w:line="276" w:lineRule="auto"/>
        <w:jc w:val="right"/>
        <w:rPr>
          <w:rFonts w:ascii="Arial" w:eastAsiaTheme="minorEastAsia" w:hAnsi="Arial" w:cs="Arial"/>
          <w:noProof/>
        </w:rPr>
      </w:pPr>
      <w:r w:rsidRPr="003949D6">
        <w:rPr>
          <w:rFonts w:ascii="Arial" w:eastAsiaTheme="minorEastAsia" w:hAnsi="Arial" w:cs="Arial"/>
          <w:noProof/>
        </w:rPr>
        <w:t>koja je odgovorna za pripremu nacrta zakona, odnosno strategije</w:t>
      </w:r>
    </w:p>
    <w:p w:rsidR="002E576D" w:rsidRPr="0016406F" w:rsidRDefault="002E576D" w:rsidP="002E576D">
      <w:pPr>
        <w:spacing w:line="276" w:lineRule="auto"/>
        <w:rPr>
          <w:rFonts w:ascii="Arial" w:eastAsiaTheme="minorEastAsia" w:hAnsi="Arial" w:cs="Arial"/>
          <w:noProof/>
        </w:rPr>
      </w:pPr>
    </w:p>
    <w:p w:rsidR="00A114A9" w:rsidRPr="002E576D" w:rsidRDefault="00A114A9" w:rsidP="002E576D"/>
    <w:sectPr w:rsidR="00A114A9" w:rsidRPr="002E576D" w:rsidSect="00F3128F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C6F" w:rsidRDefault="009E3C6F">
      <w:pPr>
        <w:spacing w:after="0" w:line="240" w:lineRule="auto"/>
      </w:pPr>
      <w:r>
        <w:separator/>
      </w:r>
    </w:p>
  </w:endnote>
  <w:endnote w:type="continuationSeparator" w:id="0">
    <w:p w:rsidR="009E3C6F" w:rsidRDefault="009E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13556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2898" w:rsidRDefault="00D625B8">
        <w:pPr>
          <w:pStyle w:val="Footer"/>
          <w:jc w:val="right"/>
        </w:pPr>
        <w:r>
          <w:fldChar w:fldCharType="begin"/>
        </w:r>
        <w:r w:rsidR="002B4CDF">
          <w:instrText xml:space="preserve"> PAGE   \* MERGEFORMAT </w:instrText>
        </w:r>
        <w:r>
          <w:fldChar w:fldCharType="separate"/>
        </w:r>
        <w:r w:rsidR="00E33E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2898" w:rsidRDefault="009E3C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C6F" w:rsidRDefault="009E3C6F">
      <w:pPr>
        <w:spacing w:after="0" w:line="240" w:lineRule="auto"/>
      </w:pPr>
      <w:r>
        <w:separator/>
      </w:r>
    </w:p>
  </w:footnote>
  <w:footnote w:type="continuationSeparator" w:id="0">
    <w:p w:rsidR="009E3C6F" w:rsidRDefault="009E3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44020"/>
    <w:multiLevelType w:val="hybridMultilevel"/>
    <w:tmpl w:val="5CA22C68"/>
    <w:lvl w:ilvl="0" w:tplc="56D6C878">
      <w:start w:val="1"/>
      <w:numFmt w:val="decimal"/>
      <w:lvlText w:val="%1."/>
      <w:lvlJc w:val="left"/>
      <w:pPr>
        <w:ind w:left="420" w:hanging="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73757"/>
    <w:multiLevelType w:val="hybridMultilevel"/>
    <w:tmpl w:val="672EB4D4"/>
    <w:lvl w:ilvl="0" w:tplc="45067B24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67BBF"/>
    <w:multiLevelType w:val="hybridMultilevel"/>
    <w:tmpl w:val="FEB61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2570A"/>
    <w:multiLevelType w:val="hybridMultilevel"/>
    <w:tmpl w:val="D2082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E717A"/>
    <w:multiLevelType w:val="hybridMultilevel"/>
    <w:tmpl w:val="8B2A70A0"/>
    <w:lvl w:ilvl="0" w:tplc="B776BEDC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BB96901"/>
    <w:multiLevelType w:val="hybridMultilevel"/>
    <w:tmpl w:val="54F23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A1327"/>
    <w:multiLevelType w:val="hybridMultilevel"/>
    <w:tmpl w:val="DA663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83F3C"/>
    <w:multiLevelType w:val="hybridMultilevel"/>
    <w:tmpl w:val="3EA6E75E"/>
    <w:lvl w:ilvl="0" w:tplc="B71C3F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5E21B8"/>
    <w:multiLevelType w:val="hybridMultilevel"/>
    <w:tmpl w:val="20EC7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103BB4"/>
    <w:multiLevelType w:val="hybridMultilevel"/>
    <w:tmpl w:val="22264DE0"/>
    <w:lvl w:ilvl="0" w:tplc="33F2509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1E764A"/>
    <w:multiLevelType w:val="hybridMultilevel"/>
    <w:tmpl w:val="FC98F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37DDB"/>
    <w:multiLevelType w:val="hybridMultilevel"/>
    <w:tmpl w:val="28DE5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0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1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B6"/>
    <w:rsid w:val="00015F5D"/>
    <w:rsid w:val="0003199B"/>
    <w:rsid w:val="00041758"/>
    <w:rsid w:val="00041F9F"/>
    <w:rsid w:val="00057A05"/>
    <w:rsid w:val="000740A8"/>
    <w:rsid w:val="00084E2A"/>
    <w:rsid w:val="00093FDF"/>
    <w:rsid w:val="000B4A34"/>
    <w:rsid w:val="000C1AF9"/>
    <w:rsid w:val="000D1F90"/>
    <w:rsid w:val="000D71AF"/>
    <w:rsid w:val="00145758"/>
    <w:rsid w:val="00173690"/>
    <w:rsid w:val="00175D99"/>
    <w:rsid w:val="001E50F7"/>
    <w:rsid w:val="00206B75"/>
    <w:rsid w:val="0021199F"/>
    <w:rsid w:val="00234521"/>
    <w:rsid w:val="002575D0"/>
    <w:rsid w:val="00282309"/>
    <w:rsid w:val="00294A82"/>
    <w:rsid w:val="002A37BA"/>
    <w:rsid w:val="002B4CDF"/>
    <w:rsid w:val="002D49E4"/>
    <w:rsid w:val="002E25FC"/>
    <w:rsid w:val="002E576D"/>
    <w:rsid w:val="003141F4"/>
    <w:rsid w:val="003667DF"/>
    <w:rsid w:val="00366DC8"/>
    <w:rsid w:val="00370152"/>
    <w:rsid w:val="00386228"/>
    <w:rsid w:val="003949D6"/>
    <w:rsid w:val="003B10E9"/>
    <w:rsid w:val="003D33BD"/>
    <w:rsid w:val="003E5BC0"/>
    <w:rsid w:val="004051F1"/>
    <w:rsid w:val="004121A3"/>
    <w:rsid w:val="004474CE"/>
    <w:rsid w:val="00454BD7"/>
    <w:rsid w:val="00470621"/>
    <w:rsid w:val="004D356E"/>
    <w:rsid w:val="004D57E3"/>
    <w:rsid w:val="004D73BD"/>
    <w:rsid w:val="004E1413"/>
    <w:rsid w:val="004E4579"/>
    <w:rsid w:val="00501382"/>
    <w:rsid w:val="00510E18"/>
    <w:rsid w:val="00563B6B"/>
    <w:rsid w:val="005E64E6"/>
    <w:rsid w:val="005F1B7A"/>
    <w:rsid w:val="006054F4"/>
    <w:rsid w:val="00626961"/>
    <w:rsid w:val="00645FD4"/>
    <w:rsid w:val="00682C53"/>
    <w:rsid w:val="006C23BA"/>
    <w:rsid w:val="006F1FE7"/>
    <w:rsid w:val="00705953"/>
    <w:rsid w:val="00706A72"/>
    <w:rsid w:val="00711FA3"/>
    <w:rsid w:val="007376F2"/>
    <w:rsid w:val="00784F1E"/>
    <w:rsid w:val="00817714"/>
    <w:rsid w:val="00833735"/>
    <w:rsid w:val="00893EDE"/>
    <w:rsid w:val="008A6355"/>
    <w:rsid w:val="008F2E62"/>
    <w:rsid w:val="00926895"/>
    <w:rsid w:val="0093079E"/>
    <w:rsid w:val="009631B3"/>
    <w:rsid w:val="00970CDB"/>
    <w:rsid w:val="00982D75"/>
    <w:rsid w:val="009D2077"/>
    <w:rsid w:val="009E3C6F"/>
    <w:rsid w:val="00A114A9"/>
    <w:rsid w:val="00A145A6"/>
    <w:rsid w:val="00A14B16"/>
    <w:rsid w:val="00A2782D"/>
    <w:rsid w:val="00A46978"/>
    <w:rsid w:val="00A874D2"/>
    <w:rsid w:val="00A878F3"/>
    <w:rsid w:val="00AA4AB1"/>
    <w:rsid w:val="00AC2F94"/>
    <w:rsid w:val="00B00CEE"/>
    <w:rsid w:val="00B03E3B"/>
    <w:rsid w:val="00B27227"/>
    <w:rsid w:val="00B3540D"/>
    <w:rsid w:val="00B44F86"/>
    <w:rsid w:val="00B50CA6"/>
    <w:rsid w:val="00B93BB4"/>
    <w:rsid w:val="00B955F3"/>
    <w:rsid w:val="00C671B6"/>
    <w:rsid w:val="00C8452E"/>
    <w:rsid w:val="00CA7E86"/>
    <w:rsid w:val="00D3206E"/>
    <w:rsid w:val="00D362E8"/>
    <w:rsid w:val="00D56692"/>
    <w:rsid w:val="00D625B8"/>
    <w:rsid w:val="00D663CE"/>
    <w:rsid w:val="00D900AB"/>
    <w:rsid w:val="00D931EA"/>
    <w:rsid w:val="00DB5FEA"/>
    <w:rsid w:val="00DE629F"/>
    <w:rsid w:val="00E01921"/>
    <w:rsid w:val="00E32065"/>
    <w:rsid w:val="00E33E3E"/>
    <w:rsid w:val="00E908AB"/>
    <w:rsid w:val="00E909EF"/>
    <w:rsid w:val="00E91C1C"/>
    <w:rsid w:val="00E96F31"/>
    <w:rsid w:val="00F3128F"/>
    <w:rsid w:val="00F947BF"/>
    <w:rsid w:val="00FA78CB"/>
    <w:rsid w:val="00FB0E3E"/>
    <w:rsid w:val="00FB63B7"/>
    <w:rsid w:val="00FE36CE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7E8CB8-CDEF-4EBC-9D50-6F64CC96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2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671B6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671B6"/>
    <w:rPr>
      <w:rFonts w:eastAsiaTheme="minorEastAsia" w:cs="Times New Roman"/>
    </w:rPr>
  </w:style>
  <w:style w:type="paragraph" w:styleId="ListParagraph">
    <w:name w:val="List Paragraph"/>
    <w:basedOn w:val="Normal"/>
    <w:uiPriority w:val="34"/>
    <w:qFormat/>
    <w:rsid w:val="00A278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9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Mijomir Cirovic</dc:creator>
  <cp:lastModifiedBy>Nevena Cobeljic</cp:lastModifiedBy>
  <cp:revision>2</cp:revision>
  <dcterms:created xsi:type="dcterms:W3CDTF">2019-09-23T11:25:00Z</dcterms:created>
  <dcterms:modified xsi:type="dcterms:W3CDTF">2019-09-23T11:25:00Z</dcterms:modified>
</cp:coreProperties>
</file>