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7C" w:rsidRPr="00D4578F" w:rsidRDefault="00924346" w:rsidP="00545F7C">
      <w:pPr>
        <w:spacing w:after="0"/>
        <w:rPr>
          <w:b/>
          <w:sz w:val="28"/>
          <w:szCs w:val="28"/>
        </w:rPr>
      </w:pPr>
      <w:r w:rsidRPr="00D4578F">
        <w:rPr>
          <w:b/>
          <w:sz w:val="28"/>
          <w:szCs w:val="28"/>
        </w:rPr>
        <w:t>MINISTARSTVO FINANSIJA</w:t>
      </w:r>
    </w:p>
    <w:p w:rsidR="003D28F1" w:rsidRPr="00D56AFD" w:rsidRDefault="003D28F1" w:rsidP="00545F7C">
      <w:pPr>
        <w:spacing w:after="0"/>
      </w:pPr>
    </w:p>
    <w:p w:rsidR="002C2C40" w:rsidRPr="00D56AFD" w:rsidRDefault="002C2C40" w:rsidP="00545F7C">
      <w:pPr>
        <w:jc w:val="center"/>
        <w:rPr>
          <w:b/>
        </w:rPr>
      </w:pPr>
      <w:r w:rsidRPr="00D56AFD">
        <w:rPr>
          <w:b/>
        </w:rPr>
        <w:t>IZVJEŠTAJ O SPROVEDENOJ JAVNOJ RASPRAVI</w:t>
      </w:r>
    </w:p>
    <w:p w:rsidR="009E0E4B" w:rsidRPr="00D4578F" w:rsidRDefault="009E0E4B" w:rsidP="009E0E4B">
      <w:pPr>
        <w:spacing w:after="0"/>
        <w:jc w:val="center"/>
        <w:rPr>
          <w:rFonts w:cs="Arial"/>
          <w:b/>
        </w:rPr>
      </w:pPr>
      <w:r w:rsidRPr="00D4578F">
        <w:rPr>
          <w:rFonts w:cs="Arial"/>
          <w:b/>
        </w:rPr>
        <w:t xml:space="preserve">o Nacrtu zakona o uporedivosti naknada povezanih sa računom za plaćanje potrošača, </w:t>
      </w:r>
    </w:p>
    <w:p w:rsidR="009E0E4B" w:rsidRPr="00D56AFD" w:rsidRDefault="009E0E4B" w:rsidP="009E0E4B">
      <w:pPr>
        <w:spacing w:after="0"/>
        <w:jc w:val="center"/>
        <w:rPr>
          <w:rFonts w:cs="Arial"/>
          <w:b/>
        </w:rPr>
      </w:pPr>
      <w:r w:rsidRPr="00D56AFD">
        <w:rPr>
          <w:rFonts w:cs="Arial"/>
          <w:b/>
        </w:rPr>
        <w:t>prebacivanju računa za plaćanje potrošača i računu za plaćanje sa osnovnim uslugama</w:t>
      </w:r>
    </w:p>
    <w:p w:rsidR="002C2C40" w:rsidRPr="00D56AFD" w:rsidRDefault="002C2C40" w:rsidP="00545F7C">
      <w:pPr>
        <w:spacing w:after="0"/>
        <w:jc w:val="center"/>
      </w:pPr>
    </w:p>
    <w:p w:rsidR="00620E2D" w:rsidRPr="00D56AFD" w:rsidRDefault="00620E2D" w:rsidP="00545F7C">
      <w:pPr>
        <w:spacing w:after="0"/>
        <w:jc w:val="center"/>
      </w:pPr>
    </w:p>
    <w:p w:rsidR="002C2C40" w:rsidRPr="00D56AFD" w:rsidRDefault="002C2C40" w:rsidP="00C779DE">
      <w:pPr>
        <w:spacing w:after="0"/>
      </w:pPr>
      <w:r w:rsidRPr="00D56AFD">
        <w:t>Vrijeme trajanja javne rasprave:</w:t>
      </w:r>
      <w:r w:rsidR="009E0E4B" w:rsidRPr="00D56AFD">
        <w:t xml:space="preserve"> </w:t>
      </w:r>
      <w:r w:rsidR="00262898" w:rsidRPr="00D56AFD">
        <w:t xml:space="preserve"> </w:t>
      </w:r>
      <w:r w:rsidR="009E0E4B" w:rsidRPr="00D56AFD">
        <w:t>od 10. decembra 2018. godine do 20. januara 2019. godine</w:t>
      </w:r>
    </w:p>
    <w:p w:rsidR="00767B8B" w:rsidRPr="00D56AFD" w:rsidRDefault="00767B8B" w:rsidP="00C779DE">
      <w:pPr>
        <w:spacing w:after="0"/>
      </w:pPr>
    </w:p>
    <w:p w:rsidR="002C2C40" w:rsidRPr="00D56AFD" w:rsidRDefault="002C2C40" w:rsidP="00C779DE">
      <w:pPr>
        <w:spacing w:after="0"/>
      </w:pPr>
      <w:r w:rsidRPr="00D56AFD">
        <w:t>Način sprovođenja javne rasprave</w:t>
      </w:r>
      <w:r w:rsidR="009E0E4B" w:rsidRPr="00D56AFD">
        <w:t>:</w:t>
      </w:r>
    </w:p>
    <w:p w:rsidR="009E0E4B" w:rsidRPr="00D56AFD" w:rsidRDefault="009E0E4B" w:rsidP="009E0E4B">
      <w:pPr>
        <w:pStyle w:val="ListParagraph"/>
        <w:numPr>
          <w:ilvl w:val="0"/>
          <w:numId w:val="3"/>
        </w:numPr>
        <w:spacing w:after="0"/>
      </w:pPr>
      <w:r w:rsidRPr="00D56AFD">
        <w:t>Dostavljanje primjedbi, predloga i sugestija u pisanom ili elektronskom obliku</w:t>
      </w:r>
    </w:p>
    <w:p w:rsidR="00262898" w:rsidRPr="00D56AFD" w:rsidRDefault="00262898" w:rsidP="00262898">
      <w:pPr>
        <w:pStyle w:val="ListParagraph"/>
        <w:spacing w:after="0"/>
      </w:pPr>
    </w:p>
    <w:p w:rsidR="002C2C40" w:rsidRPr="00747F47" w:rsidRDefault="002C2C40" w:rsidP="00C779DE">
      <w:pPr>
        <w:spacing w:after="0"/>
      </w:pPr>
      <w:r w:rsidRPr="00747F47">
        <w:t>Ovlašćeni predstavnici ministarstva koji su učestvovali u javnoj raspravi:</w:t>
      </w:r>
      <w:r w:rsidR="00551F6F" w:rsidRPr="00551F6F">
        <w:rPr>
          <w:u w:val="single"/>
        </w:rPr>
        <w:t xml:space="preserve"> Direktorat za finansijski sistem i unapre</w:t>
      </w:r>
      <w:r w:rsidR="00551F6F" w:rsidRPr="00551F6F">
        <w:rPr>
          <w:u w:val="single"/>
          <w:lang/>
        </w:rPr>
        <w:t>đenje poslovnog ambijenta</w:t>
      </w:r>
    </w:p>
    <w:p w:rsidR="00767B8B" w:rsidRPr="00D56AFD" w:rsidRDefault="00767B8B" w:rsidP="00C779DE">
      <w:pPr>
        <w:spacing w:after="0"/>
        <w:rPr>
          <w:highlight w:val="yellow"/>
        </w:rPr>
      </w:pPr>
    </w:p>
    <w:p w:rsidR="002C2C40" w:rsidRPr="00D56AFD" w:rsidRDefault="002C2C40" w:rsidP="00E170D8">
      <w:pPr>
        <w:spacing w:after="0"/>
        <w:jc w:val="both"/>
      </w:pPr>
      <w:r w:rsidRPr="00D56AFD">
        <w:t>Podaci o broju i strukturi učesnika u javnoj raspravi</w:t>
      </w:r>
      <w:r w:rsidR="00EF70B7" w:rsidRPr="00D56AFD">
        <w:t xml:space="preserve">: </w:t>
      </w:r>
      <w:r w:rsidR="00D4578F" w:rsidRPr="00D4578F">
        <w:t>U tok</w:t>
      </w:r>
      <w:r w:rsidR="00D4578F" w:rsidRPr="00CD02B4">
        <w:t xml:space="preserve">u trajanja javne rasprave četiri učesnika su dostavila </w:t>
      </w:r>
      <w:r w:rsidR="00D4578F" w:rsidRPr="00CD02B4">
        <w:rPr>
          <w:rFonts w:cs="Arial"/>
        </w:rPr>
        <w:t>primjedbe, predloge i sugestije</w:t>
      </w:r>
      <w:r w:rsidR="00D4578F" w:rsidRPr="00CD02B4">
        <w:t>, i to</w:t>
      </w:r>
      <w:r w:rsidR="00CD02B4">
        <w:t>:</w:t>
      </w:r>
      <w:r w:rsidR="00E170D8" w:rsidRPr="00D56AFD">
        <w:t xml:space="preserve"> </w:t>
      </w:r>
      <w:r w:rsidR="00CD02B4" w:rsidRPr="006C3D71">
        <w:rPr>
          <w:lang w:bidi="en-US"/>
        </w:rPr>
        <w:t>Udruženje banaka Crne Gore</w:t>
      </w:r>
      <w:r w:rsidR="00CD02B4">
        <w:rPr>
          <w:lang w:bidi="en-US"/>
        </w:rPr>
        <w:t>,</w:t>
      </w:r>
      <w:r w:rsidR="00CD02B4" w:rsidRPr="006C3D71">
        <w:rPr>
          <w:lang w:bidi="en-US"/>
        </w:rPr>
        <w:t xml:space="preserve"> </w:t>
      </w:r>
      <w:r w:rsidR="00CD02B4">
        <w:t>“</w:t>
      </w:r>
      <w:r w:rsidR="00E170D8" w:rsidRPr="00D56AFD">
        <w:rPr>
          <w:lang w:bidi="en-US"/>
        </w:rPr>
        <w:t>Societ</w:t>
      </w:r>
      <w:r w:rsidR="00562445" w:rsidRPr="00D56AFD">
        <w:rPr>
          <w:lang w:bidi="en-US"/>
        </w:rPr>
        <w:t>e</w:t>
      </w:r>
      <w:r w:rsidR="00EF70B7" w:rsidRPr="00D56AFD">
        <w:rPr>
          <w:lang w:bidi="en-US"/>
        </w:rPr>
        <w:t xml:space="preserve"> General Montenegro</w:t>
      </w:r>
      <w:r w:rsidR="00CD02B4">
        <w:rPr>
          <w:lang w:bidi="en-US"/>
        </w:rPr>
        <w:t>”</w:t>
      </w:r>
      <w:r w:rsidR="00E170D8" w:rsidRPr="00D56AFD">
        <w:rPr>
          <w:lang w:bidi="en-US"/>
        </w:rPr>
        <w:t xml:space="preserve"> AD Podgorica, </w:t>
      </w:r>
      <w:r w:rsidR="00CD02B4">
        <w:rPr>
          <w:lang w:bidi="en-US"/>
        </w:rPr>
        <w:t>“</w:t>
      </w:r>
      <w:r w:rsidR="00E170D8" w:rsidRPr="00D56AFD">
        <w:rPr>
          <w:lang w:bidi="en-US"/>
        </w:rPr>
        <w:t>Komercijaln</w:t>
      </w:r>
      <w:r w:rsidR="004B5B9E" w:rsidRPr="00D56AFD">
        <w:rPr>
          <w:lang w:bidi="en-US"/>
        </w:rPr>
        <w:t>a</w:t>
      </w:r>
      <w:r w:rsidR="00E170D8" w:rsidRPr="00D56AFD">
        <w:rPr>
          <w:lang w:bidi="en-US"/>
        </w:rPr>
        <w:t xml:space="preserve"> </w:t>
      </w:r>
      <w:r w:rsidR="00CD02B4">
        <w:rPr>
          <w:lang w:bidi="en-US"/>
        </w:rPr>
        <w:t>b</w:t>
      </w:r>
      <w:r w:rsidR="00E170D8" w:rsidRPr="00D56AFD">
        <w:rPr>
          <w:lang w:bidi="en-US"/>
        </w:rPr>
        <w:t>ank</w:t>
      </w:r>
      <w:r w:rsidR="004B5B9E" w:rsidRPr="00D56AFD">
        <w:rPr>
          <w:lang w:bidi="en-US"/>
        </w:rPr>
        <w:t>a</w:t>
      </w:r>
      <w:r w:rsidR="00CD02B4">
        <w:rPr>
          <w:lang w:bidi="en-US"/>
        </w:rPr>
        <w:t>”</w:t>
      </w:r>
      <w:r w:rsidR="00E170D8" w:rsidRPr="00D56AFD">
        <w:rPr>
          <w:lang w:bidi="en-US"/>
        </w:rPr>
        <w:t xml:space="preserve"> AD Podgorica i </w:t>
      </w:r>
      <w:r w:rsidR="00CD02B4">
        <w:rPr>
          <w:lang w:bidi="en-US"/>
        </w:rPr>
        <w:t>“</w:t>
      </w:r>
      <w:r w:rsidR="00E170D8" w:rsidRPr="00D56AFD">
        <w:rPr>
          <w:lang w:bidi="en-US"/>
        </w:rPr>
        <w:t>NLB Bank</w:t>
      </w:r>
      <w:r w:rsidR="004B5B9E" w:rsidRPr="00D56AFD">
        <w:rPr>
          <w:lang w:bidi="en-US"/>
        </w:rPr>
        <w:t>a</w:t>
      </w:r>
      <w:r w:rsidR="00CD02B4">
        <w:rPr>
          <w:lang w:bidi="en-US"/>
        </w:rPr>
        <w:t>”</w:t>
      </w:r>
      <w:r w:rsidR="00E170D8" w:rsidRPr="00D56AFD">
        <w:rPr>
          <w:lang w:bidi="en-US"/>
        </w:rPr>
        <w:t xml:space="preserve"> AD Podgorica.</w:t>
      </w:r>
    </w:p>
    <w:p w:rsidR="00EF70B7" w:rsidRPr="00D56AFD" w:rsidRDefault="00EF70B7" w:rsidP="00767B8B">
      <w:pPr>
        <w:spacing w:after="0"/>
      </w:pPr>
    </w:p>
    <w:p w:rsidR="002C2C40" w:rsidRPr="00D56AFD" w:rsidRDefault="002C2C40" w:rsidP="00767B8B">
      <w:pPr>
        <w:spacing w:after="0"/>
      </w:pPr>
      <w:r w:rsidRPr="00D56AFD">
        <w:t>Rezime dostavljanih primjedbi, predloga i sugestija, sa navedenim razlozima njihovog prihvatanja,</w:t>
      </w:r>
    </w:p>
    <w:p w:rsidR="009E0E4B" w:rsidRPr="00D56AFD" w:rsidRDefault="002C2C40" w:rsidP="009E0E4B">
      <w:pPr>
        <w:spacing w:after="0"/>
      </w:pPr>
      <w:r w:rsidRPr="00D56AFD">
        <w:t>odnosno neprihvatanja:</w:t>
      </w:r>
    </w:p>
    <w:p w:rsidR="009E0E4B" w:rsidRPr="00D56AFD" w:rsidRDefault="009E0E4B" w:rsidP="009E0E4B">
      <w:pPr>
        <w:spacing w:after="0"/>
      </w:pPr>
    </w:p>
    <w:p w:rsidR="00924346" w:rsidRPr="00D56AFD" w:rsidRDefault="00924346" w:rsidP="009E0E4B">
      <w:pPr>
        <w:spacing w:after="0"/>
      </w:pPr>
      <w:r w:rsidRPr="00D56AFD">
        <w:rPr>
          <w:rFonts w:cs="Arial"/>
          <w:b/>
        </w:rPr>
        <w:t xml:space="preserve"> Prihvaćene primjedbe, predlozi i sugestije</w:t>
      </w:r>
    </w:p>
    <w:p w:rsidR="00924346" w:rsidRPr="00D56AFD" w:rsidRDefault="00924346" w:rsidP="00924346">
      <w:pPr>
        <w:tabs>
          <w:tab w:val="left" w:pos="0"/>
        </w:tabs>
        <w:spacing w:after="0" w:line="240" w:lineRule="auto"/>
        <w:rPr>
          <w:rFonts w:cs="Arial"/>
        </w:rPr>
      </w:pPr>
    </w:p>
    <w:p w:rsidR="00924346" w:rsidRPr="00D56AFD" w:rsidRDefault="00924346" w:rsidP="00BC325D">
      <w:pPr>
        <w:spacing w:line="240" w:lineRule="auto"/>
        <w:jc w:val="both"/>
        <w:rPr>
          <w:rFonts w:cs="Arial"/>
        </w:rPr>
      </w:pPr>
      <w:r w:rsidRPr="00D56AFD">
        <w:rPr>
          <w:rFonts w:cs="Arial"/>
        </w:rPr>
        <w:t>1. U vezi sa</w:t>
      </w:r>
      <w:r w:rsidR="00BC325D" w:rsidRPr="00D56AFD">
        <w:rPr>
          <w:rFonts w:cs="Arial"/>
        </w:rPr>
        <w:t xml:space="preserve"> iskazanom potrebom da se precizira da li </w:t>
      </w:r>
      <w:r w:rsidRPr="00D56AFD">
        <w:rPr>
          <w:rFonts w:cs="Arial"/>
        </w:rPr>
        <w:t>prebacivanje računa podrazumjeva prenos broja računa koji je potrošač imao kod pružaoca platnih usluga – prenosioca na račun kod pružaoca platnih usluga – primaoca</w:t>
      </w:r>
      <w:r w:rsidR="00BC325D" w:rsidRPr="00D56AFD">
        <w:rPr>
          <w:rFonts w:cs="Arial"/>
        </w:rPr>
        <w:t xml:space="preserve"> (iako to jasno proizilazi iz</w:t>
      </w:r>
      <w:r w:rsidRPr="00D56AFD">
        <w:rPr>
          <w:rFonts w:cs="Arial"/>
        </w:rPr>
        <w:t xml:space="preserve"> član</w:t>
      </w:r>
      <w:r w:rsidR="00BC325D" w:rsidRPr="00D56AFD">
        <w:rPr>
          <w:rFonts w:cs="Arial"/>
        </w:rPr>
        <w:t>a</w:t>
      </w:r>
      <w:r w:rsidRPr="00D56AFD">
        <w:rPr>
          <w:rFonts w:cs="Arial"/>
        </w:rPr>
        <w:t xml:space="preserve"> 6 stav 1 tačka 7 i član</w:t>
      </w:r>
      <w:r w:rsidR="00BC325D" w:rsidRPr="00D56AFD">
        <w:rPr>
          <w:rFonts w:cs="Arial"/>
        </w:rPr>
        <w:t>a</w:t>
      </w:r>
      <w:r w:rsidRPr="00D56AFD">
        <w:rPr>
          <w:rFonts w:cs="Arial"/>
        </w:rPr>
        <w:t xml:space="preserve"> 19 Nacrta zakona</w:t>
      </w:r>
      <w:r w:rsidR="00BC325D" w:rsidRPr="00D56AFD">
        <w:rPr>
          <w:rFonts w:cs="Arial"/>
        </w:rPr>
        <w:t xml:space="preserve">), </w:t>
      </w:r>
      <w:r w:rsidRPr="00D56AFD">
        <w:rPr>
          <w:rFonts w:cs="Arial"/>
        </w:rPr>
        <w:t>član 19 će se dopuniti novim stavom 4 koji glasi:</w:t>
      </w:r>
    </w:p>
    <w:p w:rsidR="00924346" w:rsidRPr="00D56AFD" w:rsidRDefault="00924346" w:rsidP="00924346">
      <w:pPr>
        <w:tabs>
          <w:tab w:val="left" w:pos="0"/>
        </w:tabs>
        <w:spacing w:after="0" w:line="240" w:lineRule="auto"/>
        <w:jc w:val="both"/>
        <w:rPr>
          <w:rFonts w:cs="Arial"/>
        </w:rPr>
      </w:pPr>
      <w:r w:rsidRPr="00D56AFD">
        <w:rPr>
          <w:rFonts w:cs="Arial"/>
        </w:rPr>
        <w:t>“Prebacivanjem računa za plaćanje ne prenosi se broj računa za plaćanje koji je potrošač imao kod pružaoca platnih usluga - prenosioca na račun za plaćanje koji potrošač otvori ili ima kod pružaoca platnih usluga – primaoca.”</w:t>
      </w:r>
    </w:p>
    <w:p w:rsidR="00924346" w:rsidRPr="00D56AFD" w:rsidRDefault="00924346" w:rsidP="00924346">
      <w:pPr>
        <w:tabs>
          <w:tab w:val="left" w:pos="0"/>
        </w:tabs>
        <w:spacing w:after="0" w:line="240" w:lineRule="auto"/>
        <w:jc w:val="both"/>
        <w:rPr>
          <w:rFonts w:cs="Arial"/>
        </w:rPr>
      </w:pPr>
    </w:p>
    <w:p w:rsidR="00924346" w:rsidRPr="00D56AFD" w:rsidRDefault="00924346" w:rsidP="00924346">
      <w:pPr>
        <w:tabs>
          <w:tab w:val="left" w:pos="0"/>
        </w:tabs>
        <w:spacing w:after="0" w:line="240" w:lineRule="auto"/>
        <w:jc w:val="both"/>
        <w:rPr>
          <w:rFonts w:cs="Arial"/>
        </w:rPr>
      </w:pPr>
      <w:r w:rsidRPr="00D56AFD">
        <w:rPr>
          <w:rFonts w:cs="Arial"/>
        </w:rPr>
        <w:t>2. Prihvata se predlog da se precizira kako se utvrđuje kojih je 10 nacionalnih platnih transakcija mjesečno banka dužna da bez naknade pruža potrošačima koji pripadaju osjetljivoj grupi, pa će se u članu 31 stav 5 Nacrta zakona riječi: “10 nacionalnih platnih transakcija mjesečno”, zamijeniti riječima: “prvih 10 nacionalnih platnih transakcija u mjesecu”.</w:t>
      </w:r>
    </w:p>
    <w:p w:rsidR="00924346" w:rsidRPr="00D56AFD" w:rsidRDefault="00924346" w:rsidP="00924346">
      <w:pPr>
        <w:tabs>
          <w:tab w:val="left" w:pos="0"/>
        </w:tabs>
        <w:spacing w:after="0" w:line="240" w:lineRule="auto"/>
        <w:jc w:val="both"/>
        <w:rPr>
          <w:rFonts w:cs="Arial"/>
        </w:rPr>
      </w:pPr>
    </w:p>
    <w:p w:rsidR="00924346" w:rsidRPr="00D56AFD" w:rsidRDefault="00924346" w:rsidP="00924346">
      <w:pPr>
        <w:tabs>
          <w:tab w:val="left" w:pos="0"/>
        </w:tabs>
        <w:spacing w:after="0" w:line="240" w:lineRule="auto"/>
        <w:jc w:val="both"/>
        <w:rPr>
          <w:rFonts w:cs="Arial"/>
        </w:rPr>
      </w:pPr>
      <w:r w:rsidRPr="00D56AFD">
        <w:rPr>
          <w:rFonts w:cs="Arial"/>
        </w:rPr>
        <w:t xml:space="preserve">3. Prihvata se predlog da se precizira kako se utvrđuju potrošači koji pripadaju osjetljivoj grupi, pa će se u članu 31 stav 6 Nacrta zakona riječi: </w:t>
      </w:r>
    </w:p>
    <w:p w:rsidR="00924346" w:rsidRPr="00D56AFD" w:rsidRDefault="00924346" w:rsidP="00924346">
      <w:pPr>
        <w:pStyle w:val="NoSpacing"/>
        <w:jc w:val="both"/>
        <w:rPr>
          <w:rFonts w:cs="Arial"/>
        </w:rPr>
      </w:pPr>
      <w:r w:rsidRPr="00D56AFD">
        <w:rPr>
          <w:rFonts w:cs="Arial"/>
        </w:rPr>
        <w:t>“Potrošačima koji pripadaju osjetljivoj grupi smatraju se, u smislu ovog zakona, korisnici:”,</w:t>
      </w:r>
    </w:p>
    <w:p w:rsidR="00924346" w:rsidRPr="00D56AFD" w:rsidRDefault="00924346" w:rsidP="00924346">
      <w:pPr>
        <w:tabs>
          <w:tab w:val="left" w:pos="0"/>
        </w:tabs>
        <w:spacing w:after="0" w:line="240" w:lineRule="auto"/>
        <w:jc w:val="both"/>
        <w:rPr>
          <w:rFonts w:cs="Arial"/>
        </w:rPr>
      </w:pPr>
      <w:r w:rsidRPr="00D56AFD">
        <w:rPr>
          <w:rFonts w:cs="Arial"/>
        </w:rPr>
        <w:t>zamij</w:t>
      </w:r>
      <w:r w:rsidR="00262898" w:rsidRPr="00D56AFD">
        <w:rPr>
          <w:rFonts w:cs="Arial"/>
        </w:rPr>
        <w:t>en</w:t>
      </w:r>
      <w:r w:rsidR="007E3EF3" w:rsidRPr="00D56AFD">
        <w:rPr>
          <w:rFonts w:cs="Arial"/>
        </w:rPr>
        <w:t>iti</w:t>
      </w:r>
      <w:r w:rsidRPr="00D56AFD">
        <w:rPr>
          <w:rFonts w:cs="Arial"/>
        </w:rPr>
        <w:t xml:space="preserve"> riječima: </w:t>
      </w:r>
    </w:p>
    <w:p w:rsidR="00924346" w:rsidRPr="00D56AFD" w:rsidRDefault="00924346" w:rsidP="00924346">
      <w:pPr>
        <w:pStyle w:val="NoSpacing"/>
        <w:jc w:val="both"/>
        <w:rPr>
          <w:rFonts w:cs="Arial"/>
        </w:rPr>
      </w:pPr>
      <w:r w:rsidRPr="00D56AFD">
        <w:rPr>
          <w:rFonts w:cs="Arial"/>
        </w:rPr>
        <w:t>“Potrošačima koji pripadaju osjetljivoj grupi smatraju se potrošači koji su, u skladu sa zakonom koji se uređuje rad i zakonom kojim se uređuje socijalna i dječja zaštita, korisnici:”.</w:t>
      </w:r>
    </w:p>
    <w:p w:rsidR="00620E2D" w:rsidRPr="00D56AFD" w:rsidRDefault="00620E2D" w:rsidP="00924346">
      <w:pPr>
        <w:tabs>
          <w:tab w:val="left" w:pos="0"/>
        </w:tabs>
        <w:spacing w:after="0" w:line="240" w:lineRule="auto"/>
        <w:rPr>
          <w:rFonts w:cs="Arial"/>
          <w:b/>
        </w:rPr>
      </w:pPr>
    </w:p>
    <w:p w:rsidR="00924346" w:rsidRPr="00D56AFD" w:rsidRDefault="00924346" w:rsidP="00924346">
      <w:pPr>
        <w:tabs>
          <w:tab w:val="left" w:pos="0"/>
        </w:tabs>
        <w:spacing w:after="0" w:line="240" w:lineRule="auto"/>
        <w:rPr>
          <w:rFonts w:cs="Arial"/>
          <w:b/>
        </w:rPr>
      </w:pPr>
      <w:r w:rsidRPr="00D56AFD">
        <w:rPr>
          <w:rFonts w:cs="Arial"/>
          <w:b/>
        </w:rPr>
        <w:lastRenderedPageBreak/>
        <w:t>Primjedbe, predlozi i sugestije čije se pojašnjenje tražilo ili</w:t>
      </w:r>
      <w:r w:rsidRPr="00D56AFD">
        <w:rPr>
          <w:rFonts w:cs="Arial"/>
        </w:rPr>
        <w:t xml:space="preserve"> </w:t>
      </w:r>
      <w:r w:rsidRPr="00D56AFD">
        <w:rPr>
          <w:rFonts w:cs="Arial"/>
          <w:b/>
        </w:rPr>
        <w:t>koji nijesu prihvaćeni</w:t>
      </w:r>
    </w:p>
    <w:p w:rsidR="00924346" w:rsidRPr="00D56AFD" w:rsidRDefault="00924346" w:rsidP="00924346">
      <w:pPr>
        <w:tabs>
          <w:tab w:val="left" w:pos="0"/>
        </w:tabs>
        <w:spacing w:after="0" w:line="240" w:lineRule="auto"/>
        <w:rPr>
          <w:rFonts w:cs="Arial"/>
          <w:b/>
          <w:u w:val="single"/>
        </w:rPr>
      </w:pPr>
    </w:p>
    <w:p w:rsidR="00924346" w:rsidRPr="00D56AFD" w:rsidRDefault="00924346" w:rsidP="00924346">
      <w:pPr>
        <w:tabs>
          <w:tab w:val="left" w:pos="0"/>
        </w:tabs>
        <w:spacing w:after="0" w:line="240" w:lineRule="auto"/>
        <w:jc w:val="both"/>
        <w:rPr>
          <w:rFonts w:cs="Arial"/>
        </w:rPr>
      </w:pPr>
      <w:r w:rsidRPr="00D56AFD">
        <w:rPr>
          <w:rFonts w:cs="Arial"/>
        </w:rPr>
        <w:t xml:space="preserve">1. Primjedbe, predlozi i sugestije </w:t>
      </w:r>
      <w:r w:rsidRPr="00D56AFD">
        <w:rPr>
          <w:rFonts w:cs="Arial"/>
          <w:u w:val="single"/>
        </w:rPr>
        <w:t>načelnog karaktera</w:t>
      </w:r>
      <w:r w:rsidRPr="00D56AFD">
        <w:rPr>
          <w:rFonts w:cs="Arial"/>
        </w:rPr>
        <w:t xml:space="preserve"> čije se pojašnjenje tražilo ili koj</w:t>
      </w:r>
      <w:r w:rsidR="009E0E4B" w:rsidRPr="00D56AFD">
        <w:rPr>
          <w:rFonts w:cs="Arial"/>
        </w:rPr>
        <w:t>i</w:t>
      </w:r>
      <w:r w:rsidRPr="00D56AFD">
        <w:rPr>
          <w:rFonts w:cs="Arial"/>
        </w:rPr>
        <w:t xml:space="preserve"> nijesu prihvaćen</w:t>
      </w:r>
      <w:r w:rsidR="009E0E4B" w:rsidRPr="00D56AFD">
        <w:rPr>
          <w:rFonts w:cs="Arial"/>
        </w:rPr>
        <w:t>i</w:t>
      </w:r>
      <w:r w:rsidRPr="00D56AFD">
        <w:rPr>
          <w:rFonts w:cs="Arial"/>
        </w:rPr>
        <w:t>:</w:t>
      </w:r>
    </w:p>
    <w:p w:rsidR="00924346" w:rsidRPr="00D56AFD" w:rsidRDefault="00924346" w:rsidP="00924346">
      <w:pPr>
        <w:tabs>
          <w:tab w:val="left" w:pos="0"/>
        </w:tabs>
        <w:spacing w:after="0" w:line="240" w:lineRule="auto"/>
        <w:rPr>
          <w:rFonts w:cs="Arial"/>
        </w:rPr>
      </w:pPr>
    </w:p>
    <w:p w:rsidR="00924346" w:rsidRPr="00D56AFD" w:rsidRDefault="00924346" w:rsidP="00924346">
      <w:pPr>
        <w:pStyle w:val="ListParagraph"/>
        <w:numPr>
          <w:ilvl w:val="0"/>
          <w:numId w:val="1"/>
        </w:numPr>
        <w:spacing w:line="240" w:lineRule="auto"/>
        <w:ind w:left="450" w:hanging="180"/>
        <w:jc w:val="both"/>
        <w:rPr>
          <w:rFonts w:cs="Arial"/>
        </w:rPr>
      </w:pPr>
      <w:r w:rsidRPr="00D56AFD">
        <w:rPr>
          <w:rFonts w:cs="Arial"/>
        </w:rPr>
        <w:t>Povodom primjedbe da je nejasno da li se primjena drugih zakona odnosi samo na Zakon o platnom prometu i da li treba dodati i Zakon o zaštiti potrošača - korisnika finansijskih usluga, ukazuje se da predložena dopuna nije potrebna</w:t>
      </w:r>
      <w:r w:rsidR="00763719" w:rsidRPr="00D56AFD">
        <w:rPr>
          <w:rFonts w:cs="Arial"/>
        </w:rPr>
        <w:t>,</w:t>
      </w:r>
      <w:r w:rsidRPr="00D56AFD">
        <w:rPr>
          <w:rFonts w:cs="Arial"/>
        </w:rPr>
        <w:t xml:space="preserve"> jer je već obuhvaćena članom</w:t>
      </w:r>
      <w:r w:rsidR="00763719" w:rsidRPr="00D56AFD">
        <w:rPr>
          <w:rFonts w:cs="Arial"/>
        </w:rPr>
        <w:t xml:space="preserve"> 4 Nacrta zakona</w:t>
      </w:r>
      <w:r w:rsidRPr="00D56AFD">
        <w:rPr>
          <w:rFonts w:cs="Arial"/>
        </w:rPr>
        <w:t xml:space="preserve">. Naime, ovim članom je propisano da se na prava i obaveze pružalaca platnih usluga i potrošača u vezi sa računom za plaćanje koje nijesu uređene </w:t>
      </w:r>
      <w:r w:rsidR="00763719" w:rsidRPr="00D56AFD">
        <w:rPr>
          <w:rFonts w:cs="Arial"/>
        </w:rPr>
        <w:t>t</w:t>
      </w:r>
      <w:r w:rsidRPr="00D56AFD">
        <w:rPr>
          <w:rFonts w:cs="Arial"/>
        </w:rPr>
        <w:t xml:space="preserve">im zakonom, primjenjuju odredbe zakona i podzakonskih propisa kojima se uređuje platni promet, a članom 8 stav 2 Zakona o platnom prometu propisano </w:t>
      </w:r>
      <w:r w:rsidR="00763719" w:rsidRPr="00D56AFD">
        <w:rPr>
          <w:rFonts w:cs="Arial"/>
        </w:rPr>
        <w:t xml:space="preserve">je </w:t>
      </w:r>
      <w:r w:rsidRPr="00D56AFD">
        <w:rPr>
          <w:rFonts w:cs="Arial"/>
        </w:rPr>
        <w:t>da se na odnose između korisnika platnih usluga kao potrošača i pružalaca platnih usluga koji nijesu uređeni tim zakonom primjenjuju odredbe zakona kojim se uređuje zaštita potrošača;</w:t>
      </w:r>
    </w:p>
    <w:p w:rsidR="00924346" w:rsidRPr="00CD02B4" w:rsidRDefault="00924346" w:rsidP="00924346">
      <w:pPr>
        <w:pStyle w:val="ListParagraph"/>
        <w:numPr>
          <w:ilvl w:val="0"/>
          <w:numId w:val="1"/>
        </w:numPr>
        <w:tabs>
          <w:tab w:val="left" w:pos="0"/>
        </w:tabs>
        <w:spacing w:after="0" w:line="240" w:lineRule="auto"/>
        <w:ind w:left="450" w:hanging="180"/>
        <w:jc w:val="both"/>
        <w:rPr>
          <w:rFonts w:cs="Arial"/>
        </w:rPr>
      </w:pPr>
      <w:r w:rsidRPr="00D56AFD">
        <w:rPr>
          <w:rFonts w:cs="Arial"/>
        </w:rPr>
        <w:t>U vezi sa komentarom da je u Nacrtu zakona nejasno da li će potrošač moći da ima više računa, odnosno i transakcioni račun i račun za plaćanje sa osnovim uslugama, ukazuje se da će banke koje, u skladu sa ovim zakonom budu nudile potrošačima račune za plaćanje sa osnovnim uslugama, samostalno odlučivati da li će ovaj račun otvoriti potrošaču koji već ima transakcioni račun</w:t>
      </w:r>
      <w:r w:rsidR="006A3AAE">
        <w:rPr>
          <w:rFonts w:cs="Arial"/>
        </w:rPr>
        <w:t>.</w:t>
      </w:r>
      <w:r w:rsidRPr="00D56AFD">
        <w:rPr>
          <w:rFonts w:cs="Arial"/>
          <w:color w:val="FF0000"/>
        </w:rPr>
        <w:t xml:space="preserve"> </w:t>
      </w:r>
      <w:r w:rsidRPr="00D4578F">
        <w:rPr>
          <w:rFonts w:cs="Arial"/>
        </w:rPr>
        <w:t>Naime, ovakvo određenje utvrđen</w:t>
      </w:r>
      <w:r w:rsidRPr="00CD02B4">
        <w:rPr>
          <w:rFonts w:cs="Arial"/>
        </w:rPr>
        <w:t>o je odredbama člana 29 stav 4 Nacrta zakona kojim se propisuje da banka može da odbije zahtjev potrošača za otvaranje tog računa ako potrošač na teritoriji Crne Gore već ima otvoren račun za plaćanje koji mu omogućava korišćenje usluga iz člana 30 stav 1 ovog zakona, ali ne mora;</w:t>
      </w:r>
    </w:p>
    <w:p w:rsidR="00924346" w:rsidRPr="00D56AFD" w:rsidRDefault="00924346" w:rsidP="00924346">
      <w:pPr>
        <w:pStyle w:val="ListParagraph"/>
        <w:numPr>
          <w:ilvl w:val="0"/>
          <w:numId w:val="1"/>
        </w:numPr>
        <w:tabs>
          <w:tab w:val="left" w:pos="597"/>
          <w:tab w:val="left" w:pos="792"/>
        </w:tabs>
        <w:spacing w:line="240" w:lineRule="auto"/>
        <w:ind w:left="450" w:hanging="180"/>
        <w:jc w:val="both"/>
        <w:rPr>
          <w:rFonts w:cs="Arial"/>
        </w:rPr>
      </w:pPr>
      <w:r w:rsidRPr="00D56AFD">
        <w:rPr>
          <w:rFonts w:cs="Arial"/>
        </w:rPr>
        <w:t xml:space="preserve">Povodom predloga da se produži rok za početak primjene ovog zakona kako bi banke svoje politike, procedure, templejte i drugo uskladile sa  ovim zakonom  i  podzakonskom  regulativom,  ukazuje se da se Nacrtom zakona predlaže da ovaj zakon počne da se primjenjuje godinu dana od dana njegovog stupanja na snagu, a da Centralna banka donese podzakonska akta u roku od šest mjeseci od njegovog stupanja na snagu, </w:t>
      </w:r>
      <w:r w:rsidR="0059091A" w:rsidRPr="00D56AFD">
        <w:rPr>
          <w:rFonts w:cs="Arial"/>
        </w:rPr>
        <w:t>što su</w:t>
      </w:r>
      <w:r w:rsidRPr="00D56AFD">
        <w:rPr>
          <w:rFonts w:cs="Arial"/>
        </w:rPr>
        <w:t xml:space="preserve"> rokovi </w:t>
      </w:r>
      <w:r w:rsidR="0059091A" w:rsidRPr="00D56AFD">
        <w:rPr>
          <w:rFonts w:cs="Arial"/>
        </w:rPr>
        <w:t>koji</w:t>
      </w:r>
      <w:r w:rsidRPr="00D56AFD">
        <w:rPr>
          <w:rFonts w:cs="Arial"/>
        </w:rPr>
        <w:t xml:space="preserve"> bankama </w:t>
      </w:r>
      <w:r w:rsidR="0059091A" w:rsidRPr="00D56AFD">
        <w:rPr>
          <w:rFonts w:cs="Arial"/>
        </w:rPr>
        <w:t xml:space="preserve">daju </w:t>
      </w:r>
      <w:r w:rsidRPr="00D56AFD">
        <w:rPr>
          <w:rFonts w:cs="Arial"/>
        </w:rPr>
        <w:t xml:space="preserve">dovoljno vremena za usklađivanje sa </w:t>
      </w:r>
      <w:r w:rsidR="006B5F8B" w:rsidRPr="00D56AFD">
        <w:rPr>
          <w:rFonts w:cs="Arial"/>
        </w:rPr>
        <w:t xml:space="preserve">ovim </w:t>
      </w:r>
      <w:r w:rsidRPr="00D56AFD">
        <w:rPr>
          <w:rFonts w:cs="Arial"/>
        </w:rPr>
        <w:t>zakonom;</w:t>
      </w:r>
    </w:p>
    <w:p w:rsidR="00924346" w:rsidRPr="00D56AFD" w:rsidRDefault="00924346" w:rsidP="00924346">
      <w:pPr>
        <w:pStyle w:val="ListParagraph"/>
        <w:numPr>
          <w:ilvl w:val="0"/>
          <w:numId w:val="1"/>
        </w:numPr>
        <w:spacing w:after="0" w:line="240" w:lineRule="auto"/>
        <w:ind w:left="450" w:hanging="180"/>
        <w:jc w:val="both"/>
        <w:rPr>
          <w:rFonts w:cs="Arial"/>
        </w:rPr>
      </w:pPr>
      <w:r w:rsidRPr="00D56AFD">
        <w:rPr>
          <w:rFonts w:cs="Arial"/>
          <w:lang w:val="it-IT"/>
        </w:rPr>
        <w:t xml:space="preserve">U vezi sa pitanjem da li će Centalna banka donositi posebne smjernice, definisati formu i format fajla kojim će se vršiti razmjena podataka između </w:t>
      </w:r>
      <w:r w:rsidRPr="00D56AFD">
        <w:rPr>
          <w:rFonts w:cs="Arial"/>
        </w:rPr>
        <w:t>pružaoca platnih usluga – prenosioca i pružaoca platnih usluga - primaoca</w:t>
      </w:r>
      <w:r w:rsidRPr="00D56AFD">
        <w:rPr>
          <w:rFonts w:cs="Arial"/>
          <w:lang w:val="it-IT"/>
        </w:rPr>
        <w:t xml:space="preserve"> i na koji način će  ovi pružaoci platnih usluga komunicirati i razmjenjivati dokumenta i informacije, ukazuje se da Centralna banka </w:t>
      </w:r>
      <w:r w:rsidRPr="00D56AFD">
        <w:rPr>
          <w:rFonts w:cs="Arial"/>
        </w:rPr>
        <w:t>neće donositi posebne smjernice, niti definisati formu i format fajla kojim će se vršiti razmjena navedenih podataka, već se ostavlja samim pružaocima platnih usluga – prenosiocima i pružaocima platnih usluga – primaocima</w:t>
      </w:r>
      <w:r w:rsidRPr="00D56AFD">
        <w:rPr>
          <w:rFonts w:cs="Arial"/>
          <w:lang w:val="it-IT"/>
        </w:rPr>
        <w:t xml:space="preserve"> da samostalno određuju način na koji će ostvarivati obaveznu saradnju u ovom poslu, odnosno da samostalno urede način komuniciranja i razmjenjivanja dokumenata i informacija.</w:t>
      </w:r>
    </w:p>
    <w:p w:rsidR="00924346" w:rsidRPr="00D56AFD" w:rsidRDefault="00924346" w:rsidP="00924346">
      <w:pPr>
        <w:spacing w:after="0" w:line="240" w:lineRule="auto"/>
        <w:jc w:val="both"/>
        <w:rPr>
          <w:rFonts w:cs="Arial"/>
        </w:rPr>
      </w:pPr>
    </w:p>
    <w:p w:rsidR="00924346" w:rsidRPr="00D56AFD" w:rsidRDefault="00924346" w:rsidP="00924346">
      <w:pPr>
        <w:tabs>
          <w:tab w:val="left" w:pos="0"/>
        </w:tabs>
        <w:spacing w:after="0" w:line="240" w:lineRule="auto"/>
        <w:jc w:val="both"/>
        <w:rPr>
          <w:rFonts w:cs="Arial"/>
        </w:rPr>
      </w:pPr>
      <w:r w:rsidRPr="00D56AFD">
        <w:rPr>
          <w:rFonts w:cs="Arial"/>
        </w:rPr>
        <w:t xml:space="preserve">2. Primjedbe, predlozi i sugestije </w:t>
      </w:r>
      <w:r w:rsidRPr="00D56AFD">
        <w:rPr>
          <w:rFonts w:cs="Arial"/>
          <w:u w:val="single"/>
        </w:rPr>
        <w:t>pojedinačnog karaktera</w:t>
      </w:r>
      <w:r w:rsidRPr="00D56AFD">
        <w:rPr>
          <w:rFonts w:cs="Arial"/>
        </w:rPr>
        <w:t xml:space="preserve"> čije se pojašnjenje tražilo ili koj</w:t>
      </w:r>
      <w:r w:rsidR="00F2624E" w:rsidRPr="00D56AFD">
        <w:rPr>
          <w:rFonts w:cs="Arial"/>
        </w:rPr>
        <w:t>i</w:t>
      </w:r>
      <w:r w:rsidRPr="00D56AFD">
        <w:rPr>
          <w:rFonts w:cs="Arial"/>
        </w:rPr>
        <w:t xml:space="preserve"> nijesu prihvaćen</w:t>
      </w:r>
      <w:r w:rsidR="00F2624E" w:rsidRPr="00D56AFD">
        <w:rPr>
          <w:rFonts w:cs="Arial"/>
        </w:rPr>
        <w:t>i</w:t>
      </w:r>
      <w:r w:rsidRPr="00D56AFD">
        <w:rPr>
          <w:rFonts w:cs="Arial"/>
        </w:rPr>
        <w:t>:</w:t>
      </w:r>
    </w:p>
    <w:p w:rsidR="00924346" w:rsidRPr="00D56AFD" w:rsidRDefault="00924346" w:rsidP="00924346">
      <w:pPr>
        <w:tabs>
          <w:tab w:val="left" w:pos="0"/>
        </w:tabs>
        <w:spacing w:after="0" w:line="240" w:lineRule="auto"/>
        <w:jc w:val="both"/>
        <w:rPr>
          <w:rFonts w:cs="Arial"/>
        </w:rPr>
      </w:pPr>
    </w:p>
    <w:p w:rsidR="00924346" w:rsidRPr="00D56AFD" w:rsidRDefault="00924346" w:rsidP="00924346">
      <w:pPr>
        <w:pStyle w:val="ListParagraph"/>
        <w:numPr>
          <w:ilvl w:val="0"/>
          <w:numId w:val="2"/>
        </w:numPr>
        <w:tabs>
          <w:tab w:val="left" w:pos="900"/>
        </w:tabs>
        <w:spacing w:after="0" w:line="240" w:lineRule="auto"/>
        <w:jc w:val="both"/>
        <w:rPr>
          <w:rFonts w:eastAsia="Times New Roman" w:cs="Arial"/>
          <w:lang w:val="it-IT"/>
        </w:rPr>
      </w:pPr>
      <w:r w:rsidRPr="00D56AFD">
        <w:rPr>
          <w:rFonts w:cs="Arial"/>
        </w:rPr>
        <w:t>U vezi sa pitanjem da li se određivanjem liste najreprezentativnijih usluga povezanih sa računom za plaćanje (član 8 Nacrta zakona) ograničava broj usluga za koje se može naplatiti naknada, ukazuje se da se ovim zakonom ne ograničava broj usluga povezanih sa računom za plaćanje za koje se može naplatiti naknada, već se stvaraju  pravne pretpostavke za povećanje nivoa zaštite potrošača kod ugovaranja i korišćenja računa za plaćanje, na način što se povećava transparentnost i uporedivost naknada povezanih sa računom za plaćanje potrošača;</w:t>
      </w:r>
    </w:p>
    <w:p w:rsidR="00924346" w:rsidRPr="00D56AFD" w:rsidRDefault="00924346" w:rsidP="00924346">
      <w:pPr>
        <w:pStyle w:val="ListParagraph"/>
        <w:numPr>
          <w:ilvl w:val="0"/>
          <w:numId w:val="2"/>
        </w:numPr>
        <w:tabs>
          <w:tab w:val="left" w:pos="900"/>
        </w:tabs>
        <w:spacing w:after="0" w:line="240" w:lineRule="auto"/>
        <w:jc w:val="both"/>
        <w:rPr>
          <w:rFonts w:eastAsia="Times New Roman" w:cs="Arial"/>
          <w:lang w:val="it-IT"/>
        </w:rPr>
      </w:pPr>
      <w:r w:rsidRPr="00D56AFD">
        <w:rPr>
          <w:rFonts w:cs="Arial"/>
        </w:rPr>
        <w:t xml:space="preserve">U vezi sa pitanjem koji se rok smatra </w:t>
      </w:r>
      <w:r w:rsidR="00F2624E" w:rsidRPr="00D56AFD">
        <w:rPr>
          <w:rFonts w:cs="Arial"/>
        </w:rPr>
        <w:t>“</w:t>
      </w:r>
      <w:r w:rsidRPr="00D56AFD">
        <w:rPr>
          <w:rFonts w:cs="Arial"/>
        </w:rPr>
        <w:t>primjerenim</w:t>
      </w:r>
      <w:r w:rsidR="00F2624E" w:rsidRPr="00D56AFD">
        <w:rPr>
          <w:rFonts w:cs="Arial"/>
        </w:rPr>
        <w:t>” u slučaju kada je</w:t>
      </w:r>
      <w:r w:rsidRPr="00D56AFD">
        <w:rPr>
          <w:rFonts w:cs="Arial"/>
        </w:rPr>
        <w:t xml:space="preserve"> pružalac platnih usluga dužan da, prije zaključenja sa potrošačem okvirnog ugovora o računu za plaćanje, dostavi potrošaču informativni dokument o naknadama (č</w:t>
      </w:r>
      <w:r w:rsidRPr="00D56AFD">
        <w:rPr>
          <w:rFonts w:cs="Arial"/>
          <w:lang w:val="it-IT"/>
        </w:rPr>
        <w:t>lan 9 stav 1 Nacrta zakona), ukazuje se da se p</w:t>
      </w:r>
      <w:r w:rsidRPr="00D56AFD">
        <w:rPr>
          <w:rFonts w:eastAsia="Times New Roman" w:cs="Arial"/>
        </w:rPr>
        <w:t>rimjerenim rokom za dostavljanje informativnog dokumenta o naknadama može  smatrati rok u kome potrošač ima dovoljno vremena da se upozna sa naknadama i donose odluku kod kojeg pružaoca platnih usluga želi da otvori račun. Naime, prije nego se potrošač obaveže okvirnim ugovorom, pružalac platnih usluga dužan je dati potrošaču informativni dokument o naknadama za najreprezentativnije usluge, i to dovoljno unaprijed, kako bi potrošač imao dovoljno vremena za donošenje odluke;</w:t>
      </w:r>
    </w:p>
    <w:p w:rsidR="00924346" w:rsidRPr="00D56AFD" w:rsidRDefault="00924346" w:rsidP="00924346">
      <w:pPr>
        <w:pStyle w:val="ListParagraph"/>
        <w:numPr>
          <w:ilvl w:val="0"/>
          <w:numId w:val="2"/>
        </w:numPr>
        <w:tabs>
          <w:tab w:val="left" w:pos="900"/>
        </w:tabs>
        <w:spacing w:after="0" w:line="240" w:lineRule="auto"/>
        <w:jc w:val="both"/>
        <w:rPr>
          <w:rFonts w:cs="Arial"/>
          <w:lang w:val="it-IT"/>
        </w:rPr>
      </w:pPr>
      <w:r w:rsidRPr="00D56AFD">
        <w:rPr>
          <w:rFonts w:cs="Arial"/>
        </w:rPr>
        <w:t>U vezi sa pitanjem da li informativni dokument o naknadama i pojmovnik mogu biti jedinstveni dokument, ukazuje se da su informativni dokument o naknadama i pojmovnik odvojeni dokumenti, kako je to i propisano čl. 9 i 10 Nacrta zakona;</w:t>
      </w:r>
    </w:p>
    <w:p w:rsidR="00924346" w:rsidRPr="00D56AFD" w:rsidRDefault="00924346" w:rsidP="00924346">
      <w:pPr>
        <w:pStyle w:val="ListParagraph"/>
        <w:numPr>
          <w:ilvl w:val="0"/>
          <w:numId w:val="2"/>
        </w:numPr>
        <w:tabs>
          <w:tab w:val="left" w:pos="900"/>
        </w:tabs>
        <w:spacing w:after="0" w:line="240" w:lineRule="auto"/>
        <w:jc w:val="both"/>
        <w:rPr>
          <w:rFonts w:cs="Arial"/>
          <w:lang w:val="it-IT"/>
        </w:rPr>
      </w:pPr>
      <w:r w:rsidRPr="00D56AFD">
        <w:rPr>
          <w:rFonts w:cs="Arial"/>
        </w:rPr>
        <w:t xml:space="preserve">U vezi sa pitanjem da li </w:t>
      </w:r>
      <w:r w:rsidR="00F2624E" w:rsidRPr="00D56AFD">
        <w:rPr>
          <w:rFonts w:cs="Arial"/>
        </w:rPr>
        <w:t xml:space="preserve">je </w:t>
      </w:r>
      <w:r w:rsidRPr="00D56AFD">
        <w:rPr>
          <w:rFonts w:cs="Arial"/>
        </w:rPr>
        <w:t>banka, koja</w:t>
      </w:r>
      <w:r w:rsidRPr="00D56AFD">
        <w:rPr>
          <w:rFonts w:cs="Arial"/>
          <w:lang w:val="it-IT"/>
        </w:rPr>
        <w:t xml:space="preserve"> sa svakom transakcijom daje potrošaču informaciju o naplaćenoj naknadi, u obavezi da dodatno obezbijedi i sumarni izvještaj o naknadama jednom godišnje tom istom potrošaču, </w:t>
      </w:r>
      <w:r w:rsidRPr="00D56AFD">
        <w:rPr>
          <w:rFonts w:cs="Arial"/>
        </w:rPr>
        <w:t>ukazuje se da je banka, saglasno članu 12 stav 1 Nacrta zakona, u obavezi</w:t>
      </w:r>
      <w:r w:rsidRPr="00D56AFD">
        <w:rPr>
          <w:rFonts w:cs="Arial"/>
          <w:lang w:val="it-IT"/>
        </w:rPr>
        <w:t xml:space="preserve"> da za izvršene usluge povezane sa računom za plaćanje potrošaču učini dostupnim bez naknade, najmanje jednom godišnje, izvještaj o svim naknadama i kamatama, bez obzira što mu je davala informacije tokom godine o svakoj pojedinačnoj naknadi;</w:t>
      </w:r>
    </w:p>
    <w:p w:rsidR="00924346" w:rsidRPr="00D56AFD" w:rsidRDefault="00924346" w:rsidP="00924346">
      <w:pPr>
        <w:pStyle w:val="ListParagraph"/>
        <w:numPr>
          <w:ilvl w:val="0"/>
          <w:numId w:val="2"/>
        </w:numPr>
        <w:tabs>
          <w:tab w:val="left" w:pos="900"/>
        </w:tabs>
        <w:spacing w:after="0" w:line="240" w:lineRule="auto"/>
        <w:jc w:val="both"/>
        <w:rPr>
          <w:rFonts w:cs="Arial"/>
        </w:rPr>
      </w:pPr>
      <w:r w:rsidRPr="00D56AFD">
        <w:rPr>
          <w:rFonts w:cs="Arial"/>
        </w:rPr>
        <w:t xml:space="preserve">U vezi sa pitanjem da li banka izvještaj o naknadama može sprovoditi kroz dostupnost izvještaja </w:t>
      </w:r>
      <w:r w:rsidR="003D3033" w:rsidRPr="00D56AFD">
        <w:rPr>
          <w:rFonts w:cs="Arial"/>
        </w:rPr>
        <w:t>potrošaču</w:t>
      </w:r>
      <w:r w:rsidRPr="00D56AFD">
        <w:rPr>
          <w:rFonts w:cs="Arial"/>
        </w:rPr>
        <w:t xml:space="preserve"> njegovim dolaskom u banku ili dostavljanjem izvještaja  na osnovu primljenog  zahtjeva putem maila, ukazuje se da je članom 12 stav 2 Nacrta zakona propisano da se način dostavljanja izvještaja o naknadama utvrđuje  okvirnim ugovorom o računu za plaćanje; </w:t>
      </w:r>
    </w:p>
    <w:p w:rsidR="00924346" w:rsidRPr="00D56AFD" w:rsidRDefault="00924346" w:rsidP="00924346">
      <w:pPr>
        <w:pStyle w:val="ListParagraph"/>
        <w:numPr>
          <w:ilvl w:val="0"/>
          <w:numId w:val="2"/>
        </w:numPr>
        <w:spacing w:line="240" w:lineRule="auto"/>
        <w:jc w:val="both"/>
        <w:rPr>
          <w:rFonts w:cs="Arial"/>
        </w:rPr>
      </w:pPr>
      <w:r w:rsidRPr="00D56AFD">
        <w:rPr>
          <w:rFonts w:cs="Arial"/>
        </w:rPr>
        <w:t>U vezi sa pitanjem koji su to “s</w:t>
      </w:r>
      <w:r w:rsidRPr="00D56AFD">
        <w:rPr>
          <w:rFonts w:cs="Arial"/>
          <w:lang w:val="it-IT"/>
        </w:rPr>
        <w:t>istemi za automatsko preusmjeravanje dolaznih kreditnih transfera i direktnih zaduženja na račun za plaćanje” (član 22 stav 1 tačka 2 Nacrta zakona), ukazuje se da p</w:t>
      </w:r>
      <w:r w:rsidRPr="00D56AFD">
        <w:rPr>
          <w:rFonts w:cs="Arial"/>
        </w:rPr>
        <w:t xml:space="preserve">ružalac platnih usluga može da obezbijedi automatsko preusmjeravanje dolaznih kreditnih transfera i direktnih zaduženja na račun za plaćanje </w:t>
      </w:r>
      <w:r w:rsidR="00A0331E" w:rsidRPr="00D56AFD">
        <w:rPr>
          <w:rFonts w:cs="Arial"/>
        </w:rPr>
        <w:t>na način da</w:t>
      </w:r>
      <w:r w:rsidRPr="00D56AFD">
        <w:rPr>
          <w:rFonts w:cs="Arial"/>
        </w:rPr>
        <w:t xml:space="preserve"> se uspostave neka međubankarska tehnička rješenja za usluge prebacivanja sredstava </w:t>
      </w:r>
      <w:r w:rsidR="00A0331E" w:rsidRPr="00D56AFD">
        <w:rPr>
          <w:rFonts w:cs="Arial"/>
        </w:rPr>
        <w:t>koja bi omogućila da</w:t>
      </w:r>
      <w:r w:rsidRPr="00D56AFD">
        <w:rPr>
          <w:rFonts w:cs="Arial"/>
        </w:rPr>
        <w:t xml:space="preserve"> se ta usluga pruži u što kraćem vremenskom roku;</w:t>
      </w:r>
    </w:p>
    <w:p w:rsidR="00924346" w:rsidRPr="00D56AFD" w:rsidRDefault="00924346" w:rsidP="00924346">
      <w:pPr>
        <w:pStyle w:val="ListParagraph"/>
        <w:numPr>
          <w:ilvl w:val="0"/>
          <w:numId w:val="2"/>
        </w:numPr>
        <w:spacing w:after="0" w:line="240" w:lineRule="auto"/>
        <w:jc w:val="both"/>
        <w:rPr>
          <w:rFonts w:cs="Arial"/>
        </w:rPr>
      </w:pPr>
      <w:r w:rsidRPr="00D56AFD">
        <w:rPr>
          <w:rFonts w:cs="Arial"/>
        </w:rPr>
        <w:t>U vezi sa pitanjem k</w:t>
      </w:r>
      <w:r w:rsidRPr="00D56AFD">
        <w:rPr>
          <w:rFonts w:cs="Arial"/>
          <w:lang w:val="it-IT"/>
        </w:rPr>
        <w:t>oja je definicija “razumne naknade” i “u skladu sa stvarnim troškovima” (član 24 stav 4), ukazuje se da ova određenja nijesu definisana, već se ostavlja svakom pružaocu platinih usluga da ih samostalno određuje, saglasno svojoj politici naknada i troškovima koje ima u vezi sa prebacivanjem računa;</w:t>
      </w:r>
    </w:p>
    <w:p w:rsidR="00924346" w:rsidRPr="00D56AFD" w:rsidRDefault="00924346" w:rsidP="00924346">
      <w:pPr>
        <w:pStyle w:val="ListParagraph"/>
        <w:numPr>
          <w:ilvl w:val="0"/>
          <w:numId w:val="2"/>
        </w:numPr>
        <w:spacing w:after="0" w:line="240" w:lineRule="auto"/>
        <w:jc w:val="both"/>
        <w:rPr>
          <w:rFonts w:cs="Arial"/>
        </w:rPr>
      </w:pPr>
      <w:r w:rsidRPr="00D56AFD">
        <w:rPr>
          <w:rFonts w:cs="Arial"/>
        </w:rPr>
        <w:t>U vezi sa pitanjem o kojoj se šteti radi kada se propisuje da je pružalac platnih usluga dužan da nadoknadi potrošaču imovinsku štetu koji pretrpi ukoliko pružilac platnih usluga iste ne izvrši u cjelosti u skladu sa zakonom (član 25 stav 1 Nacrta zakona), ukazuje se da se može raditi o bilo kojoj vrsti finansijskog gubitka potrošača zbog kašnjenja u izvršavanju plaćanja koj</w:t>
      </w:r>
      <w:r w:rsidR="008352F6" w:rsidRPr="00D56AFD">
        <w:rPr>
          <w:rFonts w:cs="Arial"/>
        </w:rPr>
        <w:t>i</w:t>
      </w:r>
      <w:r w:rsidRPr="00D56AFD">
        <w:rPr>
          <w:rFonts w:cs="Arial"/>
        </w:rPr>
        <w:t xml:space="preserve"> je potrošač pretrpio zbog toga što taj pružalac platnih usluga nije u cjelosti ili djelimično ispunio svoje obaveze iz čl. 21, 22 i 23 ovog zakona. Naime, potrošači ne treba da budu podložni finansijskom gubitku prouzrokovanom bilo kakvim propustima ili greškama koje je u toku procesa prebacivanja računa za plaćanje </w:t>
      </w:r>
      <w:r w:rsidR="008352F6" w:rsidRPr="00D56AFD">
        <w:rPr>
          <w:rFonts w:cs="Arial"/>
        </w:rPr>
        <w:t>imao</w:t>
      </w:r>
      <w:r w:rsidRPr="00D56AFD">
        <w:rPr>
          <w:rFonts w:cs="Arial"/>
        </w:rPr>
        <w:t xml:space="preserve"> neki od pružaoca platnih usluga uključen u navedeni postupak;</w:t>
      </w:r>
    </w:p>
    <w:p w:rsidR="00924346" w:rsidRPr="00D56AFD" w:rsidRDefault="00924346" w:rsidP="00924346">
      <w:pPr>
        <w:pStyle w:val="ListParagraph"/>
        <w:numPr>
          <w:ilvl w:val="0"/>
          <w:numId w:val="2"/>
        </w:numPr>
        <w:tabs>
          <w:tab w:val="left" w:pos="900"/>
        </w:tabs>
        <w:spacing w:after="0" w:line="240" w:lineRule="auto"/>
        <w:jc w:val="both"/>
        <w:rPr>
          <w:rFonts w:cs="Arial"/>
        </w:rPr>
      </w:pPr>
      <w:r w:rsidRPr="00D56AFD">
        <w:rPr>
          <w:rFonts w:cs="Arial"/>
        </w:rPr>
        <w:t>U vezi sa pitanjem na koji način će se vršiti provjera da li potrošač ima otvoren račun za plaćanje kod druge banke, ukazuje se da je odredbama člana 29 stav 5 Nacrta zakona propisano da, prije otvaranja računa za plaćanje sa osnovnim uslugama, banka može provjeriti da li potrošač ima otvoren račun za plaćanje kod druge banke koji mu omogućava korišćenje usluga iz člana 30 stav 1 ovog zakona, a može i prihvatiti pisanu izjavu potrošača o tome da nema otvoren račun za plaćanje u Crnoj Gori ili da će račun za plaćanje biti ukinut</w:t>
      </w:r>
      <w:r w:rsidR="008352F6" w:rsidRPr="00D56AFD">
        <w:rPr>
          <w:rFonts w:cs="Arial"/>
        </w:rPr>
        <w:t>.</w:t>
      </w:r>
      <w:r w:rsidRPr="00D56AFD">
        <w:rPr>
          <w:rFonts w:cs="Arial"/>
        </w:rPr>
        <w:t xml:space="preserve"> Stavom 6 istog člana propisano je da su banke dužne da međusobno sarađuju u postupku navedene provjere, a bankama je ostavljeno da samostalno utvrde način ove saradnje; </w:t>
      </w:r>
    </w:p>
    <w:p w:rsidR="008352F6" w:rsidRPr="00D56AFD" w:rsidRDefault="008352F6" w:rsidP="008352F6">
      <w:pPr>
        <w:pStyle w:val="ListParagraph"/>
        <w:tabs>
          <w:tab w:val="left" w:pos="900"/>
        </w:tabs>
        <w:spacing w:after="0" w:line="240" w:lineRule="auto"/>
        <w:jc w:val="both"/>
        <w:rPr>
          <w:rFonts w:cs="Arial"/>
        </w:rPr>
      </w:pPr>
    </w:p>
    <w:p w:rsidR="0072509A" w:rsidRPr="00D56AFD" w:rsidRDefault="0072509A" w:rsidP="0072509A">
      <w:pPr>
        <w:pStyle w:val="ListParagraph"/>
        <w:tabs>
          <w:tab w:val="left" w:pos="900"/>
        </w:tabs>
        <w:spacing w:after="0" w:line="240" w:lineRule="auto"/>
        <w:jc w:val="both"/>
        <w:rPr>
          <w:rFonts w:cs="Arial"/>
        </w:rPr>
      </w:pPr>
    </w:p>
    <w:p w:rsidR="00924346" w:rsidRPr="00D56AFD" w:rsidRDefault="00924346" w:rsidP="00924346">
      <w:pPr>
        <w:numPr>
          <w:ilvl w:val="0"/>
          <w:numId w:val="2"/>
        </w:numPr>
        <w:tabs>
          <w:tab w:val="left" w:pos="360"/>
          <w:tab w:val="left" w:pos="720"/>
          <w:tab w:val="left" w:pos="810"/>
        </w:tabs>
        <w:spacing w:after="0" w:line="240" w:lineRule="auto"/>
        <w:jc w:val="both"/>
        <w:rPr>
          <w:rFonts w:eastAsia="Times New Roman" w:cs="Arial"/>
          <w:lang w:val="sr-Latn-CS"/>
        </w:rPr>
      </w:pPr>
      <w:r w:rsidRPr="00D56AFD">
        <w:rPr>
          <w:rFonts w:cs="Arial"/>
        </w:rPr>
        <w:t>Predlog da se u članu 32 stav 1 tačka 2 Nacrta zakona rok za jednostrani raskid ugovora</w:t>
      </w:r>
      <w:r w:rsidR="008352F6" w:rsidRPr="00D56AFD">
        <w:rPr>
          <w:rFonts w:cs="Arial"/>
        </w:rPr>
        <w:t>,</w:t>
      </w:r>
      <w:r w:rsidRPr="00D56AFD">
        <w:rPr>
          <w:rFonts w:cs="Arial"/>
        </w:rPr>
        <w:t xml:space="preserve"> kada po računu nije izvršena nijedna transakcija duže od 24 uzastopna mjeseca</w:t>
      </w:r>
      <w:r w:rsidR="008352F6" w:rsidRPr="00D56AFD">
        <w:rPr>
          <w:rFonts w:cs="Arial"/>
        </w:rPr>
        <w:t>,</w:t>
      </w:r>
      <w:r w:rsidRPr="00D56AFD">
        <w:rPr>
          <w:rFonts w:cs="Arial"/>
        </w:rPr>
        <w:t xml:space="preserve"> skrati na rok od 12 uzastopnih mjeseci, nije moguće prihvatiti, jer se ovim zakonom u potpunosti implementira </w:t>
      </w:r>
      <w:r w:rsidRPr="00D56AFD">
        <w:rPr>
          <w:rFonts w:eastAsia="Times New Roman" w:cs="Arial"/>
          <w:lang w:val="sr-Latn-CS"/>
        </w:rPr>
        <w:t>Direktiva</w:t>
      </w:r>
      <w:r w:rsidRPr="00D56AFD">
        <w:rPr>
          <w:rFonts w:eastAsia="Times New Roman" w:cs="Arial"/>
          <w:lang w:val="hr-HR"/>
        </w:rPr>
        <w:t xml:space="preserve"> 2014/92/</w:t>
      </w:r>
      <w:r w:rsidRPr="00D56AFD">
        <w:rPr>
          <w:rFonts w:eastAsia="Times New Roman" w:cs="Arial"/>
          <w:lang w:val="sr-Latn-CS"/>
        </w:rPr>
        <w:t>EZ</w:t>
      </w:r>
      <w:r w:rsidRPr="00D56AFD">
        <w:rPr>
          <w:rFonts w:eastAsia="Times New Roman" w:cs="Arial"/>
          <w:lang w:val="hr-HR"/>
        </w:rPr>
        <w:t xml:space="preserve"> </w:t>
      </w:r>
      <w:r w:rsidRPr="00D56AFD">
        <w:rPr>
          <w:rFonts w:eastAsia="Times New Roman" w:cs="Arial"/>
          <w:lang w:val="sr-Latn-CS"/>
        </w:rPr>
        <w:t xml:space="preserve">o uporedivosti naknada povezanih sa računima za plaćanje, prebacivanju računa za plaćanje i pristupu računima za plaćanje sa osnovnim uslugama </w:t>
      </w:r>
      <w:r w:rsidRPr="00D56AFD">
        <w:rPr>
          <w:rFonts w:eastAsia="Times New Roman" w:cs="Arial"/>
        </w:rPr>
        <w:t>(Payment Accounts Directive - PAD), čijim je članom 19 stav 2 tačka pod (b)</w:t>
      </w:r>
      <w:r w:rsidRPr="00D56AFD">
        <w:rPr>
          <w:rFonts w:eastAsia="Times New Roman" w:cs="Arial"/>
          <w:lang w:val="sr-Latn-CS"/>
        </w:rPr>
        <w:t xml:space="preserve"> ovaj rok određen </w:t>
      </w:r>
      <w:r w:rsidR="008352F6" w:rsidRPr="00D56AFD">
        <w:rPr>
          <w:rFonts w:eastAsia="Times New Roman" w:cs="Arial"/>
          <w:lang w:val="sr-Latn-CS"/>
        </w:rPr>
        <w:t>„</w:t>
      </w:r>
      <w:r w:rsidRPr="00D56AFD">
        <w:rPr>
          <w:rFonts w:cs="Arial"/>
        </w:rPr>
        <w:t>duže od 24 uzastopna mjeseca</w:t>
      </w:r>
      <w:r w:rsidR="008352F6" w:rsidRPr="00D56AFD">
        <w:rPr>
          <w:rFonts w:cs="Arial"/>
        </w:rPr>
        <w:t>”</w:t>
      </w:r>
      <w:r w:rsidRPr="00D56AFD">
        <w:rPr>
          <w:rFonts w:cs="Arial"/>
        </w:rPr>
        <w:t>;</w:t>
      </w:r>
    </w:p>
    <w:p w:rsidR="00642647" w:rsidRPr="00642647" w:rsidRDefault="00924346" w:rsidP="00D56AFD">
      <w:pPr>
        <w:pStyle w:val="ListParagraph"/>
        <w:numPr>
          <w:ilvl w:val="0"/>
          <w:numId w:val="2"/>
        </w:numPr>
        <w:spacing w:line="240" w:lineRule="auto"/>
        <w:jc w:val="both"/>
      </w:pPr>
      <w:r w:rsidRPr="00D56AFD">
        <w:rPr>
          <w:rFonts w:cs="Arial"/>
        </w:rPr>
        <w:t xml:space="preserve"> </w:t>
      </w:r>
      <w:r w:rsidR="006D6503">
        <w:rPr>
          <w:rFonts w:cs="Arial"/>
        </w:rPr>
        <w:t>P</w:t>
      </w:r>
      <w:r w:rsidRPr="00D56AFD">
        <w:rPr>
          <w:rFonts w:cs="Arial"/>
        </w:rPr>
        <w:t xml:space="preserve">redlog da se u članu 46 </w:t>
      </w:r>
      <w:r w:rsidR="007E53AE" w:rsidRPr="00D56AFD">
        <w:rPr>
          <w:rFonts w:cs="Arial"/>
        </w:rPr>
        <w:t xml:space="preserve">stav 1 </w:t>
      </w:r>
      <w:r w:rsidRPr="00D56AFD">
        <w:rPr>
          <w:rFonts w:cs="Arial"/>
        </w:rPr>
        <w:t xml:space="preserve">Nacrta zakona rok koji se odnosi na usklađivanje važećih okvirnih ugovora “od 3 mjeseca od početka primjene ovog zakona“ zamijeni  rokom “od 6 mjeseci od usvajanja podzakonskih akata”, </w:t>
      </w:r>
      <w:r w:rsidR="008A3F6A" w:rsidRPr="00D56AFD">
        <w:rPr>
          <w:rFonts w:cs="Arial"/>
        </w:rPr>
        <w:t xml:space="preserve">nije jasan, s obzirom da je  </w:t>
      </w:r>
      <w:r w:rsidRPr="00D56AFD">
        <w:rPr>
          <w:rFonts w:cs="Arial"/>
        </w:rPr>
        <w:t xml:space="preserve">rok </w:t>
      </w:r>
      <w:r w:rsidR="007E53AE" w:rsidRPr="00D56AFD">
        <w:rPr>
          <w:rFonts w:cs="Arial"/>
        </w:rPr>
        <w:t xml:space="preserve">predložen u Nacrtu zakona </w:t>
      </w:r>
      <w:r w:rsidR="008A3F6A" w:rsidRPr="00D56AFD">
        <w:rPr>
          <w:rFonts w:cs="Arial"/>
        </w:rPr>
        <w:t>“</w:t>
      </w:r>
      <w:r w:rsidRPr="00D56AFD">
        <w:rPr>
          <w:rFonts w:cs="Arial"/>
        </w:rPr>
        <w:t>od 3 mjeseca od početka primjene ovog zakona</w:t>
      </w:r>
      <w:r w:rsidR="008A3F6A" w:rsidRPr="00D56AFD">
        <w:rPr>
          <w:rFonts w:cs="Arial"/>
        </w:rPr>
        <w:t>”</w:t>
      </w:r>
      <w:r w:rsidRPr="00D56AFD">
        <w:rPr>
          <w:rFonts w:cs="Arial"/>
        </w:rPr>
        <w:t xml:space="preserve"> duži od</w:t>
      </w:r>
      <w:r w:rsidR="006D6503">
        <w:rPr>
          <w:rFonts w:cs="Arial"/>
        </w:rPr>
        <w:t xml:space="preserve"> za</w:t>
      </w:r>
      <w:r w:rsidRPr="00D56AFD">
        <w:rPr>
          <w:rFonts w:cs="Arial"/>
        </w:rPr>
        <w:t xml:space="preserve">traženog roka </w:t>
      </w:r>
      <w:r w:rsidR="008A3F6A" w:rsidRPr="00D56AFD">
        <w:rPr>
          <w:rFonts w:cs="Arial"/>
        </w:rPr>
        <w:t>“</w:t>
      </w:r>
      <w:r w:rsidRPr="00D56AFD">
        <w:rPr>
          <w:rFonts w:cs="Arial"/>
        </w:rPr>
        <w:t>od 6 mjeseci od usvajanja podzakonskih akata</w:t>
      </w:r>
      <w:r w:rsidR="008A3F6A" w:rsidRPr="00D56AFD">
        <w:rPr>
          <w:rFonts w:cs="Arial"/>
        </w:rPr>
        <w:t>”</w:t>
      </w:r>
      <w:r w:rsidR="00B71661" w:rsidRPr="00D56AFD">
        <w:rPr>
          <w:rFonts w:cs="Arial"/>
        </w:rPr>
        <w:t>. Naime,</w:t>
      </w:r>
      <w:r w:rsidRPr="00D56AFD">
        <w:rPr>
          <w:rFonts w:cs="Arial"/>
        </w:rPr>
        <w:t xml:space="preserve"> Nacrtom zakona </w:t>
      </w:r>
      <w:r w:rsidR="00B71661" w:rsidRPr="00D56AFD">
        <w:rPr>
          <w:rFonts w:cs="Arial"/>
        </w:rPr>
        <w:t xml:space="preserve">se </w:t>
      </w:r>
      <w:r w:rsidRPr="00D56AFD">
        <w:rPr>
          <w:rFonts w:cs="Arial"/>
        </w:rPr>
        <w:t>predlaže da ovaj zakon počne da se primjenjuje godinu dana od dana njegovog stupanja na snagu</w:t>
      </w:r>
      <w:r w:rsidR="00B71661" w:rsidRPr="00D56AFD">
        <w:rPr>
          <w:rFonts w:cs="Arial"/>
        </w:rPr>
        <w:t xml:space="preserve"> i</w:t>
      </w:r>
      <w:r w:rsidRPr="00D56AFD">
        <w:rPr>
          <w:rFonts w:cs="Arial"/>
        </w:rPr>
        <w:t xml:space="preserve"> da Centralna banka donese podzakonska akta u roku od šest mjeseci od njegovog stupanja na snagu</w:t>
      </w:r>
      <w:r w:rsidR="00B71661" w:rsidRPr="00D56AFD">
        <w:rPr>
          <w:rFonts w:cs="Arial"/>
        </w:rPr>
        <w:t>, što znači da je</w:t>
      </w:r>
      <w:r w:rsidRPr="00D56AFD">
        <w:rPr>
          <w:rFonts w:cs="Arial"/>
        </w:rPr>
        <w:t xml:space="preserve"> po Nacrtu zakona rok za usklađivanje važećih okvirnih ugovora </w:t>
      </w:r>
      <w:r w:rsidR="008A3F6A" w:rsidRPr="00D56AFD">
        <w:rPr>
          <w:rFonts w:cs="Arial"/>
        </w:rPr>
        <w:t>“</w:t>
      </w:r>
      <w:r w:rsidRPr="00D56AFD">
        <w:rPr>
          <w:rFonts w:cs="Arial"/>
        </w:rPr>
        <w:t>godinu i 3 mjeseca od njegovog stupanja na snagu</w:t>
      </w:r>
      <w:r w:rsidR="008A3F6A" w:rsidRPr="00D56AFD">
        <w:rPr>
          <w:rFonts w:cs="Arial"/>
        </w:rPr>
        <w:t>”</w:t>
      </w:r>
      <w:r w:rsidRPr="00D56AFD">
        <w:rPr>
          <w:rFonts w:cs="Arial"/>
        </w:rPr>
        <w:t>,</w:t>
      </w:r>
      <w:r w:rsidR="00B71661" w:rsidRPr="00D56AFD">
        <w:rPr>
          <w:rFonts w:cs="Arial"/>
        </w:rPr>
        <w:t xml:space="preserve"> dok bi</w:t>
      </w:r>
      <w:r w:rsidRPr="00D56AFD">
        <w:rPr>
          <w:rFonts w:cs="Arial"/>
        </w:rPr>
        <w:t xml:space="preserve"> po zatraženoj izmjeni </w:t>
      </w:r>
      <w:r w:rsidR="00F00D7C" w:rsidRPr="00D56AFD">
        <w:rPr>
          <w:rFonts w:cs="Arial"/>
        </w:rPr>
        <w:t xml:space="preserve">ovaj </w:t>
      </w:r>
      <w:r w:rsidRPr="00D56AFD">
        <w:rPr>
          <w:rFonts w:cs="Arial"/>
        </w:rPr>
        <w:t xml:space="preserve">rok bio </w:t>
      </w:r>
      <w:r w:rsidR="008A3F6A" w:rsidRPr="00D56AFD">
        <w:rPr>
          <w:rFonts w:cs="Arial"/>
        </w:rPr>
        <w:t>“</w:t>
      </w:r>
      <w:r w:rsidRPr="00D56AFD">
        <w:rPr>
          <w:rFonts w:cs="Arial"/>
        </w:rPr>
        <w:t>godinu dana od njegovog stupanja na snagu</w:t>
      </w:r>
      <w:r w:rsidR="008A3F6A" w:rsidRPr="00D56AFD">
        <w:rPr>
          <w:rFonts w:cs="Arial"/>
        </w:rPr>
        <w:t>”</w:t>
      </w:r>
      <w:r w:rsidRPr="00D56AFD">
        <w:rPr>
          <w:rFonts w:cs="Arial"/>
        </w:rPr>
        <w:t>.</w:t>
      </w:r>
    </w:p>
    <w:p w:rsidR="00642647" w:rsidRDefault="00642647" w:rsidP="00D56AFD">
      <w:pPr>
        <w:pStyle w:val="ListParagraph"/>
        <w:spacing w:line="240" w:lineRule="auto"/>
        <w:jc w:val="both"/>
      </w:pPr>
      <w:r w:rsidRPr="00642647">
        <w:rPr>
          <w:rFonts w:cs="Arial"/>
        </w:rPr>
        <w:t xml:space="preserve">Rok od </w:t>
      </w:r>
      <w:r w:rsidRPr="00642647">
        <w:rPr>
          <w:rFonts w:cs="Arial"/>
          <w:lang w:bidi="en-US"/>
        </w:rPr>
        <w:t>“od 3 mjeseca od početka primjene ovog zakona“ utvrđen člano</w:t>
      </w:r>
      <w:r>
        <w:rPr>
          <w:rFonts w:cs="Arial"/>
          <w:lang w:bidi="en-US"/>
        </w:rPr>
        <w:t>m</w:t>
      </w:r>
      <w:r w:rsidRPr="00642647">
        <w:rPr>
          <w:rFonts w:cs="Arial"/>
          <w:lang w:bidi="en-US"/>
        </w:rPr>
        <w:t xml:space="preserve"> 46 stav 1 Nacrta zakona je dovoljan za usklađivanje važećih okvirnih ugovora</w:t>
      </w:r>
      <w:r>
        <w:rPr>
          <w:rFonts w:cs="Arial"/>
          <w:lang w:bidi="en-US"/>
        </w:rPr>
        <w:t xml:space="preserve">, </w:t>
      </w:r>
      <w:r w:rsidRPr="00642647">
        <w:rPr>
          <w:rFonts w:cs="Arial"/>
          <w:lang w:bidi="en-US"/>
        </w:rPr>
        <w:t xml:space="preserve">posebno iz razloga što je članom 46 stav 2 propisano da će se  </w:t>
      </w:r>
      <w:r w:rsidRPr="00642647">
        <w:rPr>
          <w:rFonts w:cs="Arial"/>
        </w:rPr>
        <w:t>smatrati da su pružaoci platnih usluga izvršili usklađivanje</w:t>
      </w:r>
      <w:r w:rsidRPr="007F247F">
        <w:rPr>
          <w:rFonts w:cs="Arial"/>
          <w:lang w:bidi="en-US"/>
        </w:rPr>
        <w:t xml:space="preserve"> </w:t>
      </w:r>
      <w:r w:rsidRPr="00D56AFD">
        <w:rPr>
          <w:rFonts w:cs="Arial"/>
          <w:lang w:bidi="en-US"/>
        </w:rPr>
        <w:t>važećih okvirnih ugovora</w:t>
      </w:r>
      <w:r w:rsidRPr="00D56AFD">
        <w:rPr>
          <w:rFonts w:cs="Arial"/>
        </w:rPr>
        <w:t xml:space="preserve"> ukoliko, u roku od 30 dana od dana početka primjene ovog zakona, izvrše usklađivanje svojih opštih uslova poslovanja sa ovim zakonom i učine ih lako dostupnim potrošačima u elektronskom obliku na svojoj internet stranici i/ili u prostorijama kojima potrošač ima pristup</w:t>
      </w:r>
      <w:r w:rsidR="00F40C78">
        <w:rPr>
          <w:rFonts w:cs="Arial"/>
          <w:lang w:bidi="en-US"/>
        </w:rPr>
        <w:t>.</w:t>
      </w:r>
      <w:r w:rsidRPr="00D56AFD">
        <w:rPr>
          <w:rFonts w:cs="Arial"/>
          <w:lang w:bidi="en-US"/>
        </w:rPr>
        <w:t xml:space="preserve"> </w:t>
      </w:r>
    </w:p>
    <w:p w:rsidR="00695403" w:rsidRDefault="00695403" w:rsidP="00D56AFD"/>
    <w:p w:rsidR="00545F7C" w:rsidRPr="008A3F6A" w:rsidRDefault="00545F7C" w:rsidP="00D56AFD">
      <w:r w:rsidRPr="008A3F6A">
        <w:t>Mjesto i datum sačinjavanja izvještaja:</w:t>
      </w:r>
      <w:r w:rsidR="00D365D0" w:rsidRPr="008A3F6A">
        <w:t xml:space="preserve">  Podgorica, 04.02.2019. godine</w:t>
      </w:r>
    </w:p>
    <w:p w:rsidR="00767B8B" w:rsidRPr="00695403" w:rsidRDefault="00767B8B" w:rsidP="00767B8B">
      <w:pPr>
        <w:spacing w:after="0"/>
      </w:pPr>
    </w:p>
    <w:p w:rsidR="00545F7C" w:rsidRPr="00747F47" w:rsidRDefault="00545F7C" w:rsidP="00767B8B">
      <w:pPr>
        <w:spacing w:after="0"/>
      </w:pPr>
      <w:r w:rsidRPr="00D56AFD">
        <w:t xml:space="preserve">Naziv organizacione </w:t>
      </w:r>
      <w:r w:rsidRPr="00747F47">
        <w:t>jedinice ministarstva koja je odgovorna za pripremu nacrta zakona, odnosno</w:t>
      </w:r>
    </w:p>
    <w:p w:rsidR="00545F7C" w:rsidRPr="00551F6F" w:rsidRDefault="00545F7C" w:rsidP="00545F7C">
      <w:pPr>
        <w:rPr>
          <w:lang/>
        </w:rPr>
      </w:pPr>
      <w:r w:rsidRPr="00747F47">
        <w:t>strategije:</w:t>
      </w:r>
      <w:r w:rsidR="00551F6F">
        <w:t xml:space="preserve"> </w:t>
      </w:r>
      <w:r w:rsidR="00551F6F" w:rsidRPr="00551F6F">
        <w:rPr>
          <w:u w:val="single"/>
        </w:rPr>
        <w:t>Direktorat za finansijski sistem i unapre</w:t>
      </w:r>
      <w:r w:rsidR="00551F6F" w:rsidRPr="00551F6F">
        <w:rPr>
          <w:u w:val="single"/>
          <w:lang/>
        </w:rPr>
        <w:t>đenje poslovnog ambijenta</w:t>
      </w:r>
    </w:p>
    <w:p w:rsidR="00545F7C" w:rsidRPr="00D56AFD" w:rsidRDefault="00545F7C" w:rsidP="00545F7C">
      <w:bookmarkStart w:id="0" w:name="_GoBack"/>
      <w:bookmarkEnd w:id="0"/>
    </w:p>
    <w:p w:rsidR="00767B8B" w:rsidRPr="00D56AFD" w:rsidRDefault="00767B8B" w:rsidP="00545F7C"/>
    <w:p w:rsidR="00545F7C" w:rsidRPr="00D56AFD" w:rsidRDefault="00545F7C" w:rsidP="00545F7C">
      <w:pPr>
        <w:spacing w:after="0"/>
        <w:jc w:val="right"/>
      </w:pPr>
      <w:r w:rsidRPr="00D56AFD">
        <w:t>_________________________________________________</w:t>
      </w:r>
    </w:p>
    <w:p w:rsidR="00545F7C" w:rsidRPr="00D56AFD" w:rsidRDefault="00545F7C" w:rsidP="00545F7C">
      <w:pPr>
        <w:spacing w:after="0"/>
        <w:jc w:val="right"/>
      </w:pPr>
      <w:r w:rsidRPr="00D56AFD">
        <w:t xml:space="preserve">                                               Potpis ministra,</w:t>
      </w:r>
    </w:p>
    <w:p w:rsidR="00545F7C" w:rsidRPr="00D56AFD" w:rsidRDefault="00545F7C" w:rsidP="00545F7C">
      <w:pPr>
        <w:spacing w:after="0"/>
        <w:jc w:val="right"/>
      </w:pPr>
      <w:r w:rsidRPr="00D56AFD">
        <w:t xml:space="preserve">       odnosno rukovodioca organizacione jedinice ministarstva</w:t>
      </w:r>
    </w:p>
    <w:p w:rsidR="00545F7C" w:rsidRPr="00D56AFD" w:rsidRDefault="00545F7C" w:rsidP="00545F7C">
      <w:pPr>
        <w:spacing w:after="0"/>
        <w:jc w:val="right"/>
      </w:pPr>
      <w:r w:rsidRPr="00D56AFD">
        <w:t>koja je odgovorna za pripremu nacrta zakona, odnosno strategije</w:t>
      </w:r>
    </w:p>
    <w:p w:rsidR="00545F7C" w:rsidRPr="00D56AFD" w:rsidRDefault="00545F7C" w:rsidP="00545F7C"/>
    <w:p w:rsidR="00545F7C" w:rsidRPr="00D56AFD" w:rsidRDefault="00545F7C" w:rsidP="00545F7C"/>
    <w:p w:rsidR="00545F7C" w:rsidRPr="00D56AFD" w:rsidRDefault="00545F7C" w:rsidP="00545F7C"/>
    <w:sectPr w:rsidR="00545F7C" w:rsidRPr="00D56AFD" w:rsidSect="0026289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3F" w:rsidRDefault="0022753F" w:rsidP="00262898">
      <w:pPr>
        <w:spacing w:after="0" w:line="240" w:lineRule="auto"/>
      </w:pPr>
      <w:r>
        <w:separator/>
      </w:r>
    </w:p>
  </w:endnote>
  <w:endnote w:type="continuationSeparator" w:id="0">
    <w:p w:rsidR="0022753F" w:rsidRDefault="0022753F" w:rsidP="00262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355663"/>
      <w:docPartObj>
        <w:docPartGallery w:val="Page Numbers (Bottom of Page)"/>
        <w:docPartUnique/>
      </w:docPartObj>
    </w:sdtPr>
    <w:sdtEndPr>
      <w:rPr>
        <w:noProof/>
      </w:rPr>
    </w:sdtEndPr>
    <w:sdtContent>
      <w:p w:rsidR="00262898" w:rsidRDefault="008B69AE">
        <w:pPr>
          <w:pStyle w:val="Footer"/>
          <w:jc w:val="right"/>
        </w:pPr>
        <w:r>
          <w:fldChar w:fldCharType="begin"/>
        </w:r>
        <w:r w:rsidR="00262898">
          <w:instrText xml:space="preserve"> PAGE   \* MERGEFORMAT </w:instrText>
        </w:r>
        <w:r>
          <w:fldChar w:fldCharType="separate"/>
        </w:r>
        <w:r w:rsidR="00551F6F">
          <w:rPr>
            <w:noProof/>
          </w:rPr>
          <w:t>4</w:t>
        </w:r>
        <w:r>
          <w:rPr>
            <w:noProof/>
          </w:rPr>
          <w:fldChar w:fldCharType="end"/>
        </w:r>
      </w:p>
    </w:sdtContent>
  </w:sdt>
  <w:p w:rsidR="00262898" w:rsidRDefault="00262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3F" w:rsidRDefault="0022753F" w:rsidP="00262898">
      <w:pPr>
        <w:spacing w:after="0" w:line="240" w:lineRule="auto"/>
      </w:pPr>
      <w:r>
        <w:separator/>
      </w:r>
    </w:p>
  </w:footnote>
  <w:footnote w:type="continuationSeparator" w:id="0">
    <w:p w:rsidR="0022753F" w:rsidRDefault="0022753F" w:rsidP="00262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717A"/>
    <w:multiLevelType w:val="hybridMultilevel"/>
    <w:tmpl w:val="8B2A70A0"/>
    <w:lvl w:ilvl="0" w:tplc="B776BED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0583F3C"/>
    <w:multiLevelType w:val="hybridMultilevel"/>
    <w:tmpl w:val="3EA6E75E"/>
    <w:lvl w:ilvl="0" w:tplc="B71C3F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03BB4"/>
    <w:multiLevelType w:val="hybridMultilevel"/>
    <w:tmpl w:val="22264DE0"/>
    <w:lvl w:ilvl="0" w:tplc="33F2509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ja Jovovic">
    <w15:presenceInfo w15:providerId="AD" w15:userId="S-1-5-21-214401010-804986761-1862565094-48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2C2C40"/>
    <w:rsid w:val="0002794C"/>
    <w:rsid w:val="00040026"/>
    <w:rsid w:val="000944CF"/>
    <w:rsid w:val="000C1569"/>
    <w:rsid w:val="001B3A92"/>
    <w:rsid w:val="0022753F"/>
    <w:rsid w:val="00247784"/>
    <w:rsid w:val="00262898"/>
    <w:rsid w:val="002C2C40"/>
    <w:rsid w:val="002F2C7A"/>
    <w:rsid w:val="00321968"/>
    <w:rsid w:val="003D28F1"/>
    <w:rsid w:val="003D3033"/>
    <w:rsid w:val="003F1A27"/>
    <w:rsid w:val="00400072"/>
    <w:rsid w:val="00406527"/>
    <w:rsid w:val="00406C69"/>
    <w:rsid w:val="0049703D"/>
    <w:rsid w:val="004B5B9E"/>
    <w:rsid w:val="00545F7C"/>
    <w:rsid w:val="00551F6F"/>
    <w:rsid w:val="00562445"/>
    <w:rsid w:val="0059091A"/>
    <w:rsid w:val="00620E2D"/>
    <w:rsid w:val="00642647"/>
    <w:rsid w:val="006440C0"/>
    <w:rsid w:val="00695403"/>
    <w:rsid w:val="006A3AAE"/>
    <w:rsid w:val="006B5F8B"/>
    <w:rsid w:val="006D6503"/>
    <w:rsid w:val="0072509A"/>
    <w:rsid w:val="00747F47"/>
    <w:rsid w:val="00763719"/>
    <w:rsid w:val="00767B8B"/>
    <w:rsid w:val="007E3EF3"/>
    <w:rsid w:val="007E53AE"/>
    <w:rsid w:val="007F247F"/>
    <w:rsid w:val="008006A1"/>
    <w:rsid w:val="00814540"/>
    <w:rsid w:val="008352F6"/>
    <w:rsid w:val="00851BD1"/>
    <w:rsid w:val="008A3F6A"/>
    <w:rsid w:val="008B69AE"/>
    <w:rsid w:val="00924346"/>
    <w:rsid w:val="009A0CCD"/>
    <w:rsid w:val="009E0E4B"/>
    <w:rsid w:val="00A0331E"/>
    <w:rsid w:val="00AB331E"/>
    <w:rsid w:val="00AB62B2"/>
    <w:rsid w:val="00AE0A5B"/>
    <w:rsid w:val="00B53D4D"/>
    <w:rsid w:val="00B71661"/>
    <w:rsid w:val="00BC325D"/>
    <w:rsid w:val="00BF3C6B"/>
    <w:rsid w:val="00C779DE"/>
    <w:rsid w:val="00CD02B4"/>
    <w:rsid w:val="00D365D0"/>
    <w:rsid w:val="00D4578F"/>
    <w:rsid w:val="00D56AFD"/>
    <w:rsid w:val="00D97C35"/>
    <w:rsid w:val="00E170D8"/>
    <w:rsid w:val="00E865E1"/>
    <w:rsid w:val="00EF70B7"/>
    <w:rsid w:val="00F00D7C"/>
    <w:rsid w:val="00F2624E"/>
    <w:rsid w:val="00F40C78"/>
    <w:rsid w:val="00F41240"/>
    <w:rsid w:val="00F62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4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D"/>
    <w:rPr>
      <w:rFonts w:ascii="Segoe UI" w:eastAsiaTheme="minorEastAsia" w:hAnsi="Segoe UI" w:cs="Segoe UI"/>
      <w:sz w:val="18"/>
      <w:szCs w:val="18"/>
    </w:rPr>
  </w:style>
  <w:style w:type="paragraph" w:styleId="ListParagraph">
    <w:name w:val="List Paragraph"/>
    <w:basedOn w:val="Normal"/>
    <w:uiPriority w:val="34"/>
    <w:qFormat/>
    <w:rsid w:val="00924346"/>
    <w:pPr>
      <w:spacing w:after="200" w:line="276" w:lineRule="auto"/>
      <w:ind w:left="720"/>
      <w:contextualSpacing/>
    </w:pPr>
    <w:rPr>
      <w:rFonts w:eastAsiaTheme="minorHAnsi" w:cstheme="minorBidi"/>
    </w:rPr>
  </w:style>
  <w:style w:type="paragraph" w:styleId="NoSpacing">
    <w:name w:val="No Spacing"/>
    <w:uiPriority w:val="1"/>
    <w:qFormat/>
    <w:rsid w:val="00924346"/>
    <w:pPr>
      <w:spacing w:after="0" w:line="240" w:lineRule="auto"/>
    </w:pPr>
  </w:style>
  <w:style w:type="paragraph" w:styleId="Header">
    <w:name w:val="header"/>
    <w:basedOn w:val="Normal"/>
    <w:link w:val="HeaderChar"/>
    <w:uiPriority w:val="99"/>
    <w:unhideWhenUsed/>
    <w:rsid w:val="0026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98"/>
    <w:rPr>
      <w:rFonts w:eastAsiaTheme="minorEastAsia" w:cs="Times New Roman"/>
    </w:rPr>
  </w:style>
  <w:style w:type="paragraph" w:styleId="Footer">
    <w:name w:val="footer"/>
    <w:basedOn w:val="Normal"/>
    <w:link w:val="FooterChar"/>
    <w:uiPriority w:val="99"/>
    <w:unhideWhenUsed/>
    <w:rsid w:val="0026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98"/>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4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D"/>
    <w:rPr>
      <w:rFonts w:ascii="Segoe UI" w:eastAsiaTheme="minorEastAsia" w:hAnsi="Segoe UI" w:cs="Segoe UI"/>
      <w:sz w:val="18"/>
      <w:szCs w:val="18"/>
    </w:rPr>
  </w:style>
  <w:style w:type="paragraph" w:styleId="ListParagraph">
    <w:name w:val="List Paragraph"/>
    <w:basedOn w:val="Normal"/>
    <w:uiPriority w:val="34"/>
    <w:qFormat/>
    <w:rsid w:val="00924346"/>
    <w:pPr>
      <w:spacing w:after="200" w:line="276" w:lineRule="auto"/>
      <w:ind w:left="720"/>
      <w:contextualSpacing/>
    </w:pPr>
    <w:rPr>
      <w:rFonts w:eastAsiaTheme="minorHAnsi" w:cstheme="minorBidi"/>
    </w:rPr>
  </w:style>
  <w:style w:type="paragraph" w:styleId="NoSpacing">
    <w:name w:val="No Spacing"/>
    <w:uiPriority w:val="1"/>
    <w:qFormat/>
    <w:rsid w:val="00924346"/>
    <w:pPr>
      <w:spacing w:after="0" w:line="240" w:lineRule="auto"/>
    </w:pPr>
  </w:style>
  <w:style w:type="paragraph" w:styleId="Header">
    <w:name w:val="header"/>
    <w:basedOn w:val="Normal"/>
    <w:link w:val="HeaderChar"/>
    <w:uiPriority w:val="99"/>
    <w:unhideWhenUsed/>
    <w:rsid w:val="0026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98"/>
    <w:rPr>
      <w:rFonts w:eastAsiaTheme="minorEastAsia" w:cs="Times New Roman"/>
    </w:rPr>
  </w:style>
  <w:style w:type="paragraph" w:styleId="Footer">
    <w:name w:val="footer"/>
    <w:basedOn w:val="Normal"/>
    <w:link w:val="FooterChar"/>
    <w:uiPriority w:val="99"/>
    <w:unhideWhenUsed/>
    <w:rsid w:val="0026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98"/>
    <w:rPr>
      <w:rFonts w:eastAsiaTheme="minorEastAsia"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Djulijaza Spuzanin</dc:creator>
  <cp:lastModifiedBy>Aleksandra Popovic</cp:lastModifiedBy>
  <cp:revision>5</cp:revision>
  <cp:lastPrinted>2019-02-04T07:16:00Z</cp:lastPrinted>
  <dcterms:created xsi:type="dcterms:W3CDTF">2019-02-04T08:58:00Z</dcterms:created>
  <dcterms:modified xsi:type="dcterms:W3CDTF">2019-04-01T06:27:00Z</dcterms:modified>
</cp:coreProperties>
</file>