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96" w:rsidRPr="00E97A96" w:rsidRDefault="00E97A96" w:rsidP="000222D1">
      <w:pPr>
        <w:pStyle w:val="Title"/>
        <w:spacing w:line="276" w:lineRule="auto"/>
        <w:contextualSpacing w:val="0"/>
        <w:jc w:val="center"/>
        <w:rPr>
          <w:rFonts w:ascii="Cambria" w:hAnsi="Cambria"/>
          <w:b/>
          <w:caps/>
          <w:spacing w:val="10"/>
          <w:sz w:val="24"/>
          <w:szCs w:val="24"/>
        </w:rPr>
      </w:pPr>
      <w:bookmarkStart w:id="0" w:name="_GoBack"/>
      <w:bookmarkEnd w:id="0"/>
      <w:r w:rsidRPr="00E97A96">
        <w:rPr>
          <w:rFonts w:ascii="Cambria" w:hAnsi="Cambria"/>
          <w:b/>
          <w:caps/>
          <w:spacing w:val="10"/>
          <w:sz w:val="24"/>
          <w:szCs w:val="24"/>
        </w:rPr>
        <w:t xml:space="preserve">Report on the </w:t>
      </w:r>
      <w:r w:rsidR="00E02618">
        <w:rPr>
          <w:rFonts w:ascii="Cambria" w:hAnsi="Cambria"/>
          <w:b/>
          <w:caps/>
          <w:spacing w:val="10"/>
          <w:sz w:val="24"/>
          <w:szCs w:val="24"/>
        </w:rPr>
        <w:t>Central Government Debt as of 30</w:t>
      </w:r>
      <w:r w:rsidRPr="00E97A96">
        <w:rPr>
          <w:rFonts w:ascii="Cambria" w:hAnsi="Cambria"/>
          <w:b/>
          <w:caps/>
          <w:spacing w:val="10"/>
          <w:sz w:val="24"/>
          <w:szCs w:val="24"/>
        </w:rPr>
        <w:t xml:space="preserve"> </w:t>
      </w:r>
      <w:r w:rsidR="00E02618">
        <w:rPr>
          <w:rFonts w:ascii="Cambria" w:hAnsi="Cambria"/>
          <w:b/>
          <w:caps/>
          <w:spacing w:val="10"/>
          <w:sz w:val="24"/>
          <w:szCs w:val="24"/>
        </w:rPr>
        <w:t>JUNE</w:t>
      </w:r>
      <w:r w:rsidR="003C62A6">
        <w:rPr>
          <w:rFonts w:ascii="Cambria" w:hAnsi="Cambria"/>
          <w:b/>
          <w:caps/>
          <w:spacing w:val="10"/>
          <w:sz w:val="24"/>
          <w:szCs w:val="24"/>
        </w:rPr>
        <w:t xml:space="preserve"> 2019</w:t>
      </w:r>
    </w:p>
    <w:p w:rsidR="00E97A96" w:rsidRPr="00E97A96" w:rsidRDefault="00E97A96" w:rsidP="00E97A96">
      <w:pPr>
        <w:pStyle w:val="Title"/>
        <w:spacing w:line="276" w:lineRule="auto"/>
        <w:contextualSpacing w:val="0"/>
        <w:jc w:val="center"/>
        <w:rPr>
          <w:rFonts w:ascii="Cambria" w:hAnsi="Cambria"/>
          <w:b/>
          <w:caps/>
          <w:spacing w:val="10"/>
          <w:sz w:val="24"/>
          <w:szCs w:val="24"/>
        </w:rPr>
      </w:pPr>
    </w:p>
    <w:p w:rsidR="00CA3650" w:rsidRPr="00CA3650" w:rsidRDefault="00CA3650" w:rsidP="00CA3650">
      <w:pPr>
        <w:spacing w:after="160" w:line="259" w:lineRule="auto"/>
        <w:jc w:val="both"/>
        <w:rPr>
          <w:rFonts w:ascii="Cambria" w:eastAsia="Calibri" w:hAnsi="Cambria" w:cs="Times New Roman"/>
          <w:b/>
          <w:color w:val="1F4E79"/>
          <w:sz w:val="22"/>
          <w:szCs w:val="22"/>
        </w:rPr>
      </w:pPr>
      <w:r w:rsidRPr="00CA3650">
        <w:rPr>
          <w:rFonts w:ascii="Cambria" w:eastAsia="Calibri" w:hAnsi="Cambria" w:cs="Times New Roman"/>
          <w:sz w:val="22"/>
          <w:szCs w:val="22"/>
        </w:rPr>
        <w:t xml:space="preserve">Total Central Government debt (deposits not included) as of </w:t>
      </w:r>
      <w:r w:rsidR="00E02618">
        <w:rPr>
          <w:rFonts w:ascii="Cambria" w:eastAsia="Calibri" w:hAnsi="Cambria" w:cs="Times New Roman"/>
          <w:sz w:val="22"/>
          <w:szCs w:val="22"/>
        </w:rPr>
        <w:t>30 June</w:t>
      </w:r>
      <w:r w:rsidRPr="00131C70">
        <w:rPr>
          <w:rFonts w:ascii="Cambria" w:eastAsia="Calibri" w:hAnsi="Cambria" w:cs="Times New Roman"/>
          <w:sz w:val="22"/>
          <w:szCs w:val="22"/>
        </w:rPr>
        <w:t xml:space="preserve"> </w:t>
      </w:r>
      <w:r w:rsidRPr="00CA3650">
        <w:rPr>
          <w:rFonts w:ascii="Cambria" w:eastAsia="Calibri" w:hAnsi="Cambria" w:cs="Times New Roman"/>
          <w:sz w:val="22"/>
          <w:szCs w:val="22"/>
        </w:rPr>
        <w:t>2019, was 3,1</w:t>
      </w:r>
      <w:r w:rsidR="00E02618">
        <w:rPr>
          <w:rFonts w:ascii="Cambria" w:eastAsia="Calibri" w:hAnsi="Cambria" w:cs="Times New Roman"/>
          <w:sz w:val="22"/>
          <w:szCs w:val="22"/>
        </w:rPr>
        <w:t>33.6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8 million </w:t>
      </w:r>
      <w:r w:rsidR="00445AA2">
        <w:rPr>
          <w:rFonts w:ascii="Cambria" w:eastAsia="Calibri" w:hAnsi="Cambria" w:cs="Times New Roman"/>
          <w:sz w:val="22"/>
          <w:szCs w:val="22"/>
        </w:rPr>
        <w:t xml:space="preserve">EUR 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or </w:t>
      </w:r>
      <w:r w:rsidR="005F733F">
        <w:rPr>
          <w:rFonts w:ascii="Cambria" w:eastAsia="Calibri" w:hAnsi="Cambria" w:cs="Times New Roman"/>
          <w:sz w:val="22"/>
          <w:szCs w:val="22"/>
        </w:rPr>
        <w:t>63.29</w:t>
      </w:r>
      <w:r w:rsidRPr="00CA3650">
        <w:rPr>
          <w:rFonts w:ascii="Cambria" w:eastAsia="Calibri" w:hAnsi="Cambria" w:cs="Times New Roman"/>
          <w:sz w:val="22"/>
          <w:szCs w:val="22"/>
        </w:rPr>
        <w:t>% of GDP</w:t>
      </w:r>
      <w:r w:rsidRPr="00131C70">
        <w:rPr>
          <w:rFonts w:ascii="Cambria" w:eastAsia="Calibri" w:hAnsi="Cambria" w:cs="Times New Roman"/>
          <w:sz w:val="22"/>
          <w:szCs w:val="22"/>
          <w:vertAlign w:val="superscript"/>
        </w:rPr>
        <w:footnoteReference w:id="1"/>
      </w:r>
      <w:r w:rsidRPr="00CA3650">
        <w:rPr>
          <w:rFonts w:ascii="Cambria" w:eastAsia="Calibri" w:hAnsi="Cambria" w:cs="Times New Roman"/>
          <w:sz w:val="22"/>
          <w:szCs w:val="22"/>
        </w:rPr>
        <w:t xml:space="preserve">. Total Central Government Debt, including deposits, as of </w:t>
      </w:r>
      <w:r w:rsidR="00E02618">
        <w:rPr>
          <w:rFonts w:ascii="Cambria" w:eastAsia="Calibri" w:hAnsi="Cambria" w:cs="Times New Roman"/>
          <w:sz w:val="22"/>
          <w:szCs w:val="22"/>
        </w:rPr>
        <w:t>30 June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 201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9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 was 2,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9</w:t>
      </w:r>
      <w:r w:rsidR="0016177C">
        <w:rPr>
          <w:rFonts w:ascii="Cambria" w:eastAsia="Calibri" w:hAnsi="Cambria" w:cs="Times New Roman"/>
          <w:sz w:val="22"/>
          <w:szCs w:val="22"/>
        </w:rPr>
        <w:t>49.65</w:t>
      </w:r>
      <w:r w:rsidR="00445AA2">
        <w:rPr>
          <w:rFonts w:ascii="Cambria" w:eastAsia="Calibri" w:hAnsi="Cambria" w:cs="Times New Roman"/>
          <w:sz w:val="22"/>
          <w:szCs w:val="22"/>
        </w:rPr>
        <w:t xml:space="preserve"> million EUR</w:t>
      </w:r>
      <w:r w:rsidR="00445AA2" w:rsidRPr="00CA3650">
        <w:rPr>
          <w:rFonts w:ascii="Cambria" w:eastAsia="Calibri" w:hAnsi="Cambria" w:cs="Times New Roman"/>
          <w:sz w:val="22"/>
          <w:szCs w:val="22"/>
        </w:rPr>
        <w:t xml:space="preserve"> 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or </w:t>
      </w:r>
      <w:r w:rsidR="005F733F">
        <w:rPr>
          <w:rFonts w:ascii="Cambria" w:eastAsia="Calibri" w:hAnsi="Cambria" w:cs="Times New Roman"/>
          <w:sz w:val="22"/>
          <w:szCs w:val="22"/>
        </w:rPr>
        <w:t>59.58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 % of GDP.</w:t>
      </w:r>
    </w:p>
    <w:p w:rsidR="002378AD" w:rsidRPr="00131C70" w:rsidRDefault="00445AA2" w:rsidP="002378AD">
      <w:pPr>
        <w:spacing w:after="0" w:line="259" w:lineRule="auto"/>
        <w:jc w:val="both"/>
        <w:rPr>
          <w:rFonts w:ascii="Cambria" w:eastAsia="Calibri" w:hAnsi="Cambria" w:cs="Times New Roman"/>
          <w:sz w:val="22"/>
          <w:szCs w:val="22"/>
        </w:rPr>
      </w:pPr>
      <w:r>
        <w:rPr>
          <w:rFonts w:ascii="Cambria" w:eastAsia="Calibri" w:hAnsi="Cambria" w:cs="Times New Roman"/>
          <w:sz w:val="22"/>
          <w:szCs w:val="22"/>
        </w:rPr>
        <w:t xml:space="preserve">The foreign debt was 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2,</w:t>
      </w:r>
      <w:r w:rsidR="0016177C">
        <w:rPr>
          <w:rFonts w:ascii="Cambria" w:eastAsia="Calibri" w:hAnsi="Cambria" w:cs="Times New Roman"/>
          <w:sz w:val="22"/>
          <w:szCs w:val="22"/>
        </w:rPr>
        <w:t>621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.7</w:t>
      </w:r>
      <w:r w:rsidR="0016177C">
        <w:rPr>
          <w:rFonts w:ascii="Cambria" w:eastAsia="Calibri" w:hAnsi="Cambria" w:cs="Times New Roman"/>
          <w:sz w:val="22"/>
          <w:szCs w:val="22"/>
        </w:rPr>
        <w:t>3</w:t>
      </w:r>
      <w:r w:rsidR="00CA3650" w:rsidRPr="00CA3650">
        <w:rPr>
          <w:rFonts w:ascii="Cambria" w:eastAsia="Calibri" w:hAnsi="Cambria" w:cs="Times New Roman"/>
          <w:sz w:val="22"/>
          <w:szCs w:val="22"/>
        </w:rPr>
        <w:t xml:space="preserve"> million</w:t>
      </w:r>
      <w:r>
        <w:rPr>
          <w:rFonts w:ascii="Cambria" w:eastAsia="Calibri" w:hAnsi="Cambria" w:cs="Times New Roman"/>
          <w:sz w:val="22"/>
          <w:szCs w:val="22"/>
        </w:rPr>
        <w:t xml:space="preserve"> EUR</w:t>
      </w:r>
      <w:r w:rsidR="0016177C">
        <w:rPr>
          <w:rFonts w:ascii="Cambria" w:eastAsia="Calibri" w:hAnsi="Cambria" w:cs="Times New Roman"/>
          <w:sz w:val="22"/>
          <w:szCs w:val="22"/>
        </w:rPr>
        <w:t xml:space="preserve"> or </w:t>
      </w:r>
      <w:r w:rsidR="005F733F">
        <w:rPr>
          <w:rFonts w:ascii="Cambria" w:eastAsia="Calibri" w:hAnsi="Cambria" w:cs="Times New Roman"/>
          <w:sz w:val="22"/>
          <w:szCs w:val="22"/>
        </w:rPr>
        <w:t>52.95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% of GDP</w:t>
      </w:r>
      <w:r w:rsidR="002A1F0A">
        <w:rPr>
          <w:rFonts w:ascii="Cambria" w:eastAsia="Calibri" w:hAnsi="Cambria" w:cs="Times New Roman"/>
          <w:sz w:val="22"/>
          <w:szCs w:val="22"/>
        </w:rPr>
        <w:t>, while the domestic debt was</w:t>
      </w:r>
      <w:r>
        <w:rPr>
          <w:rFonts w:ascii="Cambria" w:eastAsia="Calibri" w:hAnsi="Cambria" w:cs="Times New Roman"/>
          <w:noProof/>
          <w:sz w:val="22"/>
          <w:szCs w:val="22"/>
          <w:lang w:eastAsia="en-GB"/>
        </w:rPr>
        <w:t xml:space="preserve"> </w:t>
      </w:r>
      <w:r w:rsidR="0016177C">
        <w:rPr>
          <w:rFonts w:ascii="Cambria" w:eastAsia="Calibri" w:hAnsi="Cambria" w:cs="Times New Roman"/>
          <w:sz w:val="22"/>
          <w:szCs w:val="22"/>
        </w:rPr>
        <w:t>511</w:t>
      </w:r>
      <w:r w:rsidR="002A1F0A">
        <w:rPr>
          <w:rFonts w:ascii="Cambria" w:eastAsia="Calibri" w:hAnsi="Cambria" w:cs="Times New Roman"/>
          <w:sz w:val="22"/>
          <w:szCs w:val="22"/>
        </w:rPr>
        <w:t>.</w:t>
      </w:r>
      <w:r w:rsidR="0016177C">
        <w:rPr>
          <w:rFonts w:ascii="Cambria" w:eastAsia="Calibri" w:hAnsi="Cambria" w:cs="Times New Roman"/>
          <w:sz w:val="22"/>
          <w:szCs w:val="22"/>
        </w:rPr>
        <w:t>95</w:t>
      </w:r>
      <w:r w:rsidR="00CA3650" w:rsidRPr="00CA3650">
        <w:rPr>
          <w:rFonts w:ascii="Cambria" w:eastAsia="Calibri" w:hAnsi="Cambria" w:cs="Times New Roman"/>
          <w:sz w:val="22"/>
          <w:szCs w:val="22"/>
        </w:rPr>
        <w:t xml:space="preserve"> million</w:t>
      </w:r>
      <w:r w:rsidR="00606CC6" w:rsidRPr="00131C70">
        <w:rPr>
          <w:rFonts w:ascii="Cambria" w:eastAsia="Calibri" w:hAnsi="Cambria" w:cs="Times New Roman"/>
          <w:sz w:val="22"/>
          <w:szCs w:val="22"/>
        </w:rPr>
        <w:t xml:space="preserve"> </w:t>
      </w:r>
      <w:r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Calibri" w:hAnsi="Cambria" w:cs="Times New Roman"/>
          <w:sz w:val="22"/>
          <w:szCs w:val="22"/>
        </w:rPr>
        <w:t xml:space="preserve"> </w:t>
      </w:r>
      <w:r w:rsidR="00606CC6" w:rsidRPr="00131C70">
        <w:rPr>
          <w:rFonts w:ascii="Cambria" w:eastAsia="Calibri" w:hAnsi="Cambria" w:cs="Times New Roman"/>
          <w:sz w:val="22"/>
          <w:szCs w:val="22"/>
        </w:rPr>
        <w:t xml:space="preserve">or </w:t>
      </w:r>
      <w:r w:rsidR="0016177C">
        <w:rPr>
          <w:rFonts w:ascii="Cambria" w:eastAsia="Calibri" w:hAnsi="Cambria" w:cs="Times New Roman"/>
          <w:sz w:val="22"/>
          <w:szCs w:val="22"/>
        </w:rPr>
        <w:t>10.</w:t>
      </w:r>
      <w:r w:rsidR="005F733F">
        <w:rPr>
          <w:rFonts w:ascii="Cambria" w:eastAsia="Calibri" w:hAnsi="Cambria" w:cs="Times New Roman"/>
          <w:sz w:val="22"/>
          <w:szCs w:val="22"/>
        </w:rPr>
        <w:t>34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% of GDP</w:t>
      </w:r>
      <w:r w:rsidR="00CA3650" w:rsidRPr="00CA3650">
        <w:rPr>
          <w:rFonts w:ascii="Cambria" w:eastAsia="Calibri" w:hAnsi="Cambria" w:cs="Times New Roman"/>
          <w:sz w:val="22"/>
          <w:szCs w:val="22"/>
        </w:rPr>
        <w:t xml:space="preserve">. At the end of the </w:t>
      </w:r>
      <w:r w:rsidR="008929EA">
        <w:rPr>
          <w:rFonts w:ascii="Cambria" w:eastAsia="Calibri" w:hAnsi="Cambria" w:cs="Times New Roman"/>
          <w:sz w:val="22"/>
          <w:szCs w:val="22"/>
        </w:rPr>
        <w:t>second</w:t>
      </w:r>
      <w:r w:rsidR="00E12EC1" w:rsidRPr="00131C70">
        <w:rPr>
          <w:rFonts w:ascii="Cambria" w:eastAsia="Calibri" w:hAnsi="Cambria" w:cs="Times New Roman"/>
          <w:sz w:val="22"/>
          <w:szCs w:val="22"/>
        </w:rPr>
        <w:t xml:space="preserve"> quarter of 2019</w:t>
      </w:r>
      <w:r w:rsidR="00FC7558">
        <w:rPr>
          <w:rFonts w:ascii="Cambria" w:eastAsia="Calibri" w:hAnsi="Cambria" w:cs="Times New Roman"/>
          <w:sz w:val="22"/>
          <w:szCs w:val="22"/>
        </w:rPr>
        <w:t xml:space="preserve">, deposits </w:t>
      </w:r>
      <w:proofErr w:type="gramStart"/>
      <w:r w:rsidR="00783946">
        <w:rPr>
          <w:rFonts w:ascii="Cambria" w:eastAsia="Calibri" w:hAnsi="Cambria" w:cs="Times New Roman"/>
          <w:sz w:val="22"/>
          <w:szCs w:val="22"/>
        </w:rPr>
        <w:t>was</w:t>
      </w:r>
      <w:proofErr w:type="gramEnd"/>
      <w:r w:rsidR="00783946">
        <w:rPr>
          <w:rFonts w:ascii="Cambria" w:eastAsia="Calibri" w:hAnsi="Cambria" w:cs="Times New Roman"/>
          <w:sz w:val="22"/>
          <w:szCs w:val="22"/>
        </w:rPr>
        <w:t xml:space="preserve"> </w:t>
      </w:r>
      <w:r w:rsidR="008929EA">
        <w:rPr>
          <w:rFonts w:ascii="Cambria" w:eastAsia="Calibri" w:hAnsi="Cambria" w:cs="Times New Roman"/>
          <w:sz w:val="22"/>
          <w:szCs w:val="22"/>
        </w:rPr>
        <w:t xml:space="preserve">184.03 </w:t>
      </w:r>
      <w:r w:rsidR="00E12EC1" w:rsidRPr="00131C70">
        <w:rPr>
          <w:rFonts w:ascii="Cambria" w:eastAsia="Calibri" w:hAnsi="Cambria" w:cs="Times New Roman"/>
          <w:sz w:val="22"/>
          <w:szCs w:val="22"/>
        </w:rPr>
        <w:t>million</w:t>
      </w:r>
      <w:r w:rsidR="00783946">
        <w:rPr>
          <w:rFonts w:ascii="Cambria" w:eastAsia="Calibri" w:hAnsi="Cambria" w:cs="Times New Roman"/>
          <w:sz w:val="22"/>
          <w:szCs w:val="22"/>
        </w:rPr>
        <w:t xml:space="preserve"> EUR</w:t>
      </w:r>
      <w:r w:rsidR="00E12EC1" w:rsidRPr="00131C70">
        <w:rPr>
          <w:rFonts w:ascii="Cambria" w:eastAsia="Calibri" w:hAnsi="Cambria" w:cs="Times New Roman"/>
          <w:sz w:val="22"/>
          <w:szCs w:val="22"/>
        </w:rPr>
        <w:t xml:space="preserve"> or </w:t>
      </w:r>
      <w:r w:rsidR="008929EA">
        <w:rPr>
          <w:rFonts w:ascii="Cambria" w:eastAsia="Calibri" w:hAnsi="Cambria" w:cs="Times New Roman"/>
          <w:sz w:val="22"/>
          <w:szCs w:val="22"/>
        </w:rPr>
        <w:t>3.</w:t>
      </w:r>
      <w:r w:rsidR="005F733F">
        <w:rPr>
          <w:rFonts w:ascii="Cambria" w:eastAsia="Calibri" w:hAnsi="Cambria" w:cs="Times New Roman"/>
          <w:sz w:val="22"/>
          <w:szCs w:val="22"/>
        </w:rPr>
        <w:t>72</w:t>
      </w:r>
      <w:r w:rsidR="008929EA">
        <w:rPr>
          <w:rFonts w:ascii="Cambria" w:eastAsia="Calibri" w:hAnsi="Cambria" w:cs="Times New Roman"/>
          <w:sz w:val="22"/>
          <w:szCs w:val="22"/>
        </w:rPr>
        <w:t xml:space="preserve"> % of GDP.</w:t>
      </w:r>
    </w:p>
    <w:p w:rsidR="00C61088" w:rsidRPr="00131C70" w:rsidRDefault="00C61088" w:rsidP="002378AD">
      <w:pPr>
        <w:spacing w:after="0" w:line="259" w:lineRule="auto"/>
        <w:jc w:val="both"/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</w:pPr>
    </w:p>
    <w:p w:rsidR="00C61088" w:rsidRPr="00131C70" w:rsidRDefault="00C61088" w:rsidP="009E0746">
      <w:pPr>
        <w:spacing w:after="0" w:line="240" w:lineRule="auto"/>
        <w:jc w:val="both"/>
        <w:rPr>
          <w:rFonts w:ascii="Cambria" w:eastAsia="Calibri" w:hAnsi="Cambria" w:cs="Times New Roman"/>
          <w:sz w:val="22"/>
          <w:szCs w:val="22"/>
        </w:rPr>
      </w:pP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t xml:space="preserve">Table </w:t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begin"/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instrText xml:space="preserve"> SEQ Table \* ARABIC </w:instrText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separate"/>
      </w:r>
      <w:r w:rsidR="008C5466">
        <w:rPr>
          <w:rFonts w:ascii="Cambria" w:eastAsiaTheme="majorEastAsia" w:hAnsi="Cambria" w:cstheme="majorBidi"/>
          <w:b/>
          <w:caps/>
          <w:noProof/>
          <w:color w:val="F8B323" w:themeColor="accent1"/>
          <w:spacing w:val="10"/>
        </w:rPr>
        <w:t>1</w:t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end"/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t xml:space="preserve"> Government debt stock, in million eu</w:t>
      </w:r>
      <w:r w:rsidR="00783946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t>r</w:t>
      </w:r>
    </w:p>
    <w:tbl>
      <w:tblPr>
        <w:tblStyle w:val="GridTable6Colorful-Accent3"/>
        <w:tblpPr w:leftFromText="180" w:rightFromText="180" w:vertAnchor="text" w:horzAnchor="margin" w:tblpY="356"/>
        <w:tblW w:w="9184" w:type="dxa"/>
        <w:tblLook w:val="04A0" w:firstRow="1" w:lastRow="0" w:firstColumn="1" w:lastColumn="0" w:noHBand="0" w:noVBand="1"/>
      </w:tblPr>
      <w:tblGrid>
        <w:gridCol w:w="5908"/>
        <w:gridCol w:w="1641"/>
        <w:gridCol w:w="1635"/>
      </w:tblGrid>
      <w:tr w:rsidR="008929EA" w:rsidRPr="00131C70" w:rsidTr="00022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8929EA" w:rsidRPr="00131C70" w:rsidRDefault="008929EA" w:rsidP="009E0746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Creditor</w:t>
            </w:r>
          </w:p>
        </w:tc>
        <w:tc>
          <w:tcPr>
            <w:tcW w:w="1641" w:type="dxa"/>
            <w:hideMark/>
          </w:tcPr>
          <w:p w:rsidR="008929EA" w:rsidRPr="0032178D" w:rsidRDefault="008929EA" w:rsidP="009E074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2178D">
              <w:rPr>
                <w:rFonts w:ascii="Cambria" w:hAnsi="Cambria"/>
                <w:color w:val="0D0D0D" w:themeColor="text1" w:themeTint="F2"/>
              </w:rPr>
              <w:t>31.03.2019</w:t>
            </w:r>
          </w:p>
        </w:tc>
        <w:tc>
          <w:tcPr>
            <w:tcW w:w="1635" w:type="dxa"/>
            <w:hideMark/>
          </w:tcPr>
          <w:p w:rsidR="008929EA" w:rsidRPr="00131C70" w:rsidRDefault="0032178D" w:rsidP="009E074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>
              <w:rPr>
                <w:rFonts w:ascii="Cambria" w:hAnsi="Cambria"/>
                <w:color w:val="0D0D0D" w:themeColor="text1" w:themeTint="F2"/>
              </w:rPr>
              <w:t>30.06</w:t>
            </w:r>
            <w:r w:rsidR="008929EA" w:rsidRPr="00131C70">
              <w:rPr>
                <w:rFonts w:ascii="Cambria" w:hAnsi="Cambria"/>
                <w:color w:val="0D0D0D" w:themeColor="text1" w:themeTint="F2"/>
              </w:rPr>
              <w:t>.2019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International Bank for Reconstruction and Development (IBRD)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189.17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184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28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Member states of the Paris Club of Creditors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81.02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80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73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International Development Association (IDA)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38.73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35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13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European Investment Bank (EIB)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114.77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112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07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European Bank for Reconstruction and Development (EBRD)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17.19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18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18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Council of Europe Development Bank (CEB)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23.74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30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92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European Commission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0.60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0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30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Reconstruction Credit Bank (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KfW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) – Germany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42.32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40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02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Loan from the Government of Hungary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3.75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3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60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Loan from the Government of Poland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5.54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5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19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French loan – NATIXIS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3.82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3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45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Steiermarkische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Bank und 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Sparkassen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AG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4.40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4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40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Credit Suisse Bank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126.33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114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22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China Exim Bank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571.13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582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99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noWrap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Instituto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del 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credito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oficial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(ICO) 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2.94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2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72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Austrian loan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1.94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1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94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Eurobond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1,217.65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1C41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1</w:t>
            </w:r>
            <w:r w:rsidR="001C41A5">
              <w:rPr>
                <w:rFonts w:ascii="Cambria" w:hAnsi="Cambria"/>
                <w:color w:val="0D0D0D" w:themeColor="text1" w:themeTint="F2"/>
              </w:rPr>
              <w:t>,</w:t>
            </w:r>
            <w:r w:rsidRPr="00384C7B">
              <w:rPr>
                <w:rFonts w:ascii="Cambria" w:hAnsi="Cambria"/>
                <w:color w:val="0D0D0D" w:themeColor="text1" w:themeTint="F2"/>
              </w:rPr>
              <w:t>048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54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Banka Intesa 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23.33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1C41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23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33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Syndicated loan-OTP -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Erste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Group-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Zagrebačka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bank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56.70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120CBE" w:rsidP="001C41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>
              <w:rPr>
                <w:rFonts w:ascii="Cambria" w:hAnsi="Cambria"/>
                <w:color w:val="0D0D0D" w:themeColor="text1" w:themeTint="F2"/>
              </w:rPr>
              <w:t>56.7</w:t>
            </w:r>
            <w:r w:rsidR="003E571F">
              <w:rPr>
                <w:rFonts w:ascii="Cambria" w:hAnsi="Cambria"/>
                <w:color w:val="0D0D0D" w:themeColor="text1" w:themeTint="F2"/>
              </w:rPr>
              <w:t>0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International Fund for </w:t>
            </w:r>
            <w:r>
              <w:rPr>
                <w:rFonts w:ascii="Cambria" w:hAnsi="Cambria"/>
                <w:b w:val="0"/>
                <w:color w:val="0D0D0D" w:themeColor="text1" w:themeTint="F2"/>
              </w:rPr>
              <w:t xml:space="preserve">Agricultural </w:t>
            </w: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Development </w:t>
            </w:r>
            <w:r>
              <w:rPr>
                <w:rFonts w:ascii="Cambria" w:hAnsi="Cambria"/>
                <w:b w:val="0"/>
                <w:color w:val="0D0D0D" w:themeColor="text1" w:themeTint="F2"/>
              </w:rPr>
              <w:t>(</w:t>
            </w: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IFAD</w:t>
            </w:r>
            <w:r>
              <w:rPr>
                <w:rFonts w:ascii="Cambria" w:hAnsi="Cambria"/>
                <w:b w:val="0"/>
                <w:color w:val="0D0D0D" w:themeColor="text1" w:themeTint="F2"/>
              </w:rPr>
              <w:t>)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1.51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120CBE" w:rsidP="001C41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>
              <w:rPr>
                <w:rFonts w:ascii="Cambria" w:hAnsi="Cambria"/>
                <w:color w:val="0D0D0D" w:themeColor="text1" w:themeTint="F2"/>
              </w:rPr>
              <w:t>1.51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Export Development Canada EDC </w:t>
            </w:r>
            <w:r>
              <w:rPr>
                <w:rFonts w:ascii="Cambria" w:hAnsi="Cambria"/>
                <w:b w:val="0"/>
                <w:color w:val="0D0D0D" w:themeColor="text1" w:themeTint="F2"/>
              </w:rPr>
              <w:t>- Helicopters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24.16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1C41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21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51</w:t>
            </w:r>
          </w:p>
        </w:tc>
      </w:tr>
      <w:tr w:rsidR="00384C7B" w:rsidRPr="00131C70" w:rsidTr="000222D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Syndicated loan PBG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250.00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1C41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250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00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noWrap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Total Foreign Debt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8929EA">
              <w:rPr>
                <w:rFonts w:ascii="Cambria" w:hAnsi="Cambria"/>
                <w:b/>
                <w:color w:val="0D0D0D" w:themeColor="text1" w:themeTint="F2"/>
              </w:rPr>
              <w:t>2,800.74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1C41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384C7B">
              <w:rPr>
                <w:rFonts w:ascii="Cambria" w:hAnsi="Cambria"/>
                <w:b/>
                <w:color w:val="0D0D0D" w:themeColor="text1" w:themeTint="F2"/>
              </w:rPr>
              <w:t>2</w:t>
            </w:r>
            <w:r w:rsidR="001C41A5">
              <w:rPr>
                <w:rFonts w:ascii="Cambria" w:hAnsi="Cambria"/>
                <w:b/>
                <w:color w:val="0D0D0D" w:themeColor="text1" w:themeTint="F2"/>
              </w:rPr>
              <w:t>,</w:t>
            </w:r>
            <w:r w:rsidRPr="00384C7B">
              <w:rPr>
                <w:rFonts w:ascii="Cambria" w:hAnsi="Cambria"/>
                <w:b/>
                <w:color w:val="0D0D0D" w:themeColor="text1" w:themeTint="F2"/>
              </w:rPr>
              <w:t>621</w:t>
            </w:r>
            <w:r w:rsidR="001C41A5">
              <w:rPr>
                <w:rFonts w:ascii="Cambria" w:hAnsi="Cambria"/>
                <w:b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b/>
                <w:color w:val="0D0D0D" w:themeColor="text1" w:themeTint="F2"/>
              </w:rPr>
              <w:t>73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Old currency savings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11.71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11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55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Restitution obligations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87.34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87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01</w:t>
            </w:r>
          </w:p>
        </w:tc>
      </w:tr>
      <w:tr w:rsidR="00384C7B" w:rsidRPr="00131C70" w:rsidTr="000222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Credit from commercial banks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84.91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76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23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Pension arrears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1.91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1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91</w:t>
            </w:r>
          </w:p>
        </w:tc>
      </w:tr>
      <w:tr w:rsidR="00384C7B" w:rsidRPr="00131C70" w:rsidTr="000222D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T bills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72.00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72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00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Domestic bonds - GB16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80.41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80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41</w:t>
            </w:r>
          </w:p>
        </w:tc>
      </w:tr>
      <w:tr w:rsidR="00384C7B" w:rsidRPr="00131C70" w:rsidTr="000222D1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</w:tcPr>
          <w:p w:rsidR="00384C7B" w:rsidRPr="009E0746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9E0746">
              <w:rPr>
                <w:rFonts w:ascii="Cambria" w:hAnsi="Cambria"/>
                <w:b w:val="0"/>
                <w:color w:val="0D0D0D" w:themeColor="text1" w:themeTint="F2"/>
              </w:rPr>
              <w:t>Domestic Bonds – GB24</w:t>
            </w:r>
          </w:p>
        </w:tc>
        <w:tc>
          <w:tcPr>
            <w:tcW w:w="1641" w:type="dxa"/>
            <w:noWrap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>
              <w:rPr>
                <w:rFonts w:ascii="Cambria" w:hAnsi="Cambria"/>
                <w:color w:val="0D0D0D" w:themeColor="text1" w:themeTint="F2"/>
              </w:rPr>
              <w:t>-</w:t>
            </w:r>
          </w:p>
        </w:tc>
        <w:tc>
          <w:tcPr>
            <w:tcW w:w="1635" w:type="dxa"/>
            <w:noWrap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92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44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</w:tcPr>
          <w:p w:rsidR="00384C7B" w:rsidRPr="009E0746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9E0746">
              <w:rPr>
                <w:rFonts w:ascii="Cambria" w:hAnsi="Cambria"/>
                <w:b w:val="0"/>
                <w:color w:val="0D0D0D" w:themeColor="text1" w:themeTint="F2"/>
              </w:rPr>
              <w:t>Domestic Bonds – GB26</w:t>
            </w:r>
          </w:p>
        </w:tc>
        <w:tc>
          <w:tcPr>
            <w:tcW w:w="1641" w:type="dxa"/>
            <w:noWrap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>
              <w:rPr>
                <w:rFonts w:ascii="Cambria" w:hAnsi="Cambria"/>
                <w:color w:val="0D0D0D" w:themeColor="text1" w:themeTint="F2"/>
              </w:rPr>
              <w:t>-</w:t>
            </w:r>
          </w:p>
        </w:tc>
        <w:tc>
          <w:tcPr>
            <w:tcW w:w="1635" w:type="dxa"/>
            <w:noWrap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50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00</w:t>
            </w:r>
          </w:p>
        </w:tc>
      </w:tr>
      <w:tr w:rsidR="00384C7B" w:rsidRPr="00131C70" w:rsidTr="000222D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Legal persons and business organizations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40.36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40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40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noWrap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Total Domestic Debt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8929EA">
              <w:rPr>
                <w:rFonts w:ascii="Cambria" w:hAnsi="Cambria"/>
                <w:b/>
                <w:color w:val="0D0D0D" w:themeColor="text1" w:themeTint="F2"/>
              </w:rPr>
              <w:t>378.64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384C7B">
              <w:rPr>
                <w:rFonts w:ascii="Cambria" w:hAnsi="Cambria"/>
                <w:b/>
                <w:color w:val="0D0D0D" w:themeColor="text1" w:themeTint="F2"/>
              </w:rPr>
              <w:t>511</w:t>
            </w:r>
            <w:r w:rsidR="001C41A5">
              <w:rPr>
                <w:rFonts w:ascii="Cambria" w:hAnsi="Cambria"/>
                <w:b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b/>
                <w:color w:val="0D0D0D" w:themeColor="text1" w:themeTint="F2"/>
              </w:rPr>
              <w:t>95</w:t>
            </w:r>
          </w:p>
        </w:tc>
      </w:tr>
      <w:tr w:rsidR="00384C7B" w:rsidRPr="00131C70" w:rsidTr="000222D1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noWrap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TOTAL CENTRAL GOVERNMENT DEBT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8929EA">
              <w:rPr>
                <w:rFonts w:ascii="Cambria" w:hAnsi="Cambria"/>
                <w:b/>
                <w:color w:val="0D0D0D" w:themeColor="text1" w:themeTint="F2"/>
              </w:rPr>
              <w:t>3,179.38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1C41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384C7B">
              <w:rPr>
                <w:rFonts w:ascii="Cambria" w:hAnsi="Cambria"/>
                <w:b/>
                <w:color w:val="0D0D0D" w:themeColor="text1" w:themeTint="F2"/>
              </w:rPr>
              <w:t>3</w:t>
            </w:r>
            <w:r w:rsidR="001C41A5">
              <w:rPr>
                <w:rFonts w:ascii="Cambria" w:hAnsi="Cambria"/>
                <w:b/>
                <w:color w:val="0D0D0D" w:themeColor="text1" w:themeTint="F2"/>
              </w:rPr>
              <w:t>,</w:t>
            </w:r>
            <w:r w:rsidRPr="00384C7B">
              <w:rPr>
                <w:rFonts w:ascii="Cambria" w:hAnsi="Cambria"/>
                <w:b/>
                <w:color w:val="0D0D0D" w:themeColor="text1" w:themeTint="F2"/>
              </w:rPr>
              <w:t>133</w:t>
            </w:r>
            <w:r w:rsidR="001C41A5">
              <w:rPr>
                <w:rFonts w:ascii="Cambria" w:hAnsi="Cambria"/>
                <w:b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b/>
                <w:color w:val="0D0D0D" w:themeColor="text1" w:themeTint="F2"/>
              </w:rPr>
              <w:t>68</w:t>
            </w:r>
          </w:p>
        </w:tc>
      </w:tr>
      <w:tr w:rsidR="00384C7B" w:rsidRPr="00131C70" w:rsidTr="00022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noWrap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Deposits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8929EA">
              <w:rPr>
                <w:rFonts w:ascii="Cambria" w:hAnsi="Cambria"/>
                <w:color w:val="0D0D0D" w:themeColor="text1" w:themeTint="F2"/>
              </w:rPr>
              <w:t>253.70</w:t>
            </w:r>
          </w:p>
        </w:tc>
        <w:tc>
          <w:tcPr>
            <w:tcW w:w="1635" w:type="dxa"/>
            <w:noWrap/>
            <w:hideMark/>
          </w:tcPr>
          <w:p w:rsidR="00384C7B" w:rsidRPr="00384C7B" w:rsidRDefault="00384C7B" w:rsidP="001C41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384C7B">
              <w:rPr>
                <w:rFonts w:ascii="Cambria" w:hAnsi="Cambria"/>
                <w:color w:val="0D0D0D" w:themeColor="text1" w:themeTint="F2"/>
              </w:rPr>
              <w:t>184</w:t>
            </w:r>
            <w:r w:rsidR="001C41A5">
              <w:rPr>
                <w:rFonts w:ascii="Cambria" w:hAnsi="Cambria"/>
                <w:color w:val="0D0D0D" w:themeColor="text1" w:themeTint="F2"/>
              </w:rPr>
              <w:t>.</w:t>
            </w:r>
            <w:r w:rsidRPr="00384C7B">
              <w:rPr>
                <w:rFonts w:ascii="Cambria" w:hAnsi="Cambria"/>
                <w:color w:val="0D0D0D" w:themeColor="text1" w:themeTint="F2"/>
              </w:rPr>
              <w:t>03</w:t>
            </w:r>
          </w:p>
        </w:tc>
      </w:tr>
      <w:tr w:rsidR="00384C7B" w:rsidRPr="00131C70" w:rsidTr="000222D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8" w:type="dxa"/>
            <w:noWrap/>
            <w:hideMark/>
          </w:tcPr>
          <w:p w:rsidR="00384C7B" w:rsidRPr="00131C70" w:rsidRDefault="00384C7B" w:rsidP="00384C7B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TOTAL CENTRAL GOVERNMENT DEBT (including deposits)</w:t>
            </w:r>
          </w:p>
        </w:tc>
        <w:tc>
          <w:tcPr>
            <w:tcW w:w="1641" w:type="dxa"/>
            <w:noWrap/>
            <w:hideMark/>
          </w:tcPr>
          <w:p w:rsidR="00384C7B" w:rsidRPr="008929EA" w:rsidRDefault="00384C7B" w:rsidP="00384C7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8929EA">
              <w:rPr>
                <w:rFonts w:ascii="Cambria" w:hAnsi="Cambria"/>
                <w:b/>
                <w:color w:val="0D0D0D" w:themeColor="text1" w:themeTint="F2"/>
              </w:rPr>
              <w:t>2,925.68</w:t>
            </w:r>
          </w:p>
        </w:tc>
        <w:tc>
          <w:tcPr>
            <w:tcW w:w="1635" w:type="dxa"/>
            <w:noWrap/>
            <w:hideMark/>
          </w:tcPr>
          <w:p w:rsidR="00384C7B" w:rsidRPr="00E66101" w:rsidRDefault="001C41A5" w:rsidP="001C41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E66101">
              <w:rPr>
                <w:rFonts w:ascii="Cambria" w:hAnsi="Cambria"/>
                <w:b/>
                <w:color w:val="0D0D0D" w:themeColor="text1" w:themeTint="F2"/>
              </w:rPr>
              <w:t>2,</w:t>
            </w:r>
            <w:r w:rsidR="00384C7B" w:rsidRPr="00E66101">
              <w:rPr>
                <w:rFonts w:ascii="Cambria" w:hAnsi="Cambria"/>
                <w:b/>
                <w:color w:val="0D0D0D" w:themeColor="text1" w:themeTint="F2"/>
              </w:rPr>
              <w:t>949</w:t>
            </w:r>
            <w:r w:rsidRPr="00E66101">
              <w:rPr>
                <w:rFonts w:ascii="Cambria" w:hAnsi="Cambria"/>
                <w:b/>
                <w:color w:val="0D0D0D" w:themeColor="text1" w:themeTint="F2"/>
              </w:rPr>
              <w:t>.</w:t>
            </w:r>
            <w:r w:rsidR="00384C7B" w:rsidRPr="00E66101">
              <w:rPr>
                <w:rFonts w:ascii="Cambria" w:hAnsi="Cambria"/>
                <w:b/>
                <w:color w:val="0D0D0D" w:themeColor="text1" w:themeTint="F2"/>
              </w:rPr>
              <w:t>65</w:t>
            </w:r>
          </w:p>
        </w:tc>
      </w:tr>
    </w:tbl>
    <w:p w:rsidR="00C61088" w:rsidRPr="00131C70" w:rsidRDefault="00C61088" w:rsidP="002378AD">
      <w:pPr>
        <w:spacing w:after="0" w:line="259" w:lineRule="auto"/>
        <w:jc w:val="both"/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</w:pPr>
    </w:p>
    <w:p w:rsidR="001F7402" w:rsidRPr="00B63CEF" w:rsidRDefault="00BE52E4" w:rsidP="001F7402">
      <w:pPr>
        <w:tabs>
          <w:tab w:val="center" w:pos="4536"/>
        </w:tabs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</w:pP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lastRenderedPageBreak/>
        <w:t xml:space="preserve">Table </w:t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begin"/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instrText xml:space="preserve"> SEQ Table \* ARABIC </w:instrText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separate"/>
      </w:r>
      <w:r w:rsidR="008C5466">
        <w:rPr>
          <w:rFonts w:ascii="Cambria" w:eastAsiaTheme="majorEastAsia" w:hAnsi="Cambria" w:cstheme="majorBidi"/>
          <w:b/>
          <w:caps/>
          <w:noProof/>
          <w:color w:val="F8B323" w:themeColor="accent1"/>
          <w:spacing w:val="10"/>
        </w:rPr>
        <w:t>2</w:t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end"/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t xml:space="preserve"> Central Government Debt as % of GDP</w:t>
      </w:r>
    </w:p>
    <w:tbl>
      <w:tblPr>
        <w:tblStyle w:val="GridTable6Colorful-Accent3"/>
        <w:tblW w:w="5001" w:type="pct"/>
        <w:tblLook w:val="04A0" w:firstRow="1" w:lastRow="0" w:firstColumn="1" w:lastColumn="0" w:noHBand="0" w:noVBand="1"/>
      </w:tblPr>
      <w:tblGrid>
        <w:gridCol w:w="6130"/>
        <w:gridCol w:w="1257"/>
        <w:gridCol w:w="1677"/>
      </w:tblGrid>
      <w:tr w:rsidR="000C5086" w:rsidRPr="00131C70" w:rsidTr="000C5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hideMark/>
          </w:tcPr>
          <w:p w:rsidR="000C5086" w:rsidRPr="00D5227F" w:rsidRDefault="000C5086" w:rsidP="000C5086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 </w:t>
            </w:r>
          </w:p>
        </w:tc>
        <w:tc>
          <w:tcPr>
            <w:tcW w:w="693" w:type="pct"/>
          </w:tcPr>
          <w:p w:rsidR="000C5086" w:rsidRPr="00D5227F" w:rsidRDefault="000C5086" w:rsidP="000C5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31.03.2019</w:t>
            </w:r>
          </w:p>
        </w:tc>
        <w:tc>
          <w:tcPr>
            <w:tcW w:w="925" w:type="pct"/>
            <w:noWrap/>
            <w:hideMark/>
          </w:tcPr>
          <w:p w:rsidR="000C5086" w:rsidRPr="000C5086" w:rsidRDefault="000C5086" w:rsidP="000C5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0C5086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30.06.2019</w:t>
            </w:r>
          </w:p>
        </w:tc>
      </w:tr>
      <w:tr w:rsidR="00293EE3" w:rsidRPr="00131C70" w:rsidTr="000C5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293EE3" w:rsidRPr="00D5227F" w:rsidRDefault="00293EE3" w:rsidP="00293EE3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Total Central Government Debt as % of GDP</w:t>
            </w:r>
          </w:p>
        </w:tc>
        <w:tc>
          <w:tcPr>
            <w:tcW w:w="693" w:type="pct"/>
          </w:tcPr>
          <w:p w:rsidR="00293EE3" w:rsidRPr="00293EE3" w:rsidRDefault="00293EE3" w:rsidP="00293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293EE3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64.22%</w:t>
            </w:r>
          </w:p>
        </w:tc>
        <w:tc>
          <w:tcPr>
            <w:tcW w:w="925" w:type="pct"/>
            <w:noWrap/>
            <w:hideMark/>
          </w:tcPr>
          <w:p w:rsidR="00293EE3" w:rsidRPr="009308EE" w:rsidRDefault="00293EE3" w:rsidP="00293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9308E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63.29%</w:t>
            </w:r>
          </w:p>
        </w:tc>
      </w:tr>
      <w:tr w:rsidR="00293EE3" w:rsidRPr="00131C70" w:rsidTr="000C508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293EE3" w:rsidRPr="00D5227F" w:rsidRDefault="00293EE3" w:rsidP="00293EE3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Total Central Government Debt (including deposits) as % of GDP</w:t>
            </w:r>
          </w:p>
        </w:tc>
        <w:tc>
          <w:tcPr>
            <w:tcW w:w="693" w:type="pct"/>
          </w:tcPr>
          <w:p w:rsidR="00293EE3" w:rsidRPr="00293EE3" w:rsidRDefault="00293EE3" w:rsidP="00293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293EE3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59.09%</w:t>
            </w:r>
          </w:p>
        </w:tc>
        <w:tc>
          <w:tcPr>
            <w:tcW w:w="925" w:type="pct"/>
            <w:noWrap/>
            <w:hideMark/>
          </w:tcPr>
          <w:p w:rsidR="00293EE3" w:rsidRPr="009308EE" w:rsidRDefault="00293EE3" w:rsidP="00293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9308E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59.58%</w:t>
            </w:r>
          </w:p>
        </w:tc>
      </w:tr>
      <w:tr w:rsidR="00293EE3" w:rsidRPr="00131C70" w:rsidTr="000C5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293EE3" w:rsidRPr="00D5227F" w:rsidRDefault="00293EE3" w:rsidP="00293EE3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Domestic Debt as % of GDP</w:t>
            </w:r>
          </w:p>
        </w:tc>
        <w:tc>
          <w:tcPr>
            <w:tcW w:w="693" w:type="pct"/>
          </w:tcPr>
          <w:p w:rsidR="00293EE3" w:rsidRPr="00293EE3" w:rsidRDefault="00293EE3" w:rsidP="00293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293EE3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7.65%</w:t>
            </w:r>
          </w:p>
        </w:tc>
        <w:tc>
          <w:tcPr>
            <w:tcW w:w="925" w:type="pct"/>
            <w:noWrap/>
            <w:hideMark/>
          </w:tcPr>
          <w:p w:rsidR="00293EE3" w:rsidRPr="009308EE" w:rsidRDefault="00293EE3" w:rsidP="00293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9308E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10.34%</w:t>
            </w:r>
          </w:p>
        </w:tc>
      </w:tr>
      <w:tr w:rsidR="00293EE3" w:rsidRPr="00131C70" w:rsidTr="000C508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293EE3" w:rsidRPr="00D5227F" w:rsidRDefault="00293EE3" w:rsidP="00293EE3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Foreign Debt as % of  GDP</w:t>
            </w:r>
          </w:p>
        </w:tc>
        <w:tc>
          <w:tcPr>
            <w:tcW w:w="693" w:type="pct"/>
          </w:tcPr>
          <w:p w:rsidR="00293EE3" w:rsidRPr="00293EE3" w:rsidRDefault="00293EE3" w:rsidP="00293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293EE3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56.57%</w:t>
            </w:r>
          </w:p>
        </w:tc>
        <w:tc>
          <w:tcPr>
            <w:tcW w:w="925" w:type="pct"/>
            <w:noWrap/>
            <w:hideMark/>
          </w:tcPr>
          <w:p w:rsidR="00293EE3" w:rsidRPr="009308EE" w:rsidRDefault="00293EE3" w:rsidP="00293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9308E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52.95%</w:t>
            </w:r>
          </w:p>
        </w:tc>
      </w:tr>
      <w:tr w:rsidR="00293EE3" w:rsidRPr="00131C70" w:rsidTr="000C5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293EE3" w:rsidRPr="00D5227F" w:rsidRDefault="00293EE3" w:rsidP="00293EE3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Deposits as % of GDP</w:t>
            </w:r>
          </w:p>
        </w:tc>
        <w:tc>
          <w:tcPr>
            <w:tcW w:w="693" w:type="pct"/>
          </w:tcPr>
          <w:p w:rsidR="00293EE3" w:rsidRPr="00293EE3" w:rsidRDefault="00293EE3" w:rsidP="00293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293EE3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5.12%</w:t>
            </w:r>
          </w:p>
        </w:tc>
        <w:tc>
          <w:tcPr>
            <w:tcW w:w="925" w:type="pct"/>
            <w:noWrap/>
            <w:hideMark/>
          </w:tcPr>
          <w:p w:rsidR="00293EE3" w:rsidRPr="009308EE" w:rsidRDefault="00293EE3" w:rsidP="00293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9308E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3.72%</w:t>
            </w:r>
          </w:p>
        </w:tc>
      </w:tr>
    </w:tbl>
    <w:p w:rsidR="00B63CEF" w:rsidRPr="00131C70" w:rsidRDefault="00783946" w:rsidP="00E12EC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260350</wp:posOffset>
            </wp:positionV>
            <wp:extent cx="280035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53" y="21460"/>
                <wp:lineTo x="21453" y="0"/>
                <wp:lineTo x="0" y="0"/>
              </wp:wrapPolygon>
            </wp:wrapTight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1C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2981325" cy="2990850"/>
            <wp:effectExtent l="0" t="0" r="0" b="0"/>
            <wp:wrapTight wrapText="bothSides">
              <wp:wrapPolygon edited="0">
                <wp:start x="0" y="0"/>
                <wp:lineTo x="0" y="21462"/>
                <wp:lineTo x="21393" y="21462"/>
                <wp:lineTo x="21393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</w:p>
    <w:p w:rsidR="008B0B8D" w:rsidRDefault="008B0B8D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8B0B8D" w:rsidRDefault="00C260CD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  <w:r>
        <w:rPr>
          <w:rFonts w:ascii="Cambria" w:eastAsia="Times New Roman" w:hAnsi="Cambria" w:cs="Tahoma"/>
          <w:color w:val="000000"/>
          <w:sz w:val="22"/>
          <w:szCs w:val="22"/>
        </w:rPr>
        <w:t xml:space="preserve">During April and May 2019, Ministry of finance issued domestic bond in the amount of 190.0 million EUR. From this amount, </w:t>
      </w:r>
      <w:r w:rsidR="000762DC">
        <w:rPr>
          <w:rFonts w:ascii="Cambria" w:eastAsia="Times New Roman" w:hAnsi="Cambria" w:cs="Tahoma"/>
          <w:color w:val="000000"/>
          <w:sz w:val="22"/>
          <w:szCs w:val="22"/>
        </w:rPr>
        <w:t>14</w:t>
      </w:r>
      <w:r w:rsidR="00EB033F">
        <w:rPr>
          <w:rFonts w:ascii="Cambria" w:eastAsia="Times New Roman" w:hAnsi="Cambria" w:cs="Tahoma"/>
          <w:color w:val="000000"/>
          <w:sz w:val="22"/>
          <w:szCs w:val="22"/>
        </w:rPr>
        <w:t>0 million EUR was</w:t>
      </w:r>
      <w:r>
        <w:rPr>
          <w:rFonts w:ascii="Cambria" w:eastAsia="Times New Roman" w:hAnsi="Cambria" w:cs="Tahoma"/>
          <w:color w:val="000000"/>
          <w:sz w:val="22"/>
          <w:szCs w:val="22"/>
        </w:rPr>
        <w:t xml:space="preserve"> issued with</w:t>
      </w:r>
      <w:r w:rsidR="00586ABC">
        <w:rPr>
          <w:rFonts w:ascii="Cambria" w:eastAsia="Times New Roman" w:hAnsi="Cambria" w:cs="Tahoma"/>
          <w:color w:val="000000"/>
          <w:sz w:val="22"/>
          <w:szCs w:val="22"/>
        </w:rPr>
        <w:t xml:space="preserve"> interest rate of 3.0% and maturity of 5</w:t>
      </w:r>
      <w:r w:rsidR="00800A6A">
        <w:rPr>
          <w:rFonts w:ascii="Cambria" w:eastAsia="Times New Roman" w:hAnsi="Cambria" w:cs="Tahoma"/>
          <w:color w:val="000000"/>
          <w:sz w:val="22"/>
          <w:szCs w:val="22"/>
        </w:rPr>
        <w:t xml:space="preserve"> years</w:t>
      </w:r>
      <w:r>
        <w:rPr>
          <w:rFonts w:ascii="Cambria" w:eastAsia="Times New Roman" w:hAnsi="Cambria" w:cs="Tahoma"/>
          <w:color w:val="000000"/>
          <w:sz w:val="22"/>
          <w:szCs w:val="22"/>
        </w:rPr>
        <w:t xml:space="preserve">, while 50 million EUR </w:t>
      </w:r>
      <w:r w:rsidR="00EB033F">
        <w:rPr>
          <w:rFonts w:ascii="Cambria" w:eastAsia="Times New Roman" w:hAnsi="Cambria" w:cs="Tahoma"/>
          <w:color w:val="000000"/>
          <w:sz w:val="22"/>
          <w:szCs w:val="22"/>
        </w:rPr>
        <w:t>wa</w:t>
      </w:r>
      <w:r>
        <w:rPr>
          <w:rFonts w:ascii="Cambria" w:eastAsia="Times New Roman" w:hAnsi="Cambria" w:cs="Tahoma"/>
          <w:color w:val="000000"/>
          <w:sz w:val="22"/>
          <w:szCs w:val="22"/>
        </w:rPr>
        <w:t>s issued</w:t>
      </w:r>
      <w:r w:rsidR="000762DC">
        <w:rPr>
          <w:rFonts w:ascii="Cambria" w:eastAsia="Times New Roman" w:hAnsi="Cambria" w:cs="Tahoma"/>
          <w:color w:val="000000"/>
          <w:sz w:val="22"/>
          <w:szCs w:val="22"/>
        </w:rPr>
        <w:t xml:space="preserve"> </w:t>
      </w:r>
      <w:r w:rsidR="00586ABC">
        <w:rPr>
          <w:rFonts w:ascii="Cambria" w:eastAsia="Times New Roman" w:hAnsi="Cambria" w:cs="Tahoma"/>
          <w:color w:val="000000"/>
          <w:sz w:val="22"/>
          <w:szCs w:val="22"/>
        </w:rPr>
        <w:t xml:space="preserve">with interest rate of </w:t>
      </w:r>
      <w:r w:rsidR="000762DC">
        <w:rPr>
          <w:rFonts w:ascii="Cambria" w:eastAsia="Times New Roman" w:hAnsi="Cambria" w:cs="Tahoma"/>
          <w:color w:val="000000"/>
          <w:sz w:val="22"/>
          <w:szCs w:val="22"/>
        </w:rPr>
        <w:t xml:space="preserve">3.5% </w:t>
      </w:r>
      <w:r w:rsidR="00586ABC">
        <w:rPr>
          <w:rFonts w:ascii="Cambria" w:eastAsia="Times New Roman" w:hAnsi="Cambria" w:cs="Tahoma"/>
          <w:color w:val="000000"/>
          <w:sz w:val="22"/>
          <w:szCs w:val="22"/>
        </w:rPr>
        <w:t>and with maturity of 7 years</w:t>
      </w:r>
      <w:r w:rsidR="000762DC">
        <w:rPr>
          <w:rFonts w:ascii="Cambria" w:eastAsia="Times New Roman" w:hAnsi="Cambria" w:cs="Tahoma"/>
          <w:color w:val="000000"/>
          <w:sz w:val="22"/>
          <w:szCs w:val="22"/>
        </w:rPr>
        <w:t>.</w:t>
      </w:r>
      <w:r w:rsidR="00800A6A">
        <w:rPr>
          <w:rFonts w:ascii="Cambria" w:eastAsia="Times New Roman" w:hAnsi="Cambria" w:cs="Tahoma"/>
          <w:color w:val="000000"/>
          <w:sz w:val="22"/>
          <w:szCs w:val="22"/>
        </w:rPr>
        <w:t xml:space="preserve"> It is sold 142.4 million EUR, out of which 50 million EUR of </w:t>
      </w:r>
      <w:r w:rsidR="00F85DE0">
        <w:rPr>
          <w:rFonts w:ascii="Cambria" w:eastAsia="Times New Roman" w:hAnsi="Cambria" w:cs="Tahoma"/>
          <w:color w:val="000000"/>
          <w:sz w:val="22"/>
          <w:szCs w:val="22"/>
        </w:rPr>
        <w:t>7 years maturity and 92.4 million EUR of bonds with 5 years maturity.</w:t>
      </w:r>
    </w:p>
    <w:p w:rsidR="00A25FE5" w:rsidRDefault="00A25FE5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B627B9" w:rsidRPr="00B627B9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During </w:t>
      </w:r>
      <w:r w:rsidR="001148C4">
        <w:rPr>
          <w:rFonts w:ascii="Cambria" w:eastAsia="Times New Roman" w:hAnsi="Cambria" w:cs="Tahoma"/>
          <w:color w:val="000000"/>
          <w:sz w:val="22"/>
          <w:szCs w:val="22"/>
        </w:rPr>
        <w:t xml:space="preserve">the </w:t>
      </w:r>
      <w:r w:rsidR="006818A5">
        <w:rPr>
          <w:rFonts w:ascii="Cambria" w:eastAsia="Times New Roman" w:hAnsi="Cambria" w:cs="Tahoma"/>
          <w:color w:val="000000"/>
          <w:sz w:val="22"/>
          <w:szCs w:val="22"/>
        </w:rPr>
        <w:t>second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 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>quarter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 of 2019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>,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the Govern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ment </w:t>
      </w:r>
      <w:r w:rsidR="00451877">
        <w:rPr>
          <w:rFonts w:ascii="Cambria" w:eastAsia="Times New Roman" w:hAnsi="Cambria" w:cs="Tahoma"/>
          <w:color w:val="000000"/>
          <w:sz w:val="22"/>
          <w:szCs w:val="22"/>
        </w:rPr>
        <w:t>disbursed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 the amount of </w:t>
      </w:r>
      <w:r w:rsidR="000E4A99">
        <w:rPr>
          <w:rFonts w:ascii="Cambria" w:eastAsia="Times New Roman" w:hAnsi="Cambria" w:cs="Tahoma"/>
          <w:color w:val="000000"/>
          <w:sz w:val="22"/>
          <w:szCs w:val="22"/>
        </w:rPr>
        <w:t>33.92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million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 xml:space="preserve"> </w:t>
      </w:r>
      <w:r w:rsidR="00783946">
        <w:rPr>
          <w:rFonts w:ascii="Cambria" w:eastAsia="Calibri" w:hAnsi="Cambria" w:cs="Times New Roman"/>
          <w:sz w:val="22"/>
          <w:szCs w:val="22"/>
        </w:rPr>
        <w:t>EUR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for the needs of the implementation of infrastructure and development projects.</w:t>
      </w:r>
    </w:p>
    <w:p w:rsidR="00B627B9" w:rsidRPr="00B627B9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B627B9" w:rsidRPr="00B627B9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  <w:r w:rsidRPr="00B627B9">
        <w:rPr>
          <w:rFonts w:ascii="Cambria" w:eastAsia="Times New Roman" w:hAnsi="Cambria" w:cs="Tahoma"/>
          <w:color w:val="000000"/>
          <w:sz w:val="22"/>
          <w:szCs w:val="22"/>
        </w:rPr>
        <w:t>From this amount for the Project of financing the construction of the first section of the Highway Bar-</w:t>
      </w:r>
      <w:proofErr w:type="spellStart"/>
      <w:r w:rsidRPr="00B627B9">
        <w:rPr>
          <w:rFonts w:ascii="Cambria" w:eastAsia="Times New Roman" w:hAnsi="Cambria" w:cs="Tahoma"/>
          <w:color w:val="000000"/>
          <w:sz w:val="22"/>
          <w:szCs w:val="22"/>
        </w:rPr>
        <w:t>Boljare</w:t>
      </w:r>
      <w:proofErr w:type="spellEnd"/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; </w:t>
      </w:r>
      <w:proofErr w:type="spellStart"/>
      <w:r w:rsidRPr="00B627B9">
        <w:rPr>
          <w:rFonts w:ascii="Cambria" w:eastAsia="Times New Roman" w:hAnsi="Cambria" w:cs="Tahoma"/>
          <w:color w:val="000000"/>
          <w:sz w:val="22"/>
          <w:szCs w:val="22"/>
        </w:rPr>
        <w:t>Smokovac-Mat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>eševo</w:t>
      </w:r>
      <w:proofErr w:type="spellEnd"/>
      <w:r w:rsidR="00783946">
        <w:rPr>
          <w:rFonts w:ascii="Cambria" w:eastAsia="Times New Roman" w:hAnsi="Cambria" w:cs="Tahoma"/>
          <w:color w:val="000000"/>
          <w:sz w:val="22"/>
          <w:szCs w:val="22"/>
        </w:rPr>
        <w:t xml:space="preserve"> - the total amount of</w:t>
      </w:r>
      <w:r w:rsidR="008D45EC">
        <w:rPr>
          <w:rFonts w:ascii="Cambria" w:eastAsia="Times New Roman" w:hAnsi="Cambria" w:cs="Tahoma"/>
          <w:color w:val="000000"/>
          <w:sz w:val="22"/>
          <w:szCs w:val="22"/>
        </w:rPr>
        <w:t xml:space="preserve"> </w:t>
      </w:r>
      <w:r w:rsidR="000E4A99">
        <w:rPr>
          <w:rFonts w:ascii="Cambria" w:eastAsia="Times New Roman" w:hAnsi="Cambria" w:cs="Tahoma"/>
          <w:color w:val="000000"/>
          <w:sz w:val="22"/>
          <w:szCs w:val="22"/>
        </w:rPr>
        <w:t>21.79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million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 xml:space="preserve"> USD (</w:t>
      </w:r>
      <w:r w:rsidR="000E4A99">
        <w:rPr>
          <w:rFonts w:ascii="Cambria" w:eastAsia="Times New Roman" w:hAnsi="Cambria" w:cs="Tahoma"/>
          <w:color w:val="000000"/>
          <w:sz w:val="22"/>
          <w:szCs w:val="22"/>
        </w:rPr>
        <w:t>19.14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million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 xml:space="preserve"> </w:t>
      </w:r>
      <w:r w:rsidR="00783946">
        <w:rPr>
          <w:rFonts w:ascii="Cambria" w:eastAsia="Calibri" w:hAnsi="Cambria" w:cs="Times New Roman"/>
          <w:sz w:val="22"/>
          <w:szCs w:val="22"/>
        </w:rPr>
        <w:t>EUR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>)</w:t>
      </w:r>
      <w:r w:rsidRPr="00B627B9">
        <w:rPr>
          <w:rFonts w:ascii="Calibri" w:eastAsia="Times New Roman" w:hAnsi="Calibri" w:cs="Times New Roman"/>
          <w:sz w:val="22"/>
          <w:szCs w:val="22"/>
          <w:vertAlign w:val="superscript"/>
        </w:rPr>
        <w:footnoteReference w:id="2"/>
      </w:r>
      <w:r w:rsidR="00B120DB">
        <w:rPr>
          <w:rFonts w:ascii="Cambria" w:eastAsia="Times New Roman" w:hAnsi="Cambria" w:cs="Tahoma"/>
          <w:color w:val="000000"/>
          <w:sz w:val="22"/>
          <w:szCs w:val="22"/>
        </w:rPr>
        <w:t xml:space="preserve"> was disburs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>ed from the loan with the Chinese Exim Bank.</w:t>
      </w:r>
    </w:p>
    <w:p w:rsidR="00B627B9" w:rsidRPr="00B627B9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BA21E5" w:rsidRPr="00131C70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For other infrastructure projects, the remaining amount of € </w:t>
      </w:r>
      <w:r w:rsidR="000E4A99">
        <w:rPr>
          <w:rFonts w:ascii="Cambria" w:eastAsia="Times New Roman" w:hAnsi="Cambria" w:cs="Tahoma"/>
          <w:color w:val="000000"/>
          <w:sz w:val="22"/>
          <w:szCs w:val="22"/>
        </w:rPr>
        <w:t>14.78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million was withdrawn for the needs of road construction, water supply, energy efficiency</w:t>
      </w:r>
      <w:r w:rsidR="00A14D20" w:rsidRPr="00131C70">
        <w:rPr>
          <w:rFonts w:ascii="Cambria" w:eastAsia="Times New Roman" w:hAnsi="Cambria" w:cs="Tahoma"/>
          <w:color w:val="000000"/>
          <w:sz w:val="22"/>
          <w:szCs w:val="22"/>
        </w:rPr>
        <w:t>,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</w:t>
      </w:r>
      <w:r w:rsidR="00F359FA">
        <w:rPr>
          <w:rFonts w:ascii="Cambria" w:eastAsia="Times New Roman" w:hAnsi="Cambria" w:cs="Tahoma"/>
          <w:color w:val="000000"/>
          <w:sz w:val="22"/>
          <w:szCs w:val="22"/>
        </w:rPr>
        <w:t xml:space="preserve">social </w:t>
      </w:r>
      <w:r w:rsidR="00EF7C74">
        <w:rPr>
          <w:rFonts w:ascii="Cambria" w:eastAsia="Times New Roman" w:hAnsi="Cambria" w:cs="Tahoma"/>
          <w:color w:val="000000"/>
          <w:sz w:val="22"/>
          <w:szCs w:val="22"/>
        </w:rPr>
        <w:t>housing</w:t>
      </w:r>
      <w:r w:rsidR="00F359FA">
        <w:rPr>
          <w:rFonts w:ascii="Cambria" w:eastAsia="Times New Roman" w:hAnsi="Cambria" w:cs="Tahoma"/>
          <w:color w:val="000000"/>
          <w:sz w:val="22"/>
          <w:szCs w:val="22"/>
        </w:rPr>
        <w:t xml:space="preserve"> and 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>agriculture development.</w:t>
      </w:r>
    </w:p>
    <w:p w:rsidR="00BA21E5" w:rsidRPr="00131C70" w:rsidRDefault="00BA21E5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BA21E5" w:rsidRDefault="00BA21E5" w:rsidP="00BA21E5">
      <w:pPr>
        <w:spacing w:after="0" w:line="240" w:lineRule="auto"/>
        <w:jc w:val="both"/>
        <w:rPr>
          <w:rFonts w:ascii="Cambria" w:eastAsia="Times New Roman" w:hAnsi="Cambria" w:cs="Tahoma"/>
          <w:sz w:val="22"/>
          <w:szCs w:val="22"/>
        </w:rPr>
      </w:pPr>
      <w:r w:rsidRPr="00131C70">
        <w:rPr>
          <w:rFonts w:ascii="Cambria" w:eastAsia="Times New Roman" w:hAnsi="Cambria" w:cs="Tahoma"/>
          <w:color w:val="000000"/>
          <w:sz w:val="22"/>
          <w:szCs w:val="22"/>
        </w:rPr>
        <w:t>During the</w:t>
      </w:r>
      <w:r w:rsidR="00F359FA">
        <w:rPr>
          <w:rFonts w:ascii="Cambria" w:eastAsia="Times New Roman" w:hAnsi="Cambria" w:cs="Tahoma"/>
          <w:color w:val="000000"/>
          <w:sz w:val="22"/>
          <w:szCs w:val="22"/>
        </w:rPr>
        <w:t xml:space="preserve"> second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 quarter of 2019, 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the Central Government Debt repayment of principal was in total amount of </w:t>
      </w:r>
      <w:r w:rsidR="00FD1890">
        <w:rPr>
          <w:rFonts w:ascii="Cambria" w:eastAsia="Times New Roman" w:hAnsi="Cambria" w:cs="Tahoma"/>
          <w:sz w:val="22"/>
          <w:szCs w:val="22"/>
        </w:rPr>
        <w:t>213.08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783946">
        <w:rPr>
          <w:rFonts w:ascii="Cambria" w:eastAsia="Times New Roman" w:hAnsi="Cambria" w:cs="Tahoma"/>
          <w:sz w:val="22"/>
          <w:szCs w:val="22"/>
        </w:rPr>
        <w:t xml:space="preserve"> </w:t>
      </w:r>
      <w:r w:rsidR="0078394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, out of which </w:t>
      </w:r>
      <w:r w:rsidR="00FD1890">
        <w:rPr>
          <w:rFonts w:ascii="Cambria" w:eastAsia="Times New Roman" w:hAnsi="Cambria" w:cs="Tahoma"/>
          <w:sz w:val="22"/>
          <w:szCs w:val="22"/>
        </w:rPr>
        <w:t>9.43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783946">
        <w:rPr>
          <w:rFonts w:ascii="Cambria" w:eastAsia="Times New Roman" w:hAnsi="Cambria" w:cs="Tahoma"/>
          <w:sz w:val="22"/>
          <w:szCs w:val="22"/>
        </w:rPr>
        <w:t xml:space="preserve"> </w:t>
      </w:r>
      <w:r w:rsidR="0078394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referred to</w:t>
      </w:r>
      <w:r w:rsidR="00FD1890">
        <w:rPr>
          <w:rFonts w:ascii="Cambria" w:eastAsia="Times New Roman" w:hAnsi="Cambria" w:cs="Tahoma"/>
          <w:sz w:val="22"/>
          <w:szCs w:val="22"/>
        </w:rPr>
        <w:t xml:space="preserve"> repayment of debt to residents</w:t>
      </w:r>
      <w:r w:rsidR="00866646" w:rsidRPr="00131C70">
        <w:rPr>
          <w:rFonts w:ascii="Cambria" w:eastAsia="Times New Roman" w:hAnsi="Cambria" w:cs="Tahoma"/>
          <w:sz w:val="22"/>
          <w:szCs w:val="22"/>
        </w:rPr>
        <w:t xml:space="preserve">; while 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repayment of </w:t>
      </w:r>
      <w:r w:rsidR="003C62A6">
        <w:rPr>
          <w:rFonts w:ascii="Cambria" w:eastAsia="Times New Roman" w:hAnsi="Cambria" w:cs="Tahoma"/>
          <w:sz w:val="22"/>
          <w:szCs w:val="22"/>
        </w:rPr>
        <w:t>debt to non-residents was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</w:t>
      </w:r>
      <w:r w:rsidR="00FD1890">
        <w:rPr>
          <w:rFonts w:ascii="Cambria" w:eastAsia="Times New Roman" w:hAnsi="Cambria" w:cs="Tahoma"/>
          <w:sz w:val="22"/>
          <w:szCs w:val="22"/>
        </w:rPr>
        <w:t>203.65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="00FD1890">
        <w:rPr>
          <w:rFonts w:ascii="Cambria" w:eastAsia="Calibri" w:hAnsi="Cambria" w:cs="Times New Roman"/>
          <w:sz w:val="22"/>
          <w:szCs w:val="22"/>
        </w:rPr>
        <w:t xml:space="preserve">, including repayment of </w:t>
      </w:r>
      <w:r w:rsidR="00DB6089">
        <w:rPr>
          <w:rFonts w:ascii="Cambria" w:eastAsia="Calibri" w:hAnsi="Cambria" w:cs="Times New Roman"/>
          <w:sz w:val="22"/>
          <w:szCs w:val="22"/>
        </w:rPr>
        <w:t>Eurobonds</w:t>
      </w:r>
      <w:r w:rsidR="00FD1890">
        <w:rPr>
          <w:rFonts w:ascii="Cambria" w:eastAsia="Calibri" w:hAnsi="Cambria" w:cs="Times New Roman"/>
          <w:sz w:val="22"/>
          <w:szCs w:val="22"/>
        </w:rPr>
        <w:t xml:space="preserve"> issued in 2014, in the amount of 169.1 million EUR</w:t>
      </w:r>
      <w:r w:rsidRPr="00131C70">
        <w:rPr>
          <w:rFonts w:ascii="Cambria" w:eastAsia="Times New Roman" w:hAnsi="Cambria" w:cs="Tahoma"/>
          <w:sz w:val="22"/>
          <w:szCs w:val="22"/>
        </w:rPr>
        <w:t>. Interest has been repaid in tot</w:t>
      </w:r>
      <w:r w:rsidR="003C62A6">
        <w:rPr>
          <w:rFonts w:ascii="Cambria" w:eastAsia="Times New Roman" w:hAnsi="Cambria" w:cs="Tahoma"/>
          <w:sz w:val="22"/>
          <w:szCs w:val="22"/>
        </w:rPr>
        <w:t xml:space="preserve">al amount of </w:t>
      </w:r>
      <w:r w:rsidR="0092751A">
        <w:rPr>
          <w:rFonts w:ascii="Cambria" w:eastAsia="Times New Roman" w:hAnsi="Cambria" w:cs="Tahoma"/>
          <w:sz w:val="22"/>
          <w:szCs w:val="22"/>
        </w:rPr>
        <w:t>34.08</w:t>
      </w:r>
      <w:r w:rsidR="0092751A" w:rsidRPr="00131C70">
        <w:rPr>
          <w:rFonts w:ascii="Cambria" w:eastAsia="Times New Roman" w:hAnsi="Cambria" w:cs="Tahoma"/>
          <w:sz w:val="22"/>
          <w:szCs w:val="22"/>
        </w:rPr>
        <w:t xml:space="preserve"> </w:t>
      </w:r>
      <w:r w:rsidRPr="00131C70">
        <w:rPr>
          <w:rFonts w:ascii="Cambria" w:eastAsia="Times New Roman" w:hAnsi="Cambria" w:cs="Tahoma"/>
          <w:sz w:val="22"/>
          <w:szCs w:val="22"/>
        </w:rPr>
        <w:t>million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>,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out of which </w:t>
      </w:r>
      <w:r w:rsidR="0092751A">
        <w:rPr>
          <w:rFonts w:ascii="Cambria" w:eastAsia="Times New Roman" w:hAnsi="Cambria" w:cs="Tahoma"/>
          <w:sz w:val="22"/>
          <w:szCs w:val="22"/>
        </w:rPr>
        <w:t>0.92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referred to repayment </w:t>
      </w:r>
      <w:r w:rsidRPr="00131C70">
        <w:rPr>
          <w:rFonts w:ascii="Cambria" w:eastAsia="Times New Roman" w:hAnsi="Cambria" w:cs="Tahoma"/>
          <w:sz w:val="22"/>
          <w:szCs w:val="22"/>
        </w:rPr>
        <w:lastRenderedPageBreak/>
        <w:t>of interest to residents,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while </w:t>
      </w:r>
      <w:r w:rsidR="0092751A">
        <w:rPr>
          <w:rFonts w:ascii="Cambria" w:eastAsia="Times New Roman" w:hAnsi="Cambria" w:cs="Tahoma"/>
          <w:sz w:val="22"/>
          <w:szCs w:val="22"/>
        </w:rPr>
        <w:t>33.16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="003C62A6" w:rsidRPr="00131C70">
        <w:rPr>
          <w:rFonts w:ascii="Cambria" w:eastAsia="Times New Roman" w:hAnsi="Cambria" w:cs="Tahoma"/>
          <w:sz w:val="22"/>
          <w:szCs w:val="22"/>
        </w:rPr>
        <w:t xml:space="preserve"> 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million was paid to non-residence. During the </w:t>
      </w:r>
      <w:r w:rsidR="003C62A6">
        <w:rPr>
          <w:rFonts w:ascii="Cambria" w:eastAsia="Times New Roman" w:hAnsi="Cambria" w:cs="Tahoma"/>
          <w:sz w:val="22"/>
          <w:szCs w:val="22"/>
        </w:rPr>
        <w:t>first quarter of 2019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, repayment of old currency savings debt was </w:t>
      </w:r>
      <w:r w:rsidR="006B0420" w:rsidRPr="00131C70">
        <w:rPr>
          <w:rFonts w:ascii="Cambria" w:eastAsia="Times New Roman" w:hAnsi="Cambria" w:cs="Tahoma"/>
          <w:sz w:val="22"/>
          <w:szCs w:val="22"/>
        </w:rPr>
        <w:t>0.1</w:t>
      </w:r>
      <w:r w:rsidR="0092751A">
        <w:rPr>
          <w:rFonts w:ascii="Cambria" w:eastAsia="Times New Roman" w:hAnsi="Cambria" w:cs="Tahoma"/>
          <w:sz w:val="22"/>
          <w:szCs w:val="22"/>
        </w:rPr>
        <w:t>6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>.</w:t>
      </w:r>
    </w:p>
    <w:p w:rsidR="00F666BE" w:rsidRDefault="00F666BE" w:rsidP="00BA21E5">
      <w:pPr>
        <w:spacing w:after="0" w:line="240" w:lineRule="auto"/>
        <w:jc w:val="both"/>
        <w:rPr>
          <w:rFonts w:ascii="Cambria" w:eastAsia="Times New Roman" w:hAnsi="Cambria" w:cs="Tahoma"/>
          <w:sz w:val="22"/>
          <w:szCs w:val="22"/>
        </w:rPr>
      </w:pPr>
    </w:p>
    <w:p w:rsidR="00B627B9" w:rsidRPr="00B627B9" w:rsidRDefault="00B627B9" w:rsidP="00B627B9">
      <w:pPr>
        <w:spacing w:after="0" w:line="240" w:lineRule="auto"/>
        <w:jc w:val="both"/>
        <w:rPr>
          <w:noProof/>
          <w:lang w:eastAsia="en-GB"/>
        </w:rPr>
      </w:pPr>
    </w:p>
    <w:p w:rsidR="00B63CEF" w:rsidRDefault="007551BA" w:rsidP="007551BA">
      <w:pPr>
        <w:rPr>
          <w:rFonts w:ascii="Cambria" w:eastAsia="Times New Roman" w:hAnsi="Cambria" w:cs="Tahoma"/>
          <w:color w:val="000000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E62077F" wp14:editId="71E41AE1">
            <wp:extent cx="2705100" cy="29527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D3CAD2" wp14:editId="1E18E98E">
            <wp:extent cx="2981325" cy="2943225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51BA" w:rsidRPr="00131C70" w:rsidRDefault="007C75D8" w:rsidP="008D45EC">
      <w:pPr>
        <w:jc w:val="center"/>
        <w:rPr>
          <w:rFonts w:ascii="Cambria" w:eastAsia="Times New Roman" w:hAnsi="Cambria" w:cs="Tahoma"/>
          <w:color w:val="000000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519D3C90" wp14:editId="013E351E">
            <wp:extent cx="2752725" cy="2447925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7551BA" w:rsidRPr="00131C70" w:rsidSect="002A1F0A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CC" w:rsidRDefault="00A246CC" w:rsidP="00CA3650">
      <w:pPr>
        <w:spacing w:after="0" w:line="240" w:lineRule="auto"/>
      </w:pPr>
      <w:r>
        <w:separator/>
      </w:r>
    </w:p>
  </w:endnote>
  <w:endnote w:type="continuationSeparator" w:id="0">
    <w:p w:rsidR="00A246CC" w:rsidRDefault="00A246CC" w:rsidP="00CA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CC" w:rsidRDefault="00A246CC" w:rsidP="00CA3650">
      <w:pPr>
        <w:spacing w:after="0" w:line="240" w:lineRule="auto"/>
      </w:pPr>
      <w:r>
        <w:separator/>
      </w:r>
    </w:p>
  </w:footnote>
  <w:footnote w:type="continuationSeparator" w:id="0">
    <w:p w:rsidR="00A246CC" w:rsidRDefault="00A246CC" w:rsidP="00CA3650">
      <w:pPr>
        <w:spacing w:after="0" w:line="240" w:lineRule="auto"/>
      </w:pPr>
      <w:r>
        <w:continuationSeparator/>
      </w:r>
    </w:p>
  </w:footnote>
  <w:footnote w:id="1">
    <w:p w:rsidR="00CA3650" w:rsidRDefault="00CA3650" w:rsidP="00CA3650">
      <w:pPr>
        <w:pStyle w:val="FootnoteText"/>
      </w:pPr>
      <w:r>
        <w:rPr>
          <w:rStyle w:val="FootnoteReference"/>
        </w:rPr>
        <w:footnoteRef/>
      </w:r>
      <w:r w:rsidR="00591689" w:rsidRPr="00591689">
        <w:rPr>
          <w:rFonts w:ascii="Cambria" w:hAnsi="Cambria"/>
          <w:lang w:val="sr-Latn-RS"/>
        </w:rPr>
        <w:t>According to the data of Monstat</w:t>
      </w:r>
      <w:r>
        <w:rPr>
          <w:rFonts w:ascii="Cambria" w:hAnsi="Cambria"/>
          <w:lang w:val="sr-Latn-RS"/>
        </w:rPr>
        <w:t xml:space="preserve">, GDP for 2019 amounts </w:t>
      </w:r>
      <w:r w:rsidR="00591689">
        <w:rPr>
          <w:rFonts w:ascii="Cambria" w:hAnsi="Cambria"/>
          <w:lang w:val="sr-Latn-RS"/>
        </w:rPr>
        <w:t>4951</w:t>
      </w:r>
      <w:r>
        <w:rPr>
          <w:rFonts w:ascii="Cambria" w:hAnsi="Cambria"/>
          <w:lang w:val="sr-Latn-RS"/>
        </w:rPr>
        <w:t xml:space="preserve"> mil. eur</w:t>
      </w:r>
    </w:p>
  </w:footnote>
  <w:footnote w:id="2">
    <w:p w:rsidR="00B627B9" w:rsidRPr="00D2773C" w:rsidRDefault="00B627B9" w:rsidP="00B627B9">
      <w:pPr>
        <w:pStyle w:val="FootnoteText"/>
        <w:rPr>
          <w:rFonts w:ascii="Cambria" w:hAnsi="Cambria"/>
        </w:rPr>
      </w:pPr>
      <w:r w:rsidRPr="00D2773C">
        <w:rPr>
          <w:rStyle w:val="FootnoteReference"/>
          <w:rFonts w:ascii="Cambria" w:hAnsi="Cambria"/>
        </w:rPr>
        <w:footnoteRef/>
      </w:r>
      <w:r w:rsidRPr="00D2773C">
        <w:rPr>
          <w:rFonts w:ascii="Cambria" w:hAnsi="Cambria"/>
        </w:rPr>
        <w:t xml:space="preserve"> </w:t>
      </w:r>
      <w:r w:rsidR="0092751A">
        <w:rPr>
          <w:rFonts w:ascii="Cambria" w:hAnsi="Cambria" w:cs="Tahoma"/>
          <w:szCs w:val="24"/>
          <w:lang w:val="sr-Latn-ME"/>
        </w:rPr>
        <w:t>Exchange rate as of 30</w:t>
      </w:r>
      <w:r w:rsidRPr="00D2773C">
        <w:rPr>
          <w:rFonts w:ascii="Cambria" w:hAnsi="Cambria" w:cs="Tahoma"/>
          <w:szCs w:val="24"/>
          <w:lang w:val="sr-Latn-ME"/>
        </w:rPr>
        <w:t xml:space="preserve"> </w:t>
      </w:r>
      <w:r w:rsidR="0092751A">
        <w:rPr>
          <w:rFonts w:ascii="Cambria" w:hAnsi="Cambria" w:cs="Tahoma"/>
          <w:szCs w:val="24"/>
          <w:lang w:val="sr-Latn-ME"/>
        </w:rPr>
        <w:t>June</w:t>
      </w:r>
      <w:r w:rsidRPr="00D2773C">
        <w:rPr>
          <w:rFonts w:ascii="Cambria" w:hAnsi="Cambria" w:cs="Tahoma"/>
          <w:szCs w:val="24"/>
          <w:lang w:val="sr-Latn-ME"/>
        </w:rPr>
        <w:t>, 201</w:t>
      </w:r>
      <w:r>
        <w:rPr>
          <w:rFonts w:ascii="Cambria" w:hAnsi="Cambria" w:cs="Tahoma"/>
          <w:szCs w:val="24"/>
          <w:lang w:val="sr-Latn-ME"/>
        </w:rPr>
        <w:t>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604" w:rsidRDefault="002E460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posOffset>371475</wp:posOffset>
              </wp:positionV>
              <wp:extent cx="5741670" cy="171450"/>
              <wp:effectExtent l="0" t="0" r="0" b="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167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3D7" w:rsidRDefault="008D336A" w:rsidP="008D336A">
                          <w:pPr>
                            <w:spacing w:after="0" w:line="240" w:lineRule="auto"/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</w:pPr>
                          <w:r w:rsidRP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Ministry of finance    </w:t>
                          </w:r>
                          <w:r w:rsidR="007533CF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       </w:t>
                          </w:r>
                          <w:r w:rsidRP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>Report on</w:t>
                          </w:r>
                          <w:r w:rsidR="007533CF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 the Central Government debt</w:t>
                          </w:r>
                          <w:r w:rsid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             </w:t>
                          </w:r>
                          <w:r w:rsidR="002A63D7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>30.06</w:t>
                          </w:r>
                          <w:r w:rsidRP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>.2019</w:t>
                          </w:r>
                        </w:p>
                        <w:p w:rsidR="002E4604" w:rsidRPr="00A67C3A" w:rsidRDefault="008D336A" w:rsidP="008D336A">
                          <w:pPr>
                            <w:spacing w:after="0" w:line="240" w:lineRule="auto"/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</w:pPr>
                          <w:r w:rsidRP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29.25pt;width:452.1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" o:allowincell="f" filled="f" stroked="f">
              <v:textbox inset=",0,,0">
                <w:txbxContent>
                  <w:p w:rsidR="002A63D7" w:rsidRDefault="008D336A" w:rsidP="008D336A">
                    <w:pPr>
                      <w:spacing w:after="0" w:line="240" w:lineRule="auto"/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</w:pPr>
                    <w:r w:rsidRP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Ministry of finance    </w:t>
                    </w:r>
                    <w:r w:rsidR="007533CF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       </w:t>
                    </w:r>
                    <w:r w:rsidRP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>Report on</w:t>
                    </w:r>
                    <w:r w:rsidR="007533CF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 the Central Government debt</w:t>
                    </w:r>
                    <w:r w:rsid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             </w:t>
                    </w:r>
                    <w:r w:rsidR="002A63D7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>30.06</w:t>
                    </w:r>
                    <w:r w:rsidRP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>.2019</w:t>
                    </w:r>
                  </w:p>
                  <w:p w:rsidR="002E4604" w:rsidRPr="00A67C3A" w:rsidRDefault="008D336A" w:rsidP="008D336A">
                    <w:pPr>
                      <w:spacing w:after="0" w:line="240" w:lineRule="auto"/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</w:pPr>
                    <w:r w:rsidRP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508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E4604" w:rsidRPr="008D336A" w:rsidRDefault="002E4604">
                          <w:pPr>
                            <w:spacing w:after="0" w:line="240" w:lineRule="auto"/>
                            <w:rPr>
                              <w:rFonts w:ascii="Cambria" w:hAnsi="Cambria"/>
                              <w:color w:val="FFFFFF" w:themeColor="background1"/>
                            </w:rPr>
                          </w:pPr>
                          <w:r w:rsidRPr="008D336A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8D336A">
                            <w:rPr>
                              <w:rFonts w:ascii="Cambria" w:hAnsi="Cambria"/>
                            </w:rPr>
                            <w:instrText xml:space="preserve"> PAGE   \* MERGEFORMAT </w:instrText>
                          </w:r>
                          <w:r w:rsidRPr="008D336A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="000240C7" w:rsidRPr="000240C7">
                            <w:rPr>
                              <w:rFonts w:ascii="Cambria" w:hAnsi="Cambria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D336A">
                            <w:rPr>
                              <w:rFonts w:ascii="Cambria" w:hAnsi="Cambria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xHIA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" o:allowincell="f" fillcolor="#fad17a [1940]" stroked="f">
              <v:textbox style="mso-fit-shape-to-text:t" inset=",0,,0">
                <w:txbxContent>
                  <w:p w:rsidR="002E4604" w:rsidRPr="008D336A" w:rsidRDefault="002E4604">
                    <w:pPr>
                      <w:spacing w:after="0" w:line="240" w:lineRule="auto"/>
                      <w:rPr>
                        <w:rFonts w:ascii="Cambria" w:hAnsi="Cambria"/>
                        <w:color w:val="FFFFFF" w:themeColor="background1"/>
                      </w:rPr>
                    </w:pPr>
                    <w:r w:rsidRPr="008D336A">
                      <w:rPr>
                        <w:rFonts w:ascii="Cambria" w:hAnsi="Cambria"/>
                      </w:rPr>
                      <w:fldChar w:fldCharType="begin"/>
                    </w:r>
                    <w:r w:rsidRPr="008D336A">
                      <w:rPr>
                        <w:rFonts w:ascii="Cambria" w:hAnsi="Cambria"/>
                      </w:rPr>
                      <w:instrText xml:space="preserve"> PAGE   \* MERGEFORMAT </w:instrText>
                    </w:r>
                    <w:r w:rsidRPr="008D336A">
                      <w:rPr>
                        <w:rFonts w:ascii="Cambria" w:hAnsi="Cambria"/>
                      </w:rPr>
                      <w:fldChar w:fldCharType="separate"/>
                    </w:r>
                    <w:r w:rsidR="000240C7" w:rsidRPr="000240C7">
                      <w:rPr>
                        <w:rFonts w:ascii="Cambria" w:hAnsi="Cambria"/>
                        <w:noProof/>
                        <w:color w:val="FFFFFF" w:themeColor="background1"/>
                      </w:rPr>
                      <w:t>2</w:t>
                    </w:r>
                    <w:r w:rsidRPr="008D336A">
                      <w:rPr>
                        <w:rFonts w:ascii="Cambria" w:hAnsi="Cambria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96"/>
    <w:rsid w:val="00005534"/>
    <w:rsid w:val="000222D1"/>
    <w:rsid w:val="000240C7"/>
    <w:rsid w:val="00072F77"/>
    <w:rsid w:val="000762DC"/>
    <w:rsid w:val="0008030C"/>
    <w:rsid w:val="00083C27"/>
    <w:rsid w:val="00091C24"/>
    <w:rsid w:val="000C5086"/>
    <w:rsid w:val="000E077A"/>
    <w:rsid w:val="000E4A99"/>
    <w:rsid w:val="001148C4"/>
    <w:rsid w:val="00115366"/>
    <w:rsid w:val="00120CBE"/>
    <w:rsid w:val="00131C70"/>
    <w:rsid w:val="001439CB"/>
    <w:rsid w:val="00157AFD"/>
    <w:rsid w:val="0016177C"/>
    <w:rsid w:val="00180B07"/>
    <w:rsid w:val="00184608"/>
    <w:rsid w:val="001C41A5"/>
    <w:rsid w:val="001C43FF"/>
    <w:rsid w:val="001F7402"/>
    <w:rsid w:val="00222961"/>
    <w:rsid w:val="002378AD"/>
    <w:rsid w:val="00264ECE"/>
    <w:rsid w:val="002716A0"/>
    <w:rsid w:val="002856E9"/>
    <w:rsid w:val="00293967"/>
    <w:rsid w:val="00293EE3"/>
    <w:rsid w:val="002A1F0A"/>
    <w:rsid w:val="002A388A"/>
    <w:rsid w:val="002A63D7"/>
    <w:rsid w:val="002B17A0"/>
    <w:rsid w:val="002C1296"/>
    <w:rsid w:val="002C7868"/>
    <w:rsid w:val="002E4604"/>
    <w:rsid w:val="0032178D"/>
    <w:rsid w:val="00343068"/>
    <w:rsid w:val="00346473"/>
    <w:rsid w:val="00384C7B"/>
    <w:rsid w:val="003C62A6"/>
    <w:rsid w:val="003E571F"/>
    <w:rsid w:val="00403D7C"/>
    <w:rsid w:val="00445AA2"/>
    <w:rsid w:val="00451877"/>
    <w:rsid w:val="00460BF2"/>
    <w:rsid w:val="00461EF2"/>
    <w:rsid w:val="004D45DB"/>
    <w:rsid w:val="004F7033"/>
    <w:rsid w:val="00522819"/>
    <w:rsid w:val="00546B09"/>
    <w:rsid w:val="00586ABC"/>
    <w:rsid w:val="00591689"/>
    <w:rsid w:val="005C4F06"/>
    <w:rsid w:val="005F733F"/>
    <w:rsid w:val="00606CC6"/>
    <w:rsid w:val="00627943"/>
    <w:rsid w:val="00646A09"/>
    <w:rsid w:val="006704F4"/>
    <w:rsid w:val="006818A5"/>
    <w:rsid w:val="006B0420"/>
    <w:rsid w:val="006B207B"/>
    <w:rsid w:val="006D6529"/>
    <w:rsid w:val="007533CF"/>
    <w:rsid w:val="007551BA"/>
    <w:rsid w:val="007622C4"/>
    <w:rsid w:val="00783946"/>
    <w:rsid w:val="00787067"/>
    <w:rsid w:val="00794A53"/>
    <w:rsid w:val="00795354"/>
    <w:rsid w:val="007A3AA0"/>
    <w:rsid w:val="007C75D8"/>
    <w:rsid w:val="00800A6A"/>
    <w:rsid w:val="00861F6C"/>
    <w:rsid w:val="00866646"/>
    <w:rsid w:val="00890F45"/>
    <w:rsid w:val="008929EA"/>
    <w:rsid w:val="008B0B8D"/>
    <w:rsid w:val="008B5456"/>
    <w:rsid w:val="008C5466"/>
    <w:rsid w:val="008D336A"/>
    <w:rsid w:val="008D45EC"/>
    <w:rsid w:val="008E2B04"/>
    <w:rsid w:val="0092751A"/>
    <w:rsid w:val="009308EE"/>
    <w:rsid w:val="00930DC2"/>
    <w:rsid w:val="0096264E"/>
    <w:rsid w:val="00967AF3"/>
    <w:rsid w:val="009D71B8"/>
    <w:rsid w:val="009E0746"/>
    <w:rsid w:val="009F64D1"/>
    <w:rsid w:val="00A14D20"/>
    <w:rsid w:val="00A246CC"/>
    <w:rsid w:val="00A25FE5"/>
    <w:rsid w:val="00A4026C"/>
    <w:rsid w:val="00A42F98"/>
    <w:rsid w:val="00A67C3A"/>
    <w:rsid w:val="00A76F45"/>
    <w:rsid w:val="00A84499"/>
    <w:rsid w:val="00AB4940"/>
    <w:rsid w:val="00B120DB"/>
    <w:rsid w:val="00B627B9"/>
    <w:rsid w:val="00B63CEF"/>
    <w:rsid w:val="00BA21E5"/>
    <w:rsid w:val="00BA5A36"/>
    <w:rsid w:val="00BA788A"/>
    <w:rsid w:val="00BA7C68"/>
    <w:rsid w:val="00BD49E6"/>
    <w:rsid w:val="00BE52E4"/>
    <w:rsid w:val="00C11FE6"/>
    <w:rsid w:val="00C1597A"/>
    <w:rsid w:val="00C260CD"/>
    <w:rsid w:val="00C61088"/>
    <w:rsid w:val="00C70640"/>
    <w:rsid w:val="00C808A7"/>
    <w:rsid w:val="00CA3650"/>
    <w:rsid w:val="00CC3CBD"/>
    <w:rsid w:val="00CF15B4"/>
    <w:rsid w:val="00CF1CA5"/>
    <w:rsid w:val="00CF5EA4"/>
    <w:rsid w:val="00D029AD"/>
    <w:rsid w:val="00D20A6A"/>
    <w:rsid w:val="00D5227F"/>
    <w:rsid w:val="00D76E9A"/>
    <w:rsid w:val="00D84D4B"/>
    <w:rsid w:val="00DB6089"/>
    <w:rsid w:val="00DD00AD"/>
    <w:rsid w:val="00DF1C7B"/>
    <w:rsid w:val="00DF41CE"/>
    <w:rsid w:val="00E02618"/>
    <w:rsid w:val="00E12EC1"/>
    <w:rsid w:val="00E227D4"/>
    <w:rsid w:val="00E27380"/>
    <w:rsid w:val="00E66101"/>
    <w:rsid w:val="00E97A96"/>
    <w:rsid w:val="00EA7D35"/>
    <w:rsid w:val="00EB033F"/>
    <w:rsid w:val="00EF7C74"/>
    <w:rsid w:val="00F10532"/>
    <w:rsid w:val="00F242CF"/>
    <w:rsid w:val="00F359FA"/>
    <w:rsid w:val="00F45D8D"/>
    <w:rsid w:val="00F51286"/>
    <w:rsid w:val="00F666BE"/>
    <w:rsid w:val="00F85DE0"/>
    <w:rsid w:val="00F96E00"/>
    <w:rsid w:val="00FC7558"/>
    <w:rsid w:val="00FD1890"/>
    <w:rsid w:val="00FF1C56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9D080D-C950-4D1D-BA4B-2AFB092F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96"/>
  </w:style>
  <w:style w:type="paragraph" w:styleId="Heading1">
    <w:name w:val="heading 1"/>
    <w:basedOn w:val="Normal"/>
    <w:next w:val="Normal"/>
    <w:link w:val="Heading1Char"/>
    <w:uiPriority w:val="9"/>
    <w:qFormat/>
    <w:rsid w:val="00E97A9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A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A1A0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A1A00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A1A00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95E0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A1A00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A1A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96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A9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96"/>
    <w:rPr>
      <w:rFonts w:asciiTheme="majorHAnsi" w:eastAsiaTheme="majorEastAsia" w:hAnsiTheme="majorHAnsi" w:cstheme="majorBidi"/>
      <w:color w:val="2A1A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9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96"/>
    <w:rPr>
      <w:rFonts w:asciiTheme="majorHAnsi" w:eastAsiaTheme="majorEastAsia" w:hAnsiTheme="majorHAnsi" w:cstheme="majorBidi"/>
      <w:color w:val="2A1A0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96"/>
    <w:rPr>
      <w:rFonts w:asciiTheme="majorHAnsi" w:eastAsiaTheme="majorEastAsia" w:hAnsiTheme="majorHAnsi" w:cstheme="majorBidi"/>
      <w:i/>
      <w:iCs/>
      <w:color w:val="2A1A00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96"/>
    <w:rPr>
      <w:rFonts w:asciiTheme="majorHAnsi" w:eastAsiaTheme="majorEastAsia" w:hAnsiTheme="majorHAnsi" w:cstheme="majorBidi"/>
      <w:i/>
      <w:iCs/>
      <w:color w:val="895E0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96"/>
    <w:rPr>
      <w:rFonts w:asciiTheme="majorHAnsi" w:eastAsiaTheme="majorEastAsia" w:hAnsiTheme="majorHAnsi" w:cstheme="majorBidi"/>
      <w:b/>
      <w:bCs/>
      <w:color w:val="2A1A00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96"/>
    <w:rPr>
      <w:rFonts w:asciiTheme="majorHAnsi" w:eastAsiaTheme="majorEastAsia" w:hAnsiTheme="majorHAnsi" w:cstheme="majorBidi"/>
      <w:b/>
      <w:bCs/>
      <w:i/>
      <w:iCs/>
      <w:color w:val="2A1A00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7A9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97A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F8B32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A96"/>
    <w:rPr>
      <w:rFonts w:asciiTheme="majorHAnsi" w:eastAsiaTheme="majorEastAsia" w:hAnsiTheme="majorHAnsi" w:cstheme="majorBidi"/>
      <w:color w:val="F8B32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A9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97A96"/>
    <w:rPr>
      <w:b/>
      <w:bCs/>
    </w:rPr>
  </w:style>
  <w:style w:type="character" w:styleId="Emphasis">
    <w:name w:val="Emphasis"/>
    <w:basedOn w:val="DefaultParagraphFont"/>
    <w:uiPriority w:val="20"/>
    <w:qFormat/>
    <w:rsid w:val="00E97A96"/>
    <w:rPr>
      <w:i/>
      <w:iCs/>
    </w:rPr>
  </w:style>
  <w:style w:type="paragraph" w:styleId="NoSpacing">
    <w:name w:val="No Spacing"/>
    <w:uiPriority w:val="1"/>
    <w:qFormat/>
    <w:rsid w:val="00E97A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7A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A9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96"/>
    <w:pPr>
      <w:pBdr>
        <w:left w:val="single" w:sz="18" w:space="12" w:color="F8B32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96"/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97A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7A9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7A9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97A9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97A9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7A96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365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650"/>
  </w:style>
  <w:style w:type="character" w:styleId="FootnoteReference">
    <w:name w:val="footnote reference"/>
    <w:basedOn w:val="DefaultParagraphFont"/>
    <w:uiPriority w:val="99"/>
    <w:semiHidden/>
    <w:unhideWhenUsed/>
    <w:rsid w:val="00CA3650"/>
    <w:rPr>
      <w:vertAlign w:val="superscript"/>
    </w:rPr>
  </w:style>
  <w:style w:type="table" w:styleId="GridTable6Colorful-Accent3">
    <w:name w:val="Grid Table 6 Colorful Accent 3"/>
    <w:basedOn w:val="TableNormal"/>
    <w:uiPriority w:val="51"/>
    <w:rsid w:val="00787067"/>
    <w:pPr>
      <w:spacing w:after="0" w:line="240" w:lineRule="auto"/>
    </w:pPr>
    <w:rPr>
      <w:color w:val="348587" w:themeColor="accent3" w:themeShade="BF"/>
    </w:rPr>
    <w:tblPr>
      <w:tblStyleRowBandSize w:val="1"/>
      <w:tblStyleColBandSize w:val="1"/>
      <w:tblBorders>
        <w:top w:val="single" w:sz="4" w:space="0" w:color="8ED1D3" w:themeColor="accent3" w:themeTint="99"/>
        <w:left w:val="single" w:sz="4" w:space="0" w:color="8ED1D3" w:themeColor="accent3" w:themeTint="99"/>
        <w:bottom w:val="single" w:sz="4" w:space="0" w:color="8ED1D3" w:themeColor="accent3" w:themeTint="99"/>
        <w:right w:val="single" w:sz="4" w:space="0" w:color="8ED1D3" w:themeColor="accent3" w:themeTint="99"/>
        <w:insideH w:val="single" w:sz="4" w:space="0" w:color="8ED1D3" w:themeColor="accent3" w:themeTint="99"/>
        <w:insideV w:val="single" w:sz="4" w:space="0" w:color="8ED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ED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0" w:themeFill="accent3" w:themeFillTint="33"/>
      </w:tcPr>
    </w:tblStylePr>
    <w:tblStylePr w:type="band1Horz">
      <w:tblPr/>
      <w:tcPr>
        <w:shd w:val="clear" w:color="auto" w:fill="D9EFF0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6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64E"/>
  </w:style>
  <w:style w:type="paragraph" w:styleId="Footer">
    <w:name w:val="footer"/>
    <w:basedOn w:val="Normal"/>
    <w:link w:val="FooterChar"/>
    <w:uiPriority w:val="99"/>
    <w:unhideWhenUsed/>
    <w:rsid w:val="0096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64E"/>
  </w:style>
  <w:style w:type="table" w:styleId="TableGrid">
    <w:name w:val="Table Grid"/>
    <w:basedOn w:val="TableNormal"/>
    <w:uiPriority w:val="39"/>
    <w:rsid w:val="0018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jelena.djurovic\Desktop\Izvje&#353;taji%20o%20dr&#382;avnom%20dugu\2019\1%20kvartal\Grafici%204803.3%20ENG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jelena.djurovic\Desktop\Izvje&#353;taji%20o%20dr&#382;avnom%20dugu\2019\1%20kvartal\Grafici%204803.3%20ENG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jelena.djurovic\Desktop\Izvje&#353;taji%20o%20dr&#382;avnom%20dugu\2019\1%20kvartal\Grafici%204803.3%20ENG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jelena.djurovic\Desktop\Izvje&#353;taji%20o%20dr&#382;avnom%20dugu\2019\1%20kvartal\Grafici%204803.3%20ENG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jelena.djurovic\Desktop\Izvje&#353;taji%20o%20dr&#382;avnom%20dugu\2019\1%20kvartal\Grafici%204803.3%20E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chemeClr val="tx1"/>
                </a:solidFill>
              </a:rPr>
              <a:t>Figure 2 Central Government Debt as % of GDP</a:t>
            </a:r>
          </a:p>
          <a:p>
            <a:pPr>
              <a:defRPr sz="1100"/>
            </a:pPr>
            <a:r>
              <a:rPr lang="en-GB" sz="1100"/>
              <a:t>  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480349495786711"/>
          <c:y val="0.25404778948086032"/>
          <c:w val="0.75695089100704516"/>
          <c:h val="0.457713126768244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Sheet1!$A$58</c:f>
              <c:strCache>
                <c:ptCount val="1"/>
                <c:pt idx="0">
                  <c:v>Total Central Government Debt as % of GDP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63.29%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27-4EA9-9806-94DC5E647F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Sheet1!$B$57:$E$57</c:f>
              <c:strCache>
                <c:ptCount val="2"/>
                <c:pt idx="0">
                  <c:v>31.03.2019</c:v>
                </c:pt>
                <c:pt idx="1">
                  <c:v>30.06.2019</c:v>
                </c:pt>
              </c:strCache>
            </c:strRef>
          </c:cat>
          <c:val>
            <c:numRef>
              <c:f>Sheet1!$B$58:$E$58</c:f>
              <c:numCache>
                <c:formatCode>0.00%</c:formatCode>
                <c:ptCount val="2"/>
                <c:pt idx="0">
                  <c:v>0.66191576624404058</c:v>
                </c:pt>
                <c:pt idx="1">
                  <c:v>0.65240224401838842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DD-426C-AD21-3574C0E8CEC8}"/>
            </c:ext>
          </c:extLst>
        </c:ser>
        <c:ser>
          <c:idx val="1"/>
          <c:order val="1"/>
          <c:tx>
            <c:strRef>
              <c:f>Sheet1!$A$59</c:f>
              <c:strCache>
                <c:ptCount val="1"/>
                <c:pt idx="0">
                  <c:v>Total Central Government Debt (including deposits) as % of GDP</c:v>
                </c:pt>
              </c:strCache>
            </c:strRef>
          </c:tx>
          <c:spPr>
            <a:solidFill>
              <a:srgbClr val="46B2B5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59.58%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27-4EA9-9806-94DC5E647F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Sheet1!$B$57:$E$57</c:f>
              <c:strCache>
                <c:ptCount val="2"/>
                <c:pt idx="0">
                  <c:v>31.03.2019</c:v>
                </c:pt>
                <c:pt idx="1">
                  <c:v>30.06.2019</c:v>
                </c:pt>
              </c:strCache>
            </c:strRef>
          </c:cat>
          <c:val>
            <c:numRef>
              <c:f>Sheet1!$B$59:$E$59</c:f>
              <c:numCache>
                <c:formatCode>0.00%</c:formatCode>
                <c:ptCount val="2"/>
                <c:pt idx="0">
                  <c:v>0.60909791185226825</c:v>
                </c:pt>
                <c:pt idx="1">
                  <c:v>0.61408900103960307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7DD-426C-AD21-3574C0E8C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4902496"/>
        <c:axId val="370518288"/>
      </c:barChart>
      <c:catAx>
        <c:axId val="37490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518288"/>
        <c:crosses val="autoZero"/>
        <c:auto val="1"/>
        <c:lblAlgn val="ctr"/>
        <c:lblOffset val="100"/>
        <c:noMultiLvlLbl val="0"/>
      </c:catAx>
      <c:valAx>
        <c:axId val="370518288"/>
        <c:scaling>
          <c:orientation val="minMax"/>
          <c:max val="0.70000000000000007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4902496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216213539345317E-2"/>
          <c:y val="0.79292974741793643"/>
          <c:w val="0.9445316033609007"/>
          <c:h val="0.181096226608037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ysClr val="windowText" lastClr="000000"/>
                </a:solidFill>
                <a:latin typeface="Cambria" panose="02040503050406030204" pitchFamily="18" charset="0"/>
              </a:rPr>
              <a:t>Figure 1 Central Government</a:t>
            </a:r>
            <a:r>
              <a:rPr lang="en-GB" sz="1100" b="1" baseline="0">
                <a:solidFill>
                  <a:sysClr val="windowText" lastClr="000000"/>
                </a:solidFill>
                <a:latin typeface="Cambria" panose="02040503050406030204" pitchFamily="18" charset="0"/>
              </a:rPr>
              <a:t> Debt in mil.eur</a:t>
            </a:r>
            <a:endParaRPr lang="sr-Latn-RS" sz="1100" b="1">
              <a:solidFill>
                <a:sysClr val="windowText" lastClr="000000"/>
              </a:solidFill>
              <a:latin typeface="Cambria" panose="020405030504060302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Sheet1!$A$54</c:f>
              <c:strCache>
                <c:ptCount val="1"/>
                <c:pt idx="0">
                  <c:v>Total Central Gov.Debt in mil. eur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Sheet1!$B$53:$E$53</c:f>
              <c:strCache>
                <c:ptCount val="2"/>
                <c:pt idx="0">
                  <c:v>31.03.2019</c:v>
                </c:pt>
                <c:pt idx="1">
                  <c:v>30.06.2019</c:v>
                </c:pt>
              </c:strCache>
            </c:strRef>
          </c:cat>
          <c:val>
            <c:numRef>
              <c:f>Sheet1!$B$54:$E$54</c:f>
              <c:numCache>
                <c:formatCode>0.00</c:formatCode>
                <c:ptCount val="2"/>
                <c:pt idx="0" formatCode="#,##0.00">
                  <c:v>3179.38</c:v>
                </c:pt>
                <c:pt idx="1">
                  <c:v>3133.6836986935255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CA7-49D6-9D60-A576D1755F03}"/>
            </c:ext>
          </c:extLst>
        </c:ser>
        <c:ser>
          <c:idx val="1"/>
          <c:order val="1"/>
          <c:tx>
            <c:strRef>
              <c:f>Sheet1!$A$55</c:f>
              <c:strCache>
                <c:ptCount val="1"/>
                <c:pt idx="0">
                  <c:v>Total Central Gov.Debt, including deposits, in mil. eur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Sheet1!$B$53:$E$53</c:f>
              <c:strCache>
                <c:ptCount val="2"/>
                <c:pt idx="0">
                  <c:v>31.03.2019</c:v>
                </c:pt>
                <c:pt idx="1">
                  <c:v>30.06.2019</c:v>
                </c:pt>
              </c:strCache>
            </c:strRef>
          </c:cat>
          <c:val>
            <c:numRef>
              <c:f>Sheet1!$B$55:$E$55</c:f>
              <c:numCache>
                <c:formatCode>0.00</c:formatCode>
                <c:ptCount val="2"/>
                <c:pt idx="0" formatCode="#,##0.00">
                  <c:v>2925.68</c:v>
                </c:pt>
                <c:pt idx="1">
                  <c:v>2949.6536986935253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A7-49D6-9D60-A576D1755F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6116208"/>
        <c:axId val="346115376"/>
      </c:lineChart>
      <c:catAx>
        <c:axId val="34611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15376"/>
        <c:crosses val="autoZero"/>
        <c:auto val="1"/>
        <c:lblAlgn val="ctr"/>
        <c:lblOffset val="100"/>
        <c:noMultiLvlLbl val="0"/>
      </c:catAx>
      <c:valAx>
        <c:axId val="346115376"/>
        <c:scaling>
          <c:orientation val="minMax"/>
          <c:max val="3200"/>
          <c:min val="28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16208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847207198141769E-3"/>
          <c:y val="0.7968865038367019"/>
          <c:w val="0.99289040946558993"/>
          <c:h val="0.177635789156928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RS" sz="1100" b="1">
                <a:solidFill>
                  <a:sysClr val="windowText" lastClr="000000"/>
                </a:solidFill>
              </a:rPr>
              <a:t>Figure 3 Currency Structure of Central Government Debt (3</a:t>
            </a:r>
            <a:r>
              <a:rPr lang="en-GB" sz="1100" b="1">
                <a:solidFill>
                  <a:sysClr val="windowText" lastClr="000000"/>
                </a:solidFill>
              </a:rPr>
              <a:t>0</a:t>
            </a:r>
            <a:r>
              <a:rPr lang="sr-Latn-RS" sz="1100" b="1">
                <a:solidFill>
                  <a:sysClr val="windowText" lastClr="000000"/>
                </a:solidFill>
              </a:rPr>
              <a:t>.</a:t>
            </a:r>
            <a:r>
              <a:rPr lang="en-GB" sz="1100" b="1">
                <a:solidFill>
                  <a:sysClr val="windowText" lastClr="000000"/>
                </a:solidFill>
              </a:rPr>
              <a:t>06</a:t>
            </a:r>
            <a:r>
              <a:rPr lang="sr-Latn-RS" sz="1100" b="1">
                <a:solidFill>
                  <a:sysClr val="windowText" lastClr="000000"/>
                </a:solidFill>
              </a:rPr>
              <a:t>.201</a:t>
            </a:r>
            <a:r>
              <a:rPr lang="en-GB" sz="1100" b="1">
                <a:solidFill>
                  <a:sysClr val="windowText" lastClr="000000"/>
                </a:solidFill>
              </a:rPr>
              <a:t>9</a:t>
            </a:r>
            <a:r>
              <a:rPr lang="en-US" sz="1100" b="1">
                <a:solidFill>
                  <a:sysClr val="windowText" lastClr="000000"/>
                </a:solidFill>
              </a:rPr>
              <a:t>)</a:t>
            </a:r>
          </a:p>
        </c:rich>
      </c:tx>
      <c:layout>
        <c:manualLayout>
          <c:xMode val="edge"/>
          <c:yMode val="edge"/>
          <c:x val="0.1370331364829396"/>
          <c:y val="1.400307259297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0102177368673982"/>
          <c:y val="0.24238997544661756"/>
          <c:w val="0.57864497707017393"/>
          <c:h val="0.50958089916179827"/>
        </c:manualLayout>
      </c:layout>
      <c:pieChart>
        <c:varyColors val="1"/>
        <c:ser>
          <c:idx val="0"/>
          <c:order val="0"/>
          <c:tx>
            <c:strRef>
              <c:f>Sheet1!$M$73:$M$75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Other (CHF, NOK, SDR)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3F-483C-8E19-5275E7867F63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3F-483C-8E19-5275E7867F63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3F-483C-8E19-5275E7867F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Sheet1!$M$73:$M$75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Other (CHF, NOK, SDR)</c:v>
                </c:pt>
              </c:strCache>
            </c:strRef>
          </c:cat>
          <c:val>
            <c:numRef>
              <c:f>Sheet1!$L$73:$L$75</c:f>
              <c:numCache>
                <c:formatCode>0.00%</c:formatCode>
                <c:ptCount val="3"/>
                <c:pt idx="0">
                  <c:v>0.79500508771151801</c:v>
                </c:pt>
                <c:pt idx="1">
                  <c:v>0.19341071655815739</c:v>
                </c:pt>
                <c:pt idx="2">
                  <c:v>1.1584195730324518E-2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3F-483C-8E19-5275E7867F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ysClr val="windowText" lastClr="000000"/>
                </a:solidFill>
              </a:rPr>
              <a:t>Figure 4 Interest Rate Structure of Central Government Debt (30.06.2019)</a:t>
            </a:r>
          </a:p>
        </c:rich>
      </c:tx>
      <c:layout>
        <c:manualLayout>
          <c:xMode val="edge"/>
          <c:yMode val="edge"/>
          <c:x val="0.15929695688997342"/>
          <c:y val="2.58899676375404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019689232136713"/>
          <c:y val="0.22951626192357019"/>
          <c:w val="0.52833454923565859"/>
          <c:h val="0.5351738314264115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60-4429-91AA-B54BC508DE44}"/>
              </c:ext>
            </c:extLst>
          </c:dPt>
          <c:dPt>
            <c:idx val="1"/>
            <c:bubble3D val="0"/>
            <c:spPr>
              <a:pattFill prst="dkUpDiag">
                <a:fgClr>
                  <a:schemeClr val="accent3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60-4429-91AA-B54BC508DE4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71ED4D10-75FC-4118-A9E4-E00E5F12A6DD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A60-4429-91AA-B54BC508DE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Sheet1!$C$70:$C$71</c:f>
              <c:strCache>
                <c:ptCount val="2"/>
                <c:pt idx="0">
                  <c:v>fix</c:v>
                </c:pt>
                <c:pt idx="1">
                  <c:v>var</c:v>
                </c:pt>
              </c:strCache>
            </c:strRef>
          </c:cat>
          <c:val>
            <c:numRef>
              <c:f>Sheet1!$E$70:$E$71</c:f>
              <c:numCache>
                <c:formatCode>0.00%</c:formatCode>
                <c:ptCount val="2"/>
                <c:pt idx="0">
                  <c:v>0.74909487731458257</c:v>
                </c:pt>
                <c:pt idx="1">
                  <c:v>0.25090512268541743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60-4429-91AA-B54BC508D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 i="0" u="none" strike="noStrike" baseline="0">
                <a:solidFill>
                  <a:sysClr val="windowText" lastClr="000000"/>
                </a:solidFill>
                <a:effectLst/>
              </a:rPr>
              <a:t>Figure 5 Share of Domestic and Foreign Debt (30.06.2019)</a:t>
            </a:r>
            <a:endParaRPr lang="en-GB" sz="11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7866666666666664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795553496989347"/>
          <c:y val="0.28112748552345351"/>
          <c:w val="0.54238836062447215"/>
          <c:h val="0.6099230981341340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49-41D7-93C3-CE65A0CC6A5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49-41D7-93C3-CE65A0CC6A5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049-41D7-93C3-CE65A0CC6A5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049-41D7-93C3-CE65A0CC6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Sheet1!$A$64:$A$65</c:f>
              <c:strCache>
                <c:ptCount val="2"/>
                <c:pt idx="0">
                  <c:v>Foreign Debt</c:v>
                </c:pt>
                <c:pt idx="1">
                  <c:v>Domestic Debt</c:v>
                </c:pt>
              </c:strCache>
            </c:strRef>
          </c:cat>
          <c:val>
            <c:numRef>
              <c:f>Sheet1!$D$64:$D$65</c:f>
              <c:numCache>
                <c:formatCode>0.00%</c:formatCode>
                <c:ptCount val="2"/>
                <c:pt idx="0">
                  <c:v>0.83662928655708302</c:v>
                </c:pt>
                <c:pt idx="1">
                  <c:v>0.16337071344291695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49-41D7-93C3-CE65A0CC6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word/theme/themeOverride1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858D-6446-4BC6-BEAA-7CBED392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Djurovic</dc:creator>
  <cp:keywords/>
  <dc:description/>
  <cp:lastModifiedBy>Ana Djuraskovic</cp:lastModifiedBy>
  <cp:revision>2</cp:revision>
  <cp:lastPrinted>2019-08-09T05:38:00Z</cp:lastPrinted>
  <dcterms:created xsi:type="dcterms:W3CDTF">2020-11-24T06:27:00Z</dcterms:created>
  <dcterms:modified xsi:type="dcterms:W3CDTF">2020-11-24T06:27:00Z</dcterms:modified>
</cp:coreProperties>
</file>